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B81547">
      <w:pPr>
        <w:ind w:firstLine="562"/>
        <w:rPr>
          <w:rFonts w:ascii="Times New Roman" w:hAnsi="Times New Roman" w:cs="Times New Roman"/>
          <w:color w:val="000000" w:themeColor="text1"/>
          <w:sz w:val="36"/>
          <w:szCs w:val="36"/>
          <w14:textFill>
            <w14:solidFill>
              <w14:schemeClr w14:val="tx1"/>
            </w14:solidFill>
          </w14:textFill>
        </w:rPr>
      </w:pPr>
    </w:p>
    <w:p w14:paraId="7FB08075">
      <w:pPr>
        <w:ind w:firstLine="420"/>
        <w:rPr>
          <w:rFonts w:ascii="Times New Roman" w:hAnsi="Times New Roman" w:cs="Times New Roman"/>
          <w:color w:val="000000" w:themeColor="text1"/>
          <w14:textFill>
            <w14:solidFill>
              <w14:schemeClr w14:val="tx1"/>
            </w14:solidFill>
          </w14:textFill>
        </w:rPr>
      </w:pPr>
    </w:p>
    <w:p w14:paraId="24EC13A0">
      <w:pPr>
        <w:pStyle w:val="137"/>
        <w:ind w:firstLine="480"/>
        <w:rPr>
          <w:rFonts w:hint="default" w:ascii="Times New Roman" w:hAnsi="Times New Roman" w:cs="Times New Roman"/>
          <w:color w:val="000000" w:themeColor="text1"/>
          <w14:textFill>
            <w14:solidFill>
              <w14:schemeClr w14:val="tx1"/>
            </w14:solidFill>
          </w14:textFill>
        </w:rPr>
      </w:pPr>
    </w:p>
    <w:p w14:paraId="040C913C">
      <w:pPr>
        <w:pStyle w:val="187"/>
        <w:rPr>
          <w:rFonts w:ascii="Times New Roman" w:hAnsi="Times New Roman"/>
          <w:color w:val="000000" w:themeColor="text1"/>
          <w14:textFill>
            <w14:solidFill>
              <w14:schemeClr w14:val="tx1"/>
            </w14:solidFill>
          </w14:textFill>
        </w:rPr>
      </w:pPr>
    </w:p>
    <w:p w14:paraId="3758B559">
      <w:pPr>
        <w:pStyle w:val="40"/>
        <w:ind w:left="1680" w:right="1680" w:firstLine="420"/>
        <w:rPr>
          <w:rFonts w:ascii="Times New Roman" w:hAnsi="Times New Roman" w:cs="Times New Roman"/>
          <w:color w:val="000000" w:themeColor="text1"/>
          <w14:textFill>
            <w14:solidFill>
              <w14:schemeClr w14:val="tx1"/>
            </w14:solidFill>
          </w14:textFill>
        </w:rPr>
      </w:pPr>
    </w:p>
    <w:p w14:paraId="7B609F65">
      <w:pPr>
        <w:pStyle w:val="40"/>
        <w:ind w:left="1680" w:right="1680" w:firstLine="420"/>
        <w:rPr>
          <w:rFonts w:ascii="Times New Roman" w:hAnsi="Times New Roman" w:cs="Times New Roman"/>
          <w:color w:val="000000" w:themeColor="text1"/>
          <w14:textFill>
            <w14:solidFill>
              <w14:schemeClr w14:val="tx1"/>
            </w14:solidFill>
          </w14:textFill>
        </w:rPr>
      </w:pPr>
    </w:p>
    <w:p w14:paraId="6EA756E3">
      <w:pPr>
        <w:adjustRightInd w:val="0"/>
        <w:snapToGrid w:val="0"/>
        <w:jc w:val="center"/>
        <w:outlineLvl w:val="0"/>
        <w:rPr>
          <w:rFonts w:ascii="Times New Roman" w:hAnsi="Times New Roman" w:cs="Times New Roman"/>
          <w:bCs/>
          <w:color w:val="000000" w:themeColor="text1"/>
          <w:sz w:val="72"/>
          <w:szCs w:val="72"/>
          <w14:textFill>
            <w14:solidFill>
              <w14:schemeClr w14:val="tx1"/>
            </w14:solidFill>
          </w14:textFill>
        </w:rPr>
      </w:pPr>
      <w:bookmarkStart w:id="0" w:name="_Toc22261"/>
      <w:bookmarkStart w:id="1" w:name="_Toc11810"/>
      <w:bookmarkStart w:id="2" w:name="_Toc144375208"/>
      <w:bookmarkStart w:id="3" w:name="_Toc144374972"/>
      <w:bookmarkStart w:id="4" w:name="_Toc146041485"/>
      <w:r>
        <w:rPr>
          <w:rFonts w:ascii="Times New Roman" w:hAnsi="Times New Roman" w:cs="Times New Roman"/>
          <w:bCs/>
          <w:color w:val="000000" w:themeColor="text1"/>
          <w:sz w:val="72"/>
          <w:szCs w:val="72"/>
          <w14:textFill>
            <w14:solidFill>
              <w14:schemeClr w14:val="tx1"/>
            </w14:solidFill>
          </w14:textFill>
        </w:rPr>
        <w:t>建设项目环境影响报告表</w:t>
      </w:r>
      <w:bookmarkEnd w:id="0"/>
      <w:bookmarkEnd w:id="1"/>
      <w:bookmarkEnd w:id="2"/>
      <w:bookmarkEnd w:id="3"/>
      <w:bookmarkEnd w:id="4"/>
    </w:p>
    <w:p w14:paraId="3CAD3974">
      <w:pPr>
        <w:ind w:firstLine="420"/>
        <w:rPr>
          <w:rFonts w:ascii="Times New Roman" w:hAnsi="Times New Roman" w:cs="Times New Roman"/>
          <w:color w:val="000000" w:themeColor="text1"/>
          <w14:textFill>
            <w14:solidFill>
              <w14:schemeClr w14:val="tx1"/>
            </w14:solidFill>
          </w14:textFill>
        </w:rPr>
      </w:pPr>
    </w:p>
    <w:p w14:paraId="7EADCD45">
      <w:pPr>
        <w:jc w:val="center"/>
        <w:rPr>
          <w:rFonts w:ascii="Times New Roman" w:hAnsi="Times New Roman" w:cs="Times New Roman"/>
          <w:color w:val="000000" w:themeColor="text1"/>
          <w:sz w:val="40"/>
          <w:szCs w:val="32"/>
          <w14:textFill>
            <w14:solidFill>
              <w14:schemeClr w14:val="tx1"/>
            </w14:solidFill>
          </w14:textFill>
        </w:rPr>
      </w:pPr>
      <w:r>
        <w:rPr>
          <w:rFonts w:ascii="Times New Roman" w:hAnsi="Times New Roman" w:cs="Times New Roman"/>
          <w:color w:val="000000" w:themeColor="text1"/>
          <w:sz w:val="40"/>
          <w:szCs w:val="32"/>
          <w14:textFill>
            <w14:solidFill>
              <w14:schemeClr w14:val="tx1"/>
            </w14:solidFill>
          </w14:textFill>
        </w:rPr>
        <w:t>（污染影响类）</w:t>
      </w:r>
    </w:p>
    <w:p w14:paraId="0BC46A1B">
      <w:pPr>
        <w:ind w:firstLine="420"/>
        <w:rPr>
          <w:rFonts w:ascii="Times New Roman" w:hAnsi="Times New Roman" w:cs="Times New Roman"/>
          <w:color w:val="000000" w:themeColor="text1"/>
          <w14:textFill>
            <w14:solidFill>
              <w14:schemeClr w14:val="tx1"/>
            </w14:solidFill>
          </w14:textFill>
        </w:rPr>
      </w:pPr>
    </w:p>
    <w:p w14:paraId="60B85D49">
      <w:pPr>
        <w:ind w:firstLine="420"/>
        <w:rPr>
          <w:rFonts w:ascii="Times New Roman" w:hAnsi="Times New Roman" w:cs="Times New Roman"/>
          <w:color w:val="000000" w:themeColor="text1"/>
          <w14:textFill>
            <w14:solidFill>
              <w14:schemeClr w14:val="tx1"/>
            </w14:solidFill>
          </w14:textFill>
        </w:rPr>
      </w:pPr>
    </w:p>
    <w:p w14:paraId="510183E6">
      <w:pPr>
        <w:ind w:firstLine="420"/>
        <w:rPr>
          <w:rFonts w:ascii="Times New Roman" w:hAnsi="Times New Roman" w:cs="Times New Roman"/>
          <w:color w:val="000000" w:themeColor="text1"/>
          <w14:textFill>
            <w14:solidFill>
              <w14:schemeClr w14:val="tx1"/>
            </w14:solidFill>
          </w14:textFill>
        </w:rPr>
      </w:pPr>
    </w:p>
    <w:p w14:paraId="47617E8B">
      <w:pPr>
        <w:jc w:val="center"/>
        <w:rPr>
          <w:rFonts w:ascii="Times New Roman" w:hAnsi="Times New Roman" w:cs="Times New Roman"/>
          <w:b/>
          <w:color w:val="000000" w:themeColor="text1"/>
          <w14:textFill>
            <w14:solidFill>
              <w14:schemeClr w14:val="tx1"/>
            </w14:solidFill>
          </w14:textFill>
        </w:rPr>
      </w:pPr>
      <w:r>
        <w:rPr>
          <w:rFonts w:hint="eastAsia" w:ascii="Times New Roman" w:hAnsi="Times New Roman" w:cs="Times New Roman"/>
          <w:b/>
          <w:color w:val="000000" w:themeColor="text1"/>
          <w:sz w:val="40"/>
          <w:szCs w:val="32"/>
          <w14:textFill>
            <w14:solidFill>
              <w14:schemeClr w14:val="tx1"/>
            </w14:solidFill>
          </w14:textFill>
        </w:rPr>
        <w:t>公示稿</w:t>
      </w:r>
    </w:p>
    <w:p w14:paraId="0E6066D5">
      <w:pPr>
        <w:ind w:firstLine="420"/>
        <w:rPr>
          <w:rFonts w:ascii="Times New Roman" w:hAnsi="Times New Roman" w:cs="Times New Roman"/>
          <w:color w:val="000000" w:themeColor="text1"/>
          <w14:textFill>
            <w14:solidFill>
              <w14:schemeClr w14:val="tx1"/>
            </w14:solidFill>
          </w14:textFill>
        </w:rPr>
      </w:pPr>
    </w:p>
    <w:p w14:paraId="5B37545F">
      <w:pPr>
        <w:ind w:firstLine="420"/>
        <w:rPr>
          <w:rFonts w:ascii="Times New Roman" w:hAnsi="Times New Roman" w:cs="Times New Roman"/>
          <w:color w:val="000000" w:themeColor="text1"/>
          <w14:textFill>
            <w14:solidFill>
              <w14:schemeClr w14:val="tx1"/>
            </w14:solidFill>
          </w14:textFill>
        </w:rPr>
      </w:pPr>
    </w:p>
    <w:p w14:paraId="07B77185">
      <w:pPr>
        <w:ind w:firstLine="420"/>
        <w:rPr>
          <w:rFonts w:ascii="Times New Roman" w:hAnsi="Times New Roman" w:cs="Times New Roman"/>
          <w:color w:val="000000" w:themeColor="text1"/>
          <w14:textFill>
            <w14:solidFill>
              <w14:schemeClr w14:val="tx1"/>
            </w14:solidFill>
          </w14:textFill>
        </w:rPr>
      </w:pPr>
    </w:p>
    <w:p w14:paraId="44262100">
      <w:pPr>
        <w:pStyle w:val="118"/>
        <w:rPr>
          <w:rFonts w:ascii="Times New Roman" w:hAnsi="Times New Roman" w:cs="Times New Roman"/>
          <w:color w:val="000000" w:themeColor="text1"/>
          <w14:textFill>
            <w14:solidFill>
              <w14:schemeClr w14:val="tx1"/>
            </w14:solidFill>
          </w14:textFill>
        </w:rPr>
      </w:pPr>
    </w:p>
    <w:p w14:paraId="7F829F7D">
      <w:pPr>
        <w:pStyle w:val="118"/>
        <w:rPr>
          <w:rFonts w:ascii="Times New Roman" w:hAnsi="Times New Roman" w:cs="Times New Roman"/>
          <w:color w:val="000000" w:themeColor="text1"/>
          <w14:textFill>
            <w14:solidFill>
              <w14:schemeClr w14:val="tx1"/>
            </w14:solidFill>
          </w14:textFill>
        </w:rPr>
      </w:pPr>
    </w:p>
    <w:p w14:paraId="78225977">
      <w:pPr>
        <w:ind w:firstLine="420"/>
        <w:rPr>
          <w:rFonts w:ascii="Times New Roman" w:hAnsi="Times New Roman" w:cs="Times New Roman"/>
          <w:color w:val="000000" w:themeColor="text1"/>
          <w14:textFill>
            <w14:solidFill>
              <w14:schemeClr w14:val="tx1"/>
            </w14:solidFill>
          </w14:textFill>
        </w:rPr>
      </w:pPr>
    </w:p>
    <w:p w14:paraId="4DE464AE">
      <w:pPr>
        <w:ind w:firstLine="420"/>
        <w:rPr>
          <w:rFonts w:ascii="Times New Roman" w:hAnsi="Times New Roman" w:cs="Times New Roman"/>
          <w:color w:val="000000" w:themeColor="text1"/>
          <w14:textFill>
            <w14:solidFill>
              <w14:schemeClr w14:val="tx1"/>
            </w14:solidFill>
          </w14:textFill>
        </w:rPr>
      </w:pPr>
    </w:p>
    <w:p w14:paraId="4CA3C62E">
      <w:pPr>
        <w:ind w:firstLine="420"/>
        <w:rPr>
          <w:rFonts w:ascii="Times New Roman" w:hAnsi="Times New Roman" w:cs="Times New Roman"/>
          <w:color w:val="000000" w:themeColor="text1"/>
          <w14:textFill>
            <w14:solidFill>
              <w14:schemeClr w14:val="tx1"/>
            </w14:solidFill>
          </w14:textFill>
        </w:rPr>
      </w:pPr>
    </w:p>
    <w:tbl>
      <w:tblPr>
        <w:tblStyle w:val="88"/>
        <w:tblW w:w="8755" w:type="dxa"/>
        <w:tblInd w:w="392" w:type="dxa"/>
        <w:tblLayout w:type="fixed"/>
        <w:tblCellMar>
          <w:top w:w="0" w:type="dxa"/>
          <w:left w:w="108" w:type="dxa"/>
          <w:bottom w:w="0" w:type="dxa"/>
          <w:right w:w="108" w:type="dxa"/>
        </w:tblCellMar>
      </w:tblPr>
      <w:tblGrid>
        <w:gridCol w:w="1951"/>
        <w:gridCol w:w="709"/>
        <w:gridCol w:w="6095"/>
      </w:tblGrid>
      <w:tr w14:paraId="3C370C52">
        <w:tblPrEx>
          <w:tblCellMar>
            <w:top w:w="0" w:type="dxa"/>
            <w:left w:w="108" w:type="dxa"/>
            <w:bottom w:w="0" w:type="dxa"/>
            <w:right w:w="108" w:type="dxa"/>
          </w:tblCellMar>
        </w:tblPrEx>
        <w:tc>
          <w:tcPr>
            <w:tcW w:w="1951" w:type="dxa"/>
          </w:tcPr>
          <w:p w14:paraId="2D21C3D2">
            <w:pPr>
              <w:spacing w:before="360" w:beforeLines="150"/>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项目名称：</w:t>
            </w:r>
          </w:p>
        </w:tc>
        <w:tc>
          <w:tcPr>
            <w:tcW w:w="6804" w:type="dxa"/>
            <w:gridSpan w:val="2"/>
            <w:tcBorders>
              <w:bottom w:val="single" w:color="auto" w:sz="4" w:space="0"/>
            </w:tcBorders>
          </w:tcPr>
          <w:p w14:paraId="54088278">
            <w:pPr>
              <w:spacing w:before="360" w:beforeLines="15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b/>
                <w:bCs/>
                <w:color w:val="000000" w:themeColor="text1"/>
                <w:sz w:val="32"/>
                <w:szCs w:val="32"/>
                <w14:textFill>
                  <w14:solidFill>
                    <w14:schemeClr w14:val="tx1"/>
                  </w14:solidFill>
                </w14:textFill>
              </w:rPr>
              <w:t>金鼓江作业区14号泊位后方储罐区工程</w:t>
            </w:r>
          </w:p>
        </w:tc>
      </w:tr>
      <w:tr w14:paraId="3F6EFD9C">
        <w:tblPrEx>
          <w:tblCellMar>
            <w:top w:w="0" w:type="dxa"/>
            <w:left w:w="108" w:type="dxa"/>
            <w:bottom w:w="0" w:type="dxa"/>
            <w:right w:w="108" w:type="dxa"/>
          </w:tblCellMar>
        </w:tblPrEx>
        <w:tc>
          <w:tcPr>
            <w:tcW w:w="2660" w:type="dxa"/>
            <w:gridSpan w:val="2"/>
          </w:tcPr>
          <w:p w14:paraId="69651EA2">
            <w:pPr>
              <w:spacing w:before="360" w:beforeLines="150"/>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建设单位（盖章）：</w:t>
            </w:r>
          </w:p>
        </w:tc>
        <w:tc>
          <w:tcPr>
            <w:tcW w:w="6095" w:type="dxa"/>
            <w:tcBorders>
              <w:top w:val="single" w:color="auto" w:sz="4" w:space="0"/>
              <w:bottom w:val="single" w:color="auto" w:sz="4" w:space="0"/>
            </w:tcBorders>
          </w:tcPr>
          <w:p w14:paraId="48E9540F">
            <w:pPr>
              <w:spacing w:before="360" w:beforeLines="15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b/>
                <w:bCs/>
                <w:color w:val="000000" w:themeColor="text1"/>
                <w:sz w:val="32"/>
                <w:szCs w:val="32"/>
                <w14:textFill>
                  <w14:solidFill>
                    <w14:schemeClr w14:val="tx1"/>
                  </w14:solidFill>
                </w14:textFill>
              </w:rPr>
              <w:t>广西自贸区逸海港务有限责任公司</w:t>
            </w:r>
          </w:p>
        </w:tc>
      </w:tr>
      <w:tr w14:paraId="68E02450">
        <w:tblPrEx>
          <w:tblCellMar>
            <w:top w:w="0" w:type="dxa"/>
            <w:left w:w="108" w:type="dxa"/>
            <w:bottom w:w="0" w:type="dxa"/>
            <w:right w:w="108" w:type="dxa"/>
          </w:tblCellMar>
        </w:tblPrEx>
        <w:tc>
          <w:tcPr>
            <w:tcW w:w="1951" w:type="dxa"/>
          </w:tcPr>
          <w:p w14:paraId="01B98C12">
            <w:pPr>
              <w:spacing w:before="360" w:beforeLines="150"/>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编制日期：</w:t>
            </w:r>
          </w:p>
        </w:tc>
        <w:tc>
          <w:tcPr>
            <w:tcW w:w="6804" w:type="dxa"/>
            <w:gridSpan w:val="2"/>
            <w:tcBorders>
              <w:bottom w:val="single" w:color="auto" w:sz="4" w:space="0"/>
            </w:tcBorders>
            <w:vAlign w:val="center"/>
          </w:tcPr>
          <w:p w14:paraId="5001B91D">
            <w:pPr>
              <w:spacing w:before="360" w:beforeLines="150"/>
              <w:ind w:firstLine="1767" w:firstLineChars="55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202</w:t>
            </w:r>
            <w:r>
              <w:rPr>
                <w:rFonts w:hint="eastAsia" w:ascii="Times New Roman" w:hAnsi="Times New Roman" w:cs="Times New Roman"/>
                <w:b/>
                <w:bCs/>
                <w:color w:val="000000" w:themeColor="text1"/>
                <w:sz w:val="32"/>
                <w:szCs w:val="32"/>
                <w14:textFill>
                  <w14:solidFill>
                    <w14:schemeClr w14:val="tx1"/>
                  </w14:solidFill>
                </w14:textFill>
              </w:rPr>
              <w:t>6</w:t>
            </w:r>
            <w:r>
              <w:rPr>
                <w:rFonts w:ascii="Times New Roman" w:hAnsi="Times New Roman" w:cs="Times New Roman"/>
                <w:b/>
                <w:bCs/>
                <w:color w:val="000000" w:themeColor="text1"/>
                <w:sz w:val="32"/>
                <w:szCs w:val="32"/>
                <w14:textFill>
                  <w14:solidFill>
                    <w14:schemeClr w14:val="tx1"/>
                  </w14:solidFill>
                </w14:textFill>
              </w:rPr>
              <w:t>年</w:t>
            </w:r>
            <w:r>
              <w:rPr>
                <w:rFonts w:hint="eastAsia" w:ascii="Times New Roman" w:hAnsi="Times New Roman" w:cs="Times New Roman"/>
                <w:b/>
                <w:bCs/>
                <w:color w:val="000000" w:themeColor="text1"/>
                <w:sz w:val="32"/>
                <w:szCs w:val="32"/>
                <w14:textFill>
                  <w14:solidFill>
                    <w14:schemeClr w14:val="tx1"/>
                  </w14:solidFill>
                </w14:textFill>
              </w:rPr>
              <w:t>3</w:t>
            </w:r>
            <w:r>
              <w:rPr>
                <w:rFonts w:ascii="Times New Roman" w:hAnsi="Times New Roman" w:cs="Times New Roman"/>
                <w:b/>
                <w:bCs/>
                <w:color w:val="000000" w:themeColor="text1"/>
                <w:sz w:val="32"/>
                <w:szCs w:val="32"/>
                <w14:textFill>
                  <w14:solidFill>
                    <w14:schemeClr w14:val="tx1"/>
                  </w14:solidFill>
                </w14:textFill>
              </w:rPr>
              <w:t>月</w:t>
            </w:r>
          </w:p>
        </w:tc>
      </w:tr>
    </w:tbl>
    <w:p w14:paraId="13AE769E">
      <w:pPr>
        <w:ind w:firstLine="880"/>
        <w:rPr>
          <w:rFonts w:ascii="Times New Roman" w:hAnsi="Times New Roman" w:cs="Times New Roman"/>
          <w:color w:val="000000" w:themeColor="text1"/>
          <w:sz w:val="44"/>
          <w:szCs w:val="44"/>
          <w14:textFill>
            <w14:solidFill>
              <w14:schemeClr w14:val="tx1"/>
            </w14:solidFill>
          </w14:textFill>
        </w:rPr>
      </w:pPr>
    </w:p>
    <w:p w14:paraId="1EE3F172">
      <w:pPr>
        <w:adjustRightInd w:val="0"/>
        <w:snapToGrid w:val="0"/>
        <w:spacing w:line="288" w:lineRule="auto"/>
        <w:ind w:firstLine="720"/>
        <w:rPr>
          <w:rFonts w:ascii="Times New Roman" w:hAnsi="Times New Roman" w:cs="Times New Roman"/>
          <w:color w:val="000000" w:themeColor="text1"/>
          <w:sz w:val="36"/>
          <w:szCs w:val="36"/>
          <w14:textFill>
            <w14:solidFill>
              <w14:schemeClr w14:val="tx1"/>
            </w14:solidFill>
          </w14:textFill>
        </w:rPr>
      </w:pPr>
      <w:bookmarkStart w:id="5" w:name="_Hlk57884087"/>
    </w:p>
    <w:p w14:paraId="4C373E20">
      <w:pPr>
        <w:adjustRightInd w:val="0"/>
        <w:snapToGrid w:val="0"/>
        <w:spacing w:line="288" w:lineRule="auto"/>
        <w:ind w:firstLine="720"/>
        <w:rPr>
          <w:rFonts w:ascii="Times New Roman" w:hAnsi="Times New Roman" w:cs="Times New Roman"/>
          <w:color w:val="000000" w:themeColor="text1"/>
          <w:sz w:val="36"/>
          <w:szCs w:val="36"/>
          <w14:textFill>
            <w14:solidFill>
              <w14:schemeClr w14:val="tx1"/>
            </w14:solidFill>
          </w14:textFill>
        </w:rPr>
      </w:pPr>
    </w:p>
    <w:p w14:paraId="4E94D319">
      <w:pPr>
        <w:adjustRightInd w:val="0"/>
        <w:snapToGrid w:val="0"/>
        <w:spacing w:line="288" w:lineRule="auto"/>
        <w:ind w:firstLine="720"/>
        <w:rPr>
          <w:rFonts w:ascii="Times New Roman" w:hAnsi="Times New Roman" w:cs="Times New Roman"/>
          <w:color w:val="000000" w:themeColor="text1"/>
          <w:sz w:val="36"/>
          <w:szCs w:val="36"/>
          <w14:textFill>
            <w14:solidFill>
              <w14:schemeClr w14:val="tx1"/>
            </w14:solidFill>
          </w14:textFill>
        </w:rPr>
      </w:pPr>
    </w:p>
    <w:bookmarkEnd w:id="5"/>
    <w:p w14:paraId="10FCC061">
      <w:pPr>
        <w:adjustRightInd w:val="0"/>
        <w:snapToGrid w:val="0"/>
        <w:spacing w:line="480" w:lineRule="auto"/>
        <w:ind w:firstLine="723"/>
        <w:jc w:val="center"/>
        <w:rPr>
          <w:rFonts w:ascii="Times New Roman" w:hAnsi="Times New Roman" w:cs="Times New Roman"/>
          <w:b/>
          <w:bCs/>
          <w:color w:val="000000" w:themeColor="text1"/>
          <w:sz w:val="36"/>
          <w:szCs w:val="36"/>
          <w14:textFill>
            <w14:solidFill>
              <w14:schemeClr w14:val="tx1"/>
            </w14:solidFill>
          </w14:textFill>
        </w:rPr>
        <w:sectPr>
          <w:footerReference r:id="rId5" w:type="first"/>
          <w:headerReference r:id="rId3" w:type="default"/>
          <w:footerReference r:id="rId4" w:type="default"/>
          <w:pgSz w:w="11906" w:h="16838"/>
          <w:pgMar w:top="1417" w:right="1417" w:bottom="1417" w:left="1417" w:header="851" w:footer="1077" w:gutter="0"/>
          <w:cols w:space="720" w:num="1"/>
          <w:docGrid w:linePitch="312" w:charSpace="0"/>
        </w:sectPr>
      </w:pPr>
      <w:r>
        <w:rPr>
          <w:rFonts w:ascii="Times New Roman" w:hAnsi="Times New Roman" w:cs="Times New Roman"/>
          <w:b/>
          <w:bCs/>
          <w:color w:val="000000" w:themeColor="text1"/>
          <w:sz w:val="36"/>
          <w:szCs w:val="36"/>
          <w14:textFill>
            <w14:solidFill>
              <w14:schemeClr w14:val="tx1"/>
            </w14:solidFill>
          </w14:textFill>
        </w:rPr>
        <w:t>中华人民共和国生态环境部制</w:t>
      </w:r>
    </w:p>
    <w:p w14:paraId="518E05B5">
      <w:pPr>
        <w:pStyle w:val="34"/>
        <w:sectPr>
          <w:pgSz w:w="11906" w:h="16838"/>
          <w:pgMar w:top="1417" w:right="1417" w:bottom="1417" w:left="1417" w:header="851" w:footer="1077" w:gutter="0"/>
          <w:cols w:space="720" w:num="1"/>
          <w:docGrid w:linePitch="312" w:charSpace="0"/>
        </w:sectPr>
      </w:pP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0D9B5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288" w:type="dxa"/>
          </w:tcPr>
          <w:p w14:paraId="0B424D10">
            <w:pPr>
              <w:jc w:val="center"/>
              <w:rPr>
                <w:rFonts w:ascii="Times New Roman" w:hAnsi="Times New Roman" w:cs="Times New Roman"/>
                <w:b/>
                <w:bCs/>
                <w:color w:val="FF0000"/>
                <w:sz w:val="32"/>
                <w:szCs w:val="32"/>
              </w:rPr>
            </w:pPr>
            <w:r>
              <mc:AlternateContent>
                <mc:Choice Requires="wps">
                  <w:drawing>
                    <wp:anchor distT="0" distB="0" distL="114300" distR="114300" simplePos="0" relativeHeight="251780096" behindDoc="0" locked="0" layoutInCell="1" allowOverlap="1">
                      <wp:simplePos x="0" y="0"/>
                      <wp:positionH relativeFrom="column">
                        <wp:posOffset>3144520</wp:posOffset>
                      </wp:positionH>
                      <wp:positionV relativeFrom="paragraph">
                        <wp:posOffset>1577340</wp:posOffset>
                      </wp:positionV>
                      <wp:extent cx="774065" cy="3937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774065" cy="393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13DCAE">
                                  <w:pP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液硫、硫酸、液碱罐区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6pt;margin-top:124.2pt;height:31pt;width:60.95pt;z-index:251780096;mso-width-relative:page;mso-height-relative:page;" filled="f" stroked="f" coordsize="21600,21600" o:gfxdata="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BuTMB3QAAAAsBAAAPAAAAAAAAAAEAIAAAACIA&#10;AABkcnMvZG93bnJldi54bWxQSwECFAAUAAAACACHTuJATlHLSz0CAABpBAAADgAAAAAAAAABACAA&#10;AAAsAQAAZHJzL2Uyb0RvYy54bWxQSwUGAAAAAAYABgBZAQAA2wUAAAAA&#10;">
                      <v:fill on="f" focussize="0,0"/>
                      <v:stroke on="f" weight="0.5pt"/>
                      <v:imagedata o:title=""/>
                      <o:lock v:ext="edit" aspectratio="f"/>
                      <v:textbox>
                        <w:txbxContent>
                          <w:p w14:paraId="3613DCAE">
                            <w:pP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液硫、硫酸、液碱罐区</w:t>
                            </w:r>
                          </w:p>
                        </w:txbxContent>
                      </v:textbox>
                    </v:shape>
                  </w:pict>
                </mc:Fallback>
              </mc:AlternateContent>
            </w:r>
            <w:r>
              <mc:AlternateContent>
                <mc:Choice Requires="wps">
                  <w:drawing>
                    <wp:anchor distT="0" distB="0" distL="114300" distR="114300" simplePos="0" relativeHeight="251779072" behindDoc="0" locked="0" layoutInCell="1" allowOverlap="1">
                      <wp:simplePos x="0" y="0"/>
                      <wp:positionH relativeFrom="column">
                        <wp:posOffset>1636395</wp:posOffset>
                      </wp:positionH>
                      <wp:positionV relativeFrom="paragraph">
                        <wp:posOffset>1941195</wp:posOffset>
                      </wp:positionV>
                      <wp:extent cx="1034415" cy="283210"/>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1034415"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1ED1A2">
                                  <w:pPr>
                                    <w:jc w:val="cente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苯酚罐区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85pt;margin-top:152.85pt;height:22.3pt;width:81.45pt;z-index:251779072;mso-width-relative:page;mso-height-relative:page;" filled="f" stroked="f" coordsize="21600,21600" o:gfxdata="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Z+7X9sAAAALAQAADwAAAAAAAAABACAAAAAiAAAA&#10;ZHJzL2Rvd25yZXYueG1sUEsBAhQAFAAAAAgAh07iQCRqQ1g9AgAAagQAAA4AAAAAAAAAAQAgAAAA&#10;KgEAAGRycy9lMm9Eb2MueG1sUEsFBgAAAAAGAAYAWQEAANkFAAAAAA==&#10;">
                      <v:fill on="f" focussize="0,0"/>
                      <v:stroke on="f" weight="0.5pt"/>
                      <v:imagedata o:title=""/>
                      <o:lock v:ext="edit" aspectratio="f"/>
                      <v:textbox>
                        <w:txbxContent>
                          <w:p w14:paraId="3D1ED1A2">
                            <w:pPr>
                              <w:jc w:val="cente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苯酚罐区</w:t>
                            </w:r>
                          </w:p>
                        </w:txbxContent>
                      </v:textbox>
                    </v:shape>
                  </w:pict>
                </mc:Fallback>
              </mc:AlternateContent>
            </w:r>
            <w:r>
              <mc:AlternateContent>
                <mc:Choice Requires="wps">
                  <w:drawing>
                    <wp:anchor distT="0" distB="0" distL="114300" distR="114300" simplePos="0" relativeHeight="251778048" behindDoc="0" locked="0" layoutInCell="1" allowOverlap="1">
                      <wp:simplePos x="0" y="0"/>
                      <wp:positionH relativeFrom="column">
                        <wp:posOffset>3188335</wp:posOffset>
                      </wp:positionH>
                      <wp:positionV relativeFrom="paragraph">
                        <wp:posOffset>2185035</wp:posOffset>
                      </wp:positionV>
                      <wp:extent cx="1034415" cy="28321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1034415"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145200">
                                  <w:pP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己内酰胺罐区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05pt;margin-top:172.05pt;height:22.3pt;width:81.45pt;z-index:251778048;mso-width-relative:page;mso-height-relative:page;" filled="f" stroked="f" coordsize="21600,21600" o:gfxdata="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&#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Ghrm9wAAAALAQAADwAAAAAAAAABACAAAAAiAAAA&#10;ZHJzL2Rvd25yZXYueG1sUEsBAhQAFAAAAAgAh07iQKun0UY8AgAAagQAAA4AAAAAAAAAAQAgAAAA&#10;KwEAAGRycy9lMm9Eb2MueG1sUEsFBgAAAAAGAAYAWQEAANkFAAAAAA==&#10;">
                      <v:fill on="f" focussize="0,0"/>
                      <v:stroke on="f" weight="0.5pt"/>
                      <v:imagedata o:title=""/>
                      <o:lock v:ext="edit" aspectratio="f"/>
                      <v:textbox>
                        <w:txbxContent>
                          <w:p w14:paraId="3A145200">
                            <w:pP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己内酰胺罐区</w:t>
                            </w:r>
                          </w:p>
                        </w:txbxContent>
                      </v:textbox>
                    </v:shape>
                  </w:pict>
                </mc:Fallback>
              </mc:AlternateContent>
            </w:r>
            <w:r>
              <mc:AlternateContent>
                <mc:Choice Requires="wps">
                  <w:drawing>
                    <wp:anchor distT="0" distB="0" distL="114300" distR="114300" simplePos="0" relativeHeight="251777024" behindDoc="0" locked="0" layoutInCell="1" allowOverlap="1">
                      <wp:simplePos x="0" y="0"/>
                      <wp:positionH relativeFrom="column">
                        <wp:posOffset>4590415</wp:posOffset>
                      </wp:positionH>
                      <wp:positionV relativeFrom="paragraph">
                        <wp:posOffset>2343785</wp:posOffset>
                      </wp:positionV>
                      <wp:extent cx="914400" cy="283210"/>
                      <wp:effectExtent l="0" t="0" r="0" b="0"/>
                      <wp:wrapNone/>
                      <wp:docPr id="27" name="文本框 27"/>
                      <wp:cNvGraphicFramePr/>
                      <a:graphic xmlns:a="http://schemas.openxmlformats.org/drawingml/2006/main">
                        <a:graphicData uri="http://schemas.microsoft.com/office/word/2010/wordprocessingShape">
                          <wps:wsp>
                            <wps:cNvSpPr txBox="1"/>
                            <wps:spPr>
                              <a:xfrm>
                                <a:off x="5661025" y="3324860"/>
                                <a:ext cx="914400"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9D9448">
                                  <w:pP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汽车装卸区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1.45pt;margin-top:184.55pt;height:22.3pt;width:72pt;z-index:251777024;mso-width-relative:page;mso-height-relative:page;" filled="f" stroked="f" coordsize="21600,21600" o:gfxdata="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7HShNwAAAALAQAADwAAAAAA&#10;AAABACAAAAAiAAAAZHJzL2Rvd25yZXYueG1sUEsBAhQAFAAAAAgAh07iQNCO1yNIAgAAcwQAAA4A&#10;AAAAAAAAAQAgAAAAKwEAAGRycy9lMm9Eb2MueG1sUEsFBgAAAAAGAAYAWQEAAOUFAAAAAA==&#10;">
                      <v:fill on="f" focussize="0,0"/>
                      <v:stroke on="f" weight="0.5pt"/>
                      <v:imagedata o:title=""/>
                      <o:lock v:ext="edit" aspectratio="f"/>
                      <v:textbox>
                        <w:txbxContent>
                          <w:p w14:paraId="4B9D9448">
                            <w:pP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汽车装卸区</w:t>
                            </w:r>
                          </w:p>
                        </w:txbxContent>
                      </v:textbox>
                    </v:shape>
                  </w:pict>
                </mc:Fallback>
              </mc:AlternateContent>
            </w:r>
            <w:r>
              <mc:AlternateContent>
                <mc:Choice Requires="wps">
                  <w:drawing>
                    <wp:anchor distT="0" distB="0" distL="114300" distR="114300" simplePos="0" relativeHeight="251772928" behindDoc="0" locked="0" layoutInCell="1" allowOverlap="1">
                      <wp:simplePos x="0" y="0"/>
                      <wp:positionH relativeFrom="column">
                        <wp:posOffset>1747520</wp:posOffset>
                      </wp:positionH>
                      <wp:positionV relativeFrom="paragraph">
                        <wp:posOffset>1878330</wp:posOffset>
                      </wp:positionV>
                      <wp:extent cx="867410" cy="360680"/>
                      <wp:effectExtent l="9525" t="9525" r="18415" b="10795"/>
                      <wp:wrapNone/>
                      <wp:docPr id="151" name="任意多边形 151"/>
                      <wp:cNvGraphicFramePr/>
                      <a:graphic xmlns:a="http://schemas.openxmlformats.org/drawingml/2006/main">
                        <a:graphicData uri="http://schemas.microsoft.com/office/word/2010/wordprocessingShape">
                          <wps:wsp>
                            <wps:cNvSpPr/>
                            <wps:spPr>
                              <a:xfrm>
                                <a:off x="0" y="0"/>
                                <a:ext cx="867410" cy="360680"/>
                              </a:xfrm>
                              <a:custGeom>
                                <a:avLst/>
                                <a:gdLst>
                                  <a:gd name="connsiteX0" fmla="*/ 348 w 1366"/>
                                  <a:gd name="connsiteY0" fmla="*/ 568 h 568"/>
                                  <a:gd name="connsiteX1" fmla="*/ 1366 w 1366"/>
                                  <a:gd name="connsiteY1" fmla="*/ 276 h 568"/>
                                  <a:gd name="connsiteX2" fmla="*/ 979 w 1366"/>
                                  <a:gd name="connsiteY2" fmla="*/ 0 h 568"/>
                                  <a:gd name="connsiteX3" fmla="*/ 0 w 1366"/>
                                  <a:gd name="connsiteY3" fmla="*/ 229 h 568"/>
                                  <a:gd name="connsiteX4" fmla="*/ 348 w 1366"/>
                                  <a:gd name="connsiteY4" fmla="*/ 568 h 5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66" h="568">
                                    <a:moveTo>
                                      <a:pt x="348" y="568"/>
                                    </a:moveTo>
                                    <a:lnTo>
                                      <a:pt x="1366" y="276"/>
                                    </a:lnTo>
                                    <a:lnTo>
                                      <a:pt x="979" y="0"/>
                                    </a:lnTo>
                                    <a:lnTo>
                                      <a:pt x="0" y="229"/>
                                    </a:lnTo>
                                    <a:lnTo>
                                      <a:pt x="348" y="568"/>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2638D10">
                                  <w:pPr>
                                    <w:jc w:val="center"/>
                                  </w:pPr>
                                </w:p>
                              </w:txbxContent>
                            </wps:txbx>
                            <wps:bodyPr/>
                          </wps:wsp>
                        </a:graphicData>
                      </a:graphic>
                    </wp:anchor>
                  </w:drawing>
                </mc:Choice>
                <mc:Fallback>
                  <w:pict>
                    <v:shape id="_x0000_s1026" o:spid="_x0000_s1026" o:spt="100" style="position:absolute;left:0pt;margin-left:137.6pt;margin-top:147.9pt;height:28.4pt;width:68.3pt;z-index:251772928;mso-width-relative:page;mso-height-relative:page;" filled="f" stroked="t" coordsize="1366,568" o:gfxdata="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" path="m348,568l1366,276,979,0,0,229,348,568xe">
                      <v:path textboxrect="0,0,1366,568" o:connectlocs="220980,360680;867410,175260;621665,0;0,145415;220980,360680" o:connectangles="0,0,0,0,0"/>
                      <v:fill on="f" focussize="0,0"/>
                      <v:stroke weight="1.5pt" color="#FF0000 [2404]" joinstyle="round"/>
                      <v:imagedata o:title=""/>
                      <o:lock v:ext="edit" aspectratio="f"/>
                      <v:textbox>
                        <w:txbxContent>
                          <w:p w14:paraId="42638D10">
                            <w:pPr>
                              <w:jc w:val="center"/>
                            </w:pPr>
                          </w:p>
                        </w:txbxContent>
                      </v:textbox>
                    </v:shape>
                  </w:pict>
                </mc:Fallback>
              </mc:AlternateContent>
            </w:r>
            <w:r>
              <w:rPr>
                <w:rFonts w:hint="eastAsia" w:ascii="Times New Roman" w:hAnsi="Times New Roman"/>
                <w:color w:val="000000" w:themeColor="text1"/>
                <w14:textFill>
                  <w14:solidFill>
                    <w14:schemeClr w14:val="tx1"/>
                  </w14:solidFill>
                </w14:textFill>
              </w:rPr>
              <w:drawing>
                <wp:inline distT="0" distB="0" distL="114300" distR="114300">
                  <wp:extent cx="5698490" cy="3798570"/>
                  <wp:effectExtent l="0" t="0" r="16510" b="11430"/>
                  <wp:docPr id="6" name="图片 6" descr="DJI_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JI_0559"/>
                          <pic:cNvPicPr>
                            <a:picLocks noChangeAspect="1"/>
                          </pic:cNvPicPr>
                        </pic:nvPicPr>
                        <pic:blipFill>
                          <a:blip r:embed="rId14"/>
                          <a:stretch>
                            <a:fillRect/>
                          </a:stretch>
                        </pic:blipFill>
                        <pic:spPr>
                          <a:xfrm>
                            <a:off x="0" y="0"/>
                            <a:ext cx="5698490" cy="3798570"/>
                          </a:xfrm>
                          <a:prstGeom prst="rect">
                            <a:avLst/>
                          </a:prstGeom>
                        </pic:spPr>
                      </pic:pic>
                    </a:graphicData>
                  </a:graphic>
                </wp:inline>
              </w:drawing>
            </w:r>
            <w:r>
              <mc:AlternateContent>
                <mc:Choice Requires="wps">
                  <w:drawing>
                    <wp:anchor distT="0" distB="0" distL="114300" distR="114300" simplePos="0" relativeHeight="251769856" behindDoc="0" locked="0" layoutInCell="1" allowOverlap="1">
                      <wp:simplePos x="0" y="0"/>
                      <wp:positionH relativeFrom="column">
                        <wp:posOffset>3161030</wp:posOffset>
                      </wp:positionH>
                      <wp:positionV relativeFrom="paragraph">
                        <wp:posOffset>2080895</wp:posOffset>
                      </wp:positionV>
                      <wp:extent cx="1073150" cy="452755"/>
                      <wp:effectExtent l="9525" t="9525" r="22225" b="13970"/>
                      <wp:wrapNone/>
                      <wp:docPr id="129" name="任意多边形 129"/>
                      <wp:cNvGraphicFramePr/>
                      <a:graphic xmlns:a="http://schemas.openxmlformats.org/drawingml/2006/main">
                        <a:graphicData uri="http://schemas.microsoft.com/office/word/2010/wordprocessingShape">
                          <wps:wsp>
                            <wps:cNvSpPr/>
                            <wps:spPr>
                              <a:xfrm>
                                <a:off x="0" y="0"/>
                                <a:ext cx="1073150" cy="452755"/>
                              </a:xfrm>
                              <a:custGeom>
                                <a:avLst/>
                                <a:gdLst>
                                  <a:gd name="connsiteX0" fmla="*/ 650 w 1690"/>
                                  <a:gd name="connsiteY0" fmla="*/ 713 h 713"/>
                                  <a:gd name="connsiteX1" fmla="*/ 1690 w 1690"/>
                                  <a:gd name="connsiteY1" fmla="*/ 331 h 713"/>
                                  <a:gd name="connsiteX2" fmla="*/ 995 w 1690"/>
                                  <a:gd name="connsiteY2" fmla="*/ 0 h 713"/>
                                  <a:gd name="connsiteX3" fmla="*/ 0 w 1690"/>
                                  <a:gd name="connsiteY3" fmla="*/ 300 h 713"/>
                                  <a:gd name="connsiteX4" fmla="*/ 650 w 1690"/>
                                  <a:gd name="connsiteY4" fmla="*/ 713 h 7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90" h="713">
                                    <a:moveTo>
                                      <a:pt x="650" y="713"/>
                                    </a:moveTo>
                                    <a:lnTo>
                                      <a:pt x="1690" y="331"/>
                                    </a:lnTo>
                                    <a:lnTo>
                                      <a:pt x="995" y="0"/>
                                    </a:lnTo>
                                    <a:lnTo>
                                      <a:pt x="0" y="300"/>
                                    </a:lnTo>
                                    <a:lnTo>
                                      <a:pt x="650" y="713"/>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0D95A76">
                                  <w:pPr>
                                    <w:jc w:val="center"/>
                                  </w:pPr>
                                </w:p>
                              </w:txbxContent>
                            </wps:txbx>
                            <wps:bodyPr/>
                          </wps:wsp>
                        </a:graphicData>
                      </a:graphic>
                    </wp:anchor>
                  </w:drawing>
                </mc:Choice>
                <mc:Fallback>
                  <w:pict>
                    <v:shape id="_x0000_s1026" o:spid="_x0000_s1026" o:spt="100" style="position:absolute;left:0pt;margin-left:248.9pt;margin-top:163.85pt;height:35.65pt;width:84.5pt;z-index:251769856;mso-width-relative:page;mso-height-relative:page;" filled="f" stroked="t" coordsize="1690,713" o:gfxdata="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" path="m650,713l1690,331,995,0,0,300,650,713xe">
                      <v:path textboxrect="0,0,1690,713" o:connectlocs="412750,452755;1073150,210185;631825,0;0,190500;412750,452755" o:connectangles="0,0,0,0,0"/>
                      <v:fill on="f" focussize="0,0"/>
                      <v:stroke weight="1.5pt" color="#FF0000 [2404]" joinstyle="round"/>
                      <v:imagedata o:title=""/>
                      <o:lock v:ext="edit" aspectratio="f"/>
                      <v:textbox>
                        <w:txbxContent>
                          <w:p w14:paraId="00D95A76">
                            <w:pPr>
                              <w:jc w:val="center"/>
                            </w:pP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2999740</wp:posOffset>
                      </wp:positionH>
                      <wp:positionV relativeFrom="paragraph">
                        <wp:posOffset>1544320</wp:posOffset>
                      </wp:positionV>
                      <wp:extent cx="1141095" cy="454025"/>
                      <wp:effectExtent l="9525" t="9525" r="11430" b="12700"/>
                      <wp:wrapNone/>
                      <wp:docPr id="16" name="任意多边形 16"/>
                      <wp:cNvGraphicFramePr/>
                      <a:graphic xmlns:a="http://schemas.openxmlformats.org/drawingml/2006/main">
                        <a:graphicData uri="http://schemas.microsoft.com/office/word/2010/wordprocessingShape">
                          <wps:wsp>
                            <wps:cNvSpPr/>
                            <wps:spPr>
                              <a:xfrm>
                                <a:off x="3899535" y="2450465"/>
                                <a:ext cx="1141095" cy="454025"/>
                              </a:xfrm>
                              <a:custGeom>
                                <a:avLst/>
                                <a:gdLst>
                                  <a:gd name="connsiteX0" fmla="*/ 1797 w 1797"/>
                                  <a:gd name="connsiteY0" fmla="*/ 528 h 715"/>
                                  <a:gd name="connsiteX1" fmla="*/ 529 w 1797"/>
                                  <a:gd name="connsiteY1" fmla="*/ 0 h 715"/>
                                  <a:gd name="connsiteX2" fmla="*/ 0 w 1797"/>
                                  <a:gd name="connsiteY2" fmla="*/ 133 h 715"/>
                                  <a:gd name="connsiteX3" fmla="*/ 1227 w 1797"/>
                                  <a:gd name="connsiteY3" fmla="*/ 715 h 715"/>
                                  <a:gd name="connsiteX4" fmla="*/ 1797 w 1797"/>
                                  <a:gd name="connsiteY4" fmla="*/ 528 h 7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97" h="715">
                                    <a:moveTo>
                                      <a:pt x="1797" y="528"/>
                                    </a:moveTo>
                                    <a:lnTo>
                                      <a:pt x="529" y="0"/>
                                    </a:lnTo>
                                    <a:lnTo>
                                      <a:pt x="0" y="133"/>
                                    </a:lnTo>
                                    <a:lnTo>
                                      <a:pt x="1227" y="715"/>
                                    </a:lnTo>
                                    <a:lnTo>
                                      <a:pt x="1797" y="528"/>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6.2pt;margin-top:121.6pt;height:35.75pt;width:89.85pt;z-index:251681792;mso-width-relative:page;mso-height-relative:page;" filled="f" stroked="t" coordsize="1797,715" o:gfxdata="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H+l4KfZAAAACwEAAA8AAAAAAAAAAQAgAAAAIgAAAGRycy9kb3ducmV2LnhtbFBLAQIUABQAAAAI&#10;AIdO4kCs9ULCCQMAAPoHAAAOAAAAAAAAAAEAIAAAACgBAABkcnMvZTJvRG9jLnhtbFBLBQYAAAAA&#10;BgAGAFkBAACjBgAAAAA=&#10;" path="m1797,528l529,0,0,133,1227,715,1797,528xe">
                      <v:path o:connectlocs="1141095,335280;335915,0;0,84455;779145,454025;1141095,335280" o:connectangles="0,0,0,0,0"/>
                      <v:fill on="f" focussize="0,0"/>
                      <v:stroke weight="1.5pt" color="#FF0000 [2404]" joinstyle="round"/>
                      <v:imagedata o:title=""/>
                      <o:lock v:ext="edit" aspectratio="f"/>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4500880</wp:posOffset>
                      </wp:positionH>
                      <wp:positionV relativeFrom="paragraph">
                        <wp:posOffset>2222500</wp:posOffset>
                      </wp:positionV>
                      <wp:extent cx="958215" cy="476250"/>
                      <wp:effectExtent l="9525" t="9525" r="22860" b="9525"/>
                      <wp:wrapNone/>
                      <wp:docPr id="14" name="任意多边形 14"/>
                      <wp:cNvGraphicFramePr/>
                      <a:graphic xmlns:a="http://schemas.openxmlformats.org/drawingml/2006/main">
                        <a:graphicData uri="http://schemas.microsoft.com/office/word/2010/wordprocessingShape">
                          <wps:wsp>
                            <wps:cNvSpPr/>
                            <wps:spPr>
                              <a:xfrm>
                                <a:off x="5400675" y="3128645"/>
                                <a:ext cx="958215" cy="476250"/>
                              </a:xfrm>
                              <a:custGeom>
                                <a:avLst/>
                                <a:gdLst>
                                  <a:gd name="connisteX0" fmla="*/ 515620 w 958215"/>
                                  <a:gd name="connsiteY0" fmla="*/ 476250 h 476250"/>
                                  <a:gd name="connisteX1" fmla="*/ 958215 w 958215"/>
                                  <a:gd name="connsiteY1" fmla="*/ 224155 h 476250"/>
                                  <a:gd name="connisteX2" fmla="*/ 476250 w 958215"/>
                                  <a:gd name="connsiteY2" fmla="*/ 0 h 476250"/>
                                  <a:gd name="connisteX3" fmla="*/ 0 w 958215"/>
                                  <a:gd name="connsiteY3" fmla="*/ 224155 h 476250"/>
                                  <a:gd name="connisteX4" fmla="*/ 515620 w 958215"/>
                                  <a:gd name="connsiteY4" fmla="*/ 476250 h 476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58215" h="476250">
                                    <a:moveTo>
                                      <a:pt x="515620" y="476250"/>
                                    </a:moveTo>
                                    <a:lnTo>
                                      <a:pt x="958215" y="224155"/>
                                    </a:lnTo>
                                    <a:lnTo>
                                      <a:pt x="476250" y="0"/>
                                    </a:lnTo>
                                    <a:lnTo>
                                      <a:pt x="0" y="224155"/>
                                    </a:lnTo>
                                    <a:lnTo>
                                      <a:pt x="515620" y="476250"/>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54.4pt;margin-top:175pt;height:37.5pt;width:75.45pt;z-index:251680768;mso-width-relative:page;mso-height-relative:page;" filled="f" stroked="t" coordsize="958215,476250" o:gfxdata="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BOgySzbAAAACwEAAA8AAAAAAAAAAQAgAAAAIgAAAGRycy9kb3ducmV2LnhtbFBLAQIUABQAAAAI&#10;AIdO4kBXwGuqBwMAAEEIAAAOAAAAAAAAAAEAIAAAACoBAABkcnMvZTJvRG9jLnhtbFBLBQYAAAAA&#10;BgAGAFkBAACjBgAAAAA=&#10;" path="m515620,476250l958215,224155,476250,0,0,224155,515620,476250xe">
                      <v:path o:connectlocs="515620,476250;958215,224155;476250,0;0,224155;515620,476250" o:connectangles="0,0,0,0,0"/>
                      <v:fill on="f" focussize="0,0"/>
                      <v:stroke weight="1.5pt" color="#FF0000 [2404]" joinstyle="round"/>
                      <v:imagedata o:title=""/>
                      <o:lock v:ext="edit" aspectratio="f"/>
                    </v:shape>
                  </w:pict>
                </mc:Fallback>
              </mc:AlternateContent>
            </w:r>
          </w:p>
        </w:tc>
      </w:tr>
      <w:tr w14:paraId="61775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288" w:type="dxa"/>
          </w:tcPr>
          <w:p w14:paraId="1DAC0F3A">
            <w:pPr>
              <w:jc w:val="center"/>
              <w:rPr>
                <w:rFonts w:ascii="Times New Roman" w:hAnsi="Times New Roman" w:cs="Times New Roman"/>
                <w:b/>
                <w:bCs/>
                <w:color w:val="FF0000"/>
                <w:sz w:val="32"/>
                <w:szCs w:val="32"/>
              </w:rPr>
            </w:pPr>
            <w:r>
              <w:rPr>
                <w:rFonts w:hint="eastAsia" w:ascii="Times New Roman" w:hAnsi="Times New Roman"/>
                <w:color w:val="000000" w:themeColor="text1"/>
                <w14:textFill>
                  <w14:solidFill>
                    <w14:schemeClr w14:val="tx1"/>
                  </w14:solidFill>
                </w14:textFill>
              </w:rPr>
              <w:t>项目俯瞰视角</w:t>
            </w:r>
          </w:p>
        </w:tc>
      </w:tr>
      <w:tr w14:paraId="0F13C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14:paraId="4905B2D6">
            <w:pPr>
              <w:jc w:val="center"/>
              <w:rPr>
                <w:rFonts w:ascii="Times New Roman" w:hAnsi="Times New Roman" w:cs="Times New Roman"/>
                <w:b/>
                <w:bCs/>
                <w:color w:val="FF0000"/>
                <w:sz w:val="32"/>
                <w:szCs w:val="32"/>
              </w:rPr>
            </w:pPr>
            <w:r>
              <mc:AlternateContent>
                <mc:Choice Requires="wps">
                  <w:drawing>
                    <wp:anchor distT="0" distB="0" distL="114300" distR="114300" simplePos="0" relativeHeight="251784192" behindDoc="0" locked="0" layoutInCell="1" allowOverlap="1">
                      <wp:simplePos x="0" y="0"/>
                      <wp:positionH relativeFrom="column">
                        <wp:posOffset>3234055</wp:posOffset>
                      </wp:positionH>
                      <wp:positionV relativeFrom="paragraph">
                        <wp:posOffset>1398270</wp:posOffset>
                      </wp:positionV>
                      <wp:extent cx="1034415" cy="283210"/>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1034415"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959E02">
                                  <w:pPr>
                                    <w:jc w:val="cente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苯酚罐区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65pt;margin-top:110.1pt;height:22.3pt;width:81.45pt;z-index:251784192;mso-width-relative:page;mso-height-relative:page;" filled="f" stroked="f" coordsize="21600,21600" o:gfxdata="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mqahp2wAAAAsBAAAPAAAAAAAAAAEAIAAAACIAAABk&#10;cnMvZG93bnJldi54bWxQSwECFAAUAAAACACHTuJArE+nyTwCAABqBAAADgAAAAAAAAABACAAAAAq&#10;AQAAZHJzL2Uyb0RvYy54bWxQSwUGAAAAAAYABgBZAQAA2AUAAAAA&#10;">
                      <v:fill on="f" focussize="0,0"/>
                      <v:stroke on="f" weight="0.5pt"/>
                      <v:imagedata o:title=""/>
                      <o:lock v:ext="edit" aspectratio="f"/>
                      <v:textbox>
                        <w:txbxContent>
                          <w:p w14:paraId="7C959E02">
                            <w:pPr>
                              <w:jc w:val="cente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苯酚罐区</w:t>
                            </w:r>
                          </w:p>
                        </w:txbxContent>
                      </v:textbox>
                    </v:shape>
                  </w:pict>
                </mc:Fallback>
              </mc:AlternateContent>
            </w:r>
            <w:r>
              <mc:AlternateContent>
                <mc:Choice Requires="wps">
                  <w:drawing>
                    <wp:anchor distT="0" distB="0" distL="114300" distR="114300" simplePos="0" relativeHeight="251783168" behindDoc="0" locked="0" layoutInCell="1" allowOverlap="1">
                      <wp:simplePos x="0" y="0"/>
                      <wp:positionH relativeFrom="column">
                        <wp:posOffset>2618740</wp:posOffset>
                      </wp:positionH>
                      <wp:positionV relativeFrom="paragraph">
                        <wp:posOffset>1052195</wp:posOffset>
                      </wp:positionV>
                      <wp:extent cx="1034415" cy="28321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1034415"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A0204E">
                                  <w:pPr>
                                    <w:rPr>
                                      <w:color w:val="000000" w:themeColor="text1"/>
                                      <w:sz w:val="16"/>
                                      <w:szCs w:val="16"/>
                                      <w14:textFill>
                                        <w14:solidFill>
                                          <w14:schemeClr w14:val="tx1"/>
                                        </w14:solidFill>
                                      </w14:textFill>
                                    </w:rPr>
                                  </w:pPr>
                                  <w:r>
                                    <w:rPr>
                                      <w:rFonts w:hint="eastAsia"/>
                                      <w:b/>
                                      <w:bCs/>
                                      <w:color w:val="000000" w:themeColor="text1"/>
                                      <w:sz w:val="16"/>
                                      <w:szCs w:val="16"/>
                                      <w14:textFill>
                                        <w14:solidFill>
                                          <w14:schemeClr w14:val="tx1"/>
                                        </w14:solidFill>
                                      </w14:textFill>
                                    </w:rPr>
                                    <w:t>己内酰胺罐区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2pt;margin-top:82.85pt;height:22.3pt;width:81.45pt;z-index:251783168;mso-width-relative:page;mso-height-relative:page;" filled="f" stroked="f" coordsize="21600,21600" o:gfxdata="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4GmafcAAAACwEAAA8AAAAAAAAAAQAgAAAAIgAA&#10;AGRycy9kb3ducmV2LnhtbFBLAQIUABQAAAAIAIdO4kA+qJhaPQIAAGoEAAAOAAAAAAAAAAEAIAAA&#10;ACsBAABkcnMvZTJvRG9jLnhtbFBLBQYAAAAABgAGAFkBAADaBQAAAAA=&#10;">
                      <v:fill on="f" focussize="0,0"/>
                      <v:stroke on="f" weight="0.5pt"/>
                      <v:imagedata o:title=""/>
                      <o:lock v:ext="edit" aspectratio="f"/>
                      <v:textbox>
                        <w:txbxContent>
                          <w:p w14:paraId="22A0204E">
                            <w:pPr>
                              <w:rPr>
                                <w:color w:val="000000" w:themeColor="text1"/>
                                <w:sz w:val="16"/>
                                <w:szCs w:val="16"/>
                                <w14:textFill>
                                  <w14:solidFill>
                                    <w14:schemeClr w14:val="tx1"/>
                                  </w14:solidFill>
                                </w14:textFill>
                              </w:rPr>
                            </w:pPr>
                            <w:r>
                              <w:rPr>
                                <w:rFonts w:hint="eastAsia"/>
                                <w:b/>
                                <w:bCs/>
                                <w:color w:val="000000" w:themeColor="text1"/>
                                <w:sz w:val="16"/>
                                <w:szCs w:val="16"/>
                                <w14:textFill>
                                  <w14:solidFill>
                                    <w14:schemeClr w14:val="tx1"/>
                                  </w14:solidFill>
                                </w14:textFill>
                              </w:rPr>
                              <w:t>己内酰胺罐区</w:t>
                            </w:r>
                          </w:p>
                        </w:txbxContent>
                      </v:textbox>
                    </v:shape>
                  </w:pict>
                </mc:Fallback>
              </mc:AlternateContent>
            </w:r>
            <w:r>
              <mc:AlternateContent>
                <mc:Choice Requires="wps">
                  <w:drawing>
                    <wp:anchor distT="0" distB="0" distL="114300" distR="114300" simplePos="0" relativeHeight="251782144" behindDoc="0" locked="0" layoutInCell="1" allowOverlap="1">
                      <wp:simplePos x="0" y="0"/>
                      <wp:positionH relativeFrom="column">
                        <wp:posOffset>1878330</wp:posOffset>
                      </wp:positionH>
                      <wp:positionV relativeFrom="paragraph">
                        <wp:posOffset>1226820</wp:posOffset>
                      </wp:positionV>
                      <wp:extent cx="774065" cy="39370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774065" cy="393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43B437">
                                  <w:pP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液硫、硫酸、液碱罐区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7.9pt;margin-top:96.6pt;height:31pt;width:60.95pt;z-index:251782144;mso-width-relative:page;mso-height-relative:page;" filled="f" stroked="f" coordsize="21600,21600" o:gfxdata="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CUOFrbAAAACwEAAA8AAAAAAAAAAQAgAAAAIgAA&#10;AGRycy9kb3ducmV2LnhtbFBLAQIUABQAAAAIAIdO4kBJCiqUPgIAAGkEAAAOAAAAAAAAAAEAIAAA&#10;ACoBAABkcnMvZTJvRG9jLnhtbFBLBQYAAAAABgAGAFkBAADaBQAAAAA=&#10;">
                      <v:fill on="f" focussize="0,0"/>
                      <v:stroke on="f" weight="0.5pt"/>
                      <v:imagedata o:title=""/>
                      <o:lock v:ext="edit" aspectratio="f"/>
                      <v:textbox>
                        <w:txbxContent>
                          <w:p w14:paraId="7343B437">
                            <w:pPr>
                              <w:rPr>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液硫、硫酸、液碱罐区</w:t>
                            </w:r>
                          </w:p>
                        </w:txbxContent>
                      </v:textbox>
                    </v:shape>
                  </w:pict>
                </mc:Fallback>
              </mc:AlternateContent>
            </w:r>
            <w:r>
              <mc:AlternateContent>
                <mc:Choice Requires="wps">
                  <w:drawing>
                    <wp:anchor distT="0" distB="0" distL="114300" distR="114300" simplePos="0" relativeHeight="251781120" behindDoc="0" locked="0" layoutInCell="1" allowOverlap="1">
                      <wp:simplePos x="0" y="0"/>
                      <wp:positionH relativeFrom="column">
                        <wp:posOffset>2306320</wp:posOffset>
                      </wp:positionH>
                      <wp:positionV relativeFrom="paragraph">
                        <wp:posOffset>817245</wp:posOffset>
                      </wp:positionV>
                      <wp:extent cx="914400" cy="28321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914400"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198938">
                                  <w:pP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汽车装卸区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6pt;margin-top:64.35pt;height:22.3pt;width:72pt;z-index:251781120;mso-width-relative:page;mso-height-relative:page;" filled="f" stroked="f" coordsize="21600,21600" o:gfxdata="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EIy3bAAAACwEAAA8AAAAAAAAAAQAgAAAAIgAAAGRy&#10;cy9kb3ducmV2LnhtbFBLAQIUABQAAAAIAIdO4kCad1kEOwIAAGkEAAAOAAAAAAAAAAEAIAAAACoB&#10;AABkcnMvZTJvRG9jLnhtbFBLBQYAAAAABgAGAFkBAADXBQAAAAA=&#10;">
                      <v:fill on="f" focussize="0,0"/>
                      <v:stroke on="f" weight="0.5pt"/>
                      <v:imagedata o:title=""/>
                      <o:lock v:ext="edit" aspectratio="f"/>
                      <v:textbox>
                        <w:txbxContent>
                          <w:p w14:paraId="7A198938">
                            <w:pP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汽车装卸区</w:t>
                            </w:r>
                          </w:p>
                        </w:txbxContent>
                      </v:textbox>
                    </v:shape>
                  </w:pict>
                </mc:Fallback>
              </mc:AlternateContent>
            </w:r>
            <w:r>
              <mc:AlternateContent>
                <mc:Choice Requires="wps">
                  <w:drawing>
                    <wp:anchor distT="0" distB="0" distL="114300" distR="114300" simplePos="0" relativeHeight="251771904" behindDoc="0" locked="0" layoutInCell="1" allowOverlap="1">
                      <wp:simplePos x="0" y="0"/>
                      <wp:positionH relativeFrom="column">
                        <wp:posOffset>3369310</wp:posOffset>
                      </wp:positionH>
                      <wp:positionV relativeFrom="paragraph">
                        <wp:posOffset>1432560</wp:posOffset>
                      </wp:positionV>
                      <wp:extent cx="669290" cy="190500"/>
                      <wp:effectExtent l="9525" t="9525" r="26035" b="9525"/>
                      <wp:wrapNone/>
                      <wp:docPr id="150" name="任意多边形 150"/>
                      <wp:cNvGraphicFramePr/>
                      <a:graphic xmlns:a="http://schemas.openxmlformats.org/drawingml/2006/main">
                        <a:graphicData uri="http://schemas.microsoft.com/office/word/2010/wordprocessingShape">
                          <wps:wsp>
                            <wps:cNvSpPr/>
                            <wps:spPr>
                              <a:xfrm>
                                <a:off x="0" y="0"/>
                                <a:ext cx="669290" cy="190500"/>
                              </a:xfrm>
                              <a:custGeom>
                                <a:avLst/>
                                <a:gdLst>
                                  <a:gd name="connsiteX0" fmla="*/ 44 w 1054"/>
                                  <a:gd name="connsiteY0" fmla="*/ 0 h 300"/>
                                  <a:gd name="connsiteX1" fmla="*/ 0 w 1054"/>
                                  <a:gd name="connsiteY1" fmla="*/ 247 h 300"/>
                                  <a:gd name="connsiteX2" fmla="*/ 1054 w 1054"/>
                                  <a:gd name="connsiteY2" fmla="*/ 300 h 300"/>
                                  <a:gd name="connsiteX3" fmla="*/ 1038 w 1054"/>
                                  <a:gd name="connsiteY3" fmla="*/ 39 h 300"/>
                                  <a:gd name="connsiteX4" fmla="*/ 44 w 1054"/>
                                  <a:gd name="connsiteY4" fmla="*/ 0 h 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4" h="300">
                                    <a:moveTo>
                                      <a:pt x="44" y="0"/>
                                    </a:moveTo>
                                    <a:lnTo>
                                      <a:pt x="0" y="247"/>
                                    </a:lnTo>
                                    <a:lnTo>
                                      <a:pt x="1054" y="300"/>
                                    </a:lnTo>
                                    <a:lnTo>
                                      <a:pt x="1038" y="39"/>
                                    </a:lnTo>
                                    <a:lnTo>
                                      <a:pt x="44" y="0"/>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5EB810B">
                                  <w:pPr>
                                    <w:jc w:val="center"/>
                                  </w:pPr>
                                </w:p>
                              </w:txbxContent>
                            </wps:txbx>
                            <wps:bodyPr/>
                          </wps:wsp>
                        </a:graphicData>
                      </a:graphic>
                    </wp:anchor>
                  </w:drawing>
                </mc:Choice>
                <mc:Fallback>
                  <w:pict>
                    <v:shape id="_x0000_s1026" o:spid="_x0000_s1026" o:spt="100" style="position:absolute;left:0pt;margin-left:265.3pt;margin-top:112.8pt;height:15pt;width:52.7pt;z-index:251771904;mso-width-relative:page;mso-height-relative:page;" filled="f" stroked="t" coordsize="1054,300" o:gfxdata="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Gj86FbXAAAACwEAAA8AAAAA&#10;AAAAAQAgAAAAIgAAAGRycy9kb3ducmV2LnhtbFBLAQIUABQAAAAIAIdO4kAzh0T0+QIAAO4HAAAO&#10;AAAAAAAAAAEAIAAAACYBAABkcnMvZTJvRG9jLnhtbFBLBQYAAAAABgAGAFkBAACRBgAAAAA=&#10;" path="m44,0l0,247,1054,300,1038,39,44,0xe">
                      <v:path textboxrect="0,0,1054,300" o:connectlocs="27940,0;0,156845;669290,190500;659130,24765;27940,0" o:connectangles="0,0,0,0,0"/>
                      <v:fill on="f" focussize="0,0"/>
                      <v:stroke weight="1.5pt" color="#FF0000 [2404]" joinstyle="round"/>
                      <v:imagedata o:title=""/>
                      <o:lock v:ext="edit" aspectratio="f"/>
                      <v:textbox>
                        <w:txbxContent>
                          <w:p w14:paraId="45EB810B">
                            <w:pPr>
                              <w:jc w:val="center"/>
                            </w:pPr>
                          </w:p>
                        </w:txbxContent>
                      </v:textbox>
                    </v:shape>
                  </w:pict>
                </mc:Fallback>
              </mc:AlternateContent>
            </w:r>
            <w:r>
              <mc:AlternateContent>
                <mc:Choice Requires="wps">
                  <w:drawing>
                    <wp:anchor distT="0" distB="0" distL="114300" distR="114300" simplePos="0" relativeHeight="251770880" behindDoc="0" locked="0" layoutInCell="1" allowOverlap="1">
                      <wp:simplePos x="0" y="0"/>
                      <wp:positionH relativeFrom="column">
                        <wp:posOffset>2715260</wp:posOffset>
                      </wp:positionH>
                      <wp:positionV relativeFrom="paragraph">
                        <wp:posOffset>1086485</wp:posOffset>
                      </wp:positionV>
                      <wp:extent cx="621665" cy="160655"/>
                      <wp:effectExtent l="9525" t="9525" r="16510" b="20320"/>
                      <wp:wrapNone/>
                      <wp:docPr id="131" name="任意多边形 131"/>
                      <wp:cNvGraphicFramePr/>
                      <a:graphic xmlns:a="http://schemas.openxmlformats.org/drawingml/2006/main">
                        <a:graphicData uri="http://schemas.microsoft.com/office/word/2010/wordprocessingShape">
                          <wps:wsp>
                            <wps:cNvSpPr/>
                            <wps:spPr>
                              <a:xfrm>
                                <a:off x="0" y="0"/>
                                <a:ext cx="621665" cy="160655"/>
                              </a:xfrm>
                              <a:custGeom>
                                <a:avLst/>
                                <a:gdLst>
                                  <a:gd name="connsiteX0" fmla="*/ 118 w 979"/>
                                  <a:gd name="connsiteY0" fmla="*/ 0 h 253"/>
                                  <a:gd name="connsiteX1" fmla="*/ 0 w 979"/>
                                  <a:gd name="connsiteY1" fmla="*/ 221 h 253"/>
                                  <a:gd name="connsiteX2" fmla="*/ 931 w 979"/>
                                  <a:gd name="connsiteY2" fmla="*/ 253 h 253"/>
                                  <a:gd name="connsiteX3" fmla="*/ 979 w 979"/>
                                  <a:gd name="connsiteY3" fmla="*/ 16 h 253"/>
                                  <a:gd name="connsiteX4" fmla="*/ 118 w 979"/>
                                  <a:gd name="connsiteY4" fmla="*/ 0 h 2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79" h="253">
                                    <a:moveTo>
                                      <a:pt x="118" y="0"/>
                                    </a:moveTo>
                                    <a:lnTo>
                                      <a:pt x="0" y="221"/>
                                    </a:lnTo>
                                    <a:lnTo>
                                      <a:pt x="931" y="253"/>
                                    </a:lnTo>
                                    <a:lnTo>
                                      <a:pt x="979" y="16"/>
                                    </a:lnTo>
                                    <a:lnTo>
                                      <a:pt x="118" y="0"/>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3.8pt;margin-top:85.55pt;height:12.65pt;width:48.95pt;z-index:251770880;mso-width-relative:page;mso-height-relative:page;" filled="f" stroked="t" coordsize="979,253" o:gfxdata="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" path="m118,0l0,221,931,253,979,16,118,0xe">
                      <v:path o:connectlocs="74930,0;0,140335;591185,160655;621665,10160;74930,0" o:connectangles="0,0,0,0,0"/>
                      <v:fill on="f" focussize="0,0"/>
                      <v:stroke weight="1.5pt" color="#FF0000 [2404]" joinstyle="round"/>
                      <v:imagedata o:title=""/>
                      <o:lock v:ext="edit" aspectratio="f"/>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2381250</wp:posOffset>
                      </wp:positionH>
                      <wp:positionV relativeFrom="paragraph">
                        <wp:posOffset>892810</wp:posOffset>
                      </wp:positionV>
                      <wp:extent cx="549275" cy="120650"/>
                      <wp:effectExtent l="9525" t="9525" r="12700" b="22225"/>
                      <wp:wrapNone/>
                      <wp:docPr id="26" name="任意多边形 26"/>
                      <wp:cNvGraphicFramePr/>
                      <a:graphic xmlns:a="http://schemas.openxmlformats.org/drawingml/2006/main">
                        <a:graphicData uri="http://schemas.microsoft.com/office/word/2010/wordprocessingShape">
                          <wps:wsp>
                            <wps:cNvSpPr/>
                            <wps:spPr>
                              <a:xfrm>
                                <a:off x="3281045" y="5819140"/>
                                <a:ext cx="549275" cy="120650"/>
                              </a:xfrm>
                              <a:custGeom>
                                <a:avLst/>
                                <a:gdLst>
                                  <a:gd name="connsiteX0" fmla="*/ 150 w 865"/>
                                  <a:gd name="connsiteY0" fmla="*/ 5 h 190"/>
                                  <a:gd name="connsiteX1" fmla="*/ 0 w 865"/>
                                  <a:gd name="connsiteY1" fmla="*/ 160 h 190"/>
                                  <a:gd name="connsiteX2" fmla="*/ 785 w 865"/>
                                  <a:gd name="connsiteY2" fmla="*/ 190 h 190"/>
                                  <a:gd name="connsiteX3" fmla="*/ 865 w 865"/>
                                  <a:gd name="connsiteY3" fmla="*/ 0 h 190"/>
                                  <a:gd name="connsiteX4" fmla="*/ 150 w 865"/>
                                  <a:gd name="connsiteY4" fmla="*/ 5 h 1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5" h="190">
                                    <a:moveTo>
                                      <a:pt x="150" y="5"/>
                                    </a:moveTo>
                                    <a:lnTo>
                                      <a:pt x="0" y="160"/>
                                    </a:lnTo>
                                    <a:lnTo>
                                      <a:pt x="785" y="190"/>
                                    </a:lnTo>
                                    <a:lnTo>
                                      <a:pt x="865" y="0"/>
                                    </a:lnTo>
                                    <a:lnTo>
                                      <a:pt x="150" y="5"/>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7.5pt;margin-top:70.3pt;height:9.5pt;width:43.25pt;z-index:251683840;mso-width-relative:page;mso-height-relative:page;" filled="f" stroked="t" coordsize="865,190" o:gfxdata="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" path="m150,5l0,160,785,190,865,0,150,5xe">
                      <v:path o:connectlocs="95250,3175;0,101600;498475,120650;549275,0;95250,3175" o:connectangles="0,0,0,0,0"/>
                      <v:fill on="f" focussize="0,0"/>
                      <v:stroke weight="1.5pt" color="#FF0000 [2404]" joinstyle="round"/>
                      <v:imagedata o:title=""/>
                      <o:lock v:ext="edit" aspectratio="f"/>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1790700</wp:posOffset>
                      </wp:positionH>
                      <wp:positionV relativeFrom="paragraph">
                        <wp:posOffset>1269365</wp:posOffset>
                      </wp:positionV>
                      <wp:extent cx="792480" cy="405130"/>
                      <wp:effectExtent l="9525" t="9525" r="17145" b="23495"/>
                      <wp:wrapNone/>
                      <wp:docPr id="18" name="任意多边形 18"/>
                      <wp:cNvGraphicFramePr/>
                      <a:graphic xmlns:a="http://schemas.openxmlformats.org/drawingml/2006/main">
                        <a:graphicData uri="http://schemas.microsoft.com/office/word/2010/wordprocessingShape">
                          <wps:wsp>
                            <wps:cNvSpPr/>
                            <wps:spPr>
                              <a:xfrm>
                                <a:off x="2690495" y="5969000"/>
                                <a:ext cx="792480" cy="405130"/>
                              </a:xfrm>
                              <a:custGeom>
                                <a:avLst/>
                                <a:gdLst>
                                  <a:gd name="connsiteX0" fmla="*/ 0 w 1248"/>
                                  <a:gd name="connsiteY0" fmla="*/ 558 h 638"/>
                                  <a:gd name="connsiteX1" fmla="*/ 770 w 1248"/>
                                  <a:gd name="connsiteY1" fmla="*/ 638 h 638"/>
                                  <a:gd name="connsiteX2" fmla="*/ 855 w 1248"/>
                                  <a:gd name="connsiteY2" fmla="*/ 608 h 638"/>
                                  <a:gd name="connsiteX3" fmla="*/ 1248 w 1248"/>
                                  <a:gd name="connsiteY3" fmla="*/ 37 h 638"/>
                                  <a:gd name="connsiteX4" fmla="*/ 543 w 1248"/>
                                  <a:gd name="connsiteY4" fmla="*/ 0 h 638"/>
                                  <a:gd name="connsiteX5" fmla="*/ 0 w 1248"/>
                                  <a:gd name="connsiteY5" fmla="*/ 558 h 6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48" h="638">
                                    <a:moveTo>
                                      <a:pt x="0" y="558"/>
                                    </a:moveTo>
                                    <a:lnTo>
                                      <a:pt x="770" y="638"/>
                                    </a:lnTo>
                                    <a:lnTo>
                                      <a:pt x="855" y="608"/>
                                    </a:lnTo>
                                    <a:lnTo>
                                      <a:pt x="1248" y="37"/>
                                    </a:lnTo>
                                    <a:lnTo>
                                      <a:pt x="543" y="0"/>
                                    </a:lnTo>
                                    <a:lnTo>
                                      <a:pt x="0" y="558"/>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1pt;margin-top:99.95pt;height:31.9pt;width:62.4pt;z-index:251682816;mso-width-relative:page;mso-height-relative:page;" filled="f" stroked="t" coordsize="1248,638" o:gfxdata="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&#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MX99wraAAAACwEAAA8AAAAAAAAAAQAgAAAAIgAAAGRy&#10;cy9kb3ducmV2LnhtbFBLAQIUABQAAAAIAIdO4kAhwNzFIAMAAK8IAAAOAAAAAAAAAAEAIAAAACkB&#10;AABkcnMvZTJvRG9jLnhtbFBLBQYAAAAABgAGAFkBAAC7BgAAAAA=&#10;" path="m0,558l770,638,855,608,1248,37,543,0,0,558xe">
                      <v:path o:connectlocs="0,354330;488950,405130;542925,386080;792480,23495;344805,0;0,354330" o:connectangles="0,0,0,0,0,0"/>
                      <v:fill on="f" focussize="0,0"/>
                      <v:stroke weight="1.5pt" color="#FF0000 [2404]" joinstyle="round"/>
                      <v:imagedata o:title=""/>
                      <o:lock v:ext="edit" aspectratio="f"/>
                    </v:shape>
                  </w:pict>
                </mc:Fallback>
              </mc:AlternateContent>
            </w:r>
            <w:r>
              <w:rPr>
                <w:rFonts w:ascii="Times New Roman" w:hAnsi="Times New Roman"/>
                <w:color w:val="000000" w:themeColor="text1"/>
                <w14:textFill>
                  <w14:solidFill>
                    <w14:schemeClr w14:val="tx1"/>
                  </w14:solidFill>
                </w14:textFill>
              </w:rPr>
              <w:drawing>
                <wp:inline distT="0" distB="0" distL="114300" distR="114300">
                  <wp:extent cx="5698490" cy="3799205"/>
                  <wp:effectExtent l="0" t="0" r="16510" b="10795"/>
                  <wp:docPr id="7" name="图片 7" descr="DJI_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JI_0537"/>
                          <pic:cNvPicPr>
                            <a:picLocks noChangeAspect="1"/>
                          </pic:cNvPicPr>
                        </pic:nvPicPr>
                        <pic:blipFill>
                          <a:blip r:embed="rId15"/>
                          <a:stretch>
                            <a:fillRect/>
                          </a:stretch>
                        </pic:blipFill>
                        <pic:spPr>
                          <a:xfrm>
                            <a:off x="0" y="0"/>
                            <a:ext cx="5698490" cy="3799205"/>
                          </a:xfrm>
                          <a:prstGeom prst="rect">
                            <a:avLst/>
                          </a:prstGeom>
                        </pic:spPr>
                      </pic:pic>
                    </a:graphicData>
                  </a:graphic>
                </wp:inline>
              </w:drawing>
            </w:r>
          </w:p>
        </w:tc>
      </w:tr>
      <w:tr w14:paraId="035B0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14:paraId="626AB5EF">
            <w:pPr>
              <w:jc w:val="center"/>
              <w:rPr>
                <w:rFonts w:ascii="Times New Roman" w:hAnsi="Times New Roman" w:cs="Times New Roman"/>
                <w:b/>
                <w:bCs/>
                <w:color w:val="FF0000"/>
                <w:sz w:val="32"/>
                <w:szCs w:val="32"/>
              </w:rPr>
            </w:pPr>
            <w:r>
              <w:rPr>
                <w:rFonts w:hint="eastAsia" w:ascii="Times New Roman" w:hAnsi="Times New Roman"/>
                <w:color w:val="000000" w:themeColor="text1"/>
                <w14:textFill>
                  <w14:solidFill>
                    <w14:schemeClr w14:val="tx1"/>
                  </w14:solidFill>
                </w14:textFill>
              </w:rPr>
              <w:t>项目俯瞰视角</w:t>
            </w:r>
          </w:p>
        </w:tc>
      </w:tr>
    </w:tbl>
    <w:p w14:paraId="794709B7">
      <w:pPr>
        <w:ind w:firstLine="643"/>
        <w:jc w:val="center"/>
        <w:rPr>
          <w:rFonts w:ascii="Times New Roman" w:hAnsi="Times New Roman" w:cs="Times New Roman"/>
          <w:b/>
          <w:bCs/>
          <w:color w:val="FF0000"/>
          <w:sz w:val="32"/>
          <w:szCs w:val="32"/>
        </w:rPr>
      </w:pPr>
    </w:p>
    <w:p w14:paraId="724E2513">
      <w:pPr>
        <w:ind w:firstLine="643"/>
        <w:jc w:val="center"/>
        <w:rPr>
          <w:rFonts w:ascii="Times New Roman" w:hAnsi="Times New Roman" w:cs="Times New Roman"/>
          <w:b/>
          <w:bCs/>
          <w:color w:val="FF0000"/>
          <w:sz w:val="32"/>
          <w:szCs w:val="32"/>
        </w:rPr>
        <w:sectPr>
          <w:pgSz w:w="11906" w:h="16838"/>
          <w:pgMar w:top="1417" w:right="1417" w:bottom="1417" w:left="1417" w:header="851" w:footer="1077" w:gutter="0"/>
          <w:cols w:space="720" w:num="1"/>
          <w:docGrid w:linePitch="312" w:charSpace="0"/>
        </w:sectPr>
      </w:pPr>
    </w:p>
    <w:tbl>
      <w:tblPr>
        <w:tblStyle w:val="89"/>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0"/>
        <w:gridCol w:w="4817"/>
      </w:tblGrid>
      <w:tr w14:paraId="05939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41EF77ED">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drawing>
                <wp:inline distT="0" distB="0" distL="114300" distR="114300">
                  <wp:extent cx="2879090" cy="1919605"/>
                  <wp:effectExtent l="0" t="0" r="16510" b="4445"/>
                  <wp:docPr id="67" name="图片 67" descr="DJI_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DJI_0541"/>
                          <pic:cNvPicPr>
                            <a:picLocks noChangeAspect="1"/>
                          </pic:cNvPicPr>
                        </pic:nvPicPr>
                        <pic:blipFill>
                          <a:blip r:embed="rId16"/>
                          <a:stretch>
                            <a:fillRect/>
                          </a:stretch>
                        </pic:blipFill>
                        <pic:spPr>
                          <a:xfrm>
                            <a:off x="0" y="0"/>
                            <a:ext cx="2879090" cy="1919605"/>
                          </a:xfrm>
                          <a:prstGeom prst="rect">
                            <a:avLst/>
                          </a:prstGeom>
                        </pic:spPr>
                      </pic:pic>
                    </a:graphicData>
                  </a:graphic>
                </wp:inline>
              </w:drawing>
            </w:r>
          </w:p>
        </w:tc>
        <w:tc>
          <w:tcPr>
            <w:tcW w:w="4817" w:type="dxa"/>
            <w:vAlign w:val="center"/>
          </w:tcPr>
          <w:p w14:paraId="649D912B">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drawing>
                <wp:inline distT="0" distB="0" distL="114300" distR="114300">
                  <wp:extent cx="2879090" cy="1919605"/>
                  <wp:effectExtent l="0" t="0" r="16510" b="4445"/>
                  <wp:docPr id="68" name="图片 68" descr="DJI_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DJI_0542"/>
                          <pic:cNvPicPr>
                            <a:picLocks noChangeAspect="1"/>
                          </pic:cNvPicPr>
                        </pic:nvPicPr>
                        <pic:blipFill>
                          <a:blip r:embed="rId17"/>
                          <a:stretch>
                            <a:fillRect/>
                          </a:stretch>
                        </pic:blipFill>
                        <pic:spPr>
                          <a:xfrm>
                            <a:off x="0" y="0"/>
                            <a:ext cx="2879090" cy="1919605"/>
                          </a:xfrm>
                          <a:prstGeom prst="rect">
                            <a:avLst/>
                          </a:prstGeom>
                        </pic:spPr>
                      </pic:pic>
                    </a:graphicData>
                  </a:graphic>
                </wp:inline>
              </w:drawing>
            </w:r>
          </w:p>
        </w:tc>
      </w:tr>
      <w:tr w14:paraId="07201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0600E5FD">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14号泊位水工部分</w:t>
            </w:r>
          </w:p>
        </w:tc>
        <w:tc>
          <w:tcPr>
            <w:tcW w:w="4817" w:type="dxa"/>
            <w:vAlign w:val="center"/>
          </w:tcPr>
          <w:p w14:paraId="02179E54">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14号泊位陆域部分</w:t>
            </w:r>
          </w:p>
        </w:tc>
      </w:tr>
      <w:tr w14:paraId="21B4B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2EBC00BD">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kern w:val="2"/>
                <w:sz w:val="24"/>
                <w:szCs w:val="24"/>
                <w14:textFill>
                  <w14:solidFill>
                    <w14:schemeClr w14:val="tx1"/>
                  </w14:solidFill>
                </w14:textFill>
              </w:rPr>
              <w:drawing>
                <wp:inline distT="0" distB="0" distL="114300" distR="114300">
                  <wp:extent cx="2879090" cy="2159635"/>
                  <wp:effectExtent l="0" t="0" r="16510" b="12065"/>
                  <wp:docPr id="69" name="图片 69" descr="IMG_20250915_11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0250915_110800"/>
                          <pic:cNvPicPr>
                            <a:picLocks noChangeAspect="1"/>
                          </pic:cNvPicPr>
                        </pic:nvPicPr>
                        <pic:blipFill>
                          <a:blip r:embed="rId18"/>
                          <a:stretch>
                            <a:fillRect/>
                          </a:stretch>
                        </pic:blipFill>
                        <pic:spPr>
                          <a:xfrm>
                            <a:off x="0" y="0"/>
                            <a:ext cx="2879090" cy="2159635"/>
                          </a:xfrm>
                          <a:prstGeom prst="rect">
                            <a:avLst/>
                          </a:prstGeom>
                        </pic:spPr>
                      </pic:pic>
                    </a:graphicData>
                  </a:graphic>
                </wp:inline>
              </w:drawing>
            </w:r>
          </w:p>
        </w:tc>
        <w:tc>
          <w:tcPr>
            <w:tcW w:w="4817" w:type="dxa"/>
            <w:vAlign w:val="center"/>
          </w:tcPr>
          <w:p w14:paraId="7C105832">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kern w:val="2"/>
                <w:sz w:val="24"/>
                <w:szCs w:val="24"/>
                <w14:textFill>
                  <w14:solidFill>
                    <w14:schemeClr w14:val="tx1"/>
                  </w14:solidFill>
                </w14:textFill>
              </w:rPr>
              <w:drawing>
                <wp:inline distT="0" distB="0" distL="114300" distR="114300">
                  <wp:extent cx="2879090" cy="2159635"/>
                  <wp:effectExtent l="0" t="0" r="16510" b="12065"/>
                  <wp:docPr id="70" name="图片 70" descr="IMG_20250915_11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50915_110659"/>
                          <pic:cNvPicPr>
                            <a:picLocks noChangeAspect="1"/>
                          </pic:cNvPicPr>
                        </pic:nvPicPr>
                        <pic:blipFill>
                          <a:blip r:embed="rId19"/>
                          <a:stretch>
                            <a:fillRect/>
                          </a:stretch>
                        </pic:blipFill>
                        <pic:spPr>
                          <a:xfrm>
                            <a:off x="0" y="0"/>
                            <a:ext cx="2879090" cy="2159635"/>
                          </a:xfrm>
                          <a:prstGeom prst="rect">
                            <a:avLst/>
                          </a:prstGeom>
                        </pic:spPr>
                      </pic:pic>
                    </a:graphicData>
                  </a:graphic>
                </wp:inline>
              </w:drawing>
            </w:r>
          </w:p>
        </w:tc>
      </w:tr>
      <w:tr w14:paraId="022CF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5C7CC4BB">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装卸臂</w:t>
            </w:r>
          </w:p>
        </w:tc>
        <w:tc>
          <w:tcPr>
            <w:tcW w:w="4817" w:type="dxa"/>
            <w:vAlign w:val="center"/>
          </w:tcPr>
          <w:p w14:paraId="52A43DA5">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登船梯和消防炮楼</w:t>
            </w:r>
          </w:p>
        </w:tc>
      </w:tr>
      <w:tr w14:paraId="27149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71270211">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drawing>
                <wp:inline distT="0" distB="0" distL="114300" distR="114300">
                  <wp:extent cx="2879725" cy="1962150"/>
                  <wp:effectExtent l="0" t="0" r="15875" b="0"/>
                  <wp:docPr id="71" name="图片 71" descr="6229fa19-317f-4fc9-b86c-d874e0d88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6229fa19-317f-4fc9-b86c-d874e0d88df6"/>
                          <pic:cNvPicPr>
                            <a:picLocks noChangeAspect="1"/>
                          </pic:cNvPicPr>
                        </pic:nvPicPr>
                        <pic:blipFill>
                          <a:blip r:embed="rId20"/>
                          <a:srcRect l="2712" r="2867"/>
                          <a:stretch>
                            <a:fillRect/>
                          </a:stretch>
                        </pic:blipFill>
                        <pic:spPr>
                          <a:xfrm>
                            <a:off x="0" y="0"/>
                            <a:ext cx="2879725" cy="1962150"/>
                          </a:xfrm>
                          <a:prstGeom prst="rect">
                            <a:avLst/>
                          </a:prstGeom>
                        </pic:spPr>
                      </pic:pic>
                    </a:graphicData>
                  </a:graphic>
                </wp:inline>
              </w:drawing>
            </w:r>
          </w:p>
        </w:tc>
        <w:tc>
          <w:tcPr>
            <w:tcW w:w="4817" w:type="dxa"/>
            <w:vAlign w:val="center"/>
          </w:tcPr>
          <w:p w14:paraId="7CA63660">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drawing>
                <wp:inline distT="0" distB="0" distL="114300" distR="114300">
                  <wp:extent cx="2877820" cy="2159635"/>
                  <wp:effectExtent l="0" t="0" r="17780" b="12065"/>
                  <wp:docPr id="76" name="图片 76" descr="75aff663b625d72703b46bcb99a9bf33-450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75aff663b625d72703b46bcb99a9bf33-4506735"/>
                          <pic:cNvPicPr>
                            <a:picLocks noChangeAspect="1"/>
                          </pic:cNvPicPr>
                        </pic:nvPicPr>
                        <pic:blipFill>
                          <a:blip r:embed="rId21"/>
                          <a:stretch>
                            <a:fillRect/>
                          </a:stretch>
                        </pic:blipFill>
                        <pic:spPr>
                          <a:xfrm>
                            <a:off x="0" y="0"/>
                            <a:ext cx="2877820" cy="2159635"/>
                          </a:xfrm>
                          <a:prstGeom prst="rect">
                            <a:avLst/>
                          </a:prstGeom>
                        </pic:spPr>
                      </pic:pic>
                    </a:graphicData>
                  </a:graphic>
                </wp:inline>
              </w:drawing>
            </w:r>
          </w:p>
        </w:tc>
      </w:tr>
      <w:tr w14:paraId="16037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0" w:type="dxa"/>
            <w:vAlign w:val="center"/>
          </w:tcPr>
          <w:p w14:paraId="329DC3A0">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液氨储罐</w:t>
            </w:r>
          </w:p>
        </w:tc>
        <w:tc>
          <w:tcPr>
            <w:tcW w:w="4817" w:type="dxa"/>
            <w:vAlign w:val="center"/>
          </w:tcPr>
          <w:p w14:paraId="27075370">
            <w:pPr>
              <w:pStyle w:val="34"/>
              <w:spacing w:line="240" w:lineRule="auto"/>
              <w:jc w:val="center"/>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厂区管廊系统</w:t>
            </w:r>
          </w:p>
        </w:tc>
      </w:tr>
    </w:tbl>
    <w:p w14:paraId="0A2E023C"/>
    <w:p w14:paraId="7C441E5E">
      <w:pPr>
        <w:tabs>
          <w:tab w:val="center" w:pos="4536"/>
        </w:tabs>
        <w:jc w:val="center"/>
        <w:rPr>
          <w:b/>
          <w:bCs/>
          <w:sz w:val="28"/>
          <w:szCs w:val="28"/>
        </w:rPr>
        <w:sectPr>
          <w:pgSz w:w="11906" w:h="16838"/>
          <w:pgMar w:top="1417" w:right="1417" w:bottom="1417" w:left="1417" w:header="851" w:footer="1077" w:gutter="0"/>
          <w:cols w:space="720" w:num="1"/>
          <w:docGrid w:linePitch="312" w:charSpace="0"/>
        </w:sectPr>
      </w:pPr>
      <w:r>
        <w:rPr>
          <w:rFonts w:hint="eastAsia"/>
          <w:b/>
          <w:bCs/>
          <w:sz w:val="28"/>
          <w:szCs w:val="28"/>
        </w:rPr>
        <w:t>钦州港金谷港区金鼓江作业区14号泊位码头（一期工程）现场照片</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5EA6A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288" w:type="dxa"/>
          </w:tcPr>
          <w:p w14:paraId="27AF439C">
            <w:pPr>
              <w:jc w:val="center"/>
              <w:rPr>
                <w:rFonts w:ascii="Times New Roman" w:hAnsi="Times New Roman" w:cs="Times New Roman"/>
                <w:b/>
                <w:bCs/>
                <w:color w:val="FF0000"/>
                <w:sz w:val="32"/>
                <w:szCs w:val="32"/>
              </w:rPr>
            </w:pPr>
            <w:r>
              <w:rPr>
                <w:rFonts w:hint="eastAsia" w:ascii="Times New Roman" w:hAnsi="Times New Roman" w:cs="Times New Roman"/>
                <w:b/>
                <w:bCs/>
                <w:color w:val="FF0000"/>
                <w:sz w:val="32"/>
                <w:szCs w:val="32"/>
              </w:rPr>
              <w:drawing>
                <wp:inline distT="0" distB="0" distL="114300" distR="114300">
                  <wp:extent cx="5749290" cy="2848610"/>
                  <wp:effectExtent l="0" t="0" r="3810" b="8890"/>
                  <wp:docPr id="139" name="图片 139" descr="16a83b482ad06fd5565321d9cc15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6a83b482ad06fd5565321d9cc15d01"/>
                          <pic:cNvPicPr>
                            <a:picLocks noChangeAspect="1"/>
                          </pic:cNvPicPr>
                        </pic:nvPicPr>
                        <pic:blipFill>
                          <a:blip r:embed="rId22"/>
                          <a:stretch>
                            <a:fillRect/>
                          </a:stretch>
                        </pic:blipFill>
                        <pic:spPr>
                          <a:xfrm>
                            <a:off x="0" y="0"/>
                            <a:ext cx="5749290" cy="2848610"/>
                          </a:xfrm>
                          <a:prstGeom prst="rect">
                            <a:avLst/>
                          </a:prstGeom>
                        </pic:spPr>
                      </pic:pic>
                    </a:graphicData>
                  </a:graphic>
                </wp:inline>
              </w:drawing>
            </w:r>
          </w:p>
        </w:tc>
      </w:tr>
      <w:tr w14:paraId="431B1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14:paraId="3799E08C">
            <w:pPr>
              <w:jc w:val="center"/>
              <w:rPr>
                <w:rFonts w:ascii="Times New Roman" w:hAnsi="Times New Roman" w:cs="Times New Roman"/>
                <w:b/>
                <w:bCs/>
                <w:color w:val="FF0000"/>
                <w:sz w:val="32"/>
                <w:szCs w:val="32"/>
              </w:rPr>
            </w:pPr>
            <w:r>
              <w:rPr>
                <w:rFonts w:hint="eastAsia" w:ascii="Times New Roman" w:hAnsi="Times New Roman"/>
                <w:color w:val="000000" w:themeColor="text1"/>
                <w14:textFill>
                  <w14:solidFill>
                    <w14:schemeClr w14:val="tx1"/>
                  </w14:solidFill>
                </w14:textFill>
              </w:rPr>
              <w:t>4#储罐组2026.2</w:t>
            </w:r>
          </w:p>
        </w:tc>
      </w:tr>
      <w:tr w14:paraId="6EBA7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14:paraId="098BEC9C">
            <w:pPr>
              <w:jc w:val="center"/>
              <w:rPr>
                <w:rFonts w:ascii="Times New Roman" w:hAnsi="Times New Roman" w:cs="Times New Roman"/>
                <w:b/>
                <w:bCs/>
                <w:color w:val="FF0000"/>
                <w:sz w:val="32"/>
                <w:szCs w:val="32"/>
              </w:rPr>
            </w:pPr>
            <w:r>
              <w:rPr>
                <w:rFonts w:hint="eastAsia" w:ascii="Times New Roman" w:hAnsi="Times New Roman" w:cs="Times New Roman"/>
                <w:b/>
                <w:bCs/>
                <w:color w:val="FF0000"/>
                <w:sz w:val="32"/>
                <w:szCs w:val="32"/>
              </w:rPr>
              <w:drawing>
                <wp:inline distT="0" distB="0" distL="114300" distR="114300">
                  <wp:extent cx="5756275" cy="2969260"/>
                  <wp:effectExtent l="0" t="0" r="15875" b="2540"/>
                  <wp:docPr id="140" name="图片 140" descr="afc8b1fe5e8e3379e054e19735ad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afc8b1fe5e8e3379e054e19735ad734"/>
                          <pic:cNvPicPr>
                            <a:picLocks noChangeAspect="1"/>
                          </pic:cNvPicPr>
                        </pic:nvPicPr>
                        <pic:blipFill>
                          <a:blip r:embed="rId23"/>
                          <a:stretch>
                            <a:fillRect/>
                          </a:stretch>
                        </pic:blipFill>
                        <pic:spPr>
                          <a:xfrm>
                            <a:off x="0" y="0"/>
                            <a:ext cx="5756275" cy="2969260"/>
                          </a:xfrm>
                          <a:prstGeom prst="rect">
                            <a:avLst/>
                          </a:prstGeom>
                        </pic:spPr>
                      </pic:pic>
                    </a:graphicData>
                  </a:graphic>
                </wp:inline>
              </w:drawing>
            </w:r>
          </w:p>
        </w:tc>
      </w:tr>
      <w:tr w14:paraId="169C9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14:paraId="1FAD20A7">
            <w:pPr>
              <w:jc w:val="center"/>
              <w:rPr>
                <w:rFonts w:ascii="Times New Roman" w:hAnsi="Times New Roman" w:cs="Times New Roman"/>
                <w:b/>
                <w:bCs/>
                <w:color w:val="FF0000"/>
                <w:sz w:val="32"/>
                <w:szCs w:val="32"/>
              </w:rPr>
            </w:pPr>
            <w:r>
              <w:rPr>
                <w:rFonts w:hint="eastAsia" w:ascii="Times New Roman" w:hAnsi="Times New Roman"/>
                <w:color w:val="000000" w:themeColor="text1"/>
                <w14:textFill>
                  <w14:solidFill>
                    <w14:schemeClr w14:val="tx1"/>
                  </w14:solidFill>
                </w14:textFill>
              </w:rPr>
              <w:t>4#储罐组装卸站2026.2</w:t>
            </w:r>
          </w:p>
        </w:tc>
      </w:tr>
    </w:tbl>
    <w:p w14:paraId="68D3AF84">
      <w:pPr>
        <w:pStyle w:val="137"/>
        <w:jc w:val="center"/>
        <w:rPr>
          <w:rFonts w:hint="default"/>
          <w:b/>
          <w:bCs/>
          <w:color w:val="000000" w:themeColor="text1"/>
          <w:sz w:val="28"/>
          <w:szCs w:val="21"/>
          <w14:textFill>
            <w14:solidFill>
              <w14:schemeClr w14:val="tx1"/>
            </w14:solidFill>
          </w14:textFill>
        </w:rPr>
        <w:sectPr>
          <w:pgSz w:w="11906" w:h="16838"/>
          <w:pgMar w:top="1417" w:right="1417" w:bottom="1417" w:left="1417" w:header="851" w:footer="1077" w:gutter="0"/>
          <w:cols w:space="720" w:num="1"/>
          <w:docGrid w:linePitch="312" w:charSpace="0"/>
        </w:sectPr>
      </w:pPr>
      <w:r>
        <w:rPr>
          <w:b/>
          <w:bCs/>
          <w:color w:val="000000" w:themeColor="text1"/>
          <w:sz w:val="28"/>
          <w:szCs w:val="21"/>
          <w14:textFill>
            <w14:solidFill>
              <w14:schemeClr w14:val="tx1"/>
            </w14:solidFill>
          </w14:textFill>
        </w:rPr>
        <w:t>本项目现场照片</w:t>
      </w:r>
    </w:p>
    <w:p w14:paraId="06B5B055">
      <w:pPr>
        <w:pStyle w:val="137"/>
        <w:jc w:val="center"/>
        <w:rPr>
          <w:rFonts w:hint="default"/>
          <w:b/>
          <w:bCs/>
          <w:color w:val="0000FF"/>
          <w:sz w:val="28"/>
          <w:szCs w:val="21"/>
          <w:u w:val="single"/>
        </w:rPr>
        <w:sectPr>
          <w:pgSz w:w="11906" w:h="16838"/>
          <w:pgMar w:top="1417" w:right="1417" w:bottom="1417" w:left="1417" w:header="851" w:footer="1077" w:gutter="0"/>
          <w:cols w:space="720" w:num="1"/>
          <w:docGrid w:linePitch="312" w:charSpace="0"/>
        </w:sectPr>
      </w:pPr>
    </w:p>
    <w:p w14:paraId="6D584374">
      <w:pPr>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目录</w:t>
      </w:r>
    </w:p>
    <w:p w14:paraId="62D97AEA">
      <w:pPr>
        <w:jc w:val="center"/>
        <w:rPr>
          <w:rFonts w:ascii="Times New Roman" w:hAnsi="Times New Roman" w:cs="Times New Roman"/>
          <w:b/>
          <w:bCs/>
          <w:color w:val="000000" w:themeColor="text1"/>
          <w:sz w:val="32"/>
          <w:szCs w:val="32"/>
          <w14:textFill>
            <w14:solidFill>
              <w14:schemeClr w14:val="tx1"/>
            </w14:solidFill>
          </w14:textFill>
        </w:rPr>
      </w:pPr>
    </w:p>
    <w:p w14:paraId="04F70653">
      <w:pPr>
        <w:pStyle w:val="59"/>
        <w:tabs>
          <w:tab w:val="right" w:leader="dot" w:pos="8834"/>
        </w:tabs>
        <w:spacing w:line="360" w:lineRule="auto"/>
        <w:rPr>
          <w:rFonts w:ascii="Times New Roman" w:hAnsi="Times New Roman" w:cs="Times New Roman" w:eastAsiaTheme="minorEastAsia"/>
          <w:color w:val="000000" w:themeColor="text1"/>
          <w:kern w:val="2"/>
          <w:sz w:val="21"/>
          <w:szCs w:val="22"/>
          <w14:textFill>
            <w14:solidFill>
              <w14:schemeClr w14:val="tx1"/>
            </w14:solidFill>
          </w14:textFill>
        </w:rPr>
      </w:pP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TOC \o "1-1" \h \u </w:instrText>
      </w:r>
      <w:r>
        <w:rPr>
          <w:rFonts w:ascii="Times New Roman" w:hAnsi="Times New Roman" w:cs="Times New Roman"/>
          <w:color w:val="000000" w:themeColor="text1"/>
          <w14:textFill>
            <w14:solidFill>
              <w14:schemeClr w14:val="tx1"/>
            </w14:solidFill>
          </w14:textFill>
        </w:rPr>
        <w:fldChar w:fldCharType="separate"/>
      </w:r>
      <w:r>
        <w:fldChar w:fldCharType="begin"/>
      </w:r>
      <w:r>
        <w:instrText xml:space="preserve"> HYPERLINK \l "_Toc146041486" </w:instrText>
      </w:r>
      <w:r>
        <w:fldChar w:fldCharType="separate"/>
      </w:r>
      <w:r>
        <w:rPr>
          <w:rStyle w:val="101"/>
          <w:rFonts w:ascii="Times New Roman" w:hAnsi="Times New Roman" w:cs="Times New Roman"/>
          <w:bCs/>
          <w:snapToGrid w:val="0"/>
          <w:color w:val="000000" w:themeColor="text1"/>
          <w14:textFill>
            <w14:solidFill>
              <w14:schemeClr w14:val="tx1"/>
            </w14:solidFill>
          </w14:textFill>
        </w:rPr>
        <w:t>一、建设项目基本情况</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_Toc146041486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68431FF9">
      <w:pPr>
        <w:pStyle w:val="59"/>
        <w:tabs>
          <w:tab w:val="right" w:leader="dot" w:pos="8834"/>
        </w:tabs>
        <w:spacing w:line="360" w:lineRule="auto"/>
        <w:rPr>
          <w:rFonts w:ascii="Times New Roman" w:hAnsi="Times New Roman" w:cs="Times New Roman" w:eastAsiaTheme="minorEastAsia"/>
          <w:color w:val="000000" w:themeColor="text1"/>
          <w:kern w:val="2"/>
          <w:sz w:val="21"/>
          <w:szCs w:val="22"/>
          <w14:textFill>
            <w14:solidFill>
              <w14:schemeClr w14:val="tx1"/>
            </w14:solidFill>
          </w14:textFill>
        </w:rPr>
      </w:pPr>
      <w:r>
        <w:fldChar w:fldCharType="begin"/>
      </w:r>
      <w:r>
        <w:instrText xml:space="preserve"> HYPERLINK \l "_Toc146041487" </w:instrText>
      </w:r>
      <w:r>
        <w:fldChar w:fldCharType="separate"/>
      </w:r>
      <w:r>
        <w:rPr>
          <w:rStyle w:val="101"/>
          <w:rFonts w:ascii="Times New Roman" w:hAnsi="Times New Roman" w:cs="Times New Roman"/>
          <w:bCs/>
          <w:snapToGrid w:val="0"/>
          <w:color w:val="000000" w:themeColor="text1"/>
          <w14:textFill>
            <w14:solidFill>
              <w14:schemeClr w14:val="tx1"/>
            </w14:solidFill>
          </w14:textFill>
        </w:rPr>
        <w:t>二、建设项目工程分析</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_Toc146041487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26</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652C3EEF">
      <w:pPr>
        <w:pStyle w:val="59"/>
        <w:tabs>
          <w:tab w:val="right" w:leader="dot" w:pos="8834"/>
        </w:tabs>
        <w:spacing w:line="360" w:lineRule="auto"/>
        <w:rPr>
          <w:rFonts w:ascii="Times New Roman" w:hAnsi="Times New Roman" w:cs="Times New Roman" w:eastAsiaTheme="minorEastAsia"/>
          <w:color w:val="000000" w:themeColor="text1"/>
          <w:kern w:val="2"/>
          <w:sz w:val="21"/>
          <w:szCs w:val="22"/>
          <w14:textFill>
            <w14:solidFill>
              <w14:schemeClr w14:val="tx1"/>
            </w14:solidFill>
          </w14:textFill>
        </w:rPr>
      </w:pPr>
      <w:r>
        <w:fldChar w:fldCharType="begin"/>
      </w:r>
      <w:r>
        <w:instrText xml:space="preserve"> HYPERLINK \l "_Toc146041488" </w:instrText>
      </w:r>
      <w:r>
        <w:fldChar w:fldCharType="separate"/>
      </w:r>
      <w:r>
        <w:rPr>
          <w:rStyle w:val="101"/>
          <w:rFonts w:ascii="Times New Roman" w:hAnsi="Times New Roman" w:cs="Times New Roman"/>
          <w:bCs/>
          <w:snapToGrid w:val="0"/>
          <w:color w:val="000000" w:themeColor="text1"/>
          <w14:textFill>
            <w14:solidFill>
              <w14:schemeClr w14:val="tx1"/>
            </w14:solidFill>
          </w14:textFill>
        </w:rPr>
        <w:t>三、区域环境质量现状、环境保护目标及评价标准</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_Toc146041488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43</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117C6942">
      <w:pPr>
        <w:pStyle w:val="59"/>
        <w:tabs>
          <w:tab w:val="right" w:leader="dot" w:pos="8834"/>
        </w:tabs>
        <w:spacing w:line="360" w:lineRule="auto"/>
        <w:rPr>
          <w:rFonts w:ascii="Times New Roman" w:hAnsi="Times New Roman" w:cs="Times New Roman" w:eastAsiaTheme="minorEastAsia"/>
          <w:color w:val="000000" w:themeColor="text1"/>
          <w:kern w:val="2"/>
          <w:sz w:val="21"/>
          <w:szCs w:val="22"/>
          <w14:textFill>
            <w14:solidFill>
              <w14:schemeClr w14:val="tx1"/>
            </w14:solidFill>
          </w14:textFill>
        </w:rPr>
      </w:pPr>
      <w:r>
        <w:fldChar w:fldCharType="begin"/>
      </w:r>
      <w:r>
        <w:instrText xml:space="preserve"> HYPERLINK \l "_Toc146041489" </w:instrText>
      </w:r>
      <w:r>
        <w:fldChar w:fldCharType="separate"/>
      </w:r>
      <w:r>
        <w:rPr>
          <w:rStyle w:val="101"/>
          <w:rFonts w:ascii="Times New Roman" w:hAnsi="Times New Roman" w:cs="Times New Roman"/>
          <w:bCs/>
          <w:snapToGrid w:val="0"/>
          <w:color w:val="000000" w:themeColor="text1"/>
          <w14:textFill>
            <w14:solidFill>
              <w14:schemeClr w14:val="tx1"/>
            </w14:solidFill>
          </w14:textFill>
        </w:rPr>
        <w:t>四、主要环境影响和保护措施</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_Toc146041489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50</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10C42DB8">
      <w:pPr>
        <w:pStyle w:val="59"/>
        <w:tabs>
          <w:tab w:val="right" w:leader="dot" w:pos="8834"/>
        </w:tabs>
        <w:spacing w:line="360" w:lineRule="auto"/>
        <w:rPr>
          <w:rFonts w:ascii="Times New Roman" w:hAnsi="Times New Roman" w:cs="Times New Roman" w:eastAsiaTheme="minorEastAsia"/>
          <w:color w:val="000000" w:themeColor="text1"/>
          <w:kern w:val="2"/>
          <w:sz w:val="21"/>
          <w:szCs w:val="22"/>
          <w14:textFill>
            <w14:solidFill>
              <w14:schemeClr w14:val="tx1"/>
            </w14:solidFill>
          </w14:textFill>
        </w:rPr>
      </w:pPr>
      <w:r>
        <w:fldChar w:fldCharType="begin"/>
      </w:r>
      <w:r>
        <w:instrText xml:space="preserve"> HYPERLINK \l "_Toc146041490" </w:instrText>
      </w:r>
      <w:r>
        <w:fldChar w:fldCharType="separate"/>
      </w:r>
      <w:r>
        <w:rPr>
          <w:rStyle w:val="101"/>
          <w:rFonts w:ascii="Times New Roman" w:hAnsi="Times New Roman" w:cs="Times New Roman"/>
          <w:bCs/>
          <w:snapToGrid w:val="0"/>
          <w:color w:val="000000" w:themeColor="text1"/>
          <w14:textFill>
            <w14:solidFill>
              <w14:schemeClr w14:val="tx1"/>
            </w14:solidFill>
          </w14:textFill>
        </w:rPr>
        <w:t>五、环境保护措施监督检查清单</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_Toc146041490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83</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4A3865B5">
      <w:pPr>
        <w:pStyle w:val="59"/>
        <w:tabs>
          <w:tab w:val="right" w:leader="dot" w:pos="8834"/>
        </w:tabs>
        <w:spacing w:line="360" w:lineRule="auto"/>
        <w:rPr>
          <w:rFonts w:ascii="Times New Roman" w:hAnsi="Times New Roman" w:cs="Times New Roman" w:eastAsiaTheme="minorEastAsia"/>
          <w:color w:val="000000" w:themeColor="text1"/>
          <w:kern w:val="2"/>
          <w:sz w:val="21"/>
          <w:szCs w:val="22"/>
          <w14:textFill>
            <w14:solidFill>
              <w14:schemeClr w14:val="tx1"/>
            </w14:solidFill>
          </w14:textFill>
        </w:rPr>
      </w:pPr>
      <w:r>
        <w:fldChar w:fldCharType="begin"/>
      </w:r>
      <w:r>
        <w:instrText xml:space="preserve"> HYPERLINK \l "_Toc146041491" </w:instrText>
      </w:r>
      <w:r>
        <w:fldChar w:fldCharType="separate"/>
      </w:r>
      <w:r>
        <w:rPr>
          <w:rStyle w:val="101"/>
          <w:rFonts w:ascii="Times New Roman" w:hAnsi="Times New Roman" w:cs="Times New Roman"/>
          <w:bCs/>
          <w:snapToGrid w:val="0"/>
          <w:color w:val="000000" w:themeColor="text1"/>
          <w14:textFill>
            <w14:solidFill>
              <w14:schemeClr w14:val="tx1"/>
            </w14:solidFill>
          </w14:textFill>
        </w:rPr>
        <w:t>六、结论</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_Toc146041491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85</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3D6CA5E7">
      <w:pPr>
        <w:pStyle w:val="59"/>
        <w:tabs>
          <w:tab w:val="right" w:leader="dot" w:pos="8834"/>
        </w:tabs>
        <w:spacing w:line="360" w:lineRule="auto"/>
        <w:rPr>
          <w:rFonts w:ascii="Times New Roman" w:hAnsi="Times New Roman" w:cs="Times New Roman" w:eastAsiaTheme="minorEastAsia"/>
          <w:color w:val="000000" w:themeColor="text1"/>
          <w:kern w:val="2"/>
          <w:sz w:val="21"/>
          <w:szCs w:val="22"/>
          <w14:textFill>
            <w14:solidFill>
              <w14:schemeClr w14:val="tx1"/>
            </w14:solidFill>
          </w14:textFill>
        </w:rPr>
      </w:pPr>
      <w:r>
        <w:fldChar w:fldCharType="begin"/>
      </w:r>
      <w:r>
        <w:instrText xml:space="preserve"> HYPERLINK \l "_Toc146041492" </w:instrText>
      </w:r>
      <w:r>
        <w:fldChar w:fldCharType="separate"/>
      </w:r>
      <w:r>
        <w:rPr>
          <w:rStyle w:val="101"/>
          <w:rFonts w:ascii="Times New Roman" w:hAnsi="Times New Roman" w:cs="Times New Roman"/>
          <w:snapToGrid w:val="0"/>
          <w:color w:val="000000" w:themeColor="text1"/>
          <w14:textFill>
            <w14:solidFill>
              <w14:schemeClr w14:val="tx1"/>
            </w14:solidFill>
          </w14:textFill>
        </w:rPr>
        <w:t>建设项目污染物排放量汇总表</w:t>
      </w:r>
      <w:r>
        <w:rPr>
          <w:rStyle w:val="101"/>
          <w:rFonts w:ascii="Times New Roman" w:hAnsi="Times New Roman" w:cs="Times New Roman"/>
          <w:snapToGrid w:val="0"/>
          <w:color w:val="000000" w:themeColor="text1"/>
          <w14:textFill>
            <w14:solidFill>
              <w14:schemeClr w14:val="tx1"/>
            </w14:solidFill>
          </w14:textFill>
        </w:rPr>
        <w:fldChar w:fldCharType="end"/>
      </w:r>
    </w:p>
    <w:p w14:paraId="702F5ED2">
      <w:pPr>
        <w:spacing w:line="360" w:lineRule="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fldChar w:fldCharType="end"/>
      </w:r>
      <w:bookmarkStart w:id="6" w:name="_Toc19267_WPSOffice_Level1"/>
      <w:bookmarkStart w:id="7" w:name="_Toc9467_WPSOffice_Level1"/>
    </w:p>
    <w:bookmarkEnd w:id="6"/>
    <w:bookmarkEnd w:id="7"/>
    <w:p w14:paraId="6B0BD255">
      <w:pPr>
        <w:pStyle w:val="118"/>
        <w:rPr>
          <w:rFonts w:ascii="Times New Roman" w:hAnsi="Times New Roman" w:cs="Times New Roman"/>
          <w:color w:val="FF0000"/>
        </w:rPr>
      </w:pPr>
    </w:p>
    <w:p w14:paraId="09A56E6F">
      <w:pPr>
        <w:pStyle w:val="118"/>
        <w:rPr>
          <w:rFonts w:ascii="Times New Roman" w:hAnsi="Times New Roman" w:cs="Times New Roman"/>
          <w:color w:val="FF0000"/>
        </w:rPr>
      </w:pPr>
    </w:p>
    <w:p w14:paraId="50F40858">
      <w:pPr>
        <w:pStyle w:val="118"/>
        <w:rPr>
          <w:rFonts w:ascii="Times New Roman" w:hAnsi="Times New Roman" w:cs="Times New Roman"/>
          <w:color w:val="FF0000"/>
        </w:rPr>
      </w:pPr>
    </w:p>
    <w:p w14:paraId="6C7196E2">
      <w:pPr>
        <w:pStyle w:val="118"/>
        <w:rPr>
          <w:rFonts w:ascii="Times New Roman" w:hAnsi="Times New Roman" w:cs="Times New Roman"/>
          <w:color w:val="FF0000"/>
        </w:rPr>
      </w:pPr>
    </w:p>
    <w:p w14:paraId="2F1C781E">
      <w:pPr>
        <w:pStyle w:val="118"/>
        <w:rPr>
          <w:rFonts w:ascii="Times New Roman" w:hAnsi="Times New Roman" w:cs="Times New Roman"/>
          <w:color w:val="FF0000"/>
        </w:rPr>
      </w:pPr>
    </w:p>
    <w:p w14:paraId="10B4C980">
      <w:pPr>
        <w:pStyle w:val="118"/>
        <w:rPr>
          <w:rFonts w:ascii="Times New Roman" w:hAnsi="Times New Roman" w:cs="Times New Roman"/>
          <w:color w:val="FF0000"/>
        </w:rPr>
      </w:pPr>
    </w:p>
    <w:p w14:paraId="2D116F10">
      <w:pPr>
        <w:pStyle w:val="118"/>
        <w:rPr>
          <w:rFonts w:ascii="Times New Roman" w:hAnsi="Times New Roman" w:cs="Times New Roman"/>
          <w:color w:val="FF0000"/>
        </w:rPr>
      </w:pPr>
    </w:p>
    <w:p w14:paraId="0BD2068D">
      <w:pPr>
        <w:pStyle w:val="118"/>
        <w:rPr>
          <w:rFonts w:ascii="Times New Roman" w:hAnsi="Times New Roman" w:cs="Times New Roman"/>
          <w:color w:val="FF0000"/>
        </w:rPr>
      </w:pPr>
    </w:p>
    <w:p w14:paraId="24CD6C33">
      <w:pPr>
        <w:pStyle w:val="118"/>
        <w:rPr>
          <w:rFonts w:ascii="Times New Roman" w:hAnsi="Times New Roman" w:cs="Times New Roman"/>
          <w:color w:val="FF0000"/>
        </w:rPr>
      </w:pPr>
    </w:p>
    <w:p w14:paraId="474F36BB">
      <w:pPr>
        <w:pStyle w:val="118"/>
        <w:rPr>
          <w:rFonts w:ascii="Times New Roman" w:hAnsi="Times New Roman" w:cs="Times New Roman"/>
          <w:color w:val="FF0000"/>
        </w:rPr>
      </w:pPr>
    </w:p>
    <w:p w14:paraId="29A26F95">
      <w:pPr>
        <w:pStyle w:val="118"/>
        <w:rPr>
          <w:rFonts w:ascii="Times New Roman" w:hAnsi="Times New Roman" w:cs="Times New Roman"/>
          <w:color w:val="FF0000"/>
        </w:rPr>
      </w:pPr>
    </w:p>
    <w:p w14:paraId="198D6238">
      <w:pPr>
        <w:pStyle w:val="118"/>
        <w:rPr>
          <w:rFonts w:ascii="Times New Roman" w:hAnsi="Times New Roman" w:cs="Times New Roman"/>
          <w:color w:val="FF0000"/>
        </w:rPr>
      </w:pPr>
    </w:p>
    <w:p w14:paraId="1986B0F0">
      <w:pPr>
        <w:pStyle w:val="118"/>
        <w:rPr>
          <w:rFonts w:ascii="Times New Roman" w:hAnsi="Times New Roman" w:cs="Times New Roman"/>
          <w:color w:val="FF0000"/>
        </w:rPr>
      </w:pPr>
    </w:p>
    <w:p w14:paraId="17B36F81">
      <w:pPr>
        <w:pStyle w:val="81"/>
        <w:spacing w:before="0" w:beforeAutospacing="0" w:after="0" w:afterAutospacing="0" w:line="360" w:lineRule="auto"/>
        <w:jc w:val="center"/>
        <w:outlineLvl w:val="0"/>
        <w:rPr>
          <w:rFonts w:ascii="Times New Roman" w:hAnsi="Times New Roman" w:cs="Times New Roman"/>
          <w:b/>
          <w:bCs/>
          <w:snapToGrid w:val="0"/>
          <w:color w:val="000000" w:themeColor="text1"/>
          <w:sz w:val="30"/>
          <w:szCs w:val="30"/>
          <w14:textFill>
            <w14:solidFill>
              <w14:schemeClr w14:val="tx1"/>
            </w14:solidFill>
          </w14:textFill>
        </w:rPr>
        <w:sectPr>
          <w:headerReference r:id="rId6" w:type="default"/>
          <w:footerReference r:id="rId7" w:type="default"/>
          <w:pgSz w:w="11906" w:h="16838"/>
          <w:pgMar w:top="1440" w:right="1800" w:bottom="1440" w:left="1800" w:header="851" w:footer="1077" w:gutter="0"/>
          <w:pgNumType w:start="1"/>
          <w:cols w:space="720" w:num="1"/>
          <w:docGrid w:linePitch="312" w:charSpace="0"/>
        </w:sectPr>
      </w:pPr>
      <w:bookmarkStart w:id="8" w:name="_Toc144375209"/>
      <w:bookmarkStart w:id="9" w:name="_Toc146041486"/>
    </w:p>
    <w:p w14:paraId="69A807D6">
      <w:pPr>
        <w:pStyle w:val="81"/>
        <w:spacing w:before="0" w:beforeAutospacing="0" w:after="0" w:afterAutospacing="0" w:line="360" w:lineRule="auto"/>
        <w:jc w:val="center"/>
        <w:outlineLvl w:val="0"/>
        <w:rPr>
          <w:rFonts w:ascii="Times New Roman" w:hAnsi="Times New Roman" w:cs="Times New Roman"/>
          <w:b/>
          <w:bCs/>
          <w:snapToGrid w:val="0"/>
          <w:color w:val="000000" w:themeColor="text1"/>
          <w:sz w:val="30"/>
          <w:szCs w:val="30"/>
          <w14:textFill>
            <w14:solidFill>
              <w14:schemeClr w14:val="tx1"/>
            </w14:solidFill>
          </w14:textFill>
        </w:rPr>
      </w:pPr>
      <w:r>
        <w:rPr>
          <w:rFonts w:ascii="Times New Roman" w:hAnsi="Times New Roman" w:cs="Times New Roman"/>
          <w:b/>
          <w:bCs/>
          <w:snapToGrid w:val="0"/>
          <w:color w:val="000000" w:themeColor="text1"/>
          <w:sz w:val="30"/>
          <w:szCs w:val="30"/>
          <w14:textFill>
            <w14:solidFill>
              <w14:schemeClr w14:val="tx1"/>
            </w14:solidFill>
          </w14:textFill>
        </w:rPr>
        <w:t>一、建设项目基本情况</w:t>
      </w:r>
      <w:bookmarkEnd w:id="8"/>
      <w:bookmarkEnd w:id="9"/>
    </w:p>
    <w:tbl>
      <w:tblPr>
        <w:tblStyle w:val="88"/>
        <w:tblW w:w="965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61"/>
        <w:gridCol w:w="1417"/>
        <w:gridCol w:w="2103"/>
        <w:gridCol w:w="1763"/>
        <w:gridCol w:w="3907"/>
      </w:tblGrid>
      <w:tr w14:paraId="6E99BF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0BDA82A6">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建设项目名称</w:t>
            </w:r>
          </w:p>
        </w:tc>
        <w:tc>
          <w:tcPr>
            <w:tcW w:w="7773" w:type="dxa"/>
            <w:gridSpan w:val="3"/>
            <w:vAlign w:val="center"/>
          </w:tcPr>
          <w:p w14:paraId="7859EB96">
            <w:pPr>
              <w:adjustRightInd w:val="0"/>
              <w:snapToGrid w:val="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金鼓江作业区14号泊位后方储罐区工程</w:t>
            </w:r>
          </w:p>
        </w:tc>
      </w:tr>
      <w:tr w14:paraId="370F6A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163FD55B">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项目代码</w:t>
            </w:r>
          </w:p>
        </w:tc>
        <w:tc>
          <w:tcPr>
            <w:tcW w:w="7773" w:type="dxa"/>
            <w:gridSpan w:val="3"/>
            <w:vAlign w:val="center"/>
          </w:tcPr>
          <w:p w14:paraId="00D69709">
            <w:pPr>
              <w:adjustRightInd w:val="0"/>
              <w:snapToGrid w:val="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2510-450704-04-01-734258</w:t>
            </w:r>
          </w:p>
        </w:tc>
      </w:tr>
      <w:tr w14:paraId="177D13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3987D327">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建设单位联系人</w:t>
            </w:r>
          </w:p>
        </w:tc>
        <w:tc>
          <w:tcPr>
            <w:tcW w:w="2103" w:type="dxa"/>
            <w:vAlign w:val="center"/>
          </w:tcPr>
          <w:p w14:paraId="1FD7D474">
            <w:pPr>
              <w:adjustRightInd w:val="0"/>
              <w:snapToGrid w:val="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王家瑛</w:t>
            </w:r>
          </w:p>
        </w:tc>
        <w:tc>
          <w:tcPr>
            <w:tcW w:w="1763" w:type="dxa"/>
            <w:vAlign w:val="center"/>
          </w:tcPr>
          <w:p w14:paraId="5E07FFBB">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联系方式</w:t>
            </w:r>
          </w:p>
        </w:tc>
        <w:tc>
          <w:tcPr>
            <w:tcW w:w="3907" w:type="dxa"/>
            <w:vAlign w:val="center"/>
          </w:tcPr>
          <w:p w14:paraId="452B8621">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13998658056</w:t>
            </w:r>
          </w:p>
        </w:tc>
      </w:tr>
      <w:tr w14:paraId="4E024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491BB60B">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建设地点</w:t>
            </w:r>
          </w:p>
        </w:tc>
        <w:tc>
          <w:tcPr>
            <w:tcW w:w="7773" w:type="dxa"/>
            <w:gridSpan w:val="3"/>
            <w:vAlign w:val="center"/>
          </w:tcPr>
          <w:p w14:paraId="361D2731">
            <w:pPr>
              <w:adjustRightInd w:val="0"/>
              <w:snapToGrid w:val="0"/>
              <w:jc w:val="center"/>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中国（广西）自由贸易试验区钦州港片区</w:t>
            </w:r>
          </w:p>
        </w:tc>
      </w:tr>
      <w:tr w14:paraId="29D3FF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4639654E">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地理坐标</w:t>
            </w:r>
          </w:p>
        </w:tc>
        <w:tc>
          <w:tcPr>
            <w:tcW w:w="7773" w:type="dxa"/>
            <w:gridSpan w:val="3"/>
            <w:vAlign w:val="center"/>
          </w:tcPr>
          <w:p w14:paraId="0908E7E3">
            <w:pPr>
              <w:jc w:val="center"/>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 108度3</w:t>
            </w:r>
            <w:r>
              <w:rPr>
                <w:rFonts w:hint="eastAsia"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分</w:t>
            </w:r>
            <w:r>
              <w:rPr>
                <w:rFonts w:hint="eastAsia" w:ascii="Times New Roman" w:hAnsi="Times New Roman" w:cs="Times New Roman"/>
                <w:color w:val="000000" w:themeColor="text1"/>
                <w14:textFill>
                  <w14:solidFill>
                    <w14:schemeClr w14:val="tx1"/>
                  </w14:solidFill>
                </w14:textFill>
              </w:rPr>
              <w:t>42.079</w:t>
            </w:r>
            <w:r>
              <w:rPr>
                <w:rFonts w:ascii="Times New Roman" w:hAnsi="Times New Roman" w:cs="Times New Roman"/>
                <w:color w:val="000000" w:themeColor="text1"/>
                <w14:textFill>
                  <w14:solidFill>
                    <w14:schemeClr w14:val="tx1"/>
                  </w14:solidFill>
                </w14:textFill>
              </w:rPr>
              <w:t>秒， 21度4</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分</w:t>
            </w:r>
            <w:r>
              <w:rPr>
                <w:rFonts w:hint="eastAsia" w:ascii="Times New Roman" w:hAnsi="Times New Roman" w:cs="Times New Roman"/>
                <w:color w:val="000000" w:themeColor="text1"/>
                <w14:textFill>
                  <w14:solidFill>
                    <w14:schemeClr w14:val="tx1"/>
                  </w14:solidFill>
                </w14:textFill>
              </w:rPr>
              <w:t>2.970</w:t>
            </w:r>
            <w:r>
              <w:rPr>
                <w:rFonts w:ascii="Times New Roman" w:hAnsi="Times New Roman" w:cs="Times New Roman"/>
                <w:color w:val="000000" w:themeColor="text1"/>
                <w14:textFill>
                  <w14:solidFill>
                    <w14:schemeClr w14:val="tx1"/>
                  </w14:solidFill>
                </w14:textFill>
              </w:rPr>
              <w:t>秒）</w:t>
            </w:r>
          </w:p>
        </w:tc>
      </w:tr>
      <w:tr w14:paraId="2B86F9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4E68189F">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国民经济</w:t>
            </w:r>
          </w:p>
          <w:p w14:paraId="27D78FE6">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行业类别</w:t>
            </w:r>
          </w:p>
        </w:tc>
        <w:tc>
          <w:tcPr>
            <w:tcW w:w="2103" w:type="dxa"/>
            <w:vAlign w:val="center"/>
          </w:tcPr>
          <w:p w14:paraId="31483980">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G594危险品仓储</w:t>
            </w:r>
          </w:p>
        </w:tc>
        <w:tc>
          <w:tcPr>
            <w:tcW w:w="1763" w:type="dxa"/>
            <w:vAlign w:val="center"/>
          </w:tcPr>
          <w:p w14:paraId="326DC5D8">
            <w:pPr>
              <w:adjustRightInd w:val="0"/>
              <w:snapToGrid w:val="0"/>
              <w:jc w:val="center"/>
              <w:rPr>
                <w:rFonts w:ascii="Times New Roman" w:hAnsi="Times New Roman" w:cs="Times New Roman"/>
                <w:color w:val="000000" w:themeColor="text1"/>
                <w14:textFill>
                  <w14:solidFill>
                    <w14:schemeClr w14:val="tx1"/>
                  </w14:solidFill>
                </w14:textFill>
              </w:rPr>
            </w:pPr>
            <w:bookmarkStart w:id="10" w:name="_Hlk49843745"/>
            <w:r>
              <w:rPr>
                <w:rFonts w:ascii="Times New Roman" w:hAnsi="Times New Roman" w:cs="Times New Roman"/>
                <w:color w:val="000000" w:themeColor="text1"/>
                <w14:textFill>
                  <w14:solidFill>
                    <w14:schemeClr w14:val="tx1"/>
                  </w14:solidFill>
                </w14:textFill>
              </w:rPr>
              <w:t>建设项目</w:t>
            </w:r>
          </w:p>
          <w:p w14:paraId="2EAB9B45">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行业类别</w:t>
            </w:r>
            <w:bookmarkEnd w:id="10"/>
          </w:p>
        </w:tc>
        <w:tc>
          <w:tcPr>
            <w:tcW w:w="3907" w:type="dxa"/>
            <w:vAlign w:val="center"/>
          </w:tcPr>
          <w:p w14:paraId="47B6CAF3">
            <w:pPr>
              <w:adjustRightInd w:val="0"/>
              <w:snapToGrid w:val="0"/>
              <w:jc w:val="center"/>
              <w:rPr>
                <w:rFonts w:ascii="Times New Roman" w:hAnsi="Times New Roman" w:cs="Times New Roman"/>
                <w:bCs/>
                <w:color w:val="FF0000"/>
              </w:rPr>
            </w:pPr>
            <w:r>
              <w:rPr>
                <w:rFonts w:hint="eastAsia"/>
              </w:rPr>
              <w:t>“五十三、装卸搬运和仓储业”中的“危险品仓储 594（不含加油站的油库；不含加气站的气库）”中的“其他（含有毒、有害、危险品的仓储；含液化天然气库）”</w:t>
            </w:r>
          </w:p>
        </w:tc>
      </w:tr>
      <w:tr w14:paraId="6FF104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4A42D8C4">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建设性质</w:t>
            </w:r>
          </w:p>
        </w:tc>
        <w:tc>
          <w:tcPr>
            <w:tcW w:w="2103" w:type="dxa"/>
            <w:vAlign w:val="center"/>
          </w:tcPr>
          <w:p w14:paraId="3495EEDE">
            <w:pPr>
              <w:jc w:val="both"/>
              <w:rPr>
                <w:rFonts w:ascii="Times New Roman" w:hAnsi="Times New Roman" w:cs="Times New Roman"/>
                <w:color w:val="000000" w:themeColor="text1"/>
                <w14:textFill>
                  <w14:solidFill>
                    <w14:schemeClr w14:val="tx1"/>
                  </w14:solidFill>
                </w14:textFill>
              </w:rPr>
            </w:pPr>
            <w:r>
              <w:rPr>
                <w:rFonts w:hint="eastAsia" w:ascii="MS Mincho" w:hAnsi="MS Mincho" w:cs="MS Mincho"/>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新建（迁建）</w:t>
            </w:r>
          </w:p>
          <w:p w14:paraId="2113B7DE">
            <w:pPr>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sym w:font="Wingdings 2" w:char="00A3"/>
            </w:r>
            <w:r>
              <w:rPr>
                <w:rFonts w:ascii="Times New Roman" w:hAnsi="Times New Roman" w:cs="Times New Roman"/>
                <w:color w:val="000000" w:themeColor="text1"/>
                <w14:textFill>
                  <w14:solidFill>
                    <w14:schemeClr w14:val="tx1"/>
                  </w14:solidFill>
                </w14:textFill>
              </w:rPr>
              <w:t>改建</w:t>
            </w:r>
          </w:p>
          <w:p w14:paraId="10A0933E">
            <w:pPr>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sym w:font="Wingdings 2" w:char="0052"/>
            </w:r>
            <w:r>
              <w:rPr>
                <w:rFonts w:ascii="Times New Roman" w:hAnsi="Times New Roman" w:cs="Times New Roman"/>
                <w:color w:val="000000" w:themeColor="text1"/>
                <w14:textFill>
                  <w14:solidFill>
                    <w14:schemeClr w14:val="tx1"/>
                  </w14:solidFill>
                </w14:textFill>
              </w:rPr>
              <w:t>扩建</w:t>
            </w:r>
          </w:p>
          <w:p w14:paraId="11D977A1">
            <w:pPr>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sym w:font="Wingdings 2" w:char="00A3"/>
            </w:r>
            <w:r>
              <w:rPr>
                <w:rFonts w:ascii="Times New Roman" w:hAnsi="Times New Roman" w:cs="Times New Roman"/>
                <w:color w:val="000000" w:themeColor="text1"/>
                <w14:textFill>
                  <w14:solidFill>
                    <w14:schemeClr w14:val="tx1"/>
                  </w14:solidFill>
                </w14:textFill>
              </w:rPr>
              <w:t>技术改造</w:t>
            </w:r>
          </w:p>
        </w:tc>
        <w:tc>
          <w:tcPr>
            <w:tcW w:w="1763" w:type="dxa"/>
            <w:vAlign w:val="center"/>
          </w:tcPr>
          <w:p w14:paraId="54ADC2DD">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建设项目</w:t>
            </w:r>
          </w:p>
          <w:p w14:paraId="3B5FE4F1">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申报情形</w:t>
            </w:r>
          </w:p>
        </w:tc>
        <w:tc>
          <w:tcPr>
            <w:tcW w:w="3907" w:type="dxa"/>
            <w:vAlign w:val="center"/>
          </w:tcPr>
          <w:p w14:paraId="5F37D8F9">
            <w:pPr>
              <w:jc w:val="both"/>
              <w:rPr>
                <w:rFonts w:ascii="Times New Roman" w:hAnsi="Times New Roman" w:cs="Times New Roman"/>
                <w:color w:val="000000" w:themeColor="text1"/>
                <w14:textFill>
                  <w14:solidFill>
                    <w14:schemeClr w14:val="tx1"/>
                  </w14:solidFill>
                </w14:textFill>
              </w:rPr>
            </w:pPr>
            <w:r>
              <w:rPr>
                <w:rFonts w:hint="eastAsia" w:ascii="MS Mincho" w:hAnsi="MS Mincho" w:eastAsia="MS Mincho" w:cs="MS Mincho"/>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首次申报项目</w:t>
            </w:r>
          </w:p>
          <w:p w14:paraId="6D695CCC">
            <w:pPr>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sym w:font="Wingdings 2" w:char="00A3"/>
            </w:r>
            <w:r>
              <w:rPr>
                <w:rFonts w:ascii="Times New Roman" w:hAnsi="Times New Roman" w:cs="Times New Roman"/>
                <w:color w:val="000000" w:themeColor="text1"/>
                <w14:textFill>
                  <w14:solidFill>
                    <w14:schemeClr w14:val="tx1"/>
                  </w14:solidFill>
                </w14:textFill>
              </w:rPr>
              <w:t>不予批准后再次申报项目</w:t>
            </w:r>
          </w:p>
          <w:p w14:paraId="4486D20A">
            <w:pPr>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sym w:font="Wingdings 2" w:char="00A3"/>
            </w:r>
            <w:r>
              <w:rPr>
                <w:rFonts w:ascii="Times New Roman" w:hAnsi="Times New Roman" w:cs="Times New Roman"/>
                <w:color w:val="000000" w:themeColor="text1"/>
                <w14:textFill>
                  <w14:solidFill>
                    <w14:schemeClr w14:val="tx1"/>
                  </w14:solidFill>
                </w14:textFill>
              </w:rPr>
              <w:t>超五年重新审核项目</w:t>
            </w:r>
          </w:p>
          <w:p w14:paraId="13B91B41">
            <w:pPr>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sym w:font="Wingdings 2" w:char="00A3"/>
            </w:r>
            <w:r>
              <w:rPr>
                <w:rFonts w:ascii="Times New Roman" w:hAnsi="Times New Roman" w:cs="Times New Roman"/>
                <w:color w:val="000000" w:themeColor="text1"/>
                <w14:textFill>
                  <w14:solidFill>
                    <w14:schemeClr w14:val="tx1"/>
                  </w14:solidFill>
                </w14:textFill>
              </w:rPr>
              <w:t>重大变动重新报批项目</w:t>
            </w:r>
          </w:p>
        </w:tc>
      </w:tr>
      <w:tr w14:paraId="759441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57159F31">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项目审批（核准/备案）部门（选填）</w:t>
            </w:r>
          </w:p>
        </w:tc>
        <w:tc>
          <w:tcPr>
            <w:tcW w:w="2103" w:type="dxa"/>
            <w:vAlign w:val="center"/>
          </w:tcPr>
          <w:p w14:paraId="032E487A">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广西自贸区钦州港片区行政审批局</w:t>
            </w:r>
          </w:p>
        </w:tc>
        <w:tc>
          <w:tcPr>
            <w:tcW w:w="1763" w:type="dxa"/>
            <w:vAlign w:val="center"/>
          </w:tcPr>
          <w:p w14:paraId="71C34060">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项目审批（核准/</w:t>
            </w:r>
          </w:p>
          <w:p w14:paraId="6B02CC20">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备案）文号（选填）</w:t>
            </w:r>
          </w:p>
        </w:tc>
        <w:tc>
          <w:tcPr>
            <w:tcW w:w="3907" w:type="dxa"/>
            <w:vAlign w:val="center"/>
          </w:tcPr>
          <w:p w14:paraId="0E955AE4">
            <w:pPr>
              <w:adjustRightInd w:val="0"/>
              <w:snapToGrid w:val="0"/>
              <w:jc w:val="center"/>
              <w:rPr>
                <w:rFonts w:ascii="Times New Roman" w:hAnsi="Times New Roman" w:cs="Times New Roman"/>
                <w:color w:val="FF0000"/>
              </w:rPr>
            </w:pPr>
            <w:r>
              <w:rPr>
                <w:rFonts w:hint="eastAsia" w:ascii="Times New Roman" w:hAnsi="Times New Roman" w:cs="Times New Roman"/>
                <w:color w:val="000000" w:themeColor="text1"/>
                <w14:textFill>
                  <w14:solidFill>
                    <w14:schemeClr w14:val="tx1"/>
                  </w14:solidFill>
                </w14:textFill>
              </w:rPr>
              <w:t>2510-450704-04-01-734258</w:t>
            </w:r>
          </w:p>
        </w:tc>
      </w:tr>
      <w:tr w14:paraId="0A9AB1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4421DE29">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总投资（万元）</w:t>
            </w:r>
          </w:p>
        </w:tc>
        <w:tc>
          <w:tcPr>
            <w:tcW w:w="2103" w:type="dxa"/>
            <w:vAlign w:val="center"/>
          </w:tcPr>
          <w:p w14:paraId="24D12167">
            <w:pPr>
              <w:adjustRightInd w:val="0"/>
              <w:snapToGrid w:val="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15200</w:t>
            </w:r>
          </w:p>
        </w:tc>
        <w:tc>
          <w:tcPr>
            <w:tcW w:w="1763" w:type="dxa"/>
            <w:tcMar>
              <w:top w:w="16" w:type="dxa"/>
              <w:left w:w="16" w:type="dxa"/>
              <w:right w:w="16" w:type="dxa"/>
            </w:tcMar>
            <w:vAlign w:val="center"/>
          </w:tcPr>
          <w:p w14:paraId="4D0B50C3">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环保投资（万元）</w:t>
            </w:r>
          </w:p>
        </w:tc>
        <w:tc>
          <w:tcPr>
            <w:tcW w:w="3907" w:type="dxa"/>
            <w:vAlign w:val="center"/>
          </w:tcPr>
          <w:p w14:paraId="3537E663">
            <w:pPr>
              <w:adjustRightInd w:val="0"/>
              <w:snapToGrid w:val="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160</w:t>
            </w:r>
          </w:p>
        </w:tc>
      </w:tr>
      <w:tr w14:paraId="702E71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14596CBF">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环保投资占比（%）</w:t>
            </w:r>
          </w:p>
        </w:tc>
        <w:tc>
          <w:tcPr>
            <w:tcW w:w="2103" w:type="dxa"/>
            <w:vAlign w:val="center"/>
          </w:tcPr>
          <w:p w14:paraId="44CBCF2A">
            <w:pPr>
              <w:adjustRightInd w:val="0"/>
              <w:snapToGrid w:val="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1.05</w:t>
            </w:r>
          </w:p>
        </w:tc>
        <w:tc>
          <w:tcPr>
            <w:tcW w:w="1763" w:type="dxa"/>
            <w:tcMar>
              <w:top w:w="16" w:type="dxa"/>
              <w:left w:w="16" w:type="dxa"/>
              <w:right w:w="16" w:type="dxa"/>
            </w:tcMar>
            <w:vAlign w:val="center"/>
          </w:tcPr>
          <w:p w14:paraId="3FB956A5">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施工工期</w:t>
            </w:r>
          </w:p>
        </w:tc>
        <w:tc>
          <w:tcPr>
            <w:tcW w:w="3907" w:type="dxa"/>
            <w:vAlign w:val="center"/>
          </w:tcPr>
          <w:p w14:paraId="5A69B779">
            <w:pPr>
              <w:adjustRightInd w:val="0"/>
              <w:snapToGrid w:val="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个月</w:t>
            </w:r>
          </w:p>
        </w:tc>
      </w:tr>
      <w:tr w14:paraId="2AF31F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78" w:type="dxa"/>
            <w:gridSpan w:val="2"/>
            <w:tcMar>
              <w:top w:w="16" w:type="dxa"/>
              <w:left w:w="16" w:type="dxa"/>
              <w:right w:w="16" w:type="dxa"/>
            </w:tcMar>
            <w:vAlign w:val="center"/>
          </w:tcPr>
          <w:p w14:paraId="1310ED1F">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是否开工建设</w:t>
            </w:r>
          </w:p>
        </w:tc>
        <w:tc>
          <w:tcPr>
            <w:tcW w:w="2103" w:type="dxa"/>
            <w:vAlign w:val="center"/>
          </w:tcPr>
          <w:p w14:paraId="39E0619A">
            <w:pPr>
              <w:adjustRightInd w:val="0"/>
              <w:snapToGrid w:val="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sym w:font="Wingdings 2" w:char="00A3"/>
            </w:r>
            <w:r>
              <w:rPr>
                <w:rFonts w:ascii="Times New Roman" w:hAnsi="Times New Roman" w:cs="Times New Roman"/>
                <w:color w:val="000000" w:themeColor="text1"/>
                <w14:textFill>
                  <w14:solidFill>
                    <w14:schemeClr w14:val="tx1"/>
                  </w14:solidFill>
                </w14:textFill>
              </w:rPr>
              <w:t>否</w:t>
            </w:r>
          </w:p>
          <w:p w14:paraId="43901F6A">
            <w:pPr>
              <w:adjustRightInd w:val="0"/>
              <w:snapToGrid w:val="0"/>
              <w:jc w:val="both"/>
              <w:rPr>
                <w:rFonts w:ascii="Times New Roman" w:hAnsi="Times New Roman" w:cs="Times New Roman"/>
                <w:color w:val="000000" w:themeColor="text1"/>
                <w:u w:val="single"/>
                <w14:textFill>
                  <w14:solidFill>
                    <w14:schemeClr w14:val="tx1"/>
                  </w14:solidFill>
                </w14:textFill>
              </w:rPr>
            </w:pPr>
            <w:r>
              <w:rPr>
                <w:rFonts w:hint="eastAsia" w:ascii="MS Mincho" w:hAnsi="MS Mincho" w:cs="MS Mincho"/>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是：</w:t>
            </w:r>
            <w:r>
              <w:rPr>
                <w:rFonts w:hint="eastAsia" w:ascii="Times New Roman" w:hAnsi="Times New Roman" w:cs="Times New Roman"/>
                <w:color w:val="000000" w:themeColor="text1"/>
                <w14:textFill>
                  <w14:solidFill>
                    <w14:schemeClr w14:val="tx1"/>
                  </w14:solidFill>
                </w14:textFill>
              </w:rPr>
              <w:t>本项目于2025年12月开工建设，截止2026年2月，已完成泵棚、液硫储罐、装卸站施工。预计2026年12月完工投入使用。</w:t>
            </w:r>
          </w:p>
        </w:tc>
        <w:tc>
          <w:tcPr>
            <w:tcW w:w="1763" w:type="dxa"/>
            <w:tcMar>
              <w:top w:w="16" w:type="dxa"/>
              <w:left w:w="16" w:type="dxa"/>
              <w:right w:w="16" w:type="dxa"/>
            </w:tcMar>
            <w:vAlign w:val="center"/>
          </w:tcPr>
          <w:p w14:paraId="516071ED">
            <w:pPr>
              <w:adjustRightInd w:val="0"/>
              <w:snapToGrid w:val="0"/>
              <w:jc w:val="center"/>
              <w:rPr>
                <w:rFonts w:ascii="Times New Roman" w:hAnsi="Times New Roman" w:cs="Times New Roman"/>
                <w:color w:val="000000" w:themeColor="text1"/>
                <w:spacing w:val="-6"/>
                <w14:textFill>
                  <w14:solidFill>
                    <w14:schemeClr w14:val="tx1"/>
                  </w14:solidFill>
                </w14:textFill>
              </w:rPr>
            </w:pPr>
            <w:r>
              <w:rPr>
                <w:rFonts w:ascii="Times New Roman" w:hAnsi="Times New Roman" w:cs="Times New Roman"/>
                <w:color w:val="000000" w:themeColor="text1"/>
                <w:spacing w:val="-6"/>
                <w14:textFill>
                  <w14:solidFill>
                    <w14:schemeClr w14:val="tx1"/>
                  </w14:solidFill>
                </w14:textFill>
              </w:rPr>
              <w:t>用地（用海）面积（m</w:t>
            </w:r>
            <w:r>
              <w:rPr>
                <w:rFonts w:ascii="Times New Roman" w:hAnsi="Times New Roman" w:cs="Times New Roman"/>
                <w:color w:val="000000" w:themeColor="text1"/>
                <w:spacing w:val="-6"/>
                <w:vertAlign w:val="superscript"/>
                <w14:textFill>
                  <w14:solidFill>
                    <w14:schemeClr w14:val="tx1"/>
                  </w14:solidFill>
                </w14:textFill>
              </w:rPr>
              <w:t>2</w:t>
            </w:r>
            <w:r>
              <w:rPr>
                <w:rFonts w:ascii="Times New Roman" w:hAnsi="Times New Roman" w:cs="Times New Roman"/>
                <w:color w:val="000000" w:themeColor="text1"/>
                <w:spacing w:val="-6"/>
                <w14:textFill>
                  <w14:solidFill>
                    <w14:schemeClr w14:val="tx1"/>
                  </w14:solidFill>
                </w14:textFill>
              </w:rPr>
              <w:t>）</w:t>
            </w:r>
          </w:p>
        </w:tc>
        <w:tc>
          <w:tcPr>
            <w:tcW w:w="3907" w:type="dxa"/>
            <w:vAlign w:val="center"/>
          </w:tcPr>
          <w:p w14:paraId="0AC9E870">
            <w:pPr>
              <w:adjustRightInd w:val="0"/>
              <w:snapToGrid w:val="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18215</w:t>
            </w:r>
          </w:p>
        </w:tc>
      </w:tr>
      <w:tr w14:paraId="19BD94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vAlign w:val="center"/>
          </w:tcPr>
          <w:p w14:paraId="291BC9EC">
            <w:pPr>
              <w:autoSpaceDE w:val="0"/>
              <w:autoSpaceDN w:val="0"/>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专项评价情况</w:t>
            </w:r>
          </w:p>
        </w:tc>
        <w:tc>
          <w:tcPr>
            <w:tcW w:w="9190" w:type="dxa"/>
            <w:gridSpan w:val="4"/>
            <w:vAlign w:val="center"/>
          </w:tcPr>
          <w:p w14:paraId="177F016F">
            <w:pPr>
              <w:autoSpaceDE w:val="0"/>
              <w:autoSpaceDN w:val="0"/>
              <w:adjustRightInd w:val="0"/>
              <w:snapToGrid w:val="0"/>
              <w:spacing w:line="480" w:lineRule="exact"/>
              <w:ind w:firstLine="480" w:firstLineChars="200"/>
              <w:rPr>
                <w:color w:val="000000"/>
              </w:rPr>
            </w:pPr>
            <w:r>
              <w:rPr>
                <w:rFonts w:hint="eastAsia"/>
                <w:color w:val="000000"/>
              </w:rPr>
              <w:t>根据《建设项目环境影响报告表编制技术指南(污染影响类)试行)》，专项评价设置原则如下表 1-1。</w:t>
            </w:r>
          </w:p>
          <w:p w14:paraId="771C53C3">
            <w:pPr>
              <w:autoSpaceDE w:val="0"/>
              <w:autoSpaceDN w:val="0"/>
              <w:adjustRightInd w:val="0"/>
              <w:snapToGrid w:val="0"/>
              <w:spacing w:line="480" w:lineRule="exact"/>
              <w:jc w:val="center"/>
              <w:rPr>
                <w:b/>
                <w:bCs/>
                <w:color w:val="000000"/>
              </w:rPr>
            </w:pPr>
            <w:r>
              <w:rPr>
                <w:rFonts w:hint="eastAsia"/>
                <w:b/>
                <w:bCs/>
                <w:color w:val="000000"/>
              </w:rPr>
              <w:t>表1-1 专项评价设置原则表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143"/>
              <w:gridCol w:w="3451"/>
              <w:gridCol w:w="4370"/>
            </w:tblGrid>
            <w:tr w14:paraId="78DD5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86" w:type="dxa"/>
                  <w:vAlign w:val="center"/>
                </w:tcPr>
                <w:p w14:paraId="0AF039FC">
                  <w:pPr>
                    <w:autoSpaceDE w:val="0"/>
                    <w:autoSpaceDN w:val="0"/>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专项评价</w:t>
                  </w:r>
                </w:p>
                <w:p w14:paraId="793E54F2">
                  <w:pPr>
                    <w:autoSpaceDE w:val="0"/>
                    <w:autoSpaceDN w:val="0"/>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类别</w:t>
                  </w:r>
                </w:p>
              </w:tc>
              <w:tc>
                <w:tcPr>
                  <w:tcW w:w="2977" w:type="dxa"/>
                  <w:vAlign w:val="center"/>
                </w:tcPr>
                <w:p w14:paraId="13229B2C">
                  <w:pPr>
                    <w:autoSpaceDE w:val="0"/>
                    <w:autoSpaceDN w:val="0"/>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设置原则</w:t>
                  </w:r>
                </w:p>
              </w:tc>
              <w:tc>
                <w:tcPr>
                  <w:tcW w:w="3769" w:type="dxa"/>
                  <w:vAlign w:val="center"/>
                </w:tcPr>
                <w:p w14:paraId="1998F1A7">
                  <w:pPr>
                    <w:autoSpaceDE w:val="0"/>
                    <w:autoSpaceDN w:val="0"/>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本项目情况</w:t>
                  </w:r>
                </w:p>
              </w:tc>
            </w:tr>
            <w:tr w14:paraId="2EB26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6" w:type="dxa"/>
                  <w:vAlign w:val="center"/>
                </w:tcPr>
                <w:p w14:paraId="5436A06C">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大气</w:t>
                  </w:r>
                </w:p>
              </w:tc>
              <w:tc>
                <w:tcPr>
                  <w:tcW w:w="2977" w:type="dxa"/>
                  <w:vAlign w:val="center"/>
                </w:tcPr>
                <w:p w14:paraId="0CB7C1D9">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排放废气含有毒有害污染物、二噁英、苯并[a]芘、氰化物、氯气、甲醛且厂界外500米范围内有环境空气保护目标的建设项目</w:t>
                  </w:r>
                </w:p>
              </w:tc>
              <w:tc>
                <w:tcPr>
                  <w:tcW w:w="3769" w:type="dxa"/>
                  <w:vAlign w:val="center"/>
                </w:tcPr>
                <w:p w14:paraId="56F7E839">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本项目储运货种为液硫、发烟硫酸/98%硫酸、液碱，排放废气不含有毒有害污染物、二噁英、苯并[a]芘、氰化物、氯气、甲醛，厂界500米范围内无环境空气保护目标，项目无需设置大气专项评价。</w:t>
                  </w:r>
                </w:p>
              </w:tc>
            </w:tr>
            <w:tr w14:paraId="4EA53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6" w:type="dxa"/>
                  <w:vAlign w:val="center"/>
                </w:tcPr>
                <w:p w14:paraId="48AA1F64">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地表水</w:t>
                  </w:r>
                </w:p>
              </w:tc>
              <w:tc>
                <w:tcPr>
                  <w:tcW w:w="2977" w:type="dxa"/>
                  <w:vAlign w:val="center"/>
                </w:tcPr>
                <w:p w14:paraId="709623E1">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新增工业废水直排建设项目（槽罐车外送污水处理厂的除外）；新增废水直排的污水集中处理厂</w:t>
                  </w:r>
                </w:p>
              </w:tc>
              <w:tc>
                <w:tcPr>
                  <w:tcW w:w="3769" w:type="dxa"/>
                  <w:vAlign w:val="center"/>
                </w:tcPr>
                <w:p w14:paraId="157F3EED">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本项目废水主要为场地冲洗水和初期雨水，经收集后泵送至广西恒逸污水处理厂处理。项目不属于新增工业废水直排建设项目，不属于新增废水直排的污水集中处理厂，项目无需设置地表水专项评价。</w:t>
                  </w:r>
                </w:p>
              </w:tc>
            </w:tr>
            <w:tr w14:paraId="1A846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6" w:type="dxa"/>
                  <w:vAlign w:val="center"/>
                </w:tcPr>
                <w:p w14:paraId="1DB3F09F">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环境风险</w:t>
                  </w:r>
                </w:p>
              </w:tc>
              <w:tc>
                <w:tcPr>
                  <w:tcW w:w="2977" w:type="dxa"/>
                  <w:vAlign w:val="center"/>
                </w:tcPr>
                <w:p w14:paraId="454DAA5F">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有毒有害和易燃易爆危险物质储存超过临界量的建设项目</w:t>
                  </w:r>
                </w:p>
              </w:tc>
              <w:tc>
                <w:tcPr>
                  <w:tcW w:w="3769" w:type="dxa"/>
                  <w:vAlign w:val="center"/>
                </w:tcPr>
                <w:p w14:paraId="2CF94C15">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项目液硫、发烟硫酸/98%硫酸、液碱等危险物质最大储存量超过《建设项目环境风险评价技术导则》（HJ169-2018）附录B中规定的危险物质临界量，因此本次项目设置环境风险专项评价。</w:t>
                  </w:r>
                </w:p>
              </w:tc>
            </w:tr>
            <w:tr w14:paraId="032A2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6" w:type="dxa"/>
                  <w:vAlign w:val="center"/>
                </w:tcPr>
                <w:p w14:paraId="6FE9083B">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生态</w:t>
                  </w:r>
                </w:p>
              </w:tc>
              <w:tc>
                <w:tcPr>
                  <w:tcW w:w="2977" w:type="dxa"/>
                  <w:vAlign w:val="center"/>
                </w:tcPr>
                <w:p w14:paraId="55842829">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取水口下游 500 米范围内有重要水生生物的自然产卵场、索饵场、越冬场和洄游通道的新增河道取水的污染类建设项目</w:t>
                  </w:r>
                </w:p>
              </w:tc>
              <w:tc>
                <w:tcPr>
                  <w:tcW w:w="3769" w:type="dxa"/>
                  <w:vAlign w:val="center"/>
                </w:tcPr>
                <w:p w14:paraId="52CC3DE8">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项目用水依托市政供水，不涉及取水口，项目不属于取水口下游 500米范围内有重要水生生物的自然产卵场、索饵场、越冬场和洄游通道的新增河道取水的污染类建设项目，依据《建设项目环境影响报告表编制技术指南》(污染影响类)(试行)》，不需开展生态专项评价</w:t>
                  </w:r>
                </w:p>
              </w:tc>
            </w:tr>
            <w:tr w14:paraId="58D5F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6" w:type="dxa"/>
                  <w:vAlign w:val="center"/>
                </w:tcPr>
                <w:p w14:paraId="791982FB">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海洋</w:t>
                  </w:r>
                </w:p>
              </w:tc>
              <w:tc>
                <w:tcPr>
                  <w:tcW w:w="2977" w:type="dxa"/>
                  <w:vAlign w:val="center"/>
                </w:tcPr>
                <w:p w14:paraId="7649F8C9">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直接向海排放污染物的海洋工程建设项目</w:t>
                  </w:r>
                </w:p>
              </w:tc>
              <w:tc>
                <w:tcPr>
                  <w:tcW w:w="3769" w:type="dxa"/>
                  <w:vAlign w:val="center"/>
                </w:tcPr>
                <w:p w14:paraId="355DA9C7">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项目不属于海洋工程建设项目，故本项目无需开展海洋专项评价。</w:t>
                  </w:r>
                </w:p>
              </w:tc>
            </w:tr>
            <w:tr w14:paraId="3A87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86" w:type="dxa"/>
                  <w:vAlign w:val="center"/>
                </w:tcPr>
                <w:p w14:paraId="659CDA9D">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地下水</w:t>
                  </w:r>
                </w:p>
              </w:tc>
              <w:tc>
                <w:tcPr>
                  <w:tcW w:w="2977" w:type="dxa"/>
                  <w:vAlign w:val="center"/>
                </w:tcPr>
                <w:p w14:paraId="2157DE30">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涉及集中式饮用水水源和热水、矿泉水、温泉等特殊地下水资源保护区</w:t>
                  </w:r>
                </w:p>
              </w:tc>
              <w:tc>
                <w:tcPr>
                  <w:tcW w:w="3769" w:type="dxa"/>
                  <w:vAlign w:val="center"/>
                </w:tcPr>
                <w:p w14:paraId="104E9788">
                  <w:pPr>
                    <w:autoSpaceDE w:val="0"/>
                    <w:autoSpaceDN w:val="0"/>
                    <w:adjustRightInd w:val="0"/>
                    <w:snapToGrid w:val="0"/>
                    <w:rPr>
                      <w:rFonts w:ascii="Times New Roman" w:hAnsi="Times New Roman" w:cs="Times New Roman"/>
                      <w:color w:val="000000"/>
                      <w:sz w:val="21"/>
                      <w:szCs w:val="21"/>
                    </w:rPr>
                  </w:pPr>
                  <w:r>
                    <w:rPr>
                      <w:rFonts w:ascii="Times New Roman" w:hAnsi="Times New Roman" w:cs="Times New Roman"/>
                      <w:color w:val="000000"/>
                      <w:sz w:val="21"/>
                      <w:szCs w:val="21"/>
                    </w:rPr>
                    <w:t>本项目不涉及集中式饮用水水源和热水、矿泉水、温泉等特殊地下水资源保护区，故本项目无需开展地下水专项评价</w:t>
                  </w:r>
                </w:p>
              </w:tc>
            </w:tr>
          </w:tbl>
          <w:p w14:paraId="79025A28">
            <w:pPr>
              <w:autoSpaceDE w:val="0"/>
              <w:autoSpaceDN w:val="0"/>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rPr>
              <w:t>根据《建设项目环境影响报告表编制技术指南（污染影响类）（试行）》，本</w:t>
            </w:r>
            <w:r>
              <w:rPr>
                <w:rFonts w:ascii="Times New Roman" w:hAnsi="Times New Roman" w:cs="Times New Roman"/>
                <w:color w:val="000000" w:themeColor="text1"/>
                <w14:textFill>
                  <w14:solidFill>
                    <w14:schemeClr w14:val="tx1"/>
                  </w14:solidFill>
                </w14:textFill>
              </w:rPr>
              <w:t>项目液硫、发烟硫酸/98%硫酸、液碱等危险物质最大储存量超过《建设项目环境风险评价技术导则》（HJ169-2018）附录B中规定的危险物质临界量，因此本次项目设置环境风险专项评价。</w:t>
            </w:r>
          </w:p>
        </w:tc>
      </w:tr>
      <w:tr w14:paraId="6722CF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vAlign w:val="center"/>
          </w:tcPr>
          <w:p w14:paraId="14517E8B">
            <w:pPr>
              <w:autoSpaceDE w:val="0"/>
              <w:autoSpaceDN w:val="0"/>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规划情况</w:t>
            </w:r>
          </w:p>
        </w:tc>
        <w:tc>
          <w:tcPr>
            <w:tcW w:w="9190" w:type="dxa"/>
            <w:gridSpan w:val="4"/>
            <w:vAlign w:val="center"/>
          </w:tcPr>
          <w:p w14:paraId="7847B529">
            <w:pPr>
              <w:numPr>
                <w:ilvl w:val="0"/>
                <w:numId w:val="6"/>
              </w:numPr>
              <w:autoSpaceDE w:val="0"/>
              <w:autoSpaceDN w:val="0"/>
              <w:adjustRightInd w:val="0"/>
              <w:snapToGrid w:val="0"/>
              <w:spacing w:line="360" w:lineRule="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规划名称：《北部湾港总体规划（2035年）》；</w:t>
            </w:r>
          </w:p>
          <w:p w14:paraId="49871D84">
            <w:pPr>
              <w:autoSpaceDE w:val="0"/>
              <w:autoSpaceDN w:val="0"/>
              <w:adjustRightInd w:val="0"/>
              <w:snapToGrid w:val="0"/>
              <w:spacing w:line="360" w:lineRule="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审批机关：交通运输部，广西壮族自治区人民政府</w:t>
            </w:r>
          </w:p>
          <w:p w14:paraId="3D31A4F2">
            <w:pPr>
              <w:autoSpaceDE w:val="0"/>
              <w:autoSpaceDN w:val="0"/>
              <w:adjustRightInd w:val="0"/>
              <w:snapToGrid w:val="0"/>
              <w:spacing w:line="360" w:lineRule="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审批文件名称及文号：</w:t>
            </w:r>
            <w:r>
              <w:rPr>
                <w:rFonts w:ascii="Times New Roman" w:hAnsi="Times New Roman" w:cs="Times New Roman"/>
                <w:color w:val="000000" w:themeColor="text1"/>
                <w:shd w:val="clear" w:color="auto" w:fill="FFFFFF"/>
                <w14:textFill>
                  <w14:solidFill>
                    <w14:schemeClr w14:val="tx1"/>
                  </w14:solidFill>
                </w14:textFill>
              </w:rPr>
              <w:t>《交通运输部 广西壮族自治区人民政府关于北部湾港总体规划（2035年）的批复》</w:t>
            </w:r>
            <w:r>
              <w:rPr>
                <w:rFonts w:ascii="Times New Roman" w:hAnsi="Times New Roman" w:cs="Times New Roman"/>
                <w:color w:val="000000" w:themeColor="text1"/>
                <w14:textFill>
                  <w14:solidFill>
                    <w14:schemeClr w14:val="tx1"/>
                  </w14:solidFill>
                </w14:textFill>
              </w:rPr>
              <w:t>（交规划函〔2023〕391号）。</w:t>
            </w:r>
          </w:p>
          <w:p w14:paraId="0359B7D9">
            <w:pPr>
              <w:pStyle w:val="21"/>
              <w:spacing w:line="360" w:lineRule="auto"/>
              <w:ind w:left="0"/>
              <w:rPr>
                <w:rFonts w:ascii="Times New Roman" w:hAnsi="Times New Roman" w:cs="Times New Roman"/>
                <w:sz w:val="24"/>
              </w:rPr>
            </w:pPr>
            <w:r>
              <w:rPr>
                <w:rFonts w:ascii="Times New Roman" w:hAnsi="Times New Roman" w:cs="Times New Roman"/>
                <w:sz w:val="24"/>
              </w:rPr>
              <w:t>2、规划名称：《广西钦州石化产业园总体发展规划（2020—2035年）》；</w:t>
            </w:r>
          </w:p>
          <w:p w14:paraId="641FCF99">
            <w:pPr>
              <w:pStyle w:val="21"/>
              <w:spacing w:line="360" w:lineRule="auto"/>
              <w:ind w:left="0"/>
              <w:rPr>
                <w:rFonts w:ascii="Times New Roman" w:hAnsi="Times New Roman" w:cs="Times New Roman"/>
                <w:sz w:val="24"/>
              </w:rPr>
            </w:pPr>
            <w:r>
              <w:rPr>
                <w:rFonts w:ascii="Times New Roman" w:hAnsi="Times New Roman" w:cs="Times New Roman"/>
                <w:sz w:val="24"/>
              </w:rPr>
              <w:t>审批机关：广西壮族自治区人民政府；</w:t>
            </w:r>
          </w:p>
          <w:p w14:paraId="166C2F3F">
            <w:pPr>
              <w:autoSpaceDE w:val="0"/>
              <w:autoSpaceDN w:val="0"/>
              <w:adjustRightInd w:val="0"/>
              <w:snapToGrid w:val="0"/>
              <w:spacing w:line="360" w:lineRule="auto"/>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审批文件名称及文号：《广西壮族自治区人民政府关于广西钦州石化产业园总体发展规划（2020—2035年）的批复》（桂政函〔2021〕153号）；</w:t>
            </w:r>
          </w:p>
        </w:tc>
      </w:tr>
      <w:tr w14:paraId="533908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61" w:type="dxa"/>
            <w:vAlign w:val="center"/>
          </w:tcPr>
          <w:p w14:paraId="0FEB2A32">
            <w:pPr>
              <w:adjustRightInd w:val="0"/>
              <w:snapToGrid w:val="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规划环境影响评价情况</w:t>
            </w:r>
          </w:p>
        </w:tc>
        <w:tc>
          <w:tcPr>
            <w:tcW w:w="9190" w:type="dxa"/>
            <w:gridSpan w:val="4"/>
            <w:vAlign w:val="center"/>
          </w:tcPr>
          <w:p w14:paraId="163327DF">
            <w:pPr>
              <w:pStyle w:val="118"/>
              <w:numPr>
                <w:ilvl w:val="0"/>
                <w:numId w:val="7"/>
              </w:numPr>
              <w:ind w:firstLine="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规划环评文件：《北部湾港总体规划（2035年）环境影响报告书》；</w:t>
            </w:r>
          </w:p>
          <w:p w14:paraId="36DC83FC">
            <w:pPr>
              <w:pStyle w:val="118"/>
              <w:ind w:firstLine="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召集审查机关：中华人民共和国生态环境部；</w:t>
            </w:r>
          </w:p>
          <w:p w14:paraId="04F3214D">
            <w:pPr>
              <w:pStyle w:val="118"/>
              <w:ind w:firstLine="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审查文件名称及文号：《中华人民共和国生态环境部关于&lt;北部湾港总体规划（2035年）环境影响报告书&gt;的审查意见》（环审〔2023〕125号）。</w:t>
            </w:r>
          </w:p>
          <w:p w14:paraId="03F61C53">
            <w:pPr>
              <w:pStyle w:val="118"/>
              <w:ind w:firstLine="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2、规划环评文件：《广西钦州石化产业园总体发展规划环境影响报告书》；</w:t>
            </w:r>
          </w:p>
          <w:p w14:paraId="55BCB9AF">
            <w:pPr>
              <w:pStyle w:val="118"/>
              <w:ind w:firstLine="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召集审查机关：广西壮族自治区生态环境厅；</w:t>
            </w:r>
          </w:p>
          <w:p w14:paraId="4E21BE19">
            <w:pPr>
              <w:pStyle w:val="118"/>
              <w:ind w:firstLine="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审查文件名称及文号：《广西壮族自治区生态环境厅关于印发钦州石化产业园总体发展规划环境影响报告书审查意见的函》（桂环函〔2021〕388号）。</w:t>
            </w:r>
          </w:p>
        </w:tc>
      </w:tr>
      <w:tr w14:paraId="0D261E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1" w:type="dxa"/>
            <w:vAlign w:val="center"/>
          </w:tcPr>
          <w:p w14:paraId="3D1E2B3E">
            <w:pPr>
              <w:autoSpaceDE w:val="0"/>
              <w:autoSpaceDN w:val="0"/>
              <w:adjustRightInd w:val="0"/>
              <w:snapToGrid w:val="0"/>
              <w:jc w:val="center"/>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规划及规划环境影响评价符合性分析</w:t>
            </w:r>
          </w:p>
        </w:tc>
        <w:tc>
          <w:tcPr>
            <w:tcW w:w="9190" w:type="dxa"/>
            <w:gridSpan w:val="4"/>
            <w:vAlign w:val="center"/>
          </w:tcPr>
          <w:p w14:paraId="00B856B3">
            <w:pPr>
              <w:pStyle w:val="118"/>
              <w:numPr>
                <w:ilvl w:val="0"/>
                <w:numId w:val="8"/>
              </w:numPr>
              <w:ind w:firstLine="0"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项目与《北部湾港总体规划（2035年）》及其规划环评审查意见符合性分析</w:t>
            </w:r>
          </w:p>
          <w:p w14:paraId="72DA334C">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北部湾港总体规划（2035年）》，金谷港区主要服务临港产业发展和平陆运河江海联运，以煤炭、粮食、非金属矿石等干散货和油品、液体化工品运输为主。金鼓江作业区以服务后方临港产业发展为主，以煤炭等干散货和液体散货运输为主。项目所在的14#泊位为《北部湾港总体规划（2035年）》中金鼓江作业区规划泊位，货种为液体化学品，岸线利用及水域使用符合《北部湾港总体规划》要求。</w:t>
            </w:r>
          </w:p>
          <w:p w14:paraId="680CC7B2">
            <w:pPr>
              <w:pStyle w:val="118"/>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根据《北部湾港总体规划（2035年）》规划环评及中华人民共和国生态环境部关于《北部湾港总体规划（2035年）》环境影响报告书的审查意见（环审〔2023〕125号），本项目根据《产业结构调整指导目录（2024年本）》，属于鼓励类“二十五、水运 2、港口枢纽建设”</w:t>
            </w:r>
            <w:r>
              <w:rPr>
                <w:rFonts w:hint="eastAsia" w:ascii="Times New Roman" w:hAnsi="Times New Roman" w:cs="Times New Roman"/>
                <w:color w:val="000000" w:themeColor="text1"/>
                <w14:textFill>
                  <w14:solidFill>
                    <w14:schemeClr w14:val="tx1"/>
                  </w14:solidFill>
                </w14:textFill>
              </w:rPr>
              <w:t>的配套工程。</w:t>
            </w:r>
            <w:r>
              <w:rPr>
                <w:rFonts w:ascii="Times New Roman" w:hAnsi="Times New Roman" w:cs="Times New Roman"/>
                <w:color w:val="000000" w:themeColor="text1"/>
                <w14:textFill>
                  <w14:solidFill>
                    <w14:schemeClr w14:val="tx1"/>
                  </w14:solidFill>
                </w14:textFill>
              </w:rPr>
              <w:t>项目不涉及生态保护红线，</w:t>
            </w: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项目货种及</w:t>
            </w:r>
            <w:r>
              <w:rPr>
                <w:rFonts w:hint="eastAsia" w:ascii="Times New Roman" w:hAnsi="Times New Roman" w:cs="Times New Roman"/>
                <w:color w:val="000000" w:themeColor="text1"/>
                <w14:textFill>
                  <w14:solidFill>
                    <w14:schemeClr w14:val="tx1"/>
                  </w14:solidFill>
                </w14:textFill>
              </w:rPr>
              <w:t>周转量</w:t>
            </w:r>
            <w:r>
              <w:rPr>
                <w:rFonts w:ascii="Times New Roman" w:hAnsi="Times New Roman" w:cs="Times New Roman"/>
                <w:color w:val="000000" w:themeColor="text1"/>
                <w14:textFill>
                  <w14:solidFill>
                    <w14:schemeClr w14:val="tx1"/>
                  </w14:solidFill>
                </w14:textFill>
              </w:rPr>
              <w:t>均经过项目可研论证，在环境保护方面，</w:t>
            </w:r>
            <w:r>
              <w:rPr>
                <w:rFonts w:hint="eastAsia" w:ascii="Times New Roman" w:hAnsi="Times New Roman" w:cs="Times New Roman"/>
                <w:color w:val="000000" w:themeColor="text1"/>
                <w14:textFill>
                  <w14:solidFill>
                    <w14:schemeClr w14:val="tx1"/>
                  </w14:solidFill>
                </w14:textFill>
              </w:rPr>
              <w:t>储罐呼吸废气设置了升华硫回收装置、二级三氧化硫吸收装置等尾气处理装置，汽车装卸设置了气相平衡管等设施，</w:t>
            </w:r>
            <w:r>
              <w:rPr>
                <w:rFonts w:ascii="Times New Roman" w:hAnsi="Times New Roman" w:cs="Times New Roman"/>
                <w:color w:val="000000" w:themeColor="text1"/>
                <w14:textFill>
                  <w14:solidFill>
                    <w14:schemeClr w14:val="tx1"/>
                  </w14:solidFill>
                </w14:textFill>
              </w:rPr>
              <w:t>废水依托后方污水处理厂进行处理后达标排放，其他各污染物均得到妥善处理，本次</w:t>
            </w:r>
            <w:r>
              <w:rPr>
                <w:rFonts w:hint="eastAsia" w:ascii="Times New Roman" w:hAnsi="Times New Roman" w:cs="Times New Roman"/>
                <w:color w:val="000000" w:themeColor="text1"/>
                <w14:textFill>
                  <w14:solidFill>
                    <w14:schemeClr w14:val="tx1"/>
                  </w14:solidFill>
                </w14:textFill>
              </w:rPr>
              <w:t>罐区</w:t>
            </w:r>
            <w:r>
              <w:rPr>
                <w:rFonts w:ascii="Times New Roman" w:hAnsi="Times New Roman" w:cs="Times New Roman"/>
                <w:color w:val="000000" w:themeColor="text1"/>
                <w14:textFill>
                  <w14:solidFill>
                    <w14:schemeClr w14:val="tx1"/>
                  </w14:solidFill>
                </w14:textFill>
              </w:rPr>
              <w:t>建设是园区发展的需要，经本次评价论证，采取各项环保措施后其影响在可接受范围。总体而言，项目与《北部湾港总体规划（2035年）》规划环评及其审查意见是相符的。</w:t>
            </w:r>
          </w:p>
          <w:p w14:paraId="10A8F17A">
            <w:pPr>
              <w:pStyle w:val="7"/>
              <w:tabs>
                <w:tab w:val="left" w:pos="420"/>
                <w:tab w:val="clear" w:pos="945"/>
                <w:tab w:val="clear" w:pos="1155"/>
                <w:tab w:val="clear" w:pos="2551"/>
                <w:tab w:val="clear" w:pos="8715"/>
              </w:tabs>
              <w:spacing w:before="0" w:after="0" w:line="360" w:lineRule="auto"/>
              <w:jc w:val="center"/>
              <w:rPr>
                <w:color w:val="000000" w:themeColor="text1"/>
                <w:sz w:val="24"/>
                <w:szCs w:val="18"/>
                <w14:textFill>
                  <w14:solidFill>
                    <w14:schemeClr w14:val="tx1"/>
                  </w14:solidFill>
                </w14:textFill>
              </w:rPr>
            </w:pPr>
            <w:r>
              <w:rPr>
                <w:rFonts w:hint="eastAsia"/>
                <w:color w:val="000000" w:themeColor="text1"/>
                <w:sz w:val="24"/>
                <w:szCs w:val="18"/>
                <w14:textFill>
                  <w14:solidFill>
                    <w14:schemeClr w14:val="tx1"/>
                  </w14:solidFill>
                </w14:textFill>
              </w:rPr>
              <w:t>表1-2 与《北部湾港总体规划（2035年）符合性分析》</w:t>
            </w:r>
          </w:p>
          <w:tbl>
            <w:tblPr>
              <w:tblStyle w:val="4015"/>
              <w:tblW w:w="5000"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7"/>
              <w:gridCol w:w="5656"/>
              <w:gridCol w:w="2381"/>
            </w:tblGrid>
            <w:tr w14:paraId="5F7A1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trPr>
              <w:tc>
                <w:tcPr>
                  <w:tcW w:w="3671" w:type="pct"/>
                  <w:gridSpan w:val="2"/>
                  <w:vAlign w:val="center"/>
                </w:tcPr>
                <w:p w14:paraId="68A7DEC3">
                  <w:pPr>
                    <w:adjustRightInd w:val="0"/>
                    <w:snapToGrid w:val="0"/>
                    <w:jc w:val="center"/>
                    <w:outlineLvl w:val="0"/>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环境准入要求</w:t>
                  </w:r>
                </w:p>
              </w:tc>
              <w:tc>
                <w:tcPr>
                  <w:tcW w:w="1328" w:type="pct"/>
                  <w:vAlign w:val="center"/>
                </w:tcPr>
                <w:p w14:paraId="35AFBBE3">
                  <w:pPr>
                    <w:adjustRightInd w:val="0"/>
                    <w:snapToGrid w:val="0"/>
                    <w:jc w:val="center"/>
                    <w:outlineLvl w:val="0"/>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相符性分析</w:t>
                  </w:r>
                </w:p>
              </w:tc>
            </w:tr>
            <w:tr w14:paraId="7A1F4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17" w:type="pct"/>
                  <w:vMerge w:val="restart"/>
                  <w:vAlign w:val="center"/>
                </w:tcPr>
                <w:p w14:paraId="72F1820B">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空间布局约束</w:t>
                  </w:r>
                </w:p>
              </w:tc>
              <w:tc>
                <w:tcPr>
                  <w:tcW w:w="3154" w:type="pct"/>
                  <w:vAlign w:val="center"/>
                </w:tcPr>
                <w:p w14:paraId="6CC5E9B8">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 xml:space="preserve">①产业准入 </w:t>
                  </w:r>
                </w:p>
                <w:p w14:paraId="72EA148E">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北部湾港各港区应禁止发展《产业结构调整指导目录》中淘汰类、限制类水运和造修船工艺项目，主要有：废旧船舶滩涂拆解工艺、船长大于 90 米的船舶整体建造工艺。</w:t>
                  </w:r>
                </w:p>
              </w:tc>
              <w:tc>
                <w:tcPr>
                  <w:tcW w:w="1328" w:type="pct"/>
                  <w:vAlign w:val="center"/>
                </w:tcPr>
                <w:p w14:paraId="1DA60162">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本项目属于《产业结构调整指导目录（2024年本）》鼓励类，符合</w:t>
                  </w:r>
                </w:p>
              </w:tc>
            </w:tr>
            <w:tr w14:paraId="4EB1D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17" w:type="pct"/>
                  <w:vMerge w:val="continue"/>
                  <w:vAlign w:val="center"/>
                </w:tcPr>
                <w:p w14:paraId="1340BE50">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p>
              </w:tc>
              <w:tc>
                <w:tcPr>
                  <w:tcW w:w="3154" w:type="pct"/>
                  <w:vAlign w:val="center"/>
                </w:tcPr>
                <w:p w14:paraId="24E38272">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②污染控制标准</w:t>
                  </w:r>
                </w:p>
                <w:p w14:paraId="7A3B2372">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油品及液体化工品码头：VOCs（大气污染物）；COD、石油类（水污染物）。各类码头主要污染物排放浓度应满足表2.3-2，不满足污染控制标准的建设项目禁止开发建设。</w:t>
                  </w:r>
                </w:p>
              </w:tc>
              <w:tc>
                <w:tcPr>
                  <w:tcW w:w="1328" w:type="pct"/>
                  <w:vAlign w:val="center"/>
                </w:tcPr>
                <w:p w14:paraId="0330C4C3">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rPr>
                    <w:t>本项目储运货种为液硫、发烟硫酸/98%硫酸、液碱，均为无机化合物，储存过程中不产生挥发性有机物；项目</w:t>
                  </w:r>
                  <w:r>
                    <w:rPr>
                      <w:rFonts w:ascii="Times New Roman" w:hAnsi="Times New Roman" w:cs="Times New Roman"/>
                      <w:color w:val="000000" w:themeColor="text1"/>
                      <w:sz w:val="21"/>
                      <w:szCs w:val="21"/>
                      <w14:textFill>
                        <w14:solidFill>
                          <w14:schemeClr w14:val="tx1"/>
                        </w14:solidFill>
                      </w14:textFill>
                    </w:rPr>
                    <w:t>不涉及水污染排放，符合。</w:t>
                  </w:r>
                </w:p>
              </w:tc>
            </w:tr>
            <w:tr w14:paraId="5276B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17" w:type="pct"/>
                  <w:vMerge w:val="continue"/>
                  <w:vAlign w:val="center"/>
                </w:tcPr>
                <w:p w14:paraId="26EFD708">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p>
              </w:tc>
              <w:tc>
                <w:tcPr>
                  <w:tcW w:w="3154" w:type="pct"/>
                  <w:vAlign w:val="center"/>
                </w:tcPr>
                <w:p w14:paraId="180DB436">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 xml:space="preserve">③生态保护 </w:t>
                  </w:r>
                </w:p>
                <w:p w14:paraId="2911594F">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 xml:space="preserve">在本规划实施过程中，可能影响到广西山口红树林国家级自然保护区、广西合浦儒艮国家级自然保护区、广西涠洲岛自治区级自然保护区、广西茅尾海红树林自治区级自然保护区、广西北仑河口国家级自然保护区、北部湾二长棘 </w:t>
                  </w:r>
                </w:p>
                <w:p w14:paraId="1DD20C87">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鲷长毛对虾国家级水产种质资源保护区，以及现状红树林和中华白海豚、中国鲎、珊瑚礁、海草床等敏感生物的港口、航道及锚地建设项目，应编制专题报告，并取得相关主管部门意见依法办理有关手续。</w:t>
                  </w:r>
                </w:p>
              </w:tc>
              <w:tc>
                <w:tcPr>
                  <w:tcW w:w="1328" w:type="pct"/>
                  <w:vAlign w:val="center"/>
                </w:tcPr>
                <w:p w14:paraId="2F11B525">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本项目不涉及以上保护区，符合。</w:t>
                  </w:r>
                </w:p>
              </w:tc>
            </w:tr>
            <w:tr w14:paraId="3E8C4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17" w:type="pct"/>
                  <w:vMerge w:val="continue"/>
                  <w:vAlign w:val="center"/>
                </w:tcPr>
                <w:p w14:paraId="2F2335B9">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p>
              </w:tc>
              <w:tc>
                <w:tcPr>
                  <w:tcW w:w="3154" w:type="pct"/>
                  <w:vAlign w:val="center"/>
                </w:tcPr>
                <w:p w14:paraId="5F685883">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④到港船舶</w:t>
                  </w:r>
                </w:p>
                <w:p w14:paraId="0122C535">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I.各港区应禁止淘汰类船舶进港</w:t>
                  </w:r>
                </w:p>
                <w:p w14:paraId="4858133A">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根据《产业结构调整指导目录》，淘汰类船舶有：采用整体造船法建造的钢制运输船舶；不符合规范的改装船舶和已到报废期限的船舶、单壳油船、挂桨机船。</w:t>
                  </w:r>
                </w:p>
                <w:p w14:paraId="769F4BD3">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II.船舶污染物排放标准</w:t>
                  </w:r>
                </w:p>
                <w:p w14:paraId="3133C933">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北部湾港进出港船舶污染物排放应符合《船舶水污染物排放控制标准》（GB3552-2018）要求。此外，进出港船舶应达到 73/78 防污染公约的各项附则的要求；还应符合《沿海海域船舶排污设备铅封管理规定》等我国现行的船舶污染物管理要求。北部湾港位于船舶大气污染物排放控制区，船舶应严格执行《交通运输部关于印发船舶大气污染物排放控制区实施方案的通知》（交海发〔2018〕168号）相应时段管理要求。国际航行船舶其压载水管理要符合我国缔结或加入的有关国际公约及国内有关法律法规的要求，不符合要求船舶禁止入港。</w:t>
                  </w:r>
                </w:p>
              </w:tc>
              <w:tc>
                <w:tcPr>
                  <w:tcW w:w="1328" w:type="pct"/>
                  <w:vAlign w:val="center"/>
                </w:tcPr>
                <w:p w14:paraId="350C7885">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本项目为储运项目，项目范围不涉及到港船舶。符合。</w:t>
                  </w:r>
                </w:p>
              </w:tc>
            </w:tr>
            <w:tr w14:paraId="689ED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17" w:type="pct"/>
                  <w:vMerge w:val="continue"/>
                  <w:vAlign w:val="center"/>
                </w:tcPr>
                <w:p w14:paraId="4E61A84D">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p>
              </w:tc>
              <w:tc>
                <w:tcPr>
                  <w:tcW w:w="3154" w:type="pct"/>
                  <w:vAlign w:val="center"/>
                </w:tcPr>
                <w:p w14:paraId="6F4A8D8C">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④货种</w:t>
                  </w:r>
                </w:p>
                <w:p w14:paraId="67C1164F">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北部湾港应禁止运输《产业结构调整指导目录》淘汰类的设备、产品以及原辅材料。</w:t>
                  </w:r>
                </w:p>
              </w:tc>
              <w:tc>
                <w:tcPr>
                  <w:tcW w:w="1328" w:type="pct"/>
                  <w:vAlign w:val="center"/>
                </w:tcPr>
                <w:p w14:paraId="4EA287A1">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本项目货种不涉及《产业结构调整指导目录》淘汰类产品。符合</w:t>
                  </w:r>
                </w:p>
              </w:tc>
            </w:tr>
            <w:tr w14:paraId="53147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17" w:type="pct"/>
                  <w:vAlign w:val="center"/>
                </w:tcPr>
                <w:p w14:paraId="16184E64">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环境风险防控</w:t>
                  </w:r>
                </w:p>
              </w:tc>
              <w:tc>
                <w:tcPr>
                  <w:tcW w:w="3154" w:type="pct"/>
                  <w:vAlign w:val="center"/>
                </w:tcPr>
                <w:p w14:paraId="1A356A16">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北部湾港液体散货区的危险品堆存区与居住区至少保留 1km 安全距离，以降低环境风险事故风险。各港区需配备必要的导助航等安全保障设施，并加强码头装卸作业的安全管理和防护措施，减少事故隐患。</w:t>
                  </w:r>
                </w:p>
              </w:tc>
              <w:tc>
                <w:tcPr>
                  <w:tcW w:w="1328" w:type="pct"/>
                  <w:vAlign w:val="center"/>
                </w:tcPr>
                <w:p w14:paraId="03DAD97F">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本项目罐区周边1km内无居民区，符合。</w:t>
                  </w:r>
                </w:p>
              </w:tc>
            </w:tr>
            <w:tr w14:paraId="28593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17" w:type="pct"/>
                  <w:vAlign w:val="center"/>
                </w:tcPr>
                <w:p w14:paraId="2562F855">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资源开发效率要求</w:t>
                  </w:r>
                </w:p>
              </w:tc>
              <w:tc>
                <w:tcPr>
                  <w:tcW w:w="3154" w:type="pct"/>
                  <w:vAlign w:val="center"/>
                </w:tcPr>
                <w:p w14:paraId="57DBBC38">
                  <w:pPr>
                    <w:adjustRightInd w:val="0"/>
                    <w:snapToGrid w:val="0"/>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严格控制北部湾港各港区尤其是新建港区的开发规模与强度，集约节约利用岸线、土地等资源，合理安排港口开发建设时序，持续提高资源利用效率。严禁各港区建设项目占用自然岸线，确保规划区域自然岸线数量不减少。</w:t>
                  </w:r>
                </w:p>
              </w:tc>
              <w:tc>
                <w:tcPr>
                  <w:tcW w:w="1328" w:type="pct"/>
                  <w:vAlign w:val="center"/>
                </w:tcPr>
                <w:p w14:paraId="3162751B">
                  <w:pPr>
                    <w:adjustRightInd w:val="0"/>
                    <w:snapToGrid w:val="0"/>
                    <w:jc w:val="center"/>
                    <w:outlineLvl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本项目利用码头</w:t>
                  </w:r>
                  <w:r>
                    <w:rPr>
                      <w:rFonts w:hint="eastAsia" w:ascii="Times New Roman" w:hAnsi="Times New Roman" w:cs="Times New Roman"/>
                      <w:color w:val="000000" w:themeColor="text1"/>
                      <w:sz w:val="21"/>
                      <w:szCs w:val="21"/>
                      <w14:textFill>
                        <w14:solidFill>
                          <w14:schemeClr w14:val="tx1"/>
                        </w14:solidFill>
                      </w14:textFill>
                    </w:rPr>
                    <w:t>后方陆域仓储用地</w:t>
                  </w:r>
                  <w:r>
                    <w:rPr>
                      <w:rFonts w:ascii="Times New Roman" w:hAnsi="Times New Roman" w:cs="Times New Roman"/>
                      <w:color w:val="000000" w:themeColor="text1"/>
                      <w:sz w:val="21"/>
                      <w:szCs w:val="21"/>
                      <w14:textFill>
                        <w14:solidFill>
                          <w14:schemeClr w14:val="tx1"/>
                        </w14:solidFill>
                      </w14:textFill>
                    </w:rPr>
                    <w:t>，不涉及水工建设，不占用自然岸线，符合。</w:t>
                  </w:r>
                </w:p>
              </w:tc>
            </w:tr>
          </w:tbl>
          <w:p w14:paraId="6449DD96">
            <w:pPr>
              <w:pStyle w:val="118"/>
              <w:ind w:firstLine="0" w:firstLineChars="0"/>
              <w:rPr>
                <w:rFonts w:ascii="Times New Roman" w:hAnsi="Times New Roman" w:cs="Times New Roman"/>
                <w:color w:val="000000" w:themeColor="text1"/>
                <w14:textFill>
                  <w14:solidFill>
                    <w14:schemeClr w14:val="tx1"/>
                  </w14:solidFill>
                </w14:textFill>
              </w:rPr>
            </w:pPr>
          </w:p>
          <w:p w14:paraId="289B1EEC">
            <w:pPr>
              <w:pStyle w:val="118"/>
              <w:ind w:firstLine="0" w:firstLineChars="0"/>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2</w:t>
            </w:r>
            <w:r>
              <w:rPr>
                <w:rFonts w:ascii="Times New Roman" w:hAnsi="Times New Roman" w:cs="Times New Roman"/>
                <w:b/>
                <w:bCs/>
                <w:color w:val="000000" w:themeColor="text1"/>
                <w14:textFill>
                  <w14:solidFill>
                    <w14:schemeClr w14:val="tx1"/>
                  </w14:solidFill>
                </w14:textFill>
              </w:rPr>
              <w:t>、</w:t>
            </w:r>
            <w:r>
              <w:rPr>
                <w:rFonts w:hint="eastAsia" w:ascii="Times New Roman" w:hAnsi="Times New Roman" w:cs="Times New Roman"/>
                <w:b/>
                <w:bCs/>
                <w:color w:val="000000" w:themeColor="text1"/>
                <w14:textFill>
                  <w14:solidFill>
                    <w14:schemeClr w14:val="tx1"/>
                  </w14:solidFill>
                </w14:textFill>
              </w:rPr>
              <w:t>项目</w:t>
            </w:r>
            <w:r>
              <w:rPr>
                <w:rFonts w:ascii="Times New Roman" w:hAnsi="Times New Roman" w:cs="Times New Roman"/>
                <w:b/>
                <w:bCs/>
                <w:color w:val="000000" w:themeColor="text1"/>
                <w14:textFill>
                  <w14:solidFill>
                    <w14:schemeClr w14:val="tx1"/>
                  </w14:solidFill>
                </w14:textFill>
              </w:rPr>
              <w:t>与《广西钦州石化产业园总体发展规划(2020-2035年)》</w:t>
            </w:r>
            <w:r>
              <w:rPr>
                <w:rFonts w:hint="eastAsia" w:ascii="Times New Roman" w:hAnsi="Times New Roman" w:cs="Times New Roman"/>
                <w:b/>
                <w:bCs/>
                <w:color w:val="000000" w:themeColor="text1"/>
                <w14:textFill>
                  <w14:solidFill>
                    <w14:schemeClr w14:val="tx1"/>
                  </w14:solidFill>
                </w14:textFill>
              </w:rPr>
              <w:t>及规划环评的符合性分析</w:t>
            </w:r>
          </w:p>
          <w:p w14:paraId="423B2D68">
            <w:pPr>
              <w:pStyle w:val="118"/>
              <w:ind w:firstLine="482"/>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1）与规划相符性分析</w:t>
            </w:r>
          </w:p>
          <w:p w14:paraId="5DED1266">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根据《广西钦州石化产业园总体发展规划》（2020-2035），钦州石化产业园总体上规划为“一园、两轴、三片、十区、多点”的空间结构：</w:t>
            </w:r>
          </w:p>
          <w:p w14:paraId="3FA840DA">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 “一园”即钦州石化产业园整体。</w:t>
            </w:r>
          </w:p>
          <w:p w14:paraId="39AE90CB">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(2)“两轴”即依托环北大道和三墩公路打造两条产业空间轴，将三个片区串联发展。</w:t>
            </w:r>
          </w:p>
          <w:p w14:paraId="300758BC">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 “三片”即金谷片区、鹿耳片区和三墩片区。</w:t>
            </w:r>
          </w:p>
          <w:p w14:paraId="508B7CF2">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 “十区”即广西石化炼化一体化项目区、华谊化工新材料一体化项目区、芳烃及下游深加工产业区、特种聚氨酯与高端材料产业区、金谷现有项目区、金谷预留发展区、鹿耳特种功能材料及专用化学品项目区、三墩炼化一体化项目区、三墩芳烃、烯烃及下游深加工区、三墩化工新材料及精细化工项目区，各片区内部以用地有效集聚为原则，保持内部小组团的完整，利于开发的弹性和可持续性。</w:t>
            </w:r>
          </w:p>
          <w:p w14:paraId="76AE2663">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 “多点”即“一体化”配套服务的公用工程及辅助设施。包括石化码头及物流仓储区、供水厂、污水处理、热电中心、变电站、消防站、危废处理等。</w:t>
            </w:r>
          </w:p>
          <w:p w14:paraId="228C99A2">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项目属于服务石化园区的仓储项目，选址位于园区规划的石化码头及物流仓储区，选址及功能符合《广西钦州石化产业园总体发展规划》（2020-2035）。</w:t>
            </w:r>
          </w:p>
          <w:p w14:paraId="64CE3A69">
            <w:pPr>
              <w:pStyle w:val="118"/>
              <w:ind w:firstLine="482"/>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2）与</w:t>
            </w:r>
            <w:r>
              <w:rPr>
                <w:b/>
                <w:bCs/>
                <w:color w:val="000000" w:themeColor="text1"/>
                <w14:textFill>
                  <w14:solidFill>
                    <w14:schemeClr w14:val="tx1"/>
                  </w14:solidFill>
                </w14:textFill>
              </w:rPr>
              <w:t>规划环评及审查意见的相符性分析</w:t>
            </w:r>
          </w:p>
          <w:p w14:paraId="5B9EFD79">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照《广西钦州石化产业园总体发展规划（2020-2035）环境影响报告书》及其审查意见，项目属于石化园区配套基础服务设施，选址符合规划功能分区要求，符合环境准入条件“建设项目应为石化产业园区产业链范围内的项目，选址应符合石化产业园区规划的功能分区”；项目有机废气均得到妥善处置，确保达标排放，生产废水满足进水水质标准后依托恒逸污水处理厂处理，符合环境准入条件“建设项目污染防治和环境影响方面的准入要求”，“挥发性有机物（VOCs）的治理应纳入企业的环保措施。”项目为园区配套项目，不属于规划环评负面清单中所列的各类生产工艺。</w:t>
            </w:r>
          </w:p>
          <w:p w14:paraId="454D45B4">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本项目与规划环评审查意见相符性分析见下表：</w:t>
            </w:r>
          </w:p>
          <w:p w14:paraId="3327F3A7">
            <w:pPr>
              <w:pStyle w:val="118"/>
              <w:ind w:firstLine="0" w:firstLineChars="0"/>
              <w:jc w:val="center"/>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表1-3  与规划环评审查意见相符性分析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7"/>
              <w:gridCol w:w="2437"/>
            </w:tblGrid>
            <w:tr w14:paraId="76D1C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5CF1A12B">
                  <w:pPr>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规划环评审查意见</w:t>
                  </w:r>
                </w:p>
              </w:tc>
              <w:tc>
                <w:tcPr>
                  <w:tcW w:w="2250" w:type="dxa"/>
                  <w:tcMar>
                    <w:left w:w="28" w:type="dxa"/>
                    <w:right w:w="28" w:type="dxa"/>
                  </w:tcMar>
                  <w:vAlign w:val="center"/>
                </w:tcPr>
                <w:p w14:paraId="0F277FD9">
                  <w:pPr>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相符性分析</w:t>
                  </w:r>
                </w:p>
              </w:tc>
            </w:tr>
            <w:tr w14:paraId="183F7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363C2633">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 全面贯彻习近平生态文明思想的绿色发展观，坚持“环保优先、绿色发展”理念，建立健全石化基地循环发展、清洁生产的指标体系并明确落实机制和保障措施。切实维护石化基地和周边区域生态环境质量，坚持高起点规划、高标准建设、高水平管理。钦州石化产业园区要加快转变经济发展方式，以资源环境承载力为基础，促进经济社会与资源环境协调发展，积极探索代价小、效益好、排放低、可持续的环境保护新道路，把科学开发与保护区域生态环境紧密结合起来，努力实现开发与保护双赢。</w:t>
                  </w:r>
                </w:p>
              </w:tc>
              <w:tc>
                <w:tcPr>
                  <w:tcW w:w="2250" w:type="dxa"/>
                  <w:tcMar>
                    <w:left w:w="28" w:type="dxa"/>
                    <w:right w:w="28" w:type="dxa"/>
                  </w:tcMar>
                  <w:vAlign w:val="center"/>
                </w:tcPr>
                <w:p w14:paraId="34BF9BCF">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项目属于石化园区配套项目，不属于高耗能项目，产生的污染物均采取相应处理措施得到妥善处置，不会对区域资源环境承载力造成大的不利影响。</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7E000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4CF4C6F6">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2. 主动对接生态保护红线划定和国土空间规划编制，将生态保护红线作为保障和维护区域生态安全的底线，依法依规实施强制性保护。严格保护广西茅尾海红树林自然保护区，滨海湿地、金窝水库饮用水源一级保护区等生态保护区，不符合自然保护区和环境功能区划等相关管控要求的各类开发建设活动不得纳入《规划》。</w:t>
                  </w:r>
                </w:p>
              </w:tc>
              <w:tc>
                <w:tcPr>
                  <w:tcW w:w="2250" w:type="dxa"/>
                  <w:tcMar>
                    <w:left w:w="28" w:type="dxa"/>
                    <w:right w:w="28" w:type="dxa"/>
                  </w:tcMar>
                  <w:vAlign w:val="center"/>
                </w:tcPr>
                <w:p w14:paraId="06C4A0B8">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项目位于划定的石化园区内，符合国土空间规划要求；项目占地不涉及意见中提及的生态保护区。</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3BD86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2E7F2ED2">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3. 加快现有排污口建设及污水处理厂提标改造，同时随着规划的实施开展 3 个排污口外迁排海相关技术论证。鉴于钦州港港口规划及规划实施可能对海域水文动力条件及近岸海域排污区水环境容量造成影响，应尽快开展海域排污区论证，掌握海域水环境资源，明确园区生产和生活废水排污方案，近期规划依托整改后的 A1、 A2 排口，中远期排污口应重新规划。</w:t>
                  </w:r>
                </w:p>
              </w:tc>
              <w:tc>
                <w:tcPr>
                  <w:tcW w:w="2250" w:type="dxa"/>
                  <w:tcMar>
                    <w:left w:w="28" w:type="dxa"/>
                    <w:right w:w="28" w:type="dxa"/>
                  </w:tcMar>
                  <w:vAlign w:val="center"/>
                </w:tcPr>
                <w:p w14:paraId="68535857">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园区集中考虑，本项目不涉及。</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22EFF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026" w:type="dxa"/>
                  <w:tcMar>
                    <w:left w:w="28" w:type="dxa"/>
                    <w:right w:w="28" w:type="dxa"/>
                  </w:tcMar>
                  <w:vAlign w:val="center"/>
                </w:tcPr>
                <w:p w14:paraId="2FCF3865">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4. 严格落实规划空间用地方案，优化空间开发格局，尽快完善园区搬迁规划及实施。石化园区规划新增鹿耳片区，规划范围涉及鸡墩头村、老鸦坑、大坡顶、铁藤山等居民点。部分规划项目装置在建设时必须与居民区之间留有足够的安全及环境防护距离，为保证园区产业的健康可持续发展，规划应合理制订搬迁计划，实施时序，并按时落实，消除这些环境敏感点的环境风险。</w:t>
                  </w:r>
                </w:p>
              </w:tc>
              <w:tc>
                <w:tcPr>
                  <w:tcW w:w="2250" w:type="dxa"/>
                  <w:tcMar>
                    <w:left w:w="28" w:type="dxa"/>
                    <w:right w:w="28" w:type="dxa"/>
                  </w:tcMar>
                  <w:vAlign w:val="center"/>
                </w:tcPr>
                <w:p w14:paraId="7721157F">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园区集中考虑，本项目不涉及。</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0B313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0BB62A49">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5. 进一步优化《规划》布局、用地和产业发展规模、建设时序和产品方案等，严格控制近期发展的炼油以及石化下游产业规模。加强对石化产业园的环境风险管理，实行园区封闭式管理；完善区域应急方案，制定事故应急疏散点：建议石化区内主要产业区及相关风险源用地外扩 1 公里范围作为工业区环境风险防控区域。加强环境风险防范及环境风险应急体系建设。落实环境风险防范的主体责任，强化环境风险防范体系建设，形成与各规划区规划项目环境风险相匹配的应急能力， 制定环境污染事故应急预案，应急预案应与当地政府和相关部门的应急预案相衔接，配备足够的应急处置设施和器材，加强区域应急物资调配，健全规划园区环境风险防范区域联动机制，有效应对突发环境事件。建立健全“装置－企业－园区”防控体系，在各企业设置环境风险事故应急池的基础上，分片区设置足够容积的园区级公共事故应急池，并形成互相联通系统；优化布局并保持与周边居住区、红树林保护区、滨海湿地等重要敏感目标合理距离，预防和减缓不利环境影响和风险。</w:t>
                  </w:r>
                </w:p>
              </w:tc>
              <w:tc>
                <w:tcPr>
                  <w:tcW w:w="2250" w:type="dxa"/>
                  <w:tcMar>
                    <w:left w:w="28" w:type="dxa"/>
                    <w:right w:w="28" w:type="dxa"/>
                  </w:tcMar>
                  <w:vAlign w:val="center"/>
                </w:tcPr>
                <w:p w14:paraId="37D7B149">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项目运营后按要求开展风险评估，制定突发环境应急预案，健全企业应急制度管理，并明确需要与园区及钦州市应急预案衔接。</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2217D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0C2DD567">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6. 落实污染防治措施，针对规划项目废气、废（污）水、固体废物、危险化学品仓储及输运等，制定明确，有效的全过程监管方案。优先采用有利于生态环境保护的集疏运方式，强化扬尘、挥发性有机物等无组织排放污染控制和治理，严格各项污染防治措施，完善化学仓储、化学品输送管廊、危险废物（处置中心）规划，依法依规妥善处置固体废物。落实区域总量削减、环境质量改善方案，严格污染物总量控制要求和石化基地环境准入，引进项目的生产工艺、设备、污染治理技术，清洁生产水平等应达到同行业国际先进水平。严格控制石油类、氨氮、总磷等污染物排放浓度及排放量，采取有效措施减少挥发性有机化合物（VOCs）、氮氧化物（NOx）等污染物排放量。参照国际先进的 VOCs 排放控制体系，提升管理和控制水平。在生产、运输、储存各个环节，加强污染物排放控制和管理，全面提升环境保护管理水平。</w:t>
                  </w:r>
                </w:p>
              </w:tc>
              <w:tc>
                <w:tcPr>
                  <w:tcW w:w="2250" w:type="dxa"/>
                  <w:tcMar>
                    <w:left w:w="28" w:type="dxa"/>
                    <w:right w:w="28" w:type="dxa"/>
                  </w:tcMar>
                  <w:vAlign w:val="center"/>
                </w:tcPr>
                <w:p w14:paraId="12073FE5">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项目</w:t>
                  </w:r>
                  <w:r>
                    <w:rPr>
                      <w:rFonts w:hint="eastAsia" w:ascii="Times New Roman" w:hAnsi="Times New Roman" w:cs="Times New Roman"/>
                      <w:color w:val="000000"/>
                      <w:sz w:val="21"/>
                      <w:szCs w:val="21"/>
                    </w:rPr>
                    <w:t>储运</w:t>
                  </w:r>
                  <w:r>
                    <w:rPr>
                      <w:rFonts w:ascii="Times New Roman" w:hAnsi="Times New Roman" w:cs="Times New Roman"/>
                      <w:color w:val="000000"/>
                      <w:sz w:val="21"/>
                      <w:szCs w:val="21"/>
                    </w:rPr>
                    <w:t>货种为液硫、发烟硫酸/98%硫酸、液碱，均为无机化合物，储存过程中不产生挥发性有机物。</w:t>
                  </w:r>
                  <w:r>
                    <w:rPr>
                      <w:rFonts w:hint="eastAsia" w:ascii="Times New Roman" w:hAnsi="Times New Roman" w:cs="Times New Roman"/>
                      <w:color w:val="000000"/>
                      <w:sz w:val="21"/>
                      <w:szCs w:val="21"/>
                    </w:rPr>
                    <w:t>针对储运呼吸废气，项目采取设置氮封系统、升华硫回收装置、二级三氧化硫吸收装置、汽车装卸气相平衡管线等措施，确保废气达标排放；</w:t>
                  </w:r>
                  <w:r>
                    <w:rPr>
                      <w:rFonts w:ascii="Times New Roman" w:hAnsi="Times New Roman" w:cs="Times New Roman"/>
                      <w:color w:val="000000" w:themeColor="text1"/>
                      <w:sz w:val="21"/>
                      <w:szCs w:val="21"/>
                      <w:lang w:bidi="ar"/>
                      <w14:textFill>
                        <w14:solidFill>
                          <w14:schemeClr w14:val="tx1"/>
                        </w14:solidFill>
                      </w14:textFill>
                    </w:rPr>
                    <w:t>；项目设置一处危险废物暂存间，对项目产生的危险废物进行妥善贮存，定期由有资质单位清运处置。</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05B19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406E0843">
                  <w:pPr>
                    <w:ind w:firstLine="42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7. 建立涵盖水、生态、大气、湿地生态系统、珍稀保护物种、重要生境、渔业资源等环境敏感目标的常态化监测体系，对石化基地及周边主要环境要素中 VOCs、半挥发性有机物（SVOC）等石化特征污染物，排污口附近海域的海水水质、沉积物、海洋生物、渔业资源和鱼类“三场”等进行定期监测和评估，并根据监测评估结果适时优化调整《规划》及生态环境保护措施和运营管理；明确投资、实施时限、责任主体等。</w:t>
                  </w:r>
                </w:p>
              </w:tc>
              <w:tc>
                <w:tcPr>
                  <w:tcW w:w="2250" w:type="dxa"/>
                  <w:tcMar>
                    <w:left w:w="28" w:type="dxa"/>
                    <w:right w:w="28" w:type="dxa"/>
                  </w:tcMar>
                  <w:vAlign w:val="center"/>
                </w:tcPr>
                <w:p w14:paraId="590A37C2">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园区集中考虑，本项目不涉及。</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62703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26" w:type="dxa"/>
                  <w:tcMar>
                    <w:left w:w="28" w:type="dxa"/>
                    <w:right w:w="28" w:type="dxa"/>
                  </w:tcMar>
                  <w:vAlign w:val="center"/>
                </w:tcPr>
                <w:p w14:paraId="48A99F21">
                  <w:pPr>
                    <w:ind w:firstLine="42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8. 应进一步延伸园区下游产业链，积极引入补链产业和静脉产业，拓展和优化石化园区行业内部以及行业间的产品代谢链和废物代谢链，严格控制不属于产业链项目（公用服务项目除外）的引入：应积极引进和扩大区内危险废物处理处置项目，优先引入单位产品能耗低、附加值较高的精细化工项目。建设钦州石化产业园区产品、副产品、固体废物等信息交流平台，整合钦州石化产业园区产业链上、中、下游资源需求，鼓励企业间加强各种代谢废物（如废气中二氧化硫、二氧化碳、污泥等）、蒸汽、中水、产品、副产品等的回收利用和梯级利用， 充分发挥石化园区一体化优势，实现园区上游物料与园区下游需求充分对接，构建石化园区绿色循环经济产业链。优化园区环保基础设施建设。</w:t>
                  </w:r>
                </w:p>
              </w:tc>
              <w:tc>
                <w:tcPr>
                  <w:tcW w:w="2250" w:type="dxa"/>
                  <w:tcMar>
                    <w:left w:w="28" w:type="dxa"/>
                    <w:right w:w="28" w:type="dxa"/>
                  </w:tcMar>
                  <w:vAlign w:val="center"/>
                </w:tcPr>
                <w:p w14:paraId="79D85C59">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项目为园区配套服务项目。</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27355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396F8CD1">
                  <w:pPr>
                    <w:ind w:firstLine="42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9. 按照“以人为本”的原则，合理布局项目，对于防护带应做到用地性质不调整、不开发占用、不蚕食用地。建议钦州市及自贸区钦州港片区层面，进一步优化自贸区钦州港片区中心区、居住文教区的范围和规模，合理调整中心区的布局及未来人口居住区发展方向，限制常住人口规模。进一步优化园区产业布局和开发规模，规划新增的鹿耳片区与中港区居住生活区相连，应尽量避免鹿耳片区大气污染物高排放企业的进驻，并预留环境防护距离。</w:t>
                  </w:r>
                </w:p>
              </w:tc>
              <w:tc>
                <w:tcPr>
                  <w:tcW w:w="2250" w:type="dxa"/>
                  <w:tcMar>
                    <w:left w:w="28" w:type="dxa"/>
                    <w:right w:w="28" w:type="dxa"/>
                  </w:tcMar>
                  <w:vAlign w:val="center"/>
                </w:tcPr>
                <w:p w14:paraId="3BFB6B59">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园区集中考虑，本项目周边规划为石化产业园用地，园区搬迁计划落实实施后，周边无居民区分布。</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389B0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388DA2B2">
                  <w:pPr>
                    <w:ind w:firstLine="42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10. 三墩片区规划填海范围较大，并拟布置大型炼化项目，其周边存在三娘湾旅游区、北部湾二长棘鯛长毛对虾国家级种质资源保护区、中华白海豚核心活动区等生态敏感目标。建议规划实施过程中，应按生态优先、集约用地的原则，着力于进行功能布局优化，在已完成围填海的基础上进行集约利用现有陆域和岸线。未来中、远期规模经跟踪评价进一步论证后实施，深挖现有可利用土地资源的潜力，落实《国务院关于加强滨海湿地保护严格管控围填海的通知》精神，严格控制填海造地规模，并在围填海工作开展之前需对围填海的必要性、围填海生态环境影响以及对中华白海豚生态影响等进行充分论证评估，围填海手续完备的前提下，方可开展填海建设。</w:t>
                  </w:r>
                </w:p>
              </w:tc>
              <w:tc>
                <w:tcPr>
                  <w:tcW w:w="2250" w:type="dxa"/>
                  <w:tcMar>
                    <w:left w:w="28" w:type="dxa"/>
                    <w:right w:w="28" w:type="dxa"/>
                  </w:tcMar>
                  <w:vAlign w:val="center"/>
                </w:tcPr>
                <w:p w14:paraId="3D04565A">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本项目不涉及。</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31C5E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0B8529CB">
                  <w:pPr>
                    <w:ind w:firstLine="42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11. 应进一步加强环境监管能力建设，根据功能分区、产业布局、重点项目和装置分布、特征污染物排放情况、环境敏感目标分布等，建立和完善大气、海洋、土壤、地下水等环境要素的监控体系，进行定期监测和评估，根据监测和评估结果适时优化《规划》。在生产、运输、储存各个环节，加强污染物排放控制和管理，全面提升环境保护管理水平，加强 NOx 和 VOCs 等臭氧前体物协同监控，采用国际先进的 VOCs 排放控制体系，加强重点污染物 VOCs 监测监控，加强环境信息共享，不断提升管理和控制水平。</w:t>
                  </w:r>
                </w:p>
              </w:tc>
              <w:tc>
                <w:tcPr>
                  <w:tcW w:w="2250" w:type="dxa"/>
                  <w:tcMar>
                    <w:left w:w="28" w:type="dxa"/>
                    <w:right w:w="28" w:type="dxa"/>
                  </w:tcMar>
                  <w:vAlign w:val="center"/>
                </w:tcPr>
                <w:p w14:paraId="2838B1E8">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园区统一考虑区域环境质量监测，本项目针对主要污染源，制定了环境监测计划。</w:t>
                  </w:r>
                  <w:r>
                    <w:rPr>
                      <w:rFonts w:ascii="Times New Roman" w:hAnsi="Times New Roman" w:cs="Times New Roman"/>
                      <w:b/>
                      <w:bCs/>
                      <w:color w:val="000000" w:themeColor="text1"/>
                      <w:sz w:val="21"/>
                      <w:szCs w:val="21"/>
                      <w:lang w:bidi="ar"/>
                      <w14:textFill>
                        <w14:solidFill>
                          <w14:schemeClr w14:val="tx1"/>
                        </w14:solidFill>
                      </w14:textFill>
                    </w:rPr>
                    <w:t>符合。</w:t>
                  </w:r>
                </w:p>
              </w:tc>
            </w:tr>
            <w:tr w14:paraId="1689E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26" w:type="dxa"/>
                  <w:tcMar>
                    <w:left w:w="28" w:type="dxa"/>
                    <w:right w:w="28" w:type="dxa"/>
                  </w:tcMar>
                  <w:vAlign w:val="center"/>
                </w:tcPr>
                <w:p w14:paraId="239C1C68">
                  <w:pPr>
                    <w:ind w:firstLine="42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12. 在《规划》实施过程中产生重大不良环境影响的，规划编制机关应当及时提出改进措施，向规划审批机关报告，并通报环境保护等有关部门；规划正式实施每五年应依法开展环境影响跟踪评价，将评价结果报告规划审批机关，并通报环境保护等有关部门；在《规划》修编时应重新编制环境影响报告书。</w:t>
                  </w:r>
                </w:p>
              </w:tc>
              <w:tc>
                <w:tcPr>
                  <w:tcW w:w="2250" w:type="dxa"/>
                  <w:tcMar>
                    <w:left w:w="28" w:type="dxa"/>
                    <w:right w:w="28" w:type="dxa"/>
                  </w:tcMar>
                  <w:vAlign w:val="center"/>
                </w:tcPr>
                <w:p w14:paraId="775B85DF">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项目不涉及。</w:t>
                  </w:r>
                  <w:r>
                    <w:rPr>
                      <w:rFonts w:ascii="Times New Roman" w:hAnsi="Times New Roman" w:cs="Times New Roman"/>
                      <w:b/>
                      <w:bCs/>
                      <w:color w:val="000000" w:themeColor="text1"/>
                      <w:sz w:val="21"/>
                      <w:szCs w:val="21"/>
                      <w:lang w:bidi="ar"/>
                      <w14:textFill>
                        <w14:solidFill>
                          <w14:schemeClr w14:val="tx1"/>
                        </w14:solidFill>
                      </w14:textFill>
                    </w:rPr>
                    <w:t>符合。</w:t>
                  </w:r>
                </w:p>
              </w:tc>
            </w:tr>
          </w:tbl>
          <w:p w14:paraId="52602BB9">
            <w:pPr>
              <w:pStyle w:val="118"/>
              <w:ind w:firstLine="0" w:firstLineChars="0"/>
              <w:jc w:val="center"/>
              <w:rPr>
                <w:rFonts w:ascii="Times New Roman" w:hAnsi="Times New Roman" w:cs="Times New Roman"/>
                <w:color w:val="000000" w:themeColor="text1"/>
                <w14:textFill>
                  <w14:solidFill>
                    <w14:schemeClr w14:val="tx1"/>
                  </w14:solidFill>
                </w14:textFill>
              </w:rPr>
            </w:pPr>
          </w:p>
          <w:p w14:paraId="69C2C84D">
            <w:pPr>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综上所述，本项目与《广西钦州石化产业园总体发展规划》（2020-2035）、规划环评及审查意见是相符的。</w:t>
            </w:r>
          </w:p>
        </w:tc>
      </w:tr>
      <w:tr w14:paraId="7F15CE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93" w:hRule="atLeast"/>
          <w:jc w:val="center"/>
        </w:trPr>
        <w:tc>
          <w:tcPr>
            <w:tcW w:w="461" w:type="dxa"/>
            <w:vAlign w:val="center"/>
          </w:tcPr>
          <w:p w14:paraId="3D287D49">
            <w:pPr>
              <w:autoSpaceDE w:val="0"/>
              <w:autoSpaceDN w:val="0"/>
              <w:adjustRightInd w:val="0"/>
              <w:snapToGrid w:val="0"/>
              <w:spacing w:line="400" w:lineRule="exact"/>
              <w:jc w:val="center"/>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其他符合性分析</w:t>
            </w:r>
          </w:p>
        </w:tc>
        <w:tc>
          <w:tcPr>
            <w:tcW w:w="9190" w:type="dxa"/>
            <w:gridSpan w:val="4"/>
            <w:vAlign w:val="center"/>
          </w:tcPr>
          <w:p w14:paraId="05D60A37">
            <w:pPr>
              <w:spacing w:line="360" w:lineRule="auto"/>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1.产业政策相符性分析</w:t>
            </w:r>
          </w:p>
          <w:p w14:paraId="74BF6D1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w:t>
            </w:r>
            <w:r>
              <w:rPr>
                <w:rFonts w:hint="eastAsia" w:ascii="Times New Roman" w:hAnsi="Times New Roman" w:cs="Times New Roman"/>
                <w:color w:val="000000" w:themeColor="text1"/>
                <w14:textFill>
                  <w14:solidFill>
                    <w14:schemeClr w14:val="tx1"/>
                  </w14:solidFill>
                </w14:textFill>
              </w:rPr>
              <w:t>《产业结构调整指导目录（2024年本）》</w:t>
            </w:r>
            <w:r>
              <w:rPr>
                <w:rFonts w:ascii="Times New Roman" w:hAnsi="Times New Roman" w:cs="Times New Roman"/>
                <w:color w:val="000000" w:themeColor="text1"/>
                <w14:textFill>
                  <w14:solidFill>
                    <w14:schemeClr w14:val="tx1"/>
                  </w14:solidFill>
                </w14:textFill>
              </w:rPr>
              <w:t>，项目为危险品仓储项目，不属于鼓励类、限制类和淘汰类，也不属于</w:t>
            </w:r>
            <w:r>
              <w:rPr>
                <w:rFonts w:hint="eastAsia" w:ascii="Times New Roman" w:hAnsi="Times New Roman" w:cs="Times New Roman"/>
                <w:color w:val="000000" w:themeColor="text1"/>
                <w:lang w:eastAsia="zh-CN"/>
                <w14:textFill>
                  <w14:solidFill>
                    <w14:schemeClr w14:val="tx1"/>
                  </w14:solidFill>
                </w14:textFill>
              </w:rPr>
              <w:t>《广西工业产业结构调整指导目录（2021年本）》</w:t>
            </w:r>
            <w:r>
              <w:rPr>
                <w:rFonts w:ascii="Times New Roman" w:hAnsi="Times New Roman" w:cs="Times New Roman"/>
                <w:color w:val="000000" w:themeColor="text1"/>
                <w14:textFill>
                  <w14:solidFill>
                    <w14:schemeClr w14:val="tx1"/>
                  </w14:solidFill>
                </w14:textFill>
              </w:rPr>
              <w:t>中鼓励类、限制类、改造类、淘汰类、禁止类项目，根据《国务院关于发布实施&lt;促进产业结构调整暂行规定&gt;的决定》(国发 (2005) 40号)第十三条规定“不属于鼓励类、限制类和淘汰类，且符合国家有关法律、法规和政策规定的，为允许类。”项目建设符合国家和地方有关法律、法规和政策规定，属允许类建设项目。</w:t>
            </w:r>
          </w:p>
          <w:p w14:paraId="0C1BFB9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根据广西壮族自治区人民政府办公厅《关于印发北钦防一体化产业协同发展限制布局清单（工业类2021年版）的通知》（桂政办函〔2021〕4号），项目不属于其中的限制类项目，符合地方产业政策要求。</w:t>
            </w:r>
          </w:p>
          <w:p w14:paraId="7111D4A3">
            <w:pPr>
              <w:spacing w:line="360" w:lineRule="auto"/>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2．选址合理性分析</w:t>
            </w:r>
          </w:p>
          <w:p w14:paraId="1AEBFB92">
            <w:pPr>
              <w:spacing w:line="360" w:lineRule="auto"/>
              <w:ind w:firstLine="482"/>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项目位于广西钦州市钦州港</w:t>
            </w:r>
            <w:r>
              <w:rPr>
                <w:rFonts w:hint="eastAsia" w:ascii="Times New Roman" w:hAnsi="Times New Roman" w:cs="Times New Roman"/>
                <w:color w:val="000000" w:themeColor="text1"/>
                <w14:textFill>
                  <w14:solidFill>
                    <w14:schemeClr w14:val="tx1"/>
                  </w14:solidFill>
                </w14:textFill>
              </w:rPr>
              <w:t>金谷港区金鼓江作业区</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lang w:val="zh-CN"/>
                <w14:textFill>
                  <w14:solidFill>
                    <w14:schemeClr w14:val="tx1"/>
                  </w14:solidFill>
                </w14:textFill>
              </w:rPr>
              <w:t>根据《广西壮族自治区近岸海域环境功能区划调整方案》（</w:t>
            </w:r>
            <w:r>
              <w:rPr>
                <w:rFonts w:hint="eastAsia" w:ascii="Times New Roman" w:hAnsi="Times New Roman" w:cs="Times New Roman"/>
                <w:color w:val="000000" w:themeColor="text1"/>
                <w:lang w:val="zh-CN"/>
                <w14:textFill>
                  <w14:solidFill>
                    <w14:schemeClr w14:val="tx1"/>
                  </w14:solidFill>
                </w14:textFill>
              </w:rPr>
              <w:t>桂环发〔2023〕9号</w:t>
            </w:r>
            <w:r>
              <w:rPr>
                <w:rFonts w:ascii="Times New Roman" w:hAnsi="Times New Roman" w:cs="Times New Roman"/>
                <w:color w:val="000000" w:themeColor="text1"/>
                <w:lang w:val="zh-CN"/>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周边海域为钦州港果子山港口区（代码：GX055</w:t>
            </w:r>
            <w:r>
              <w:rPr>
                <w:rFonts w:hint="eastAsia" w:ascii="Times New Roman" w:hAnsi="Times New Roman" w:cs="Times New Roman"/>
                <w:color w:val="000000" w:themeColor="text1"/>
                <w14:textFill>
                  <w14:solidFill>
                    <w14:schemeClr w14:val="tx1"/>
                  </w14:solidFill>
                </w14:textFill>
              </w:rPr>
              <w:t>DIV</w:t>
            </w:r>
            <w:r>
              <w:rPr>
                <w:rFonts w:ascii="Times New Roman" w:hAnsi="Times New Roman" w:cs="Times New Roman"/>
                <w:color w:val="000000" w:themeColor="text1"/>
                <w14:textFill>
                  <w14:solidFill>
                    <w14:schemeClr w14:val="tx1"/>
                  </w14:solidFill>
                </w14:textFill>
              </w:rPr>
              <w:t>），主导功能为港口和工业用海。项目用地为已建成的填海造地，用海类型为港口用海和交通运输用海。项目所在地与港口区的主导功能相符。</w:t>
            </w:r>
          </w:p>
          <w:p w14:paraId="359B1D51">
            <w:pPr>
              <w:spacing w:line="360" w:lineRule="auto"/>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3.生态环境分区管控相符性分析</w:t>
            </w:r>
          </w:p>
          <w:p w14:paraId="13C56F31">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根据《钦州市生态环境局关于印发&lt;钦州市生态环境分区管控动态更新成果(2023版)&gt;的通知》，全市共划定陆域环境管控单元61个，分为优先保护单元、重点管控单元和一般管控单元3类，实施分类管控。</w:t>
            </w:r>
          </w:p>
          <w:p w14:paraId="7EE11653">
            <w:pPr>
              <w:spacing w:line="360" w:lineRule="auto"/>
              <w:ind w:firstLine="480" w:firstLineChars="200"/>
              <w:rPr>
                <w:rFonts w:ascii="Times New Roman" w:hAnsi="Times New Roman" w:cs="Times New Roman"/>
                <w:color w:val="FF0000"/>
              </w:rPr>
            </w:pPr>
            <w:r>
              <w:rPr>
                <w:rFonts w:ascii="Times New Roman" w:hAnsi="Times New Roman" w:cs="Times New Roman"/>
                <w:color w:val="000000"/>
              </w:rPr>
              <w:t>本项目位于钦州港金谷港区金鼓江作业区，结合本项目广西“生态云”平台建设项目智能研判报告（附件9），本项目涉及1个环境管控单元，其中有限保护类0个，重点管控类1个，一般管控类0个。本项目与《</w:t>
            </w:r>
            <w:r>
              <w:rPr>
                <w:rFonts w:ascii="Times New Roman" w:hAnsi="Times New Roman" w:cs="Times New Roman"/>
                <w:color w:val="000000" w:themeColor="text1"/>
                <w14:textFill>
                  <w14:solidFill>
                    <w14:schemeClr w14:val="tx1"/>
                  </w14:solidFill>
                </w14:textFill>
              </w:rPr>
              <w:t>钦州市生态环境分区管控动态更新成果(2023版)</w:t>
            </w:r>
            <w:r>
              <w:rPr>
                <w:rFonts w:ascii="Times New Roman" w:hAnsi="Times New Roman" w:cs="Times New Roman"/>
                <w:color w:val="000000"/>
              </w:rPr>
              <w:t>）》相符性分析如下表1-2，项目与钦州市生态环境准入及管控要求相符性分析见下表1-3。</w:t>
            </w:r>
          </w:p>
          <w:p w14:paraId="0E6391E6">
            <w:pPr>
              <w:spacing w:line="360" w:lineRule="auto"/>
              <w:rPr>
                <w:rFonts w:ascii="Times New Roman" w:hAnsi="Times New Roman" w:cs="Times New Roman"/>
                <w:color w:val="FF0000"/>
              </w:rPr>
            </w:pPr>
            <w:r>
              <mc:AlternateContent>
                <mc:Choice Requires="wps">
                  <w:drawing>
                    <wp:anchor distT="0" distB="0" distL="114300" distR="114300" simplePos="0" relativeHeight="251741184" behindDoc="0" locked="0" layoutInCell="1" allowOverlap="1">
                      <wp:simplePos x="0" y="0"/>
                      <wp:positionH relativeFrom="column">
                        <wp:posOffset>2847975</wp:posOffset>
                      </wp:positionH>
                      <wp:positionV relativeFrom="paragraph">
                        <wp:posOffset>701675</wp:posOffset>
                      </wp:positionV>
                      <wp:extent cx="601345" cy="251460"/>
                      <wp:effectExtent l="41910" t="4445" r="23495" b="487045"/>
                      <wp:wrapNone/>
                      <wp:docPr id="123" name="矩形标注 123"/>
                      <wp:cNvGraphicFramePr/>
                      <a:graphic xmlns:a="http://schemas.openxmlformats.org/drawingml/2006/main">
                        <a:graphicData uri="http://schemas.microsoft.com/office/word/2010/wordprocessingShape">
                          <wps:wsp>
                            <wps:cNvSpPr/>
                            <wps:spPr>
                              <a:xfrm>
                                <a:off x="0" y="0"/>
                                <a:ext cx="601345" cy="251460"/>
                              </a:xfrm>
                              <a:prstGeom prst="wedgeRectCallout">
                                <a:avLst>
                                  <a:gd name="adj1" fmla="val -56230"/>
                                  <a:gd name="adj2" fmla="val 236868"/>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099D3AE">
                                  <w:pPr>
                                    <w:jc w:val="center"/>
                                    <w:rPr>
                                      <w:b/>
                                      <w:bCs/>
                                      <w:color w:val="000000" w:themeColor="text1"/>
                                      <w:sz w:val="22"/>
                                      <w:szCs w:val="22"/>
                                      <w14:textFill>
                                        <w14:solidFill>
                                          <w14:schemeClr w14:val="tx1"/>
                                        </w14:solidFill>
                                      </w14:textFill>
                                    </w:rPr>
                                  </w:pPr>
                                  <w:r>
                                    <w:rPr>
                                      <w:rFonts w:hint="eastAsia"/>
                                      <w:b/>
                                      <w:bCs/>
                                      <w:color w:val="000000" w:themeColor="text1"/>
                                      <w:sz w:val="22"/>
                                      <w:szCs w:val="22"/>
                                      <w14:textFill>
                                        <w14:solidFill>
                                          <w14:schemeClr w14:val="tx1"/>
                                        </w14:solidFill>
                                      </w14:textFill>
                                    </w:rPr>
                                    <w:t>本项目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24.25pt;margin-top:55.25pt;height:19.8pt;width:47.35pt;z-index:251741184;v-text-anchor:middle;mso-width-relative:page;mso-height-relative:page;" filled="f" stroked="t" coordsize="21600,21600" o:gfxdata="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SzOu&#10;N9kAAAALAQAADwAAAAAAAAABACAAAAAiAAAAZHJzL2Rvd25yZXYueG1sUEsBAhQAFAAAAAgAh07i&#10;QEnJSiaTAgAAFgUAAA4AAAAAAAAAAQAgAAAAKAEAAGRycy9lMm9Eb2MueG1sUEsFBgAAAAAGAAYA&#10;WQEAAC0GAAAAAA==&#10;" adj="-1346,61963">
                      <v:fill on="f" focussize="0,0"/>
                      <v:stroke weight="0.5pt" color="#000000 [3213]" joinstyle="round"/>
                      <v:imagedata o:title=""/>
                      <o:lock v:ext="edit" aspectratio="f"/>
                      <v:textbox inset="0mm,0mm,0mm,0mm">
                        <w:txbxContent>
                          <w:p w14:paraId="2099D3AE">
                            <w:pPr>
                              <w:jc w:val="center"/>
                              <w:rPr>
                                <w:b/>
                                <w:bCs/>
                                <w:color w:val="000000" w:themeColor="text1"/>
                                <w:sz w:val="22"/>
                                <w:szCs w:val="22"/>
                                <w14:textFill>
                                  <w14:solidFill>
                                    <w14:schemeClr w14:val="tx1"/>
                                  </w14:solidFill>
                                </w14:textFill>
                              </w:rPr>
                            </w:pPr>
                            <w:r>
                              <w:rPr>
                                <w:rFonts w:hint="eastAsia"/>
                                <w:b/>
                                <w:bCs/>
                                <w:color w:val="000000" w:themeColor="text1"/>
                                <w:sz w:val="22"/>
                                <w:szCs w:val="22"/>
                                <w14:textFill>
                                  <w14:solidFill>
                                    <w14:schemeClr w14:val="tx1"/>
                                  </w14:solidFill>
                                </w14:textFill>
                              </w:rPr>
                              <w:t>本项目</w:t>
                            </w:r>
                          </w:p>
                        </w:txbxContent>
                      </v:textbox>
                    </v:shape>
                  </w:pict>
                </mc:Fallback>
              </mc:AlternateContent>
            </w:r>
            <w:r>
              <w:drawing>
                <wp:inline distT="0" distB="0" distL="114300" distR="114300">
                  <wp:extent cx="5692775" cy="3152140"/>
                  <wp:effectExtent l="0" t="0" r="3175" b="1016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24"/>
                          <a:stretch>
                            <a:fillRect/>
                          </a:stretch>
                        </pic:blipFill>
                        <pic:spPr>
                          <a:xfrm>
                            <a:off x="0" y="0"/>
                            <a:ext cx="5692775" cy="3152140"/>
                          </a:xfrm>
                          <a:prstGeom prst="rect">
                            <a:avLst/>
                          </a:prstGeom>
                          <a:noFill/>
                          <a:ln>
                            <a:noFill/>
                          </a:ln>
                        </pic:spPr>
                      </pic:pic>
                    </a:graphicData>
                  </a:graphic>
                </wp:inline>
              </w:drawing>
            </w:r>
          </w:p>
          <w:p w14:paraId="53BEB1D9">
            <w:pPr>
              <w:spacing w:line="360" w:lineRule="auto"/>
              <w:jc w:val="center"/>
              <w:rPr>
                <w:rFonts w:ascii="Times New Roman" w:hAnsi="Times New Roman" w:cs="Times New Roman"/>
                <w:b/>
                <w:color w:val="000000"/>
              </w:rPr>
            </w:pPr>
            <w:r>
              <w:rPr>
                <w:rFonts w:ascii="Times New Roman" w:hAnsi="Times New Roman" w:cs="Times New Roman"/>
                <w:b/>
                <w:color w:val="000000"/>
              </w:rPr>
              <w:t>图1-1广西生态云建设项目准入研判系统中空间分析截图</w:t>
            </w:r>
          </w:p>
          <w:p w14:paraId="0DCCFB72">
            <w:pPr>
              <w:spacing w:line="360" w:lineRule="auto"/>
              <w:jc w:val="center"/>
              <w:rPr>
                <w:rFonts w:ascii="Times New Roman" w:hAnsi="Times New Roman" w:cs="Times New Roman"/>
                <w:b/>
                <w:color w:val="000000"/>
              </w:rPr>
            </w:pPr>
            <w:r>
              <w:rPr>
                <w:rFonts w:ascii="Times New Roman" w:hAnsi="Times New Roman" w:cs="Times New Roman"/>
                <w:b/>
                <w:bCs/>
                <w:color w:val="000000"/>
              </w:rPr>
              <w:t>表1-</w:t>
            </w:r>
            <w:r>
              <w:rPr>
                <w:rFonts w:hint="eastAsia" w:ascii="Times New Roman" w:hAnsi="Times New Roman" w:cs="Times New Roman"/>
                <w:b/>
                <w:bCs/>
                <w:color w:val="000000"/>
              </w:rPr>
              <w:t>4</w:t>
            </w:r>
            <w:r>
              <w:rPr>
                <w:rFonts w:ascii="Times New Roman" w:hAnsi="Times New Roman" w:cs="Times New Roman"/>
                <w:b/>
                <w:bCs/>
                <w:color w:val="000000"/>
              </w:rPr>
              <w:t xml:space="preserve"> 《钦州市生态环境分区管控动态更新成果(2023版)》符合性分析</w:t>
            </w:r>
          </w:p>
          <w:tbl>
            <w:tblPr>
              <w:tblStyle w:val="88"/>
              <w:tblW w:w="88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567"/>
              <w:gridCol w:w="5225"/>
              <w:gridCol w:w="2503"/>
              <w:gridCol w:w="567"/>
            </w:tblGrid>
            <w:tr w14:paraId="2BB87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697" w:hRule="atLeast"/>
                <w:tblHeader/>
              </w:trPr>
              <w:tc>
                <w:tcPr>
                  <w:tcW w:w="567" w:type="dxa"/>
                  <w:tcBorders>
                    <w:top w:val="single" w:color="auto" w:sz="4" w:space="0"/>
                    <w:left w:val="single" w:color="auto" w:sz="4" w:space="0"/>
                    <w:bottom w:val="single" w:color="auto" w:sz="4" w:space="0"/>
                    <w:right w:val="single" w:color="auto" w:sz="4" w:space="0"/>
                  </w:tcBorders>
                  <w:vAlign w:val="center"/>
                </w:tcPr>
                <w:p w14:paraId="488FAF99">
                  <w:pPr>
                    <w:adjustRightInd w:val="0"/>
                    <w:snapToGrid w:val="0"/>
                    <w:jc w:val="center"/>
                    <w:rPr>
                      <w:rFonts w:ascii="Times New Roman" w:hAnsi="Times New Roman" w:cs="Times New Roman"/>
                      <w:b/>
                      <w:color w:val="000000" w:themeColor="text1"/>
                      <w:spacing w:val="-8"/>
                      <w:sz w:val="21"/>
                      <w:szCs w:val="21"/>
                      <w14:textFill>
                        <w14:solidFill>
                          <w14:schemeClr w14:val="tx1"/>
                        </w14:solidFill>
                      </w14:textFill>
                    </w:rPr>
                  </w:pPr>
                  <w:r>
                    <w:rPr>
                      <w:rFonts w:ascii="Times New Roman" w:hAnsi="Times New Roman" w:cs="Times New Roman"/>
                      <w:b/>
                      <w:color w:val="000000" w:themeColor="text1"/>
                      <w:spacing w:val="-8"/>
                      <w:sz w:val="21"/>
                      <w:szCs w:val="21"/>
                      <w14:textFill>
                        <w14:solidFill>
                          <w14:schemeClr w14:val="tx1"/>
                        </w14:solidFill>
                      </w14:textFill>
                    </w:rPr>
                    <w:t>管控类别</w:t>
                  </w:r>
                </w:p>
              </w:tc>
              <w:tc>
                <w:tcPr>
                  <w:tcW w:w="5225" w:type="dxa"/>
                  <w:tcBorders>
                    <w:top w:val="single" w:color="auto" w:sz="4" w:space="0"/>
                    <w:left w:val="single" w:color="auto" w:sz="4" w:space="0"/>
                    <w:bottom w:val="single" w:color="auto" w:sz="4" w:space="0"/>
                    <w:right w:val="single" w:color="auto" w:sz="4" w:space="0"/>
                  </w:tcBorders>
                  <w:vAlign w:val="center"/>
                </w:tcPr>
                <w:p w14:paraId="3364B5F7">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生态环境准入及管控要求</w:t>
                  </w:r>
                </w:p>
              </w:tc>
              <w:tc>
                <w:tcPr>
                  <w:tcW w:w="2503" w:type="dxa"/>
                  <w:tcBorders>
                    <w:top w:val="single" w:color="auto" w:sz="4" w:space="0"/>
                    <w:left w:val="single" w:color="auto" w:sz="4" w:space="0"/>
                    <w:bottom w:val="single" w:color="auto" w:sz="4" w:space="0"/>
                    <w:right w:val="single" w:color="auto" w:sz="4" w:space="0"/>
                  </w:tcBorders>
                  <w:vAlign w:val="center"/>
                </w:tcPr>
                <w:p w14:paraId="35A45DB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本项目情况</w:t>
                  </w:r>
                </w:p>
              </w:tc>
              <w:tc>
                <w:tcPr>
                  <w:tcW w:w="567" w:type="dxa"/>
                  <w:tcBorders>
                    <w:top w:val="single" w:color="auto" w:sz="4" w:space="0"/>
                    <w:left w:val="single" w:color="auto" w:sz="4" w:space="0"/>
                    <w:bottom w:val="single" w:color="auto" w:sz="4" w:space="0"/>
                    <w:right w:val="single" w:color="auto" w:sz="4" w:space="0"/>
                  </w:tcBorders>
                  <w:vAlign w:val="center"/>
                </w:tcPr>
                <w:p w14:paraId="609D2CFB">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判定结果</w:t>
                  </w:r>
                </w:p>
              </w:tc>
            </w:tr>
            <w:tr w14:paraId="100BA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restart"/>
                  <w:tcBorders>
                    <w:top w:val="single" w:color="auto" w:sz="4" w:space="0"/>
                    <w:left w:val="single" w:color="auto" w:sz="4" w:space="0"/>
                    <w:right w:val="single" w:color="auto" w:sz="4" w:space="0"/>
                  </w:tcBorders>
                  <w:vAlign w:val="center"/>
                </w:tcPr>
                <w:p w14:paraId="6F8B29A8">
                  <w:pPr>
                    <w:adjustRightInd w:val="0"/>
                    <w:snapToGrid w:val="0"/>
                    <w:rPr>
                      <w:rFonts w:ascii="Times New Roman" w:hAnsi="Times New Roman" w:cs="Times New Roman"/>
                      <w:color w:val="000000" w:themeColor="text1"/>
                      <w:spacing w:val="-8"/>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空间布局局约束</w:t>
                  </w:r>
                </w:p>
              </w:tc>
              <w:tc>
                <w:tcPr>
                  <w:tcW w:w="5225" w:type="dxa"/>
                  <w:tcBorders>
                    <w:top w:val="single" w:color="auto" w:sz="4" w:space="0"/>
                    <w:left w:val="single" w:color="auto" w:sz="4" w:space="0"/>
                    <w:bottom w:val="single" w:color="auto" w:sz="4" w:space="0"/>
                    <w:right w:val="single" w:color="auto" w:sz="4" w:space="0"/>
                  </w:tcBorders>
                  <w:vAlign w:val="center"/>
                </w:tcPr>
                <w:p w14:paraId="28C35792">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自然保护地、森林公园、湿地公园、水源保护区、风景名胜区、公益林、天然林等具有法律地位，有管理条例、规定、办法管控的各类保护地，其管控要求原则上按照各类保护地的现行规定进行管理，重叠区域以最严格的要求进行管理。纳入生态保护红线管理的各类自然保护地，还应执行《关于在国土空间规划中统筹划定落实三条控制线的指导意见》相关要求以及国家、自治区有关生态保护红线内各类开发活动的准入及管控规定和要求。</w:t>
                  </w:r>
                </w:p>
              </w:tc>
              <w:tc>
                <w:tcPr>
                  <w:tcW w:w="2503" w:type="dxa"/>
                  <w:tcBorders>
                    <w:top w:val="single" w:color="auto" w:sz="4" w:space="0"/>
                    <w:left w:val="single" w:color="auto" w:sz="4" w:space="0"/>
                    <w:bottom w:val="single" w:color="auto" w:sz="4" w:space="0"/>
                    <w:right w:val="single" w:color="auto" w:sz="4" w:space="0"/>
                  </w:tcBorders>
                  <w:vAlign w:val="center"/>
                </w:tcPr>
                <w:p w14:paraId="798B884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项目位于钦州港</w:t>
                  </w:r>
                  <w:r>
                    <w:rPr>
                      <w:rFonts w:hint="eastAsia" w:ascii="Times New Roman" w:hAnsi="Times New Roman" w:cs="Times New Roman"/>
                      <w:color w:val="000000" w:themeColor="text1"/>
                      <w:sz w:val="21"/>
                      <w:szCs w:val="21"/>
                      <w14:textFill>
                        <w14:solidFill>
                          <w14:schemeClr w14:val="tx1"/>
                        </w14:solidFill>
                      </w14:textFill>
                    </w:rPr>
                    <w:t>金谷港区金鼓江作业区</w:t>
                  </w:r>
                  <w:r>
                    <w:rPr>
                      <w:rFonts w:ascii="Times New Roman" w:hAnsi="Times New Roman" w:cs="Times New Roman"/>
                      <w:color w:val="000000" w:themeColor="text1"/>
                      <w:sz w:val="21"/>
                      <w:szCs w:val="21"/>
                      <w14:textFill>
                        <w14:solidFill>
                          <w14:schemeClr w14:val="tx1"/>
                        </w14:solidFill>
                      </w14:textFill>
                    </w:rPr>
                    <w:t>，不涉及自然保护地、森林公园、湿地公园、水源保护区、风景名胜区、公益林、天然林等具有法律地位，有管理条例、规定、办法的各类保护地</w:t>
                  </w:r>
                </w:p>
              </w:tc>
              <w:tc>
                <w:tcPr>
                  <w:tcW w:w="567" w:type="dxa"/>
                  <w:tcBorders>
                    <w:top w:val="single" w:color="auto" w:sz="4" w:space="0"/>
                    <w:left w:val="single" w:color="auto" w:sz="4" w:space="0"/>
                    <w:bottom w:val="single" w:color="auto" w:sz="4" w:space="0"/>
                    <w:right w:val="single" w:color="auto" w:sz="4" w:space="0"/>
                  </w:tcBorders>
                  <w:vAlign w:val="center"/>
                </w:tcPr>
                <w:p w14:paraId="7C5C43F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4871C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13" w:hRule="atLeast"/>
                <w:tblHeader/>
              </w:trPr>
              <w:tc>
                <w:tcPr>
                  <w:tcW w:w="567" w:type="dxa"/>
                  <w:vMerge w:val="continue"/>
                  <w:tcBorders>
                    <w:left w:val="single" w:color="auto" w:sz="4" w:space="0"/>
                    <w:right w:val="single" w:color="auto" w:sz="4" w:space="0"/>
                  </w:tcBorders>
                  <w:vAlign w:val="center"/>
                </w:tcPr>
                <w:p w14:paraId="45D6079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1E34F0FC">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2.红树林依据《广西壮族自治区红树林资源保护条例》进行管理。开展红树林修复要依法依规进行，并符合红树林资源保护规划等相关要求。</w:t>
                  </w:r>
                </w:p>
              </w:tc>
              <w:tc>
                <w:tcPr>
                  <w:tcW w:w="2503" w:type="dxa"/>
                  <w:tcBorders>
                    <w:top w:val="single" w:color="auto" w:sz="4" w:space="0"/>
                    <w:left w:val="single" w:color="auto" w:sz="4" w:space="0"/>
                    <w:bottom w:val="single" w:color="auto" w:sz="4" w:space="0"/>
                    <w:right w:val="single" w:color="auto" w:sz="4" w:space="0"/>
                  </w:tcBorders>
                  <w:vAlign w:val="center"/>
                </w:tcPr>
                <w:p w14:paraId="5F0965C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项目建设区域不涉及红树林</w:t>
                  </w:r>
                </w:p>
              </w:tc>
              <w:tc>
                <w:tcPr>
                  <w:tcW w:w="567" w:type="dxa"/>
                  <w:tcBorders>
                    <w:top w:val="single" w:color="auto" w:sz="4" w:space="0"/>
                    <w:left w:val="single" w:color="auto" w:sz="4" w:space="0"/>
                    <w:bottom w:val="single" w:color="auto" w:sz="4" w:space="0"/>
                    <w:right w:val="single" w:color="auto" w:sz="4" w:space="0"/>
                  </w:tcBorders>
                  <w:vAlign w:val="center"/>
                </w:tcPr>
                <w:p w14:paraId="3577A77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14202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4B9A6F3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2AF70E91">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3.重要湿地依据《广西壮族自治区湿地保护条例》进行管理。</w:t>
                  </w:r>
                </w:p>
              </w:tc>
              <w:tc>
                <w:tcPr>
                  <w:tcW w:w="2503" w:type="dxa"/>
                  <w:tcBorders>
                    <w:top w:val="single" w:color="auto" w:sz="4" w:space="0"/>
                    <w:left w:val="single" w:color="auto" w:sz="4" w:space="0"/>
                    <w:bottom w:val="single" w:color="auto" w:sz="4" w:space="0"/>
                    <w:right w:val="single" w:color="auto" w:sz="4" w:space="0"/>
                  </w:tcBorders>
                  <w:vAlign w:val="center"/>
                </w:tcPr>
                <w:p w14:paraId="64D78BB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项目建设区域不涉及重要湿地</w:t>
                  </w:r>
                </w:p>
              </w:tc>
              <w:tc>
                <w:tcPr>
                  <w:tcW w:w="567" w:type="dxa"/>
                  <w:tcBorders>
                    <w:top w:val="single" w:color="auto" w:sz="4" w:space="0"/>
                    <w:left w:val="single" w:color="auto" w:sz="4" w:space="0"/>
                    <w:bottom w:val="single" w:color="auto" w:sz="4" w:space="0"/>
                    <w:right w:val="single" w:color="auto" w:sz="4" w:space="0"/>
                  </w:tcBorders>
                  <w:vAlign w:val="center"/>
                </w:tcPr>
                <w:p w14:paraId="691AA4A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14D3C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5F31F51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11D5048D">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 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一资”产业在十万大山、五皇山、六万大山、茅尾海等生物多样性保护区及水源涵养区等重点生态功能区布局，鼓励发展生态保护型旅游业、生态农业，统筹推进特色农业和旅游业融合发展。</w:t>
                  </w:r>
                </w:p>
              </w:tc>
              <w:tc>
                <w:tcPr>
                  <w:tcW w:w="2503" w:type="dxa"/>
                  <w:tcBorders>
                    <w:top w:val="single" w:color="auto" w:sz="4" w:space="0"/>
                    <w:left w:val="single" w:color="auto" w:sz="4" w:space="0"/>
                    <w:bottom w:val="single" w:color="auto" w:sz="4" w:space="0"/>
                    <w:right w:val="single" w:color="auto" w:sz="4" w:space="0"/>
                  </w:tcBorders>
                  <w:vAlign w:val="center"/>
                </w:tcPr>
                <w:p w14:paraId="4C6FA3F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项目用地不涉及自然保护区、湿地保护区及生态环境，不涉及水源保护区、湿地、永久基本农田、陡坡区、地质灾害高易发区等地区</w:t>
                  </w:r>
                </w:p>
              </w:tc>
              <w:tc>
                <w:tcPr>
                  <w:tcW w:w="567" w:type="dxa"/>
                  <w:tcBorders>
                    <w:top w:val="single" w:color="auto" w:sz="4" w:space="0"/>
                    <w:left w:val="single" w:color="auto" w:sz="4" w:space="0"/>
                    <w:bottom w:val="single" w:color="auto" w:sz="4" w:space="0"/>
                    <w:right w:val="single" w:color="auto" w:sz="4" w:space="0"/>
                  </w:tcBorders>
                  <w:vAlign w:val="center"/>
                </w:tcPr>
                <w:p w14:paraId="209E84A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0A460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5D2944B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1683EF74">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5．以供给侧结构性改革为导向，坚持培育新增产能与淘汰落后产能相结合，严格审批，防止新增落后产能。严格控制“两高”和产能过剩行业新上项目，遏制高耗能产业无序发展和低水平扩张。</w:t>
                  </w:r>
                </w:p>
              </w:tc>
              <w:tc>
                <w:tcPr>
                  <w:tcW w:w="2503" w:type="dxa"/>
                  <w:tcBorders>
                    <w:top w:val="single" w:color="auto" w:sz="4" w:space="0"/>
                    <w:left w:val="single" w:color="auto" w:sz="4" w:space="0"/>
                    <w:bottom w:val="single" w:color="auto" w:sz="4" w:space="0"/>
                    <w:right w:val="single" w:color="auto" w:sz="4" w:space="0"/>
                  </w:tcBorders>
                  <w:vAlign w:val="center"/>
                </w:tcPr>
                <w:p w14:paraId="6185178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项目属于产业结构调整目录中的允许类项目</w:t>
                  </w:r>
                </w:p>
              </w:tc>
              <w:tc>
                <w:tcPr>
                  <w:tcW w:w="567" w:type="dxa"/>
                  <w:tcBorders>
                    <w:top w:val="single" w:color="auto" w:sz="4" w:space="0"/>
                    <w:left w:val="single" w:color="auto" w:sz="4" w:space="0"/>
                    <w:bottom w:val="single" w:color="auto" w:sz="4" w:space="0"/>
                    <w:right w:val="single" w:color="auto" w:sz="4" w:space="0"/>
                  </w:tcBorders>
                  <w:vAlign w:val="center"/>
                </w:tcPr>
                <w:p w14:paraId="735DF3A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671C1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427" w:hRule="atLeast"/>
                <w:tblHeader/>
              </w:trPr>
              <w:tc>
                <w:tcPr>
                  <w:tcW w:w="567" w:type="dxa"/>
                  <w:vMerge w:val="continue"/>
                  <w:tcBorders>
                    <w:left w:val="single" w:color="auto" w:sz="4" w:space="0"/>
                    <w:right w:val="single" w:color="auto" w:sz="4" w:space="0"/>
                  </w:tcBorders>
                  <w:vAlign w:val="center"/>
                </w:tcPr>
                <w:p w14:paraId="4178C15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2B880EC2">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 全市产业准入执行《广西壮族自治区人民政府办公厅关于印发北钦防一体化产业协同发展限制布局清单（工业类2021年版）的通知》（桂政办函〔2021〕4号）要求，限制布局炼铁、炼钢、铝冶炼、平板玻璃制造。</w:t>
                  </w:r>
                </w:p>
              </w:tc>
              <w:tc>
                <w:tcPr>
                  <w:tcW w:w="2503" w:type="dxa"/>
                  <w:tcBorders>
                    <w:top w:val="single" w:color="auto" w:sz="4" w:space="0"/>
                    <w:left w:val="single" w:color="auto" w:sz="4" w:space="0"/>
                    <w:bottom w:val="single" w:color="auto" w:sz="4" w:space="0"/>
                    <w:right w:val="single" w:color="auto" w:sz="4" w:space="0"/>
                  </w:tcBorders>
                  <w:vAlign w:val="center"/>
                </w:tcPr>
                <w:p w14:paraId="7F0A701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项目不属于《北钦防一体化产业协同发展限制布局清单（工业类2021年版）》限制清单范围内</w:t>
                  </w:r>
                </w:p>
              </w:tc>
              <w:tc>
                <w:tcPr>
                  <w:tcW w:w="567" w:type="dxa"/>
                  <w:tcBorders>
                    <w:top w:val="single" w:color="auto" w:sz="4" w:space="0"/>
                    <w:left w:val="single" w:color="auto" w:sz="4" w:space="0"/>
                    <w:bottom w:val="single" w:color="auto" w:sz="4" w:space="0"/>
                    <w:right w:val="single" w:color="auto" w:sz="4" w:space="0"/>
                  </w:tcBorders>
                  <w:vAlign w:val="center"/>
                </w:tcPr>
                <w:p w14:paraId="1C3C853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4F1C4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3D159C8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4FF7243A">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7.新建、扩建的石化、化工、焦化项目应按照《关于加强高耗能、高排放建设项目生态环境源头防控的指导意见》布设在依法合规设立并经规划环评的产业园区。</w:t>
                  </w:r>
                </w:p>
              </w:tc>
              <w:tc>
                <w:tcPr>
                  <w:tcW w:w="2503" w:type="dxa"/>
                  <w:tcBorders>
                    <w:top w:val="single" w:color="auto" w:sz="4" w:space="0"/>
                    <w:left w:val="single" w:color="auto" w:sz="4" w:space="0"/>
                    <w:bottom w:val="single" w:color="auto" w:sz="4" w:space="0"/>
                    <w:right w:val="single" w:color="auto" w:sz="4" w:space="0"/>
                  </w:tcBorders>
                  <w:vAlign w:val="center"/>
                </w:tcPr>
                <w:p w14:paraId="76D9648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本项目属于危险化学品仓储项目，不属于高耗能、高排放项目</w:t>
                  </w:r>
                </w:p>
              </w:tc>
              <w:tc>
                <w:tcPr>
                  <w:tcW w:w="567" w:type="dxa"/>
                  <w:tcBorders>
                    <w:top w:val="single" w:color="auto" w:sz="4" w:space="0"/>
                    <w:left w:val="single" w:color="auto" w:sz="4" w:space="0"/>
                    <w:bottom w:val="single" w:color="auto" w:sz="4" w:space="0"/>
                    <w:right w:val="single" w:color="auto" w:sz="4" w:space="0"/>
                  </w:tcBorders>
                  <w:vAlign w:val="center"/>
                </w:tcPr>
                <w:p w14:paraId="5D3DDFB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29828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08416B6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21AE6CB4">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8.海洋开发和海岸开发各类活动，大陆自然岸线保有率标准不低于35%、无居民海岛岸线长度保有率标准不低于 85%。</w:t>
                  </w:r>
                </w:p>
              </w:tc>
              <w:tc>
                <w:tcPr>
                  <w:tcW w:w="2503" w:type="dxa"/>
                  <w:tcBorders>
                    <w:top w:val="single" w:color="auto" w:sz="4" w:space="0"/>
                    <w:left w:val="single" w:color="auto" w:sz="4" w:space="0"/>
                    <w:bottom w:val="single" w:color="auto" w:sz="4" w:space="0"/>
                    <w:right w:val="single" w:color="auto" w:sz="4" w:space="0"/>
                  </w:tcBorders>
                  <w:vAlign w:val="center"/>
                </w:tcPr>
                <w:p w14:paraId="271C269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项目不涉及海洋、海岸开发</w:t>
                  </w:r>
                </w:p>
              </w:tc>
              <w:tc>
                <w:tcPr>
                  <w:tcW w:w="567" w:type="dxa"/>
                  <w:tcBorders>
                    <w:top w:val="single" w:color="auto" w:sz="4" w:space="0"/>
                    <w:left w:val="single" w:color="auto" w:sz="4" w:space="0"/>
                    <w:bottom w:val="single" w:color="auto" w:sz="4" w:space="0"/>
                    <w:right w:val="single" w:color="auto" w:sz="4" w:space="0"/>
                  </w:tcBorders>
                  <w:vAlign w:val="center"/>
                </w:tcPr>
                <w:p w14:paraId="1632EA0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26822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2B073A3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28AEDE16">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9.推进海域资源市场化配置，严控新增围填海造地，完善围填海总量管控，除国家重大战略项目外，全面停止新增围填海项目审批，全面清理非法占用海洋生态保护红线区域的围填海项目。</w:t>
                  </w:r>
                </w:p>
              </w:tc>
              <w:tc>
                <w:tcPr>
                  <w:tcW w:w="2503" w:type="dxa"/>
                  <w:tcBorders>
                    <w:top w:val="single" w:color="auto" w:sz="4" w:space="0"/>
                    <w:left w:val="single" w:color="auto" w:sz="4" w:space="0"/>
                    <w:bottom w:val="single" w:color="auto" w:sz="4" w:space="0"/>
                    <w:right w:val="single" w:color="auto" w:sz="4" w:space="0"/>
                  </w:tcBorders>
                  <w:vAlign w:val="center"/>
                </w:tcPr>
                <w:p w14:paraId="1AED8B2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项目用地不涉及新增围填海造地</w:t>
                  </w:r>
                </w:p>
              </w:tc>
              <w:tc>
                <w:tcPr>
                  <w:tcW w:w="567" w:type="dxa"/>
                  <w:tcBorders>
                    <w:top w:val="single" w:color="auto" w:sz="4" w:space="0"/>
                    <w:left w:val="single" w:color="auto" w:sz="4" w:space="0"/>
                    <w:bottom w:val="single" w:color="auto" w:sz="4" w:space="0"/>
                    <w:right w:val="single" w:color="auto" w:sz="4" w:space="0"/>
                  </w:tcBorders>
                  <w:vAlign w:val="center"/>
                </w:tcPr>
                <w:p w14:paraId="15BBEA0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0BA62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4591478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5C0CE825">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10.科学论证在三娘湾海洋保护区、茅尾海中部海洋保护区及周边区域的开发利用活动，严格落实保护区管理要求。</w:t>
                  </w:r>
                </w:p>
              </w:tc>
              <w:tc>
                <w:tcPr>
                  <w:tcW w:w="2503" w:type="dxa"/>
                  <w:tcBorders>
                    <w:top w:val="single" w:color="auto" w:sz="4" w:space="0"/>
                    <w:left w:val="single" w:color="auto" w:sz="4" w:space="0"/>
                    <w:bottom w:val="single" w:color="auto" w:sz="4" w:space="0"/>
                    <w:right w:val="single" w:color="auto" w:sz="4" w:space="0"/>
                  </w:tcBorders>
                  <w:vAlign w:val="center"/>
                </w:tcPr>
                <w:p w14:paraId="6A1E748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项目位于钦州港</w:t>
                  </w:r>
                  <w:r>
                    <w:rPr>
                      <w:rFonts w:hint="eastAsia" w:ascii="Times New Roman" w:hAnsi="Times New Roman" w:cs="Times New Roman"/>
                      <w:color w:val="000000" w:themeColor="text1"/>
                      <w:sz w:val="21"/>
                      <w:szCs w:val="21"/>
                      <w14:textFill>
                        <w14:solidFill>
                          <w14:schemeClr w14:val="tx1"/>
                        </w14:solidFill>
                      </w14:textFill>
                    </w:rPr>
                    <w:t>金谷港区金鼓江作业区</w:t>
                  </w:r>
                  <w:r>
                    <w:rPr>
                      <w:rFonts w:ascii="Times New Roman" w:hAnsi="Times New Roman" w:cs="Times New Roman"/>
                      <w:color w:val="000000" w:themeColor="text1"/>
                      <w:sz w:val="21"/>
                      <w:szCs w:val="21"/>
                      <w14:textFill>
                        <w14:solidFill>
                          <w14:schemeClr w14:val="tx1"/>
                        </w14:solidFill>
                      </w14:textFill>
                    </w:rPr>
                    <w:t>，不涉及三娘湾海洋保护区、茅尾海中部海洋保护区</w:t>
                  </w:r>
                </w:p>
              </w:tc>
              <w:tc>
                <w:tcPr>
                  <w:tcW w:w="567" w:type="dxa"/>
                  <w:tcBorders>
                    <w:top w:val="single" w:color="auto" w:sz="4" w:space="0"/>
                    <w:left w:val="single" w:color="auto" w:sz="4" w:space="0"/>
                    <w:bottom w:val="single" w:color="auto" w:sz="4" w:space="0"/>
                    <w:right w:val="single" w:color="auto" w:sz="4" w:space="0"/>
                  </w:tcBorders>
                  <w:vAlign w:val="center"/>
                </w:tcPr>
                <w:p w14:paraId="3AD9C3D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51601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5C8DD9B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51A99D93">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 严格按照相关法律法规及海洋国土空间规划等要求，规范设置和监管入海排污口。禁止采挖海砂、设置直排排污口及其他破坏河口生态功能的开发活动。</w:t>
                  </w:r>
                </w:p>
              </w:tc>
              <w:tc>
                <w:tcPr>
                  <w:tcW w:w="2503" w:type="dxa"/>
                  <w:tcBorders>
                    <w:top w:val="single" w:color="auto" w:sz="4" w:space="0"/>
                    <w:left w:val="single" w:color="auto" w:sz="4" w:space="0"/>
                    <w:bottom w:val="single" w:color="auto" w:sz="4" w:space="0"/>
                    <w:right w:val="single" w:color="auto" w:sz="4" w:space="0"/>
                  </w:tcBorders>
                  <w:vAlign w:val="center"/>
                </w:tcPr>
                <w:p w14:paraId="5C057FA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不涉及</w:t>
                  </w:r>
                </w:p>
              </w:tc>
              <w:tc>
                <w:tcPr>
                  <w:tcW w:w="567" w:type="dxa"/>
                  <w:tcBorders>
                    <w:top w:val="single" w:color="auto" w:sz="4" w:space="0"/>
                    <w:left w:val="single" w:color="auto" w:sz="4" w:space="0"/>
                    <w:bottom w:val="single" w:color="auto" w:sz="4" w:space="0"/>
                    <w:right w:val="single" w:color="auto" w:sz="4" w:space="0"/>
                  </w:tcBorders>
                  <w:vAlign w:val="center"/>
                </w:tcPr>
                <w:p w14:paraId="710B800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78AF8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2EA5C38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72D406B5">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 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w:t>
                  </w:r>
                </w:p>
              </w:tc>
              <w:tc>
                <w:tcPr>
                  <w:tcW w:w="2503" w:type="dxa"/>
                  <w:tcBorders>
                    <w:top w:val="single" w:color="auto" w:sz="4" w:space="0"/>
                    <w:left w:val="single" w:color="auto" w:sz="4" w:space="0"/>
                    <w:bottom w:val="single" w:color="auto" w:sz="4" w:space="0"/>
                    <w:right w:val="single" w:color="auto" w:sz="4" w:space="0"/>
                  </w:tcBorders>
                  <w:vAlign w:val="center"/>
                </w:tcPr>
                <w:p w14:paraId="709FEA3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项目所在地不涉及沙滩和红树林</w:t>
                  </w:r>
                </w:p>
              </w:tc>
              <w:tc>
                <w:tcPr>
                  <w:tcW w:w="567" w:type="dxa"/>
                  <w:tcBorders>
                    <w:top w:val="single" w:color="auto" w:sz="4" w:space="0"/>
                    <w:left w:val="single" w:color="auto" w:sz="4" w:space="0"/>
                    <w:bottom w:val="single" w:color="auto" w:sz="4" w:space="0"/>
                    <w:right w:val="single" w:color="auto" w:sz="4" w:space="0"/>
                  </w:tcBorders>
                  <w:vAlign w:val="center"/>
                </w:tcPr>
                <w:p w14:paraId="6D95138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23B59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54B2A46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69077C5B">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 严格用途管制，坚持陆海统筹，严禁国家产业政策淘汰类、限制类项目在滨海湿地布局，实现山水林田湖草整体保护、系统修复、综合治理。</w:t>
                  </w:r>
                </w:p>
              </w:tc>
              <w:tc>
                <w:tcPr>
                  <w:tcW w:w="2503" w:type="dxa"/>
                  <w:tcBorders>
                    <w:top w:val="single" w:color="auto" w:sz="4" w:space="0"/>
                    <w:left w:val="single" w:color="auto" w:sz="4" w:space="0"/>
                    <w:bottom w:val="single" w:color="auto" w:sz="4" w:space="0"/>
                    <w:right w:val="single" w:color="auto" w:sz="4" w:space="0"/>
                  </w:tcBorders>
                  <w:vAlign w:val="center"/>
                </w:tcPr>
                <w:p w14:paraId="702F055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项目属于产业结构调整目录中的允许类项目</w:t>
                  </w:r>
                </w:p>
              </w:tc>
              <w:tc>
                <w:tcPr>
                  <w:tcW w:w="567" w:type="dxa"/>
                  <w:tcBorders>
                    <w:top w:val="single" w:color="auto" w:sz="4" w:space="0"/>
                    <w:left w:val="single" w:color="auto" w:sz="4" w:space="0"/>
                    <w:bottom w:val="single" w:color="auto" w:sz="4" w:space="0"/>
                    <w:right w:val="single" w:color="auto" w:sz="4" w:space="0"/>
                  </w:tcBorders>
                  <w:vAlign w:val="center"/>
                </w:tcPr>
                <w:p w14:paraId="4960130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5E595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restart"/>
                  <w:tcBorders>
                    <w:left w:val="single" w:color="auto" w:sz="4" w:space="0"/>
                    <w:right w:val="single" w:color="auto" w:sz="4" w:space="0"/>
                  </w:tcBorders>
                  <w:vAlign w:val="center"/>
                </w:tcPr>
                <w:p w14:paraId="7CCF40DE">
                  <w:pPr>
                    <w:adjustRightInd w:val="0"/>
                    <w:snapToGrid w:val="0"/>
                    <w:jc w:val="center"/>
                    <w:rPr>
                      <w:rFonts w:ascii="Times New Roman" w:hAnsi="Times New Roman" w:cs="Times New Roman"/>
                      <w:color w:val="000000" w:themeColor="text1"/>
                      <w:spacing w:val="-6"/>
                      <w:sz w:val="21"/>
                      <w:szCs w:val="21"/>
                      <w14:textFill>
                        <w14:solidFill>
                          <w14:schemeClr w14:val="tx1"/>
                        </w14:solidFill>
                      </w14:textFill>
                    </w:rPr>
                  </w:pPr>
                  <w:r>
                    <w:rPr>
                      <w:rFonts w:ascii="Times New Roman" w:hAnsi="Times New Roman" w:cs="Times New Roman"/>
                      <w:color w:val="000000" w:themeColor="text1"/>
                      <w:spacing w:val="-6"/>
                      <w:sz w:val="21"/>
                      <w:szCs w:val="21"/>
                      <w14:textFill>
                        <w14:solidFill>
                          <w14:schemeClr w14:val="tx1"/>
                        </w14:solidFill>
                      </w14:textFill>
                    </w:rPr>
                    <w:t>污染物</w:t>
                  </w:r>
                </w:p>
                <w:p w14:paraId="0090893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6"/>
                      <w:sz w:val="21"/>
                      <w:szCs w:val="21"/>
                      <w14:textFill>
                        <w14:solidFill>
                          <w14:schemeClr w14:val="tx1"/>
                        </w14:solidFill>
                      </w14:textFill>
                    </w:rPr>
                    <w:t>排放管控</w:t>
                  </w:r>
                </w:p>
              </w:tc>
              <w:tc>
                <w:tcPr>
                  <w:tcW w:w="5225" w:type="dxa"/>
                  <w:tcBorders>
                    <w:top w:val="single" w:color="auto" w:sz="4" w:space="0"/>
                    <w:left w:val="single" w:color="auto" w:sz="4" w:space="0"/>
                    <w:bottom w:val="single" w:color="auto" w:sz="4" w:space="0"/>
                    <w:right w:val="single" w:color="auto" w:sz="4" w:space="0"/>
                  </w:tcBorders>
                  <w:vAlign w:val="center"/>
                </w:tcPr>
                <w:p w14:paraId="37F48B38">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 落实《钦州工业污染源全面达标排放计划实施方案》，以钢铁、火电、水泥、煤炭、造纸、印染、污水处理、垃圾焚烧、制糖、酒精、有色金属、化工、铁合金、氮肥、农副食品加工、原料药制造、制革、农药、电镀、印刷、垃圾填埋等行业为重点，全面推进行业达标排放改造。新建、改建、扩建的制浆造纸、印染、纺织、煤化工、石化、煤电等建设项目新增主要污染物排放应控制在区域总量内的要求，确保环境质量达标。</w:t>
                  </w:r>
                </w:p>
              </w:tc>
              <w:tc>
                <w:tcPr>
                  <w:tcW w:w="2503" w:type="dxa"/>
                  <w:tcBorders>
                    <w:top w:val="single" w:color="auto" w:sz="4" w:space="0"/>
                    <w:left w:val="single" w:color="auto" w:sz="4" w:space="0"/>
                    <w:bottom w:val="single" w:color="auto" w:sz="4" w:space="0"/>
                    <w:right w:val="single" w:color="auto" w:sz="4" w:space="0"/>
                  </w:tcBorders>
                  <w:vAlign w:val="center"/>
                </w:tcPr>
                <w:p w14:paraId="59944000">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项目污染物经处理后达标排放，新增污染物排放在区域总量要求内</w:t>
                  </w:r>
                </w:p>
              </w:tc>
              <w:tc>
                <w:tcPr>
                  <w:tcW w:w="567" w:type="dxa"/>
                  <w:tcBorders>
                    <w:top w:val="single" w:color="auto" w:sz="4" w:space="0"/>
                    <w:left w:val="single" w:color="auto" w:sz="4" w:space="0"/>
                    <w:bottom w:val="single" w:color="auto" w:sz="4" w:space="0"/>
                    <w:right w:val="single" w:color="auto" w:sz="4" w:space="0"/>
                  </w:tcBorders>
                  <w:vAlign w:val="center"/>
                </w:tcPr>
                <w:p w14:paraId="6AB88229">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0676C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6E3D5BF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59B574E2">
                  <w:pPr>
                    <w:adjustRightInd w:val="0"/>
                    <w:snapToGrid w:val="0"/>
                    <w:textAlignment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 推进全市自治区级及以上工业园区污水管网全覆盖，提高工业企业水循环利用率，按照“清污分流、雨污分流”原则，实施废水分类收集、分质处理，入园企业在达到国家或地方规定的排放标准后接入园区集中式污水处理设施稳定达标排放；加快推进深海排放基础设施建设。</w:t>
                  </w:r>
                </w:p>
              </w:tc>
              <w:tc>
                <w:tcPr>
                  <w:tcW w:w="2503" w:type="dxa"/>
                  <w:tcBorders>
                    <w:top w:val="single" w:color="auto" w:sz="4" w:space="0"/>
                    <w:left w:val="single" w:color="auto" w:sz="4" w:space="0"/>
                    <w:bottom w:val="single" w:color="auto" w:sz="4" w:space="0"/>
                    <w:right w:val="single" w:color="auto" w:sz="4" w:space="0"/>
                  </w:tcBorders>
                  <w:vAlign w:val="center"/>
                </w:tcPr>
                <w:p w14:paraId="51B50BCE">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项目雨污分流，</w:t>
                  </w:r>
                  <w:r>
                    <w:rPr>
                      <w:rFonts w:hint="eastAsia" w:ascii="Times New Roman" w:hAnsi="Times New Roman" w:cs="Times New Roman"/>
                      <w:color w:val="000000" w:themeColor="text1"/>
                      <w:sz w:val="21"/>
                      <w:szCs w:val="21"/>
                      <w14:textFill>
                        <w14:solidFill>
                          <w14:schemeClr w14:val="tx1"/>
                        </w14:solidFill>
                      </w14:textFill>
                    </w:rPr>
                    <w:t>场地清洗废水、初期雨水经排水沟进入初期雨水池收集，再泵送至广西恒逸污水处理厂</w:t>
                  </w:r>
                  <w:r>
                    <w:rPr>
                      <w:rFonts w:ascii="Times New Roman" w:hAnsi="Times New Roman" w:cs="Times New Roman"/>
                      <w:color w:val="000000" w:themeColor="text1"/>
                      <w:sz w:val="21"/>
                      <w:szCs w:val="21"/>
                      <w14:textFill>
                        <w14:solidFill>
                          <w14:schemeClr w14:val="tx1"/>
                        </w14:solidFill>
                      </w14:textFill>
                    </w:rPr>
                    <w:t>处理</w:t>
                  </w:r>
                  <w:r>
                    <w:rPr>
                      <w:rFonts w:hint="eastAsia" w:ascii="Times New Roman" w:hAnsi="Times New Roman" w:cs="Times New Roman"/>
                      <w:color w:val="000000" w:themeColor="text1"/>
                      <w:sz w:val="21"/>
                      <w:szCs w:val="21"/>
                      <w14:textFill>
                        <w14:solidFill>
                          <w14:schemeClr w14:val="tx1"/>
                        </w14:solidFill>
                      </w14:textFill>
                    </w:rPr>
                    <w:t>后达标排放。</w:t>
                  </w:r>
                  <w:r>
                    <w:rPr>
                      <w:rFonts w:ascii="Times New Roman" w:hAnsi="Times New Roman" w:cs="Times New Roman"/>
                      <w:color w:val="000000" w:themeColor="text1"/>
                      <w:sz w:val="21"/>
                      <w:szCs w:val="21"/>
                      <w14:textFill>
                        <w14:solidFill>
                          <w14:schemeClr w14:val="tx1"/>
                        </w14:solidFill>
                      </w14:textFill>
                    </w:rPr>
                    <w:t>生活污水</w:t>
                  </w:r>
                  <w:r>
                    <w:rPr>
                      <w:rFonts w:hint="eastAsia" w:ascii="Times New Roman" w:hAnsi="Times New Roman" w:cs="Times New Roman"/>
                      <w:color w:val="000000" w:themeColor="text1"/>
                      <w:sz w:val="21"/>
                      <w:szCs w:val="21"/>
                      <w14:textFill>
                        <w14:solidFill>
                          <w14:schemeClr w14:val="tx1"/>
                        </w14:solidFill>
                      </w14:textFill>
                    </w:rPr>
                    <w:t>经化粪池处理后汇入生活污水池，再泵送至广西恒逸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r>
                    <w:rPr>
                      <w:rFonts w:hint="eastAsia" w:ascii="Times New Roman" w:hAnsi="Times New Roman" w:cs="Times New Roman"/>
                      <w:color w:val="000000" w:themeColor="text1"/>
                      <w:sz w:val="21"/>
                      <w:szCs w:val="21"/>
                      <w14:textFill>
                        <w14:solidFill>
                          <w14:schemeClr w14:val="tx1"/>
                        </w14:solidFill>
                      </w14:textFill>
                    </w:rPr>
                    <w:t>处理。后期清净雨水通过厂区东侧雨水涵管排出口排入海中。</w:t>
                  </w:r>
                </w:p>
              </w:tc>
              <w:tc>
                <w:tcPr>
                  <w:tcW w:w="567" w:type="dxa"/>
                  <w:tcBorders>
                    <w:top w:val="single" w:color="auto" w:sz="4" w:space="0"/>
                    <w:left w:val="single" w:color="auto" w:sz="4" w:space="0"/>
                    <w:bottom w:val="single" w:color="auto" w:sz="4" w:space="0"/>
                    <w:right w:val="single" w:color="auto" w:sz="4" w:space="0"/>
                  </w:tcBorders>
                  <w:vAlign w:val="center"/>
                </w:tcPr>
                <w:p w14:paraId="045C169C">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5360C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431" w:hRule="atLeast"/>
                <w:tblHeader/>
              </w:trPr>
              <w:tc>
                <w:tcPr>
                  <w:tcW w:w="567" w:type="dxa"/>
                  <w:vMerge w:val="continue"/>
                  <w:tcBorders>
                    <w:left w:val="single" w:color="auto" w:sz="4" w:space="0"/>
                    <w:right w:val="single" w:color="auto" w:sz="4" w:space="0"/>
                  </w:tcBorders>
                  <w:vAlign w:val="center"/>
                </w:tcPr>
                <w:p w14:paraId="6A5D93E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059DBFB5">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 开展陆海统筹流域治理，深化钦江、大风江、茅岭江、南流江等流域水环境综合整治，钦江、南流江流域切实开展截污、拔污、清污、治污专项行动，以“控磷除氮”为重点，抓好养殖、生活、工业、农业面源等污染综合治理和河道生态修复。全面开展茅尾海、钦州湾等重点海域综合整治。严厉打击非法用海抽砂行为，优化茅尾海等海域养殖规划布局，整治非法养殖。完善钦州港区污水截流及雨污分流、海上水产养殖尾水整治。</w:t>
                  </w:r>
                </w:p>
              </w:tc>
              <w:tc>
                <w:tcPr>
                  <w:tcW w:w="2503" w:type="dxa"/>
                  <w:tcBorders>
                    <w:top w:val="single" w:color="auto" w:sz="4" w:space="0"/>
                    <w:left w:val="single" w:color="auto" w:sz="4" w:space="0"/>
                    <w:bottom w:val="single" w:color="auto" w:sz="4" w:space="0"/>
                    <w:right w:val="single" w:color="auto" w:sz="4" w:space="0"/>
                  </w:tcBorders>
                  <w:vAlign w:val="center"/>
                </w:tcPr>
                <w:p w14:paraId="6D32925E">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不涉及</w:t>
                  </w:r>
                </w:p>
              </w:tc>
              <w:tc>
                <w:tcPr>
                  <w:tcW w:w="567" w:type="dxa"/>
                  <w:tcBorders>
                    <w:top w:val="single" w:color="auto" w:sz="4" w:space="0"/>
                    <w:left w:val="single" w:color="auto" w:sz="4" w:space="0"/>
                    <w:bottom w:val="single" w:color="auto" w:sz="4" w:space="0"/>
                    <w:right w:val="single" w:color="auto" w:sz="4" w:space="0"/>
                  </w:tcBorders>
                  <w:vAlign w:val="center"/>
                </w:tcPr>
                <w:p w14:paraId="656BCFDC">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2C02F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732" w:hRule="atLeast"/>
                <w:tblHeader/>
              </w:trPr>
              <w:tc>
                <w:tcPr>
                  <w:tcW w:w="567" w:type="dxa"/>
                  <w:vMerge w:val="continue"/>
                  <w:tcBorders>
                    <w:left w:val="single" w:color="auto" w:sz="4" w:space="0"/>
                    <w:right w:val="single" w:color="auto" w:sz="4" w:space="0"/>
                  </w:tcBorders>
                  <w:vAlign w:val="center"/>
                </w:tcPr>
                <w:p w14:paraId="2651DA0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5E0A8F2C">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 加强城市生活污水处理设施及配套管网建设和改造，实施雨污分流改造，开展入河排污口整治，强化城镇生活污染源治理，建立健全生活污水收集、处理体系，推进城镇污水处理设施和服务向农村延伸，提高污水收集处理率，污水处理设施应增加脱氮、除磷工序。持续推进市、县级城市黑臭水体整治。</w:t>
                  </w:r>
                </w:p>
              </w:tc>
              <w:tc>
                <w:tcPr>
                  <w:tcW w:w="2503" w:type="dxa"/>
                  <w:tcBorders>
                    <w:top w:val="single" w:color="auto" w:sz="4" w:space="0"/>
                    <w:left w:val="single" w:color="auto" w:sz="4" w:space="0"/>
                    <w:bottom w:val="single" w:color="auto" w:sz="4" w:space="0"/>
                    <w:right w:val="single" w:color="auto" w:sz="4" w:space="0"/>
                  </w:tcBorders>
                  <w:vAlign w:val="center"/>
                </w:tcPr>
                <w:p w14:paraId="3D3F45A2">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不涉及</w:t>
                  </w:r>
                </w:p>
              </w:tc>
              <w:tc>
                <w:tcPr>
                  <w:tcW w:w="567" w:type="dxa"/>
                  <w:tcBorders>
                    <w:top w:val="single" w:color="auto" w:sz="4" w:space="0"/>
                    <w:left w:val="single" w:color="auto" w:sz="4" w:space="0"/>
                    <w:bottom w:val="single" w:color="auto" w:sz="4" w:space="0"/>
                    <w:right w:val="single" w:color="auto" w:sz="4" w:space="0"/>
                  </w:tcBorders>
                  <w:vAlign w:val="center"/>
                </w:tcPr>
                <w:p w14:paraId="466A1895">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17F36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748" w:hRule="atLeast"/>
                <w:tblHeader/>
              </w:trPr>
              <w:tc>
                <w:tcPr>
                  <w:tcW w:w="567" w:type="dxa"/>
                  <w:vMerge w:val="continue"/>
                  <w:tcBorders>
                    <w:left w:val="single" w:color="auto" w:sz="4" w:space="0"/>
                    <w:right w:val="single" w:color="auto" w:sz="4" w:space="0"/>
                  </w:tcBorders>
                  <w:vAlign w:val="center"/>
                </w:tcPr>
                <w:p w14:paraId="42A0DB6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1B63AAAC">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 加强工业企业无组织废气排放控制，加强挥发性有机物（VOCs）排放企业综合防治，加快高效 VOCs 收集治理设施建设，大力提升VOCs排放收集率、去除率和治理设施运行率。推进工业涂装、石化、包装印刷、木材加工、汽修等行业和油品储运销的 VOCs 综合治理。</w:t>
                  </w:r>
                </w:p>
              </w:tc>
              <w:tc>
                <w:tcPr>
                  <w:tcW w:w="2503" w:type="dxa"/>
                  <w:tcBorders>
                    <w:top w:val="single" w:color="auto" w:sz="4" w:space="0"/>
                    <w:left w:val="single" w:color="auto" w:sz="4" w:space="0"/>
                    <w:bottom w:val="single" w:color="auto" w:sz="4" w:space="0"/>
                    <w:right w:val="single" w:color="auto" w:sz="4" w:space="0"/>
                  </w:tcBorders>
                  <w:vAlign w:val="center"/>
                </w:tcPr>
                <w:p w14:paraId="3F3BA56E">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项目针对苯酚储罐呼吸废气采取油气回收装置处理后达标排放，己内酰胺储罐呼吸废气采取水洗塔吸收工艺处理后达标排放。</w:t>
                  </w:r>
                </w:p>
              </w:tc>
              <w:tc>
                <w:tcPr>
                  <w:tcW w:w="567" w:type="dxa"/>
                  <w:tcBorders>
                    <w:top w:val="single" w:color="auto" w:sz="4" w:space="0"/>
                    <w:left w:val="single" w:color="auto" w:sz="4" w:space="0"/>
                    <w:bottom w:val="single" w:color="auto" w:sz="4" w:space="0"/>
                    <w:right w:val="single" w:color="auto" w:sz="4" w:space="0"/>
                  </w:tcBorders>
                  <w:vAlign w:val="center"/>
                </w:tcPr>
                <w:p w14:paraId="1D2D82E6">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53492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890" w:hRule="atLeast"/>
                <w:tblHeader/>
              </w:trPr>
              <w:tc>
                <w:tcPr>
                  <w:tcW w:w="567" w:type="dxa"/>
                  <w:vMerge w:val="continue"/>
                  <w:tcBorders>
                    <w:left w:val="single" w:color="auto" w:sz="4" w:space="0"/>
                    <w:right w:val="single" w:color="auto" w:sz="4" w:space="0"/>
                  </w:tcBorders>
                  <w:vAlign w:val="center"/>
                </w:tcPr>
                <w:p w14:paraId="57D66F8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3288D1C7">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 完善园区集中供热设施，积极推广集中供热，有条件的工业聚集区建设集中喷涂工程中心，配备高效治污设施，替代企业独立喷涂工序。</w:t>
                  </w:r>
                </w:p>
              </w:tc>
              <w:tc>
                <w:tcPr>
                  <w:tcW w:w="2503" w:type="dxa"/>
                  <w:tcBorders>
                    <w:top w:val="single" w:color="auto" w:sz="4" w:space="0"/>
                    <w:left w:val="single" w:color="auto" w:sz="4" w:space="0"/>
                    <w:bottom w:val="single" w:color="auto" w:sz="4" w:space="0"/>
                    <w:right w:val="single" w:color="auto" w:sz="4" w:space="0"/>
                  </w:tcBorders>
                  <w:vAlign w:val="center"/>
                </w:tcPr>
                <w:p w14:paraId="170D900B">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不涉及喷涂</w:t>
                  </w:r>
                </w:p>
              </w:tc>
              <w:tc>
                <w:tcPr>
                  <w:tcW w:w="567" w:type="dxa"/>
                  <w:tcBorders>
                    <w:top w:val="single" w:color="auto" w:sz="4" w:space="0"/>
                    <w:left w:val="single" w:color="auto" w:sz="4" w:space="0"/>
                    <w:bottom w:val="single" w:color="auto" w:sz="4" w:space="0"/>
                    <w:right w:val="single" w:color="auto" w:sz="4" w:space="0"/>
                  </w:tcBorders>
                  <w:vAlign w:val="center"/>
                </w:tcPr>
                <w:p w14:paraId="5490BCEE">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650E9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686E484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1A66184D">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 推进城镇生活垃圾处理基础设施扩能建设，强化渗滤液处理设施运营管理，防止渗滤液积存或违规倾倒垃圾渗滤液至市政管网；加强农村生活垃圾收运、处理体系建设，降低农村垃圾焚烧污染。</w:t>
                  </w:r>
                </w:p>
              </w:tc>
              <w:tc>
                <w:tcPr>
                  <w:tcW w:w="2503" w:type="dxa"/>
                  <w:tcBorders>
                    <w:top w:val="single" w:color="auto" w:sz="4" w:space="0"/>
                    <w:left w:val="single" w:color="auto" w:sz="4" w:space="0"/>
                    <w:bottom w:val="single" w:color="auto" w:sz="4" w:space="0"/>
                    <w:right w:val="single" w:color="auto" w:sz="4" w:space="0"/>
                  </w:tcBorders>
                  <w:vAlign w:val="center"/>
                </w:tcPr>
                <w:p w14:paraId="571601D6">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不涉及</w:t>
                  </w:r>
                </w:p>
              </w:tc>
              <w:tc>
                <w:tcPr>
                  <w:tcW w:w="567" w:type="dxa"/>
                  <w:tcBorders>
                    <w:top w:val="single" w:color="auto" w:sz="4" w:space="0"/>
                    <w:left w:val="single" w:color="auto" w:sz="4" w:space="0"/>
                    <w:bottom w:val="single" w:color="auto" w:sz="4" w:space="0"/>
                    <w:right w:val="single" w:color="auto" w:sz="4" w:space="0"/>
                  </w:tcBorders>
                  <w:vAlign w:val="center"/>
                </w:tcPr>
                <w:p w14:paraId="5288C65D">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54004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793" w:hRule="atLeast"/>
                <w:tblHeader/>
              </w:trPr>
              <w:tc>
                <w:tcPr>
                  <w:tcW w:w="567" w:type="dxa"/>
                  <w:vMerge w:val="continue"/>
                  <w:tcBorders>
                    <w:left w:val="single" w:color="auto" w:sz="4" w:space="0"/>
                    <w:right w:val="single" w:color="auto" w:sz="4" w:space="0"/>
                  </w:tcBorders>
                  <w:vAlign w:val="center"/>
                </w:tcPr>
                <w:p w14:paraId="7663B6B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64CF1EA4">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 新建、改建、扩建涉及重点重金属排放建设项目依照相关规定实行总量控制。</w:t>
                  </w:r>
                </w:p>
              </w:tc>
              <w:tc>
                <w:tcPr>
                  <w:tcW w:w="2503" w:type="dxa"/>
                  <w:tcBorders>
                    <w:top w:val="single" w:color="auto" w:sz="4" w:space="0"/>
                    <w:left w:val="single" w:color="auto" w:sz="4" w:space="0"/>
                    <w:bottom w:val="single" w:color="auto" w:sz="4" w:space="0"/>
                    <w:right w:val="single" w:color="auto" w:sz="4" w:space="0"/>
                  </w:tcBorders>
                  <w:vAlign w:val="center"/>
                </w:tcPr>
                <w:p w14:paraId="14E24C98">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项目不涉及重金属排放</w:t>
                  </w:r>
                </w:p>
              </w:tc>
              <w:tc>
                <w:tcPr>
                  <w:tcW w:w="567" w:type="dxa"/>
                  <w:tcBorders>
                    <w:top w:val="single" w:color="auto" w:sz="4" w:space="0"/>
                    <w:left w:val="single" w:color="auto" w:sz="4" w:space="0"/>
                    <w:bottom w:val="single" w:color="auto" w:sz="4" w:space="0"/>
                    <w:right w:val="single" w:color="auto" w:sz="4" w:space="0"/>
                  </w:tcBorders>
                  <w:vAlign w:val="center"/>
                </w:tcPr>
                <w:p w14:paraId="3DE3000F">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7FCA2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757" w:hRule="atLeast"/>
                <w:tblHeader/>
              </w:trPr>
              <w:tc>
                <w:tcPr>
                  <w:tcW w:w="567" w:type="dxa"/>
                  <w:vMerge w:val="continue"/>
                  <w:tcBorders>
                    <w:left w:val="single" w:color="auto" w:sz="4" w:space="0"/>
                    <w:right w:val="single" w:color="auto" w:sz="4" w:space="0"/>
                  </w:tcBorders>
                  <w:vAlign w:val="center"/>
                </w:tcPr>
                <w:p w14:paraId="371D753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6B88E588">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 新建“两高”项目应采用先进适用的工艺技术和装备，单位产品物耗、能耗、水耗等达到清洁生产先进水平，依法制定并严格落实防治土壤与地下水污染的措施。按照《关于加强重点行业建设项目区域削减措施监督管理的通知》要求，依据区域环境质量改善目标，制定配套区域污染物削减方案，采取有效的污染物区域削减措施，腾出足够的环境容量。</w:t>
                  </w:r>
                </w:p>
              </w:tc>
              <w:tc>
                <w:tcPr>
                  <w:tcW w:w="2503" w:type="dxa"/>
                  <w:tcBorders>
                    <w:top w:val="single" w:color="auto" w:sz="4" w:space="0"/>
                    <w:left w:val="single" w:color="auto" w:sz="4" w:space="0"/>
                    <w:bottom w:val="single" w:color="auto" w:sz="4" w:space="0"/>
                    <w:right w:val="single" w:color="auto" w:sz="4" w:space="0"/>
                  </w:tcBorders>
                  <w:vAlign w:val="center"/>
                </w:tcPr>
                <w:p w14:paraId="30230F70">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项目不属于“两高”项目</w:t>
                  </w:r>
                </w:p>
              </w:tc>
              <w:tc>
                <w:tcPr>
                  <w:tcW w:w="567" w:type="dxa"/>
                  <w:tcBorders>
                    <w:top w:val="single" w:color="auto" w:sz="4" w:space="0"/>
                    <w:left w:val="single" w:color="auto" w:sz="4" w:space="0"/>
                    <w:bottom w:val="single" w:color="auto" w:sz="4" w:space="0"/>
                    <w:right w:val="single" w:color="auto" w:sz="4" w:space="0"/>
                  </w:tcBorders>
                  <w:vAlign w:val="center"/>
                </w:tcPr>
                <w:p w14:paraId="56420C5E">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60285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17" w:hRule="atLeast"/>
                <w:tblHeader/>
              </w:trPr>
              <w:tc>
                <w:tcPr>
                  <w:tcW w:w="567" w:type="dxa"/>
                  <w:vMerge w:val="continue"/>
                  <w:tcBorders>
                    <w:left w:val="single" w:color="auto" w:sz="4" w:space="0"/>
                    <w:right w:val="single" w:color="auto" w:sz="4" w:space="0"/>
                  </w:tcBorders>
                  <w:vAlign w:val="center"/>
                </w:tcPr>
                <w:p w14:paraId="2812363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4D83C6FB">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 加强海陆联动，严格控制陆源污染物排放。规范入海排污口设置，全面清理非法或设置不合理的入海排污口。</w:t>
                  </w:r>
                </w:p>
              </w:tc>
              <w:tc>
                <w:tcPr>
                  <w:tcW w:w="2503" w:type="dxa"/>
                  <w:tcBorders>
                    <w:top w:val="single" w:color="auto" w:sz="4" w:space="0"/>
                    <w:left w:val="single" w:color="auto" w:sz="4" w:space="0"/>
                    <w:bottom w:val="single" w:color="auto" w:sz="4" w:space="0"/>
                    <w:right w:val="single" w:color="auto" w:sz="4" w:space="0"/>
                  </w:tcBorders>
                  <w:vAlign w:val="center"/>
                </w:tcPr>
                <w:p w14:paraId="28A8070B">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项目不涉及入海排污口</w:t>
                  </w:r>
                </w:p>
              </w:tc>
              <w:tc>
                <w:tcPr>
                  <w:tcW w:w="567" w:type="dxa"/>
                  <w:tcBorders>
                    <w:top w:val="single" w:color="auto" w:sz="4" w:space="0"/>
                    <w:left w:val="single" w:color="auto" w:sz="4" w:space="0"/>
                    <w:bottom w:val="single" w:color="auto" w:sz="4" w:space="0"/>
                    <w:right w:val="single" w:color="auto" w:sz="4" w:space="0"/>
                  </w:tcBorders>
                  <w:vAlign w:val="center"/>
                </w:tcPr>
                <w:p w14:paraId="405B6019">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26157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183" w:hRule="atLeast"/>
                <w:tblHeader/>
              </w:trPr>
              <w:tc>
                <w:tcPr>
                  <w:tcW w:w="567" w:type="dxa"/>
                  <w:vMerge w:val="continue"/>
                  <w:tcBorders>
                    <w:left w:val="single" w:color="auto" w:sz="4" w:space="0"/>
                    <w:right w:val="single" w:color="auto" w:sz="4" w:space="0"/>
                  </w:tcBorders>
                  <w:vAlign w:val="center"/>
                </w:tcPr>
                <w:p w14:paraId="64C90E7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5DBE92C6">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 积极治理船舶污染，全面贯彻落实《广西北部湾港船舶污染物接收、转运、处置能力评估及相应设施建设方案》，建设完善船舶污染物接收处理设施，提高含油污水、化学品洗舱水、船舶垃圾等接收处置能力及污染事故应急能力。</w:t>
                  </w:r>
                </w:p>
              </w:tc>
              <w:tc>
                <w:tcPr>
                  <w:tcW w:w="2503" w:type="dxa"/>
                  <w:tcBorders>
                    <w:top w:val="single" w:color="auto" w:sz="4" w:space="0"/>
                    <w:left w:val="single" w:color="auto" w:sz="4" w:space="0"/>
                    <w:bottom w:val="single" w:color="auto" w:sz="4" w:space="0"/>
                    <w:right w:val="single" w:color="auto" w:sz="4" w:space="0"/>
                  </w:tcBorders>
                  <w:vAlign w:val="center"/>
                </w:tcPr>
                <w:p w14:paraId="576327E6">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项目主要为化学品仓储，不涉及船舶污染</w:t>
                  </w:r>
                </w:p>
              </w:tc>
              <w:tc>
                <w:tcPr>
                  <w:tcW w:w="567" w:type="dxa"/>
                  <w:tcBorders>
                    <w:top w:val="single" w:color="auto" w:sz="4" w:space="0"/>
                    <w:left w:val="single" w:color="auto" w:sz="4" w:space="0"/>
                    <w:bottom w:val="single" w:color="auto" w:sz="4" w:space="0"/>
                    <w:right w:val="single" w:color="auto" w:sz="4" w:space="0"/>
                  </w:tcBorders>
                  <w:vAlign w:val="center"/>
                </w:tcPr>
                <w:p w14:paraId="1BB56F28">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21187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372" w:hRule="atLeast"/>
                <w:tblHeader/>
              </w:trPr>
              <w:tc>
                <w:tcPr>
                  <w:tcW w:w="567" w:type="dxa"/>
                  <w:vMerge w:val="continue"/>
                  <w:tcBorders>
                    <w:left w:val="single" w:color="auto" w:sz="4" w:space="0"/>
                    <w:right w:val="single" w:color="auto" w:sz="4" w:space="0"/>
                  </w:tcBorders>
                  <w:vAlign w:val="center"/>
                </w:tcPr>
                <w:p w14:paraId="3E50C11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1DB7A232">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 加强港口码头环保基础设施处理和建设。完善堆场防风抑尘设施，降低扬尘污染。钦州港区实行雨污分流和污水分质处理，防止堆场废水通过雨水沟直排入海，完善配套污水处理设施和管网建设，实现污水集中处理、回用或达标排放。</w:t>
                  </w:r>
                </w:p>
              </w:tc>
              <w:tc>
                <w:tcPr>
                  <w:tcW w:w="2503" w:type="dxa"/>
                  <w:tcBorders>
                    <w:top w:val="single" w:color="auto" w:sz="4" w:space="0"/>
                    <w:left w:val="single" w:color="auto" w:sz="4" w:space="0"/>
                    <w:bottom w:val="single" w:color="auto" w:sz="4" w:space="0"/>
                    <w:right w:val="single" w:color="auto" w:sz="4" w:space="0"/>
                  </w:tcBorders>
                  <w:vAlign w:val="center"/>
                </w:tcPr>
                <w:p w14:paraId="1409AAD5">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项目不涉及港口码头建设</w:t>
                  </w:r>
                </w:p>
              </w:tc>
              <w:tc>
                <w:tcPr>
                  <w:tcW w:w="567" w:type="dxa"/>
                  <w:tcBorders>
                    <w:top w:val="single" w:color="auto" w:sz="4" w:space="0"/>
                    <w:left w:val="single" w:color="auto" w:sz="4" w:space="0"/>
                    <w:bottom w:val="single" w:color="auto" w:sz="4" w:space="0"/>
                    <w:right w:val="single" w:color="auto" w:sz="4" w:space="0"/>
                  </w:tcBorders>
                  <w:vAlign w:val="center"/>
                </w:tcPr>
                <w:p w14:paraId="413778A8">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264CE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757" w:hRule="atLeast"/>
                <w:tblHeader/>
              </w:trPr>
              <w:tc>
                <w:tcPr>
                  <w:tcW w:w="567" w:type="dxa"/>
                  <w:vMerge w:val="continue"/>
                  <w:tcBorders>
                    <w:left w:val="single" w:color="auto" w:sz="4" w:space="0"/>
                    <w:right w:val="single" w:color="auto" w:sz="4" w:space="0"/>
                  </w:tcBorders>
                  <w:vAlign w:val="center"/>
                </w:tcPr>
                <w:p w14:paraId="25D6BDF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752BD37E">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 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2503" w:type="dxa"/>
                  <w:tcBorders>
                    <w:top w:val="single" w:color="auto" w:sz="4" w:space="0"/>
                    <w:left w:val="single" w:color="auto" w:sz="4" w:space="0"/>
                    <w:bottom w:val="single" w:color="auto" w:sz="4" w:space="0"/>
                    <w:right w:val="single" w:color="auto" w:sz="4" w:space="0"/>
                  </w:tcBorders>
                  <w:vAlign w:val="center"/>
                </w:tcPr>
                <w:p w14:paraId="67BAEB08">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项目雨污分流，</w:t>
                  </w:r>
                  <w:r>
                    <w:rPr>
                      <w:rFonts w:hint="eastAsia" w:ascii="Times New Roman" w:hAnsi="Times New Roman" w:cs="Times New Roman"/>
                      <w:color w:val="000000" w:themeColor="text1"/>
                      <w:sz w:val="21"/>
                      <w:szCs w:val="21"/>
                      <w14:textFill>
                        <w14:solidFill>
                          <w14:schemeClr w14:val="tx1"/>
                        </w14:solidFill>
                      </w14:textFill>
                    </w:rPr>
                    <w:t>初期雨水经排水沟进入初期雨水池收集，再泵送至广西恒逸污水处理厂</w:t>
                  </w:r>
                  <w:r>
                    <w:rPr>
                      <w:rFonts w:ascii="Times New Roman" w:hAnsi="Times New Roman" w:cs="Times New Roman"/>
                      <w:color w:val="000000" w:themeColor="text1"/>
                      <w:sz w:val="21"/>
                      <w:szCs w:val="21"/>
                      <w14:textFill>
                        <w14:solidFill>
                          <w14:schemeClr w14:val="tx1"/>
                        </w14:solidFill>
                      </w14:textFill>
                    </w:rPr>
                    <w:t>处理</w:t>
                  </w:r>
                  <w:r>
                    <w:rPr>
                      <w:rFonts w:hint="eastAsia" w:ascii="Times New Roman" w:hAnsi="Times New Roman" w:cs="Times New Roman"/>
                      <w:color w:val="000000" w:themeColor="text1"/>
                      <w:sz w:val="21"/>
                      <w:szCs w:val="21"/>
                      <w14:textFill>
                        <w14:solidFill>
                          <w14:schemeClr w14:val="tx1"/>
                        </w14:solidFill>
                      </w14:textFill>
                    </w:rPr>
                    <w:t>后达标排放，后期清净雨水通过厂区东侧雨水涵管排出口排入海中；己内酰胺储罐废气水洗塔吸收废水泵送至恒逸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r>
                    <w:rPr>
                      <w:rFonts w:hint="eastAsia" w:ascii="Times New Roman" w:hAnsi="Times New Roman" w:cs="Times New Roman"/>
                      <w:color w:val="000000" w:themeColor="text1"/>
                      <w:sz w:val="21"/>
                      <w:szCs w:val="21"/>
                      <w14:textFill>
                        <w14:solidFill>
                          <w14:schemeClr w14:val="tx1"/>
                        </w14:solidFill>
                      </w14:textFill>
                    </w:rPr>
                    <w:t>处理后达标排放。</w:t>
                  </w:r>
                  <w:r>
                    <w:rPr>
                      <w:rFonts w:ascii="Times New Roman" w:hAnsi="Times New Roman" w:cs="Times New Roman"/>
                      <w:color w:val="000000" w:themeColor="text1"/>
                      <w:sz w:val="21"/>
                      <w:szCs w:val="21"/>
                      <w14:textFill>
                        <w14:solidFill>
                          <w14:schemeClr w14:val="tx1"/>
                        </w14:solidFill>
                      </w14:textFill>
                    </w:rPr>
                    <w:t>项目不属于所列禁止向海域排放的放射性废水、生活污水、医疗污水等。</w:t>
                  </w:r>
                </w:p>
              </w:tc>
              <w:tc>
                <w:tcPr>
                  <w:tcW w:w="567" w:type="dxa"/>
                  <w:tcBorders>
                    <w:top w:val="single" w:color="auto" w:sz="4" w:space="0"/>
                    <w:left w:val="single" w:color="auto" w:sz="4" w:space="0"/>
                    <w:bottom w:val="single" w:color="auto" w:sz="4" w:space="0"/>
                    <w:right w:val="single" w:color="auto" w:sz="4" w:space="0"/>
                  </w:tcBorders>
                  <w:vAlign w:val="center"/>
                </w:tcPr>
                <w:p w14:paraId="10C33A1C">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18F92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51BE957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0839D053">
                  <w:pPr>
                    <w:adjustRightInd w:val="0"/>
                    <w:snapToGrid w:val="0"/>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 按照养殖容量控制养殖规模和养殖密度，发展健康、生态养殖方式，加强对蓝圆鲹和二长棘鲷产卵场的保护。旅游休闲娱乐区的污水和垃圾应科学处置、达标排放，禁止直接排入海域。</w:t>
                  </w:r>
                </w:p>
              </w:tc>
              <w:tc>
                <w:tcPr>
                  <w:tcW w:w="2503" w:type="dxa"/>
                  <w:tcBorders>
                    <w:top w:val="single" w:color="auto" w:sz="4" w:space="0"/>
                    <w:left w:val="single" w:color="auto" w:sz="4" w:space="0"/>
                    <w:bottom w:val="single" w:color="auto" w:sz="4" w:space="0"/>
                    <w:right w:val="single" w:color="auto" w:sz="4" w:space="0"/>
                  </w:tcBorders>
                  <w:vAlign w:val="center"/>
                </w:tcPr>
                <w:p w14:paraId="0372DBC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项目不涉及养殖及旅游休闲娱乐区</w:t>
                  </w:r>
                </w:p>
              </w:tc>
              <w:tc>
                <w:tcPr>
                  <w:tcW w:w="567" w:type="dxa"/>
                  <w:tcBorders>
                    <w:top w:val="single" w:color="auto" w:sz="4" w:space="0"/>
                    <w:left w:val="single" w:color="auto" w:sz="4" w:space="0"/>
                    <w:bottom w:val="single" w:color="auto" w:sz="4" w:space="0"/>
                    <w:right w:val="single" w:color="auto" w:sz="4" w:space="0"/>
                  </w:tcBorders>
                  <w:vAlign w:val="center"/>
                </w:tcPr>
                <w:p w14:paraId="1B12273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00859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475" w:hRule="atLeast"/>
                <w:tblHeader/>
              </w:trPr>
              <w:tc>
                <w:tcPr>
                  <w:tcW w:w="567" w:type="dxa"/>
                  <w:vMerge w:val="restart"/>
                  <w:tcBorders>
                    <w:left w:val="single" w:color="auto" w:sz="4" w:space="0"/>
                    <w:right w:val="single" w:color="auto" w:sz="4" w:space="0"/>
                  </w:tcBorders>
                  <w:vAlign w:val="center"/>
                </w:tcPr>
                <w:p w14:paraId="091884C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环境风险防控</w:t>
                  </w:r>
                </w:p>
              </w:tc>
              <w:tc>
                <w:tcPr>
                  <w:tcW w:w="5225" w:type="dxa"/>
                  <w:tcBorders>
                    <w:top w:val="single" w:color="auto" w:sz="4" w:space="0"/>
                    <w:left w:val="single" w:color="auto" w:sz="4" w:space="0"/>
                    <w:bottom w:val="single" w:color="auto" w:sz="4" w:space="0"/>
                    <w:right w:val="single" w:color="auto" w:sz="4" w:space="0"/>
                  </w:tcBorders>
                  <w:vAlign w:val="center"/>
                </w:tcPr>
                <w:p w14:paraId="2BBD7BAE">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 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p>
              </w:tc>
              <w:tc>
                <w:tcPr>
                  <w:tcW w:w="2503" w:type="dxa"/>
                  <w:tcBorders>
                    <w:top w:val="single" w:color="auto" w:sz="4" w:space="0"/>
                    <w:left w:val="single" w:color="auto" w:sz="4" w:space="0"/>
                    <w:bottom w:val="single" w:color="auto" w:sz="4" w:space="0"/>
                    <w:right w:val="single" w:color="auto" w:sz="4" w:space="0"/>
                  </w:tcBorders>
                  <w:vAlign w:val="center"/>
                </w:tcPr>
                <w:p w14:paraId="5278429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已建议企业按要求进行风险评估和应急预案编制工作，并落实相关措施</w:t>
                  </w:r>
                </w:p>
              </w:tc>
              <w:tc>
                <w:tcPr>
                  <w:tcW w:w="567" w:type="dxa"/>
                  <w:tcBorders>
                    <w:top w:val="single" w:color="auto" w:sz="4" w:space="0"/>
                    <w:left w:val="single" w:color="auto" w:sz="4" w:space="0"/>
                    <w:bottom w:val="single" w:color="auto" w:sz="4" w:space="0"/>
                    <w:right w:val="single" w:color="auto" w:sz="4" w:space="0"/>
                  </w:tcBorders>
                  <w:vAlign w:val="center"/>
                </w:tcPr>
                <w:p w14:paraId="5C096F0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0CC54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49E6A59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4B4A0328">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 选择涉重涉危企业、化工园区、集中式饮用水水源地等重要区域开展突发环境事件风险、环境健康风险评估，实施分类分级风险管控。</w:t>
                  </w:r>
                </w:p>
              </w:tc>
              <w:tc>
                <w:tcPr>
                  <w:tcW w:w="2503" w:type="dxa"/>
                  <w:tcBorders>
                    <w:top w:val="single" w:color="auto" w:sz="4" w:space="0"/>
                    <w:left w:val="single" w:color="auto" w:sz="4" w:space="0"/>
                    <w:bottom w:val="single" w:color="auto" w:sz="4" w:space="0"/>
                    <w:right w:val="single" w:color="auto" w:sz="4" w:space="0"/>
                  </w:tcBorders>
                  <w:vAlign w:val="center"/>
                </w:tcPr>
                <w:p w14:paraId="5CD6D8B1">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要求企业在项目建成后制定环境应急预案</w:t>
                  </w:r>
                </w:p>
              </w:tc>
              <w:tc>
                <w:tcPr>
                  <w:tcW w:w="567" w:type="dxa"/>
                  <w:tcBorders>
                    <w:top w:val="single" w:color="auto" w:sz="4" w:space="0"/>
                    <w:left w:val="single" w:color="auto" w:sz="4" w:space="0"/>
                    <w:bottom w:val="single" w:color="auto" w:sz="4" w:space="0"/>
                    <w:right w:val="single" w:color="auto" w:sz="4" w:space="0"/>
                  </w:tcBorders>
                  <w:vAlign w:val="center"/>
                </w:tcPr>
                <w:p w14:paraId="09246C78">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r w14:paraId="09A9B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161" w:hRule="atLeast"/>
                <w:tblHeader/>
              </w:trPr>
              <w:tc>
                <w:tcPr>
                  <w:tcW w:w="567" w:type="dxa"/>
                  <w:vMerge w:val="continue"/>
                  <w:tcBorders>
                    <w:left w:val="single" w:color="auto" w:sz="4" w:space="0"/>
                    <w:right w:val="single" w:color="auto" w:sz="4" w:space="0"/>
                  </w:tcBorders>
                  <w:vAlign w:val="center"/>
                </w:tcPr>
                <w:p w14:paraId="66BD634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337F92B1">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 强化饮用水水源地环境风险排查，加强环境风险源管理，建立健全饮用水水源地应急预案。推进县级及以上饮用水水源地自动监测预警能力建设，实施水源地应急防护工程。加强大气污染防治协作和部门联动，建立健全大气污染联防联控机制。建立健全用地土壤环境联动监督管理机制，实行联动监管。</w:t>
                  </w:r>
                </w:p>
              </w:tc>
              <w:tc>
                <w:tcPr>
                  <w:tcW w:w="2503" w:type="dxa"/>
                  <w:tcBorders>
                    <w:top w:val="single" w:color="auto" w:sz="4" w:space="0"/>
                    <w:left w:val="single" w:color="auto" w:sz="4" w:space="0"/>
                    <w:bottom w:val="single" w:color="auto" w:sz="4" w:space="0"/>
                    <w:right w:val="single" w:color="auto" w:sz="4" w:space="0"/>
                  </w:tcBorders>
                  <w:vAlign w:val="center"/>
                </w:tcPr>
                <w:p w14:paraId="4D0E2B62">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项目用地不涉及饮用水水源地</w:t>
                  </w:r>
                </w:p>
              </w:tc>
              <w:tc>
                <w:tcPr>
                  <w:tcW w:w="567" w:type="dxa"/>
                  <w:tcBorders>
                    <w:top w:val="single" w:color="auto" w:sz="4" w:space="0"/>
                    <w:left w:val="single" w:color="auto" w:sz="4" w:space="0"/>
                    <w:bottom w:val="single" w:color="auto" w:sz="4" w:space="0"/>
                    <w:right w:val="single" w:color="auto" w:sz="4" w:space="0"/>
                  </w:tcBorders>
                  <w:vAlign w:val="center"/>
                </w:tcPr>
                <w:p w14:paraId="101688F4">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r w14:paraId="195BF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062" w:hRule="atLeast"/>
                <w:tblHeader/>
              </w:trPr>
              <w:tc>
                <w:tcPr>
                  <w:tcW w:w="567" w:type="dxa"/>
                  <w:vMerge w:val="continue"/>
                  <w:tcBorders>
                    <w:left w:val="single" w:color="auto" w:sz="4" w:space="0"/>
                    <w:right w:val="single" w:color="auto" w:sz="4" w:space="0"/>
                  </w:tcBorders>
                  <w:vAlign w:val="center"/>
                </w:tcPr>
                <w:p w14:paraId="4660590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4891D9BA">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4. 严格建设项目环境准入，永久基本农田集中区域禁止规划新建可能造成土壤污染的建设项目；新（改、扩）建涉有毒有害物质可能造成土壤污染的建设项目，提出并落实污染防治要求。</w:t>
                  </w:r>
                </w:p>
              </w:tc>
              <w:tc>
                <w:tcPr>
                  <w:tcW w:w="2503" w:type="dxa"/>
                  <w:tcBorders>
                    <w:top w:val="single" w:color="auto" w:sz="4" w:space="0"/>
                    <w:left w:val="single" w:color="auto" w:sz="4" w:space="0"/>
                    <w:bottom w:val="single" w:color="auto" w:sz="4" w:space="0"/>
                    <w:right w:val="single" w:color="auto" w:sz="4" w:space="0"/>
                  </w:tcBorders>
                  <w:vAlign w:val="center"/>
                </w:tcPr>
                <w:p w14:paraId="06563D6A">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项目用地不涉及基本农田，要求企业按照土壤污染防治要求，落实污染防治措施</w:t>
                  </w:r>
                </w:p>
              </w:tc>
              <w:tc>
                <w:tcPr>
                  <w:tcW w:w="567" w:type="dxa"/>
                  <w:tcBorders>
                    <w:top w:val="single" w:color="auto" w:sz="4" w:space="0"/>
                    <w:left w:val="single" w:color="auto" w:sz="4" w:space="0"/>
                    <w:bottom w:val="single" w:color="auto" w:sz="4" w:space="0"/>
                    <w:right w:val="single" w:color="auto" w:sz="4" w:space="0"/>
                  </w:tcBorders>
                  <w:vAlign w:val="center"/>
                </w:tcPr>
                <w:p w14:paraId="2BB08C17">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r w14:paraId="1EF67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24C0CF2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08730D19">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 强化全域矿产资源开发监管，建立矿石生态环境动态监测网络，禁止矿山废水、废气、废渣的无序排放。</w:t>
                  </w:r>
                </w:p>
              </w:tc>
              <w:tc>
                <w:tcPr>
                  <w:tcW w:w="2503" w:type="dxa"/>
                  <w:tcBorders>
                    <w:top w:val="single" w:color="auto" w:sz="4" w:space="0"/>
                    <w:left w:val="single" w:color="auto" w:sz="4" w:space="0"/>
                    <w:bottom w:val="single" w:color="auto" w:sz="4" w:space="0"/>
                    <w:right w:val="single" w:color="auto" w:sz="4" w:space="0"/>
                  </w:tcBorders>
                  <w:vAlign w:val="center"/>
                </w:tcPr>
                <w:p w14:paraId="6FA45071">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不属于矿产资源开发项目</w:t>
                  </w:r>
                </w:p>
              </w:tc>
              <w:tc>
                <w:tcPr>
                  <w:tcW w:w="567" w:type="dxa"/>
                  <w:tcBorders>
                    <w:top w:val="single" w:color="auto" w:sz="4" w:space="0"/>
                    <w:left w:val="single" w:color="auto" w:sz="4" w:space="0"/>
                    <w:bottom w:val="single" w:color="auto" w:sz="4" w:space="0"/>
                    <w:right w:val="single" w:color="auto" w:sz="4" w:space="0"/>
                  </w:tcBorders>
                  <w:vAlign w:val="center"/>
                </w:tcPr>
                <w:p w14:paraId="01CC99E2">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r w14:paraId="70B45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59FBE84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51565688">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 严格管控涉海重大工程环境风险，全面排查陆域环境风险源、海上溢油、危险化学品泄漏等环境风险隐患，完善分类分级的海上应急监测及处置预案，在石化基地、危化品储存区等邻近海域部署快速监测能力和应急处置物资设备。建立健全海洋生态补偿和生态损害赔偿制度。</w:t>
                  </w:r>
                </w:p>
              </w:tc>
              <w:tc>
                <w:tcPr>
                  <w:tcW w:w="2503" w:type="dxa"/>
                  <w:tcBorders>
                    <w:top w:val="single" w:color="auto" w:sz="4" w:space="0"/>
                    <w:left w:val="single" w:color="auto" w:sz="4" w:space="0"/>
                    <w:bottom w:val="single" w:color="auto" w:sz="4" w:space="0"/>
                    <w:right w:val="single" w:color="auto" w:sz="4" w:space="0"/>
                  </w:tcBorders>
                  <w:vAlign w:val="center"/>
                </w:tcPr>
                <w:p w14:paraId="4512143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项目不涉及涉海重大工程，要求企业在项目建成后制定环境应急预案</w:t>
                  </w:r>
                </w:p>
              </w:tc>
              <w:tc>
                <w:tcPr>
                  <w:tcW w:w="567" w:type="dxa"/>
                  <w:tcBorders>
                    <w:top w:val="single" w:color="auto" w:sz="4" w:space="0"/>
                    <w:left w:val="single" w:color="auto" w:sz="4" w:space="0"/>
                    <w:bottom w:val="single" w:color="auto" w:sz="4" w:space="0"/>
                    <w:right w:val="single" w:color="auto" w:sz="4" w:space="0"/>
                  </w:tcBorders>
                  <w:vAlign w:val="center"/>
                </w:tcPr>
                <w:p w14:paraId="5D86B04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1AEF1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4BF7EA1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67E87D5D">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 强化沿海工业园区和沿海石油、石化、化工、冶炼及危化品储运等企业的环境风险防控，加强企业和园区环境应急物资储备。</w:t>
                  </w:r>
                </w:p>
              </w:tc>
              <w:tc>
                <w:tcPr>
                  <w:tcW w:w="2503" w:type="dxa"/>
                  <w:tcBorders>
                    <w:top w:val="single" w:color="auto" w:sz="4" w:space="0"/>
                    <w:left w:val="single" w:color="auto" w:sz="4" w:space="0"/>
                    <w:bottom w:val="single" w:color="auto" w:sz="4" w:space="0"/>
                    <w:right w:val="single" w:color="auto" w:sz="4" w:space="0"/>
                  </w:tcBorders>
                  <w:vAlign w:val="center"/>
                </w:tcPr>
                <w:p w14:paraId="3FA9376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要求企业进行风险评估和应急预案编制工作，并落实相关措施</w:t>
                  </w:r>
                </w:p>
              </w:tc>
              <w:tc>
                <w:tcPr>
                  <w:tcW w:w="567" w:type="dxa"/>
                  <w:tcBorders>
                    <w:top w:val="single" w:color="auto" w:sz="4" w:space="0"/>
                    <w:left w:val="single" w:color="auto" w:sz="4" w:space="0"/>
                    <w:bottom w:val="single" w:color="auto" w:sz="4" w:space="0"/>
                    <w:right w:val="single" w:color="auto" w:sz="4" w:space="0"/>
                  </w:tcBorders>
                  <w:vAlign w:val="center"/>
                </w:tcPr>
                <w:p w14:paraId="27FC221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5DE9B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04CB914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31D19594">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 加强倾倒区使用状况监督管理工作，做好废弃物向海洋倾倒活动的风险管控。</w:t>
                  </w:r>
                </w:p>
              </w:tc>
              <w:tc>
                <w:tcPr>
                  <w:tcW w:w="2503" w:type="dxa"/>
                  <w:tcBorders>
                    <w:top w:val="single" w:color="auto" w:sz="4" w:space="0"/>
                    <w:left w:val="single" w:color="auto" w:sz="4" w:space="0"/>
                    <w:bottom w:val="single" w:color="auto" w:sz="4" w:space="0"/>
                    <w:right w:val="single" w:color="auto" w:sz="4" w:space="0"/>
                  </w:tcBorders>
                  <w:vAlign w:val="center"/>
                </w:tcPr>
                <w:p w14:paraId="08D217E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不涉及倾倒区</w:t>
                  </w:r>
                </w:p>
              </w:tc>
              <w:tc>
                <w:tcPr>
                  <w:tcW w:w="567" w:type="dxa"/>
                  <w:tcBorders>
                    <w:top w:val="single" w:color="auto" w:sz="4" w:space="0"/>
                    <w:left w:val="single" w:color="auto" w:sz="4" w:space="0"/>
                    <w:bottom w:val="single" w:color="auto" w:sz="4" w:space="0"/>
                    <w:right w:val="single" w:color="auto" w:sz="4" w:space="0"/>
                  </w:tcBorders>
                  <w:vAlign w:val="center"/>
                </w:tcPr>
                <w:p w14:paraId="6FCEEF4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3CBB9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restart"/>
                  <w:tcBorders>
                    <w:left w:val="single" w:color="auto" w:sz="4" w:space="0"/>
                    <w:right w:val="single" w:color="auto" w:sz="4" w:space="0"/>
                  </w:tcBorders>
                  <w:vAlign w:val="center"/>
                </w:tcPr>
                <w:p w14:paraId="3C75D717">
                  <w:pPr>
                    <w:adjustRightInd w:val="0"/>
                    <w:snapToGrid w:val="0"/>
                    <w:jc w:val="center"/>
                    <w:rPr>
                      <w:rFonts w:ascii="Times New Roman" w:hAnsi="Times New Roman" w:cs="Times New Roman"/>
                      <w:color w:val="000000" w:themeColor="text1"/>
                      <w:spacing w:val="-6"/>
                      <w:sz w:val="21"/>
                      <w:szCs w:val="21"/>
                      <w14:textFill>
                        <w14:solidFill>
                          <w14:schemeClr w14:val="tx1"/>
                        </w14:solidFill>
                      </w14:textFill>
                    </w:rPr>
                  </w:pPr>
                  <w:r>
                    <w:rPr>
                      <w:rFonts w:ascii="Times New Roman" w:hAnsi="Times New Roman" w:cs="Times New Roman"/>
                      <w:color w:val="000000" w:themeColor="text1"/>
                      <w:spacing w:val="-6"/>
                      <w:sz w:val="21"/>
                      <w:szCs w:val="21"/>
                      <w14:textFill>
                        <w14:solidFill>
                          <w14:schemeClr w14:val="tx1"/>
                        </w14:solidFill>
                      </w14:textFill>
                    </w:rPr>
                    <w:t>资源开发利用效率要求</w:t>
                  </w:r>
                </w:p>
              </w:tc>
              <w:tc>
                <w:tcPr>
                  <w:tcW w:w="5225" w:type="dxa"/>
                  <w:tcBorders>
                    <w:top w:val="single" w:color="auto" w:sz="4" w:space="0"/>
                    <w:left w:val="single" w:color="auto" w:sz="4" w:space="0"/>
                    <w:bottom w:val="single" w:color="auto" w:sz="4" w:space="0"/>
                    <w:right w:val="single" w:color="auto" w:sz="4" w:space="0"/>
                  </w:tcBorders>
                  <w:vAlign w:val="center"/>
                </w:tcPr>
                <w:p w14:paraId="605631F0">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 能源：推进能源消费总量和强度“双控”。推进绿色清洁能源生产，推进重点行业和重要领域绿色化改造，打造绿色园区和绿色企业，促进工业园区、产业集聚区低碳循环化发展。推动能源多元清洁发展，培育发展清洁能源和可再生能源产业，锂电池制造及风电、光伏发电、生物质发电等清洁能源产业发展要符合相应能源规划和国土空间规划的要求；推动能源清洁低碳安全高效利用，合理控制煤炭消费。落实国家碳排放达峰行动方案，降低碳排放强度。海洋石油勘探开发严格执行《中华人民共和国海洋石油勘探开发环境保护管理条例》要求。</w:t>
                  </w:r>
                </w:p>
              </w:tc>
              <w:tc>
                <w:tcPr>
                  <w:tcW w:w="2503" w:type="dxa"/>
                  <w:tcBorders>
                    <w:top w:val="single" w:color="auto" w:sz="4" w:space="0"/>
                    <w:left w:val="single" w:color="auto" w:sz="4" w:space="0"/>
                    <w:bottom w:val="single" w:color="auto" w:sz="4" w:space="0"/>
                    <w:right w:val="single" w:color="auto" w:sz="4" w:space="0"/>
                  </w:tcBorders>
                  <w:vAlign w:val="center"/>
                </w:tcPr>
                <w:p w14:paraId="1909ED4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w:t>
                  </w:r>
                  <w:r>
                    <w:rPr>
                      <w:rFonts w:hint="eastAsia" w:ascii="Times New Roman" w:hAnsi="Times New Roman" w:cs="Times New Roman"/>
                      <w:color w:val="000000" w:themeColor="text1"/>
                      <w:sz w:val="21"/>
                      <w:szCs w:val="21"/>
                      <w14:textFill>
                        <w14:solidFill>
                          <w14:schemeClr w14:val="tx1"/>
                        </w14:solidFill>
                      </w14:textFill>
                    </w:rPr>
                    <w:t>货种储存过程保温加热使用电能，不使用石化燃料</w:t>
                  </w:r>
                </w:p>
              </w:tc>
              <w:tc>
                <w:tcPr>
                  <w:tcW w:w="567" w:type="dxa"/>
                  <w:tcBorders>
                    <w:top w:val="single" w:color="auto" w:sz="4" w:space="0"/>
                    <w:left w:val="single" w:color="auto" w:sz="4" w:space="0"/>
                    <w:bottom w:val="single" w:color="auto" w:sz="4" w:space="0"/>
                    <w:right w:val="single" w:color="auto" w:sz="4" w:space="0"/>
                  </w:tcBorders>
                  <w:vAlign w:val="center"/>
                </w:tcPr>
                <w:p w14:paraId="57C251B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5A1DD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20DAE5C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509AAFDF">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2.土地资源：严格执行自治区下达的土地资源利用总量及效率管控指标要求。突出节约集约用海原则，合理控制规模，优化空间布局，提高海域空间资源的整体使用效能。</w:t>
                  </w:r>
                </w:p>
              </w:tc>
              <w:tc>
                <w:tcPr>
                  <w:tcW w:w="2503" w:type="dxa"/>
                  <w:tcBorders>
                    <w:top w:val="single" w:color="auto" w:sz="4" w:space="0"/>
                    <w:left w:val="single" w:color="auto" w:sz="4" w:space="0"/>
                    <w:bottom w:val="single" w:color="auto" w:sz="4" w:space="0"/>
                    <w:right w:val="single" w:color="auto" w:sz="4" w:space="0"/>
                  </w:tcBorders>
                  <w:vAlign w:val="center"/>
                </w:tcPr>
                <w:p w14:paraId="15BC7A52">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项目已取得相关的海域使用证</w:t>
                  </w:r>
                </w:p>
              </w:tc>
              <w:tc>
                <w:tcPr>
                  <w:tcW w:w="567" w:type="dxa"/>
                  <w:tcBorders>
                    <w:top w:val="single" w:color="auto" w:sz="4" w:space="0"/>
                    <w:left w:val="single" w:color="auto" w:sz="4" w:space="0"/>
                    <w:bottom w:val="single" w:color="auto" w:sz="4" w:space="0"/>
                    <w:right w:val="single" w:color="auto" w:sz="4" w:space="0"/>
                  </w:tcBorders>
                  <w:vAlign w:val="center"/>
                </w:tcPr>
                <w:p w14:paraId="71DA117E">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r w14:paraId="01857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195AF6A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441B5020">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 水资源：实行水资源消耗总量和强度“双控”。严格用水总量指标管理，健全市、县区行政区域的用水总量控制指标体系，统筹生活、生产、生态用水，大力推进农业、工业、城镇等领域节水。严格按照地下水开发利用控制目标控制地下水资源开采。</w:t>
                  </w:r>
                </w:p>
              </w:tc>
              <w:tc>
                <w:tcPr>
                  <w:tcW w:w="2503" w:type="dxa"/>
                  <w:tcBorders>
                    <w:top w:val="single" w:color="auto" w:sz="4" w:space="0"/>
                    <w:left w:val="single" w:color="auto" w:sz="4" w:space="0"/>
                    <w:bottom w:val="single" w:color="auto" w:sz="4" w:space="0"/>
                    <w:right w:val="single" w:color="auto" w:sz="4" w:space="0"/>
                  </w:tcBorders>
                  <w:vAlign w:val="center"/>
                </w:tcPr>
                <w:p w14:paraId="15F3B8EB">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项目用水主要为员工生活、</w:t>
                  </w:r>
                  <w:r>
                    <w:rPr>
                      <w:rFonts w:hint="eastAsia" w:ascii="Times New Roman" w:hAnsi="Times New Roman"/>
                      <w:color w:val="000000" w:themeColor="text1"/>
                      <w:szCs w:val="21"/>
                      <w14:textFill>
                        <w14:solidFill>
                          <w14:schemeClr w14:val="tx1"/>
                        </w14:solidFill>
                      </w14:textFill>
                    </w:rPr>
                    <w:t>场地清洗水、三氧化硫吸收水</w:t>
                  </w:r>
                </w:p>
              </w:tc>
              <w:tc>
                <w:tcPr>
                  <w:tcW w:w="567" w:type="dxa"/>
                  <w:tcBorders>
                    <w:top w:val="single" w:color="auto" w:sz="4" w:space="0"/>
                    <w:left w:val="single" w:color="auto" w:sz="4" w:space="0"/>
                    <w:bottom w:val="single" w:color="auto" w:sz="4" w:space="0"/>
                    <w:right w:val="single" w:color="auto" w:sz="4" w:space="0"/>
                  </w:tcBorders>
                  <w:vAlign w:val="center"/>
                </w:tcPr>
                <w:p w14:paraId="722568B5">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r w14:paraId="4D17B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3BDE0C3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43D0A91A">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4. 矿产资源：严格执行市、县区矿产资源开发利用规划中关于矿产资源开发总量和效率的目标要求。着力提高资源开发利用效率和水平，加快发展绿色矿业；严格控制海岸线的开发建设、海砂开采活动，规范海砂资源开发秩序，加强海岸沙滩保护和矿产开发监管。</w:t>
                  </w:r>
                </w:p>
              </w:tc>
              <w:tc>
                <w:tcPr>
                  <w:tcW w:w="2503" w:type="dxa"/>
                  <w:tcBorders>
                    <w:top w:val="single" w:color="auto" w:sz="4" w:space="0"/>
                    <w:left w:val="single" w:color="auto" w:sz="4" w:space="0"/>
                    <w:bottom w:val="single" w:color="auto" w:sz="4" w:space="0"/>
                    <w:right w:val="single" w:color="auto" w:sz="4" w:space="0"/>
                  </w:tcBorders>
                  <w:vAlign w:val="center"/>
                </w:tcPr>
                <w:p w14:paraId="054DC5C2">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不属于矿产资源开发项目</w:t>
                  </w:r>
                </w:p>
              </w:tc>
              <w:tc>
                <w:tcPr>
                  <w:tcW w:w="567" w:type="dxa"/>
                  <w:tcBorders>
                    <w:top w:val="single" w:color="auto" w:sz="4" w:space="0"/>
                    <w:left w:val="single" w:color="auto" w:sz="4" w:space="0"/>
                    <w:bottom w:val="single" w:color="auto" w:sz="4" w:space="0"/>
                    <w:right w:val="single" w:color="auto" w:sz="4" w:space="0"/>
                  </w:tcBorders>
                  <w:vAlign w:val="center"/>
                </w:tcPr>
                <w:p w14:paraId="203C17BD">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r w14:paraId="622F4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382F26E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0FCE92B4">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 岸线资源：涉及岸线开发的工业区和钦州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2503" w:type="dxa"/>
                  <w:tcBorders>
                    <w:top w:val="single" w:color="auto" w:sz="4" w:space="0"/>
                    <w:left w:val="single" w:color="auto" w:sz="4" w:space="0"/>
                    <w:bottom w:val="single" w:color="auto" w:sz="4" w:space="0"/>
                    <w:right w:val="single" w:color="auto" w:sz="4" w:space="0"/>
                  </w:tcBorders>
                  <w:vAlign w:val="center"/>
                </w:tcPr>
                <w:p w14:paraId="20E08E41">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项目不涉及岸线</w:t>
                  </w:r>
                </w:p>
              </w:tc>
              <w:tc>
                <w:tcPr>
                  <w:tcW w:w="567" w:type="dxa"/>
                  <w:tcBorders>
                    <w:top w:val="single" w:color="auto" w:sz="4" w:space="0"/>
                    <w:left w:val="single" w:color="auto" w:sz="4" w:space="0"/>
                    <w:bottom w:val="single" w:color="auto" w:sz="4" w:space="0"/>
                    <w:right w:val="single" w:color="auto" w:sz="4" w:space="0"/>
                  </w:tcBorders>
                  <w:vAlign w:val="center"/>
                </w:tcPr>
                <w:p w14:paraId="73C20731">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r w14:paraId="7F558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0" w:hRule="atLeast"/>
                <w:tblHeader/>
              </w:trPr>
              <w:tc>
                <w:tcPr>
                  <w:tcW w:w="567" w:type="dxa"/>
                  <w:vMerge w:val="continue"/>
                  <w:tcBorders>
                    <w:left w:val="single" w:color="auto" w:sz="4" w:space="0"/>
                    <w:right w:val="single" w:color="auto" w:sz="4" w:space="0"/>
                  </w:tcBorders>
                  <w:vAlign w:val="center"/>
                </w:tcPr>
                <w:p w14:paraId="7A92480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225" w:type="dxa"/>
                  <w:tcBorders>
                    <w:top w:val="single" w:color="auto" w:sz="4" w:space="0"/>
                    <w:left w:val="single" w:color="auto" w:sz="4" w:space="0"/>
                    <w:bottom w:val="single" w:color="auto" w:sz="4" w:space="0"/>
                    <w:right w:val="single" w:color="auto" w:sz="4" w:space="0"/>
                  </w:tcBorders>
                  <w:vAlign w:val="center"/>
                </w:tcPr>
                <w:p w14:paraId="0C2D9178">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 高污染燃料禁燃区：禁止新建、扩建燃用高污染燃料的项目和设施，已经建成的应逐步或依法限期改用天然气、电或其他清洁能源。</w:t>
                  </w:r>
                </w:p>
              </w:tc>
              <w:tc>
                <w:tcPr>
                  <w:tcW w:w="2503" w:type="dxa"/>
                  <w:tcBorders>
                    <w:top w:val="single" w:color="auto" w:sz="4" w:space="0"/>
                    <w:left w:val="single" w:color="auto" w:sz="4" w:space="0"/>
                    <w:bottom w:val="single" w:color="auto" w:sz="4" w:space="0"/>
                    <w:right w:val="single" w:color="auto" w:sz="4" w:space="0"/>
                  </w:tcBorders>
                  <w:vAlign w:val="center"/>
                </w:tcPr>
                <w:p w14:paraId="3E07711A">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项目属于禁燃区范围，</w:t>
                  </w:r>
                  <w:r>
                    <w:rPr>
                      <w:rFonts w:hint="eastAsia" w:ascii="Times New Roman" w:hAnsi="Times New Roman"/>
                      <w:color w:val="000000" w:themeColor="text1"/>
                      <w:szCs w:val="21"/>
                      <w14:textFill>
                        <w14:solidFill>
                          <w14:schemeClr w14:val="tx1"/>
                        </w14:solidFill>
                      </w14:textFill>
                    </w:rPr>
                    <w:t>项目货种储存过程保温加热使用电能，不使用石化燃料</w:t>
                  </w:r>
                </w:p>
              </w:tc>
              <w:tc>
                <w:tcPr>
                  <w:tcW w:w="567" w:type="dxa"/>
                  <w:tcBorders>
                    <w:top w:val="single" w:color="auto" w:sz="4" w:space="0"/>
                    <w:left w:val="single" w:color="auto" w:sz="4" w:space="0"/>
                    <w:bottom w:val="single" w:color="auto" w:sz="4" w:space="0"/>
                    <w:right w:val="single" w:color="auto" w:sz="4" w:space="0"/>
                  </w:tcBorders>
                  <w:vAlign w:val="center"/>
                </w:tcPr>
                <w:p w14:paraId="12F9BDC7">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符合</w:t>
                  </w:r>
                </w:p>
              </w:tc>
            </w:tr>
          </w:tbl>
          <w:p w14:paraId="7EA6CD2E">
            <w:pPr>
              <w:autoSpaceDE w:val="0"/>
              <w:autoSpaceDN w:val="0"/>
              <w:adjustRightInd w:val="0"/>
              <w:snapToGrid w:val="0"/>
              <w:jc w:val="center"/>
              <w:rPr>
                <w:b/>
                <w:color w:val="000000"/>
              </w:rPr>
            </w:pPr>
          </w:p>
          <w:p w14:paraId="169051F2">
            <w:pPr>
              <w:autoSpaceDE w:val="0"/>
              <w:autoSpaceDN w:val="0"/>
              <w:adjustRightInd w:val="0"/>
              <w:snapToGrid w:val="0"/>
              <w:jc w:val="center"/>
              <w:rPr>
                <w:b/>
                <w:color w:val="000000"/>
              </w:rPr>
            </w:pPr>
            <w:r>
              <w:rPr>
                <w:b/>
                <w:color w:val="000000"/>
              </w:rPr>
              <w:t>表1-</w:t>
            </w:r>
            <w:r>
              <w:rPr>
                <w:rFonts w:hint="eastAsia"/>
                <w:b/>
                <w:color w:val="000000"/>
              </w:rPr>
              <w:t>5</w:t>
            </w:r>
            <w:r>
              <w:rPr>
                <w:b/>
                <w:color w:val="000000"/>
              </w:rPr>
              <w:t xml:space="preserve">  </w:t>
            </w:r>
            <w:r>
              <w:rPr>
                <w:rFonts w:hint="eastAsia"/>
                <w:b/>
                <w:color w:val="000000"/>
              </w:rPr>
              <w:t>项目</w:t>
            </w:r>
            <w:r>
              <w:rPr>
                <w:b/>
                <w:color w:val="000000"/>
              </w:rPr>
              <w:t>与</w:t>
            </w:r>
            <w:r>
              <w:rPr>
                <w:rFonts w:hint="eastAsia"/>
                <w:b/>
                <w:color w:val="000000"/>
              </w:rPr>
              <w:t>广西钦州石化产业园重点管控单元</w:t>
            </w:r>
            <w:r>
              <w:rPr>
                <w:b/>
                <w:color w:val="000000"/>
              </w:rPr>
              <w:t>生态环境准入及管控要求清单符合性分析</w:t>
            </w:r>
          </w:p>
          <w:tbl>
            <w:tblPr>
              <w:tblStyle w:val="8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088"/>
              <w:gridCol w:w="943"/>
              <w:gridCol w:w="805"/>
              <w:gridCol w:w="866"/>
              <w:gridCol w:w="2633"/>
              <w:gridCol w:w="1980"/>
              <w:gridCol w:w="642"/>
            </w:tblGrid>
            <w:tr w14:paraId="58AB8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088" w:type="dxa"/>
                  <w:tcBorders>
                    <w:top w:val="single" w:color="auto" w:sz="4" w:space="0"/>
                    <w:left w:val="single" w:color="auto" w:sz="4" w:space="0"/>
                    <w:bottom w:val="single" w:color="auto" w:sz="4" w:space="0"/>
                    <w:right w:val="single" w:color="auto" w:sz="4" w:space="0"/>
                  </w:tcBorders>
                  <w:vAlign w:val="center"/>
                </w:tcPr>
                <w:p w14:paraId="16CC633D">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环境管控单元编码</w:t>
                  </w:r>
                </w:p>
              </w:tc>
              <w:tc>
                <w:tcPr>
                  <w:tcW w:w="943" w:type="dxa"/>
                  <w:tcBorders>
                    <w:top w:val="single" w:color="auto" w:sz="4" w:space="0"/>
                    <w:left w:val="single" w:color="auto" w:sz="4" w:space="0"/>
                    <w:bottom w:val="single" w:color="auto" w:sz="4" w:space="0"/>
                    <w:right w:val="single" w:color="auto" w:sz="4" w:space="0"/>
                  </w:tcBorders>
                  <w:vAlign w:val="center"/>
                </w:tcPr>
                <w:p w14:paraId="4D58E801">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环境空管单元名称</w:t>
                  </w:r>
                </w:p>
              </w:tc>
              <w:tc>
                <w:tcPr>
                  <w:tcW w:w="805" w:type="dxa"/>
                  <w:tcBorders>
                    <w:top w:val="single" w:color="auto" w:sz="4" w:space="0"/>
                    <w:left w:val="single" w:color="auto" w:sz="4" w:space="0"/>
                    <w:bottom w:val="single" w:color="auto" w:sz="4" w:space="0"/>
                    <w:right w:val="single" w:color="auto" w:sz="4" w:space="0"/>
                  </w:tcBorders>
                  <w:vAlign w:val="center"/>
                </w:tcPr>
                <w:p w14:paraId="1DAA8D6F">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管控单元类别</w:t>
                  </w:r>
                </w:p>
              </w:tc>
              <w:tc>
                <w:tcPr>
                  <w:tcW w:w="866" w:type="dxa"/>
                  <w:tcBorders>
                    <w:top w:val="single" w:color="auto" w:sz="4" w:space="0"/>
                    <w:left w:val="single" w:color="auto" w:sz="4" w:space="0"/>
                    <w:bottom w:val="single" w:color="auto" w:sz="4" w:space="0"/>
                    <w:right w:val="single" w:color="auto" w:sz="4" w:space="0"/>
                  </w:tcBorders>
                  <w:vAlign w:val="center"/>
                </w:tcPr>
                <w:p w14:paraId="3213DFEC">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管控</w:t>
                  </w:r>
                </w:p>
                <w:p w14:paraId="43F083F8">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类别</w:t>
                  </w:r>
                </w:p>
              </w:tc>
              <w:tc>
                <w:tcPr>
                  <w:tcW w:w="2633" w:type="dxa"/>
                  <w:tcBorders>
                    <w:top w:val="single" w:color="auto" w:sz="4" w:space="0"/>
                    <w:left w:val="nil"/>
                    <w:bottom w:val="single" w:color="auto" w:sz="4" w:space="0"/>
                    <w:right w:val="single" w:color="auto" w:sz="4" w:space="0"/>
                  </w:tcBorders>
                  <w:vAlign w:val="center"/>
                </w:tcPr>
                <w:p w14:paraId="085FC703">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生态环境准入及</w:t>
                  </w:r>
                </w:p>
                <w:p w14:paraId="27073DD7">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管控要求</w:t>
                  </w:r>
                </w:p>
              </w:tc>
              <w:tc>
                <w:tcPr>
                  <w:tcW w:w="1980" w:type="dxa"/>
                  <w:tcBorders>
                    <w:top w:val="single" w:color="auto" w:sz="4" w:space="0"/>
                    <w:left w:val="nil"/>
                    <w:bottom w:val="single" w:color="auto" w:sz="4" w:space="0"/>
                    <w:right w:val="single" w:color="auto" w:sz="4" w:space="0"/>
                  </w:tcBorders>
                  <w:vAlign w:val="center"/>
                </w:tcPr>
                <w:p w14:paraId="495D06C2">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本项目情况</w:t>
                  </w:r>
                </w:p>
              </w:tc>
              <w:tc>
                <w:tcPr>
                  <w:tcW w:w="642" w:type="dxa"/>
                  <w:tcBorders>
                    <w:top w:val="single" w:color="auto" w:sz="4" w:space="0"/>
                    <w:left w:val="nil"/>
                    <w:bottom w:val="single" w:color="auto" w:sz="4" w:space="0"/>
                    <w:right w:val="single" w:color="auto" w:sz="4" w:space="0"/>
                  </w:tcBorders>
                  <w:vAlign w:val="center"/>
                </w:tcPr>
                <w:p w14:paraId="417E8083">
                  <w:pPr>
                    <w:adjustRightInd w:val="0"/>
                    <w:snapToGrid w:val="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符合性</w:t>
                  </w:r>
                </w:p>
              </w:tc>
            </w:tr>
            <w:tr w14:paraId="28540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88" w:type="dxa"/>
                  <w:vMerge w:val="restart"/>
                  <w:tcBorders>
                    <w:top w:val="nil"/>
                    <w:left w:val="single" w:color="auto" w:sz="4" w:space="0"/>
                    <w:right w:val="single" w:color="auto" w:sz="4" w:space="0"/>
                  </w:tcBorders>
                  <w:vAlign w:val="center"/>
                </w:tcPr>
                <w:p w14:paraId="038DD25F">
                  <w:pPr>
                    <w:adjustRightInd w:val="0"/>
                    <w:snapToGrid w:val="0"/>
                    <w:jc w:val="center"/>
                    <w:rPr>
                      <w:rFonts w:ascii="Times New Roman" w:hAnsi="Times New Roman" w:cs="Times New Roman"/>
                      <w:bCs/>
                      <w:color w:val="000000"/>
                      <w:sz w:val="21"/>
                      <w:szCs w:val="21"/>
                    </w:rPr>
                  </w:pPr>
                  <w:r>
                    <w:rPr>
                      <w:rFonts w:ascii="Times New Roman" w:hAnsi="Times New Roman" w:cs="Times New Roman"/>
                      <w:bCs/>
                      <w:color w:val="000000"/>
                      <w:sz w:val="21"/>
                      <w:szCs w:val="21"/>
                    </w:rPr>
                    <w:t>ZH45070220003</w:t>
                  </w:r>
                </w:p>
              </w:tc>
              <w:tc>
                <w:tcPr>
                  <w:tcW w:w="943" w:type="dxa"/>
                  <w:vMerge w:val="restart"/>
                  <w:tcBorders>
                    <w:top w:val="nil"/>
                    <w:left w:val="single" w:color="auto" w:sz="4" w:space="0"/>
                    <w:right w:val="single" w:color="auto" w:sz="4" w:space="0"/>
                  </w:tcBorders>
                  <w:vAlign w:val="center"/>
                </w:tcPr>
                <w:p w14:paraId="6902F776">
                  <w:pPr>
                    <w:adjustRightInd w:val="0"/>
                    <w:snapToGrid w:val="0"/>
                    <w:jc w:val="center"/>
                    <w:rPr>
                      <w:rFonts w:ascii="Times New Roman" w:hAnsi="Times New Roman" w:cs="Times New Roman"/>
                      <w:bCs/>
                      <w:color w:val="000000"/>
                      <w:sz w:val="21"/>
                      <w:szCs w:val="21"/>
                    </w:rPr>
                  </w:pPr>
                  <w:r>
                    <w:rPr>
                      <w:rFonts w:ascii="Times New Roman" w:hAnsi="Times New Roman" w:cs="Times New Roman"/>
                      <w:bCs/>
                      <w:color w:val="000000"/>
                      <w:sz w:val="21"/>
                      <w:szCs w:val="21"/>
                    </w:rPr>
                    <w:t>广西钦州石化产业园重点管控单元</w:t>
                  </w:r>
                </w:p>
              </w:tc>
              <w:tc>
                <w:tcPr>
                  <w:tcW w:w="805" w:type="dxa"/>
                  <w:vMerge w:val="restart"/>
                  <w:tcBorders>
                    <w:top w:val="nil"/>
                    <w:left w:val="single" w:color="auto" w:sz="4" w:space="0"/>
                    <w:right w:val="single" w:color="auto" w:sz="4" w:space="0"/>
                  </w:tcBorders>
                  <w:vAlign w:val="center"/>
                </w:tcPr>
                <w:p w14:paraId="11795710">
                  <w:pPr>
                    <w:adjustRightInd w:val="0"/>
                    <w:snapToGrid w:val="0"/>
                    <w:jc w:val="center"/>
                    <w:rPr>
                      <w:rFonts w:ascii="Times New Roman" w:hAnsi="Times New Roman" w:cs="Times New Roman"/>
                      <w:bCs/>
                      <w:color w:val="000000"/>
                      <w:sz w:val="21"/>
                      <w:szCs w:val="21"/>
                    </w:rPr>
                  </w:pPr>
                  <w:r>
                    <w:rPr>
                      <w:rFonts w:ascii="Times New Roman" w:hAnsi="Times New Roman" w:cs="Times New Roman"/>
                      <w:bCs/>
                      <w:color w:val="000000"/>
                      <w:sz w:val="21"/>
                      <w:szCs w:val="21"/>
                    </w:rPr>
                    <w:t>重点管控单元</w:t>
                  </w:r>
                </w:p>
              </w:tc>
              <w:tc>
                <w:tcPr>
                  <w:tcW w:w="866" w:type="dxa"/>
                  <w:vMerge w:val="restart"/>
                  <w:tcBorders>
                    <w:top w:val="nil"/>
                    <w:left w:val="single" w:color="auto" w:sz="4" w:space="0"/>
                    <w:right w:val="single" w:color="auto" w:sz="4" w:space="0"/>
                  </w:tcBorders>
                  <w:vAlign w:val="center"/>
                </w:tcPr>
                <w:p w14:paraId="65E67BD9">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空间布局约束</w:t>
                  </w:r>
                </w:p>
              </w:tc>
              <w:tc>
                <w:tcPr>
                  <w:tcW w:w="2633" w:type="dxa"/>
                  <w:tcBorders>
                    <w:top w:val="single" w:color="auto" w:sz="4" w:space="0"/>
                    <w:left w:val="nil"/>
                    <w:bottom w:val="single" w:color="auto" w:sz="4" w:space="0"/>
                    <w:right w:val="single" w:color="auto" w:sz="4" w:space="0"/>
                  </w:tcBorders>
                  <w:vAlign w:val="center"/>
                </w:tcPr>
                <w:p w14:paraId="66C1625B">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1.依据《国务院关于加强滨海湿地保护严格管控围填海的通知》，除国家重大战略项目外，原则上禁止新增围填海项目。三墩片区布局国家重大项目确需新增围填海的，须严格论证对中华白海豚等重点保护动物及其生境的影响，审慎决策，最大限度减轻不良环境影响。</w:t>
                  </w:r>
                </w:p>
              </w:tc>
              <w:tc>
                <w:tcPr>
                  <w:tcW w:w="1980" w:type="dxa"/>
                  <w:tcBorders>
                    <w:top w:val="single" w:color="auto" w:sz="4" w:space="0"/>
                    <w:left w:val="nil"/>
                    <w:bottom w:val="single" w:color="auto" w:sz="4" w:space="0"/>
                    <w:right w:val="single" w:color="auto" w:sz="4" w:space="0"/>
                  </w:tcBorders>
                  <w:vAlign w:val="center"/>
                </w:tcPr>
                <w:p w14:paraId="72884CF0">
                  <w:pPr>
                    <w:adjustRightInd w:val="0"/>
                    <w:snapToGrid w:val="0"/>
                    <w:textAlignment w:val="center"/>
                    <w:rPr>
                      <w:rFonts w:ascii="Times New Roman" w:hAnsi="Times New Roman" w:cs="Times New Roman"/>
                      <w:color w:val="000000"/>
                      <w:sz w:val="21"/>
                      <w:szCs w:val="21"/>
                    </w:rPr>
                  </w:pPr>
                  <w:r>
                    <w:rPr>
                      <w:rFonts w:hint="eastAsia" w:ascii="Times New Roman" w:hAnsi="Times New Roman" w:cs="Times New Roman"/>
                      <w:color w:val="000000"/>
                      <w:sz w:val="21"/>
                      <w:szCs w:val="21"/>
                    </w:rPr>
                    <w:t>本项目位于金鼓江作业区，不属于三墩片区。项目属于北部湾港钦州港域金谷港区金鼓江作业区14号泊位配套项目，不属于新增围填海项目。</w:t>
                  </w:r>
                </w:p>
              </w:tc>
              <w:tc>
                <w:tcPr>
                  <w:tcW w:w="642" w:type="dxa"/>
                  <w:tcBorders>
                    <w:top w:val="single" w:color="auto" w:sz="4" w:space="0"/>
                    <w:left w:val="nil"/>
                    <w:bottom w:val="single" w:color="auto" w:sz="4" w:space="0"/>
                    <w:right w:val="single" w:color="auto" w:sz="4" w:space="0"/>
                  </w:tcBorders>
                  <w:vAlign w:val="center"/>
                </w:tcPr>
                <w:p w14:paraId="2081DF6C">
                  <w:pPr>
                    <w:adjustRightInd w:val="0"/>
                    <w:snapToGrid w:val="0"/>
                    <w:jc w:val="center"/>
                    <w:textAlignment w:val="center"/>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5BFE7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88" w:type="dxa"/>
                  <w:vMerge w:val="continue"/>
                  <w:tcBorders>
                    <w:left w:val="single" w:color="auto" w:sz="4" w:space="0"/>
                    <w:right w:val="single" w:color="auto" w:sz="4" w:space="0"/>
                  </w:tcBorders>
                  <w:vAlign w:val="center"/>
                </w:tcPr>
                <w:p w14:paraId="57B828D3">
                  <w:pPr>
                    <w:adjustRightInd w:val="0"/>
                    <w:snapToGrid w:val="0"/>
                    <w:jc w:val="center"/>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3F033CAF">
                  <w:pPr>
                    <w:adjustRightInd w:val="0"/>
                    <w:snapToGrid w:val="0"/>
                    <w:jc w:val="center"/>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06D6CB6D">
                  <w:pPr>
                    <w:adjustRightInd w:val="0"/>
                    <w:snapToGrid w:val="0"/>
                    <w:jc w:val="center"/>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19035F67">
                  <w:pPr>
                    <w:adjustRightInd w:val="0"/>
                    <w:snapToGrid w:val="0"/>
                    <w:jc w:val="center"/>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58B25995">
                  <w:pPr>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加强行业源头管控，严格执行《广西工业产业结构调整指导目录(2021年本)》，入园项目需符合国家产业政策、行业规范、地方发展规划和绿色发展等要求；建设项目应为石化产业园区产业链范围内的项目，选址应符合石化产业园区规划的功能分区。禁止引进不符合国家产业政策和相关行业准入条件，清洁生产水平不达标、装置单位产品能源消耗限额不达标、污染物排放不达标的项目。</w:t>
                  </w:r>
                </w:p>
              </w:tc>
              <w:tc>
                <w:tcPr>
                  <w:tcW w:w="1980" w:type="dxa"/>
                  <w:tcBorders>
                    <w:top w:val="single" w:color="auto" w:sz="4" w:space="0"/>
                    <w:left w:val="nil"/>
                    <w:bottom w:val="single" w:color="auto" w:sz="4" w:space="0"/>
                    <w:right w:val="single" w:color="auto" w:sz="4" w:space="0"/>
                  </w:tcBorders>
                  <w:vAlign w:val="center"/>
                </w:tcPr>
                <w:p w14:paraId="02F5E1DE">
                  <w:pPr>
                    <w:adjustRightInd w:val="0"/>
                    <w:snapToGrid w:val="0"/>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本项目位于金鼓江作业区，为</w:t>
                  </w:r>
                  <w:r>
                    <w:rPr>
                      <w:rFonts w:ascii="Times New Roman" w:hAnsi="Times New Roman" w:cs="Times New Roman"/>
                      <w:color w:val="000000" w:themeColor="text1"/>
                      <w:sz w:val="21"/>
                      <w:szCs w:val="21"/>
                      <w14:textFill>
                        <w14:solidFill>
                          <w14:schemeClr w14:val="tx1"/>
                        </w14:solidFill>
                      </w14:textFill>
                    </w:rPr>
                    <w:t>液硫、发烟硫酸/98%硫酸、液碱</w:t>
                  </w:r>
                  <w:r>
                    <w:rPr>
                      <w:rFonts w:hint="eastAsia" w:ascii="Times New Roman" w:hAnsi="Times New Roman" w:cs="Times New Roman"/>
                      <w:color w:val="000000" w:themeColor="text1"/>
                      <w:sz w:val="21"/>
                      <w:szCs w:val="21"/>
                      <w14:textFill>
                        <w14:solidFill>
                          <w14:schemeClr w14:val="tx1"/>
                        </w14:solidFill>
                      </w14:textFill>
                    </w:rPr>
                    <w:t>、苯酚、己内酰胺储运项目，属于石化产业园产业链范围内的项目，符合石化产业园区规划的功能分区。</w:t>
                  </w:r>
                </w:p>
              </w:tc>
              <w:tc>
                <w:tcPr>
                  <w:tcW w:w="642" w:type="dxa"/>
                  <w:tcBorders>
                    <w:top w:val="single" w:color="auto" w:sz="4" w:space="0"/>
                    <w:left w:val="nil"/>
                    <w:bottom w:val="single" w:color="auto" w:sz="4" w:space="0"/>
                    <w:right w:val="single" w:color="auto" w:sz="4" w:space="0"/>
                  </w:tcBorders>
                  <w:vAlign w:val="center"/>
                </w:tcPr>
                <w:p w14:paraId="74BC4AB1">
                  <w:pPr>
                    <w:adjustRightInd w:val="0"/>
                    <w:snapToGrid w:val="0"/>
                    <w:jc w:val="center"/>
                    <w:textAlignment w:val="center"/>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77EE8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88" w:type="dxa"/>
                  <w:vMerge w:val="continue"/>
                  <w:tcBorders>
                    <w:left w:val="single" w:color="auto" w:sz="4" w:space="0"/>
                    <w:right w:val="single" w:color="auto" w:sz="4" w:space="0"/>
                  </w:tcBorders>
                  <w:vAlign w:val="center"/>
                </w:tcPr>
                <w:p w14:paraId="5FE86B10">
                  <w:pPr>
                    <w:jc w:val="center"/>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71774F73">
                  <w:pPr>
                    <w:jc w:val="center"/>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40264388">
                  <w:pPr>
                    <w:jc w:val="center"/>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2F2F1F36">
                  <w:pPr>
                    <w:jc w:val="center"/>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7AE64391">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3.优化园区规划空间布局，对丙烯腈、苯乙烯、环氧丙烷等新引进项目加强源头风险管控；丙烯腈装置原则上应配套MMA装置同步建设，及时消耗丙烯腈装置产生的氢氰酸和废酸，降低环境风险。</w:t>
                  </w:r>
                </w:p>
              </w:tc>
              <w:tc>
                <w:tcPr>
                  <w:tcW w:w="1980" w:type="dxa"/>
                  <w:tcBorders>
                    <w:top w:val="single" w:color="auto" w:sz="4" w:space="0"/>
                    <w:left w:val="nil"/>
                    <w:bottom w:val="single" w:color="auto" w:sz="4" w:space="0"/>
                    <w:right w:val="single" w:color="auto" w:sz="4" w:space="0"/>
                  </w:tcBorders>
                  <w:vAlign w:val="center"/>
                </w:tcPr>
                <w:p w14:paraId="21D1ABE1">
                  <w:pPr>
                    <w:adjustRightInd w:val="0"/>
                    <w:snapToGrid w:val="0"/>
                    <w:jc w:val="center"/>
                    <w:textAlignment w:val="center"/>
                    <w:rPr>
                      <w:rFonts w:ascii="Times New Roman" w:hAnsi="Times New Roman" w:cs="Times New Roman"/>
                      <w:color w:val="000000"/>
                      <w:sz w:val="21"/>
                      <w:szCs w:val="21"/>
                    </w:rPr>
                  </w:pPr>
                  <w:r>
                    <w:rPr>
                      <w:rFonts w:hint="eastAsia" w:ascii="Times New Roman" w:hAnsi="Times New Roman" w:cs="Times New Roman"/>
                      <w:color w:val="000000"/>
                      <w:sz w:val="21"/>
                      <w:szCs w:val="21"/>
                    </w:rPr>
                    <w:t>本项目</w:t>
                  </w:r>
                  <w:r>
                    <w:rPr>
                      <w:rFonts w:hint="eastAsia" w:ascii="Times New Roman" w:hAnsi="Times New Roman" w:cs="Times New Roman"/>
                      <w:color w:val="000000" w:themeColor="text1"/>
                      <w:sz w:val="21"/>
                      <w:szCs w:val="21"/>
                      <w14:textFill>
                        <w14:solidFill>
                          <w14:schemeClr w14:val="tx1"/>
                        </w14:solidFill>
                      </w14:textFill>
                    </w:rPr>
                    <w:t>不属于</w:t>
                  </w:r>
                  <w:r>
                    <w:rPr>
                      <w:rFonts w:ascii="Times New Roman" w:hAnsi="Times New Roman" w:cs="Times New Roman"/>
                      <w:color w:val="000000"/>
                      <w:sz w:val="21"/>
                      <w:szCs w:val="21"/>
                    </w:rPr>
                    <w:t>对丙烯腈、苯乙烯、环氧丙烷等新引进项目</w:t>
                  </w:r>
                  <w:r>
                    <w:rPr>
                      <w:rFonts w:hint="eastAsia" w:ascii="Times New Roman" w:hAnsi="Times New Roman" w:cs="Times New Roman"/>
                      <w:color w:val="000000"/>
                      <w:sz w:val="21"/>
                      <w:szCs w:val="21"/>
                    </w:rPr>
                    <w:t>。</w:t>
                  </w:r>
                </w:p>
              </w:tc>
              <w:tc>
                <w:tcPr>
                  <w:tcW w:w="642" w:type="dxa"/>
                  <w:tcBorders>
                    <w:top w:val="single" w:color="auto" w:sz="4" w:space="0"/>
                    <w:left w:val="nil"/>
                    <w:bottom w:val="single" w:color="auto" w:sz="4" w:space="0"/>
                    <w:right w:val="single" w:color="auto" w:sz="4" w:space="0"/>
                  </w:tcBorders>
                  <w:vAlign w:val="center"/>
                </w:tcPr>
                <w:p w14:paraId="629D135B">
                  <w:pPr>
                    <w:adjustRightInd w:val="0"/>
                    <w:snapToGrid w:val="0"/>
                    <w:jc w:val="center"/>
                    <w:textAlignment w:val="center"/>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0F544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88" w:type="dxa"/>
                  <w:vMerge w:val="continue"/>
                  <w:tcBorders>
                    <w:left w:val="single" w:color="auto" w:sz="4" w:space="0"/>
                    <w:right w:val="single" w:color="auto" w:sz="4" w:space="0"/>
                  </w:tcBorders>
                  <w:vAlign w:val="center"/>
                </w:tcPr>
                <w:p w14:paraId="779088BF">
                  <w:pPr>
                    <w:jc w:val="center"/>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212D7BDD">
                  <w:pPr>
                    <w:jc w:val="center"/>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3345B5D5">
                  <w:pPr>
                    <w:jc w:val="center"/>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299A1D33">
                  <w:pPr>
                    <w:jc w:val="center"/>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351606A1">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4.严格控制炼油规模，禁止建设未列入国家批准的相关规划的新建炼油及扩建一次炼油项目；新建石化和化工生产项目应符合《广西新建石化和化工生产项目准入管理办法(试行)》《化工园区开发建设导则&gt;&gt;(GB/T42078-2022》)相关要求。</w:t>
                  </w:r>
                </w:p>
              </w:tc>
              <w:tc>
                <w:tcPr>
                  <w:tcW w:w="1980" w:type="dxa"/>
                  <w:tcBorders>
                    <w:top w:val="single" w:color="auto" w:sz="4" w:space="0"/>
                    <w:left w:val="nil"/>
                    <w:bottom w:val="single" w:color="auto" w:sz="4" w:space="0"/>
                    <w:right w:val="single" w:color="auto" w:sz="4" w:space="0"/>
                  </w:tcBorders>
                  <w:vAlign w:val="center"/>
                </w:tcPr>
                <w:p w14:paraId="2C9F3F5E">
                  <w:pPr>
                    <w:adjustRightInd w:val="0"/>
                    <w:snapToGrid w:val="0"/>
                    <w:jc w:val="center"/>
                    <w:textAlignment w:val="center"/>
                    <w:rPr>
                      <w:rFonts w:ascii="Times New Roman" w:hAnsi="Times New Roman" w:cs="Times New Roman"/>
                      <w:color w:val="000000"/>
                      <w:sz w:val="21"/>
                      <w:szCs w:val="21"/>
                      <w:shd w:val="clear" w:color="auto" w:fill="FFFFFF"/>
                    </w:rPr>
                  </w:pPr>
                  <w:r>
                    <w:rPr>
                      <w:rFonts w:hint="eastAsia" w:ascii="Times New Roman" w:hAnsi="Times New Roman" w:cs="Times New Roman"/>
                      <w:color w:val="000000"/>
                      <w:sz w:val="21"/>
                      <w:szCs w:val="21"/>
                      <w:shd w:val="clear" w:color="auto" w:fill="FFFFFF"/>
                    </w:rPr>
                    <w:t>本项目不属于炼油项目。</w:t>
                  </w:r>
                </w:p>
              </w:tc>
              <w:tc>
                <w:tcPr>
                  <w:tcW w:w="642" w:type="dxa"/>
                  <w:tcBorders>
                    <w:top w:val="single" w:color="auto" w:sz="4" w:space="0"/>
                    <w:left w:val="nil"/>
                    <w:bottom w:val="single" w:color="auto" w:sz="4" w:space="0"/>
                    <w:right w:val="single" w:color="auto" w:sz="4" w:space="0"/>
                  </w:tcBorders>
                  <w:vAlign w:val="center"/>
                </w:tcPr>
                <w:p w14:paraId="77B18FDC">
                  <w:pPr>
                    <w:adjustRightInd w:val="0"/>
                    <w:snapToGrid w:val="0"/>
                    <w:jc w:val="center"/>
                    <w:textAlignment w:val="center"/>
                    <w:rPr>
                      <w:rFonts w:ascii="Times New Roman" w:hAnsi="Times New Roman" w:cs="Times New Roman"/>
                      <w:color w:val="000000"/>
                      <w:sz w:val="21"/>
                      <w:szCs w:val="21"/>
                    </w:rPr>
                  </w:pPr>
                  <w:r>
                    <w:rPr>
                      <w:rFonts w:hint="eastAsia" w:ascii="Times New Roman" w:hAnsi="Times New Roman" w:cs="Times New Roman"/>
                      <w:color w:val="000000"/>
                      <w:sz w:val="21"/>
                      <w:szCs w:val="21"/>
                    </w:rPr>
                    <w:t>符合</w:t>
                  </w:r>
                </w:p>
              </w:tc>
            </w:tr>
            <w:tr w14:paraId="1B8C8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88" w:type="dxa"/>
                  <w:vMerge w:val="continue"/>
                  <w:tcBorders>
                    <w:left w:val="single" w:color="auto" w:sz="4" w:space="0"/>
                    <w:right w:val="single" w:color="auto" w:sz="4" w:space="0"/>
                  </w:tcBorders>
                  <w:vAlign w:val="center"/>
                </w:tcPr>
                <w:p w14:paraId="7ADBF98F">
                  <w:pPr>
                    <w:jc w:val="center"/>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4D0B2B2D">
                  <w:pPr>
                    <w:jc w:val="center"/>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36815979">
                  <w:pPr>
                    <w:jc w:val="center"/>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3010FA3D">
                  <w:pPr>
                    <w:jc w:val="center"/>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1AC7890F">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5.严格"两高"建设项目环境准入，新建、改建、扩建"两高"项目须符合生态环境保护法律法规和相关法定规划，满足重点污染物总量控制、相关规划环评和相应行业建设项目环境准入条件等要求。</w:t>
                  </w:r>
                </w:p>
              </w:tc>
              <w:tc>
                <w:tcPr>
                  <w:tcW w:w="1980" w:type="dxa"/>
                  <w:tcBorders>
                    <w:top w:val="single" w:color="auto" w:sz="4" w:space="0"/>
                    <w:left w:val="nil"/>
                    <w:bottom w:val="single" w:color="auto" w:sz="4" w:space="0"/>
                    <w:right w:val="single" w:color="auto" w:sz="4" w:space="0"/>
                  </w:tcBorders>
                  <w:vAlign w:val="center"/>
                </w:tcPr>
                <w:p w14:paraId="5737B31A">
                  <w:pPr>
                    <w:adjustRightInd w:val="0"/>
                    <w:snapToGrid w:val="0"/>
                    <w:jc w:val="center"/>
                    <w:textAlignment w:val="center"/>
                    <w:rPr>
                      <w:rFonts w:ascii="Times New Roman" w:hAnsi="Times New Roman" w:cs="Times New Roman"/>
                      <w:color w:val="000000"/>
                      <w:sz w:val="21"/>
                      <w:szCs w:val="21"/>
                      <w:shd w:val="clear" w:color="auto" w:fill="FFFFFF"/>
                    </w:rPr>
                  </w:pPr>
                  <w:r>
                    <w:rPr>
                      <w:rFonts w:hint="eastAsia" w:ascii="Times New Roman" w:hAnsi="Times New Roman" w:cs="Times New Roman"/>
                      <w:color w:val="000000"/>
                      <w:sz w:val="21"/>
                      <w:szCs w:val="21"/>
                      <w:shd w:val="clear" w:color="auto" w:fill="FFFFFF"/>
                    </w:rPr>
                    <w:t>本项目不属于“两高”项目。</w:t>
                  </w:r>
                </w:p>
              </w:tc>
              <w:tc>
                <w:tcPr>
                  <w:tcW w:w="642" w:type="dxa"/>
                  <w:tcBorders>
                    <w:top w:val="single" w:color="auto" w:sz="4" w:space="0"/>
                    <w:left w:val="nil"/>
                    <w:bottom w:val="single" w:color="auto" w:sz="4" w:space="0"/>
                    <w:right w:val="single" w:color="auto" w:sz="4" w:space="0"/>
                  </w:tcBorders>
                  <w:vAlign w:val="center"/>
                </w:tcPr>
                <w:p w14:paraId="5BAC0863">
                  <w:pPr>
                    <w:adjustRightInd w:val="0"/>
                    <w:snapToGrid w:val="0"/>
                    <w:jc w:val="center"/>
                    <w:textAlignment w:val="center"/>
                    <w:rPr>
                      <w:rFonts w:ascii="Times New Roman" w:hAnsi="Times New Roman" w:cs="Times New Roman"/>
                      <w:color w:val="000000"/>
                      <w:sz w:val="21"/>
                      <w:szCs w:val="21"/>
                    </w:rPr>
                  </w:pPr>
                  <w:r>
                    <w:rPr>
                      <w:rFonts w:hint="eastAsia" w:ascii="Times New Roman" w:hAnsi="Times New Roman" w:cs="Times New Roman"/>
                      <w:color w:val="000000"/>
                      <w:sz w:val="21"/>
                      <w:szCs w:val="21"/>
                    </w:rPr>
                    <w:t>符合</w:t>
                  </w:r>
                </w:p>
              </w:tc>
            </w:tr>
            <w:tr w14:paraId="57787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88" w:type="dxa"/>
                  <w:vMerge w:val="continue"/>
                  <w:tcBorders>
                    <w:left w:val="single" w:color="auto" w:sz="4" w:space="0"/>
                    <w:right w:val="single" w:color="auto" w:sz="4" w:space="0"/>
                  </w:tcBorders>
                  <w:vAlign w:val="center"/>
                </w:tcPr>
                <w:p w14:paraId="30053828">
                  <w:pPr>
                    <w:jc w:val="center"/>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6448E37D">
                  <w:pPr>
                    <w:jc w:val="center"/>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304A5A24">
                  <w:pPr>
                    <w:jc w:val="center"/>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2CE04310">
                  <w:pPr>
                    <w:jc w:val="center"/>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176B056B">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6.园区周边1公里范围内临近生态保护红线(广西茅尾海红树林自治区级自然保护区)生态环境敏感区域，应优化产业布局，控制开发强度，新建、改建、扩建项目要采取切实可行的环保措施，降低对周边生态环境敏感区域的影响。</w:t>
                  </w:r>
                </w:p>
              </w:tc>
              <w:tc>
                <w:tcPr>
                  <w:tcW w:w="1980" w:type="dxa"/>
                  <w:tcBorders>
                    <w:top w:val="single" w:color="auto" w:sz="4" w:space="0"/>
                    <w:left w:val="nil"/>
                    <w:bottom w:val="single" w:color="auto" w:sz="4" w:space="0"/>
                    <w:right w:val="single" w:color="auto" w:sz="4" w:space="0"/>
                  </w:tcBorders>
                  <w:vAlign w:val="center"/>
                </w:tcPr>
                <w:p w14:paraId="5161ABF4">
                  <w:pPr>
                    <w:adjustRightInd w:val="0"/>
                    <w:snapToGrid w:val="0"/>
                    <w:jc w:val="center"/>
                    <w:textAlignment w:val="center"/>
                    <w:rPr>
                      <w:rFonts w:ascii="Times New Roman" w:hAnsi="Times New Roman" w:cs="Times New Roman"/>
                      <w:color w:val="000000"/>
                      <w:sz w:val="21"/>
                      <w:szCs w:val="21"/>
                      <w:shd w:val="clear" w:color="auto" w:fill="FFFFFF"/>
                    </w:rPr>
                  </w:pPr>
                  <w:r>
                    <w:rPr>
                      <w:rFonts w:hint="eastAsia" w:ascii="Times New Roman" w:hAnsi="Times New Roman" w:cs="Times New Roman"/>
                      <w:color w:val="000000"/>
                      <w:sz w:val="21"/>
                      <w:szCs w:val="21"/>
                      <w:shd w:val="clear" w:color="auto" w:fill="FFFFFF"/>
                    </w:rPr>
                    <w:t>本项目1公里范围内无生态保护红线。</w:t>
                  </w:r>
                </w:p>
              </w:tc>
              <w:tc>
                <w:tcPr>
                  <w:tcW w:w="642" w:type="dxa"/>
                  <w:tcBorders>
                    <w:top w:val="single" w:color="auto" w:sz="4" w:space="0"/>
                    <w:left w:val="nil"/>
                    <w:bottom w:val="single" w:color="auto" w:sz="4" w:space="0"/>
                    <w:right w:val="single" w:color="auto" w:sz="4" w:space="0"/>
                  </w:tcBorders>
                  <w:vAlign w:val="center"/>
                </w:tcPr>
                <w:p w14:paraId="585E0AB4">
                  <w:pPr>
                    <w:adjustRightInd w:val="0"/>
                    <w:snapToGrid w:val="0"/>
                    <w:jc w:val="center"/>
                    <w:textAlignment w:val="center"/>
                    <w:rPr>
                      <w:rFonts w:ascii="Times New Roman" w:hAnsi="Times New Roman" w:cs="Times New Roman"/>
                      <w:color w:val="000000"/>
                      <w:sz w:val="21"/>
                      <w:szCs w:val="21"/>
                    </w:rPr>
                  </w:pPr>
                  <w:r>
                    <w:rPr>
                      <w:rFonts w:hint="eastAsia" w:ascii="Times New Roman" w:hAnsi="Times New Roman" w:cs="Times New Roman"/>
                      <w:color w:val="000000"/>
                      <w:sz w:val="21"/>
                      <w:szCs w:val="21"/>
                    </w:rPr>
                    <w:t>符合</w:t>
                  </w:r>
                </w:p>
              </w:tc>
            </w:tr>
            <w:tr w14:paraId="0DD23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1088" w:type="dxa"/>
                  <w:vMerge w:val="restart"/>
                  <w:tcBorders>
                    <w:left w:val="single" w:color="auto" w:sz="4" w:space="0"/>
                    <w:right w:val="single" w:color="auto" w:sz="4" w:space="0"/>
                  </w:tcBorders>
                  <w:vAlign w:val="center"/>
                </w:tcPr>
                <w:p w14:paraId="6575396F">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ZH45070220003</w:t>
                  </w:r>
                </w:p>
              </w:tc>
              <w:tc>
                <w:tcPr>
                  <w:tcW w:w="943" w:type="dxa"/>
                  <w:vMerge w:val="restart"/>
                  <w:tcBorders>
                    <w:left w:val="single" w:color="auto" w:sz="4" w:space="0"/>
                    <w:right w:val="single" w:color="auto" w:sz="4" w:space="0"/>
                  </w:tcBorders>
                  <w:vAlign w:val="center"/>
                </w:tcPr>
                <w:p w14:paraId="7A009F12">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广西钦州石化产业园重点管控单元</w:t>
                  </w:r>
                </w:p>
              </w:tc>
              <w:tc>
                <w:tcPr>
                  <w:tcW w:w="805" w:type="dxa"/>
                  <w:vMerge w:val="restart"/>
                  <w:tcBorders>
                    <w:left w:val="single" w:color="auto" w:sz="4" w:space="0"/>
                    <w:right w:val="single" w:color="auto" w:sz="4" w:space="0"/>
                  </w:tcBorders>
                  <w:vAlign w:val="center"/>
                </w:tcPr>
                <w:p w14:paraId="3F00F327">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重点管控单元</w:t>
                  </w:r>
                </w:p>
              </w:tc>
              <w:tc>
                <w:tcPr>
                  <w:tcW w:w="866" w:type="dxa"/>
                  <w:vMerge w:val="restart"/>
                  <w:tcBorders>
                    <w:left w:val="single" w:color="auto" w:sz="4" w:space="0"/>
                    <w:right w:val="single" w:color="auto" w:sz="4" w:space="0"/>
                  </w:tcBorders>
                  <w:vAlign w:val="center"/>
                </w:tcPr>
                <w:p w14:paraId="67248FF2">
                  <w:pPr>
                    <w:jc w:val="center"/>
                    <w:rPr>
                      <w:rFonts w:ascii="Times New Roman" w:hAnsi="Times New Roman" w:cs="Times New Roman"/>
                      <w:color w:val="000000"/>
                      <w:sz w:val="21"/>
                      <w:szCs w:val="21"/>
                    </w:rPr>
                  </w:pPr>
                  <w:r>
                    <w:rPr>
                      <w:rFonts w:ascii="Times New Roman" w:hAnsi="Times New Roman" w:cs="Times New Roman"/>
                      <w:color w:val="000000"/>
                      <w:sz w:val="21"/>
                      <w:szCs w:val="21"/>
                    </w:rPr>
                    <w:t>污染物排放管控</w:t>
                  </w:r>
                </w:p>
              </w:tc>
              <w:tc>
                <w:tcPr>
                  <w:tcW w:w="2633" w:type="dxa"/>
                  <w:tcBorders>
                    <w:top w:val="single" w:color="auto" w:sz="4" w:space="0"/>
                    <w:left w:val="nil"/>
                    <w:bottom w:val="single" w:color="auto" w:sz="4" w:space="0"/>
                    <w:right w:val="single" w:color="auto" w:sz="4" w:space="0"/>
                  </w:tcBorders>
                  <w:vAlign w:val="center"/>
                </w:tcPr>
                <w:p w14:paraId="50E27C9D">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1.大力推进低氮燃烧和烟气脱硝，有序推进园区集中供热。</w:t>
                  </w:r>
                </w:p>
              </w:tc>
              <w:tc>
                <w:tcPr>
                  <w:tcW w:w="1980" w:type="dxa"/>
                  <w:tcBorders>
                    <w:top w:val="single" w:color="auto" w:sz="4" w:space="0"/>
                    <w:left w:val="nil"/>
                    <w:right w:val="single" w:color="auto" w:sz="4" w:space="0"/>
                  </w:tcBorders>
                  <w:vAlign w:val="center"/>
                </w:tcPr>
                <w:p w14:paraId="2CB19C25">
                  <w:pPr>
                    <w:adjustRightInd w:val="0"/>
                    <w:snapToGrid w:val="0"/>
                    <w:jc w:val="center"/>
                    <w:textAlignment w:val="center"/>
                    <w:rPr>
                      <w:rFonts w:ascii="Times New Roman" w:hAnsi="Times New Roman" w:cs="Times New Roman"/>
                      <w:color w:val="000000"/>
                      <w:sz w:val="21"/>
                      <w:szCs w:val="21"/>
                      <w:shd w:val="clear" w:color="auto" w:fill="FFFFFF"/>
                    </w:rPr>
                  </w:pPr>
                  <w:r>
                    <w:rPr>
                      <w:rFonts w:ascii="Times New Roman" w:hAnsi="Times New Roman" w:cs="Times New Roman"/>
                      <w:color w:val="000000"/>
                      <w:sz w:val="21"/>
                      <w:szCs w:val="21"/>
                      <w:shd w:val="clear" w:color="auto" w:fill="FFFFFF"/>
                    </w:rPr>
                    <w:t>本项目不涉及。</w:t>
                  </w:r>
                </w:p>
              </w:tc>
              <w:tc>
                <w:tcPr>
                  <w:tcW w:w="642" w:type="dxa"/>
                  <w:tcBorders>
                    <w:top w:val="single" w:color="auto" w:sz="4" w:space="0"/>
                    <w:left w:val="nil"/>
                    <w:right w:val="single" w:color="auto" w:sz="4" w:space="0"/>
                  </w:tcBorders>
                  <w:vAlign w:val="center"/>
                </w:tcPr>
                <w:p w14:paraId="11898A0D">
                  <w:pPr>
                    <w:adjustRightInd w:val="0"/>
                    <w:snapToGrid w:val="0"/>
                    <w:jc w:val="center"/>
                    <w:textAlignment w:val="center"/>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6191B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2" w:hRule="atLeast"/>
                <w:jc w:val="center"/>
              </w:trPr>
              <w:tc>
                <w:tcPr>
                  <w:tcW w:w="1088" w:type="dxa"/>
                  <w:vMerge w:val="continue"/>
                  <w:tcBorders>
                    <w:left w:val="single" w:color="auto" w:sz="4" w:space="0"/>
                    <w:right w:val="single" w:color="auto" w:sz="4" w:space="0"/>
                  </w:tcBorders>
                  <w:vAlign w:val="center"/>
                </w:tcPr>
                <w:p w14:paraId="76EA43C1">
                  <w:pPr>
                    <w:snapToGrid w:val="0"/>
                    <w:rPr>
                      <w:rFonts w:ascii="Times New Roman" w:hAnsi="Times New Roman" w:cs="Times New Roman"/>
                      <w:sz w:val="21"/>
                      <w:szCs w:val="21"/>
                    </w:rPr>
                  </w:pPr>
                </w:p>
              </w:tc>
              <w:tc>
                <w:tcPr>
                  <w:tcW w:w="943" w:type="dxa"/>
                  <w:vMerge w:val="continue"/>
                  <w:tcBorders>
                    <w:left w:val="single" w:color="auto" w:sz="4" w:space="0"/>
                    <w:right w:val="single" w:color="auto" w:sz="4" w:space="0"/>
                  </w:tcBorders>
                  <w:vAlign w:val="center"/>
                </w:tcPr>
                <w:p w14:paraId="6FF987B8">
                  <w:pPr>
                    <w:snapToGrid w:val="0"/>
                    <w:rPr>
                      <w:rFonts w:ascii="Times New Roman" w:hAnsi="Times New Roman" w:cs="Times New Roman"/>
                      <w:sz w:val="21"/>
                      <w:szCs w:val="21"/>
                    </w:rPr>
                  </w:pPr>
                </w:p>
              </w:tc>
              <w:tc>
                <w:tcPr>
                  <w:tcW w:w="805" w:type="dxa"/>
                  <w:vMerge w:val="continue"/>
                  <w:tcBorders>
                    <w:left w:val="single" w:color="auto" w:sz="4" w:space="0"/>
                    <w:right w:val="single" w:color="auto" w:sz="4" w:space="0"/>
                  </w:tcBorders>
                  <w:vAlign w:val="center"/>
                </w:tcPr>
                <w:p w14:paraId="03493345">
                  <w:pPr>
                    <w:snapToGrid w:val="0"/>
                    <w:rPr>
                      <w:rFonts w:ascii="Times New Roman" w:hAnsi="Times New Roman" w:cs="Times New Roman"/>
                      <w:sz w:val="21"/>
                      <w:szCs w:val="21"/>
                    </w:rPr>
                  </w:pPr>
                </w:p>
              </w:tc>
              <w:tc>
                <w:tcPr>
                  <w:tcW w:w="866" w:type="dxa"/>
                  <w:vMerge w:val="continue"/>
                  <w:tcBorders>
                    <w:left w:val="single" w:color="auto" w:sz="4" w:space="0"/>
                    <w:right w:val="single" w:color="auto" w:sz="4" w:space="0"/>
                  </w:tcBorders>
                  <w:vAlign w:val="center"/>
                </w:tcPr>
                <w:p w14:paraId="3B23D778">
                  <w:pPr>
                    <w:snapToGrid w:val="0"/>
                    <w:rPr>
                      <w:rFonts w:ascii="Times New Roman" w:hAnsi="Times New Roman" w:cs="Times New Roman"/>
                      <w:sz w:val="21"/>
                      <w:szCs w:val="21"/>
                    </w:rPr>
                  </w:pPr>
                </w:p>
              </w:tc>
              <w:tc>
                <w:tcPr>
                  <w:tcW w:w="2633" w:type="dxa"/>
                  <w:tcBorders>
                    <w:top w:val="single" w:color="auto" w:sz="4" w:space="0"/>
                    <w:left w:val="nil"/>
                    <w:bottom w:val="single" w:color="auto" w:sz="4" w:space="0"/>
                    <w:right w:val="single" w:color="auto" w:sz="4" w:space="0"/>
                  </w:tcBorders>
                  <w:vAlign w:val="center"/>
                </w:tcPr>
                <w:p w14:paraId="13203DB3">
                  <w:pPr>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2.持续推进石化、化工等行业节能降碳改造；推动石化、化工等重点行业挥发性有机物(VOCs)污染防治。推动石化行业VOCs泄漏检测与修复行动、VOCs削减和有毒有害原料替代。</w:t>
                  </w:r>
                </w:p>
                <w:p w14:paraId="7BEA65A6">
                  <w:pPr>
                    <w:snapToGrid w:val="0"/>
                    <w:rPr>
                      <w:rFonts w:ascii="Times New Roman" w:hAnsi="Times New Roman" w:cs="Times New Roman"/>
                      <w:color w:val="000000" w:themeColor="text1"/>
                      <w:sz w:val="21"/>
                      <w:szCs w:val="21"/>
                      <w14:textFill>
                        <w14:solidFill>
                          <w14:schemeClr w14:val="tx1"/>
                        </w14:solidFill>
                      </w14:textFill>
                    </w:rPr>
                  </w:pPr>
                </w:p>
              </w:tc>
              <w:tc>
                <w:tcPr>
                  <w:tcW w:w="1980" w:type="dxa"/>
                  <w:tcBorders>
                    <w:left w:val="nil"/>
                    <w:right w:val="single" w:color="auto" w:sz="4" w:space="0"/>
                  </w:tcBorders>
                  <w:vAlign w:val="center"/>
                </w:tcPr>
                <w:p w14:paraId="15F5D5E7">
                  <w:pPr>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本项目</w:t>
                  </w:r>
                  <w:r>
                    <w:rPr>
                      <w:rFonts w:hint="eastAsia" w:ascii="Times New Roman" w:hAnsi="Times New Roman" w:cs="Times New Roman"/>
                      <w:color w:val="000000" w:themeColor="text1"/>
                      <w:sz w:val="21"/>
                      <w:szCs w:val="21"/>
                      <w14:textFill>
                        <w14:solidFill>
                          <w14:schemeClr w14:val="tx1"/>
                        </w14:solidFill>
                      </w14:textFill>
                    </w:rPr>
                    <w:t>储运</w:t>
                  </w:r>
                  <w:r>
                    <w:rPr>
                      <w:rFonts w:ascii="Times New Roman" w:hAnsi="Times New Roman" w:cs="Times New Roman"/>
                      <w:color w:val="000000" w:themeColor="text1"/>
                      <w:sz w:val="21"/>
                      <w:szCs w:val="21"/>
                      <w14:textFill>
                        <w14:solidFill>
                          <w14:schemeClr w14:val="tx1"/>
                        </w14:solidFill>
                      </w14:textFill>
                    </w:rPr>
                    <w:t>货种为液硫、发烟硫酸/98%硫酸、液碱</w:t>
                  </w:r>
                  <w:r>
                    <w:rPr>
                      <w:rFonts w:hint="eastAsia" w:ascii="Times New Roman" w:hAnsi="Times New Roman" w:cs="Times New Roman"/>
                      <w:color w:val="000000" w:themeColor="text1"/>
                      <w:sz w:val="21"/>
                      <w:szCs w:val="21"/>
                      <w14:textFill>
                        <w14:solidFill>
                          <w14:schemeClr w14:val="tx1"/>
                        </w14:solidFill>
                      </w14:textFill>
                    </w:rPr>
                    <w:t>、苯酚和己内酰胺储运工程。针对储罐产生的呼吸废气，对苯酚储罐采取设置氮封+活性炭吸附处理措施，对己内酰胺呼吸废气采取氮封+水洗+活性炭吸附处理措施。</w:t>
                  </w:r>
                </w:p>
              </w:tc>
              <w:tc>
                <w:tcPr>
                  <w:tcW w:w="642" w:type="dxa"/>
                  <w:tcBorders>
                    <w:left w:val="nil"/>
                    <w:right w:val="single" w:color="auto" w:sz="4" w:space="0"/>
                  </w:tcBorders>
                  <w:vAlign w:val="center"/>
                </w:tcPr>
                <w:p w14:paraId="45BCE5C8">
                  <w:pPr>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p>
              </w:tc>
            </w:tr>
            <w:tr w14:paraId="2B6DF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2" w:hRule="atLeast"/>
                <w:jc w:val="center"/>
              </w:trPr>
              <w:tc>
                <w:tcPr>
                  <w:tcW w:w="1088" w:type="dxa"/>
                  <w:vMerge w:val="continue"/>
                  <w:tcBorders>
                    <w:left w:val="single" w:color="auto" w:sz="4" w:space="0"/>
                    <w:right w:val="single" w:color="auto" w:sz="4" w:space="0"/>
                  </w:tcBorders>
                  <w:vAlign w:val="center"/>
                </w:tcPr>
                <w:p w14:paraId="3C460611">
                  <w:pPr>
                    <w:snapToGrid w:val="0"/>
                    <w:rPr>
                      <w:rFonts w:ascii="Times New Roman" w:hAnsi="Times New Roman" w:cs="Times New Roman"/>
                      <w:sz w:val="21"/>
                      <w:szCs w:val="21"/>
                    </w:rPr>
                  </w:pPr>
                </w:p>
              </w:tc>
              <w:tc>
                <w:tcPr>
                  <w:tcW w:w="943" w:type="dxa"/>
                  <w:vMerge w:val="continue"/>
                  <w:tcBorders>
                    <w:left w:val="single" w:color="auto" w:sz="4" w:space="0"/>
                    <w:right w:val="single" w:color="auto" w:sz="4" w:space="0"/>
                  </w:tcBorders>
                  <w:vAlign w:val="center"/>
                </w:tcPr>
                <w:p w14:paraId="5FF9EC95">
                  <w:pPr>
                    <w:snapToGrid w:val="0"/>
                    <w:rPr>
                      <w:rFonts w:ascii="Times New Roman" w:hAnsi="Times New Roman" w:cs="Times New Roman"/>
                      <w:sz w:val="21"/>
                      <w:szCs w:val="21"/>
                    </w:rPr>
                  </w:pPr>
                </w:p>
              </w:tc>
              <w:tc>
                <w:tcPr>
                  <w:tcW w:w="805" w:type="dxa"/>
                  <w:vMerge w:val="continue"/>
                  <w:tcBorders>
                    <w:left w:val="single" w:color="auto" w:sz="4" w:space="0"/>
                    <w:right w:val="single" w:color="auto" w:sz="4" w:space="0"/>
                  </w:tcBorders>
                  <w:vAlign w:val="center"/>
                </w:tcPr>
                <w:p w14:paraId="04256B5A">
                  <w:pPr>
                    <w:snapToGrid w:val="0"/>
                    <w:rPr>
                      <w:rFonts w:ascii="Times New Roman" w:hAnsi="Times New Roman" w:cs="Times New Roman"/>
                      <w:sz w:val="21"/>
                      <w:szCs w:val="21"/>
                    </w:rPr>
                  </w:pPr>
                </w:p>
              </w:tc>
              <w:tc>
                <w:tcPr>
                  <w:tcW w:w="866" w:type="dxa"/>
                  <w:vMerge w:val="continue"/>
                  <w:tcBorders>
                    <w:left w:val="single" w:color="auto" w:sz="4" w:space="0"/>
                    <w:right w:val="single" w:color="auto" w:sz="4" w:space="0"/>
                  </w:tcBorders>
                  <w:vAlign w:val="center"/>
                </w:tcPr>
                <w:p w14:paraId="27967A89">
                  <w:pPr>
                    <w:snapToGrid w:val="0"/>
                    <w:rPr>
                      <w:rFonts w:ascii="Times New Roman" w:hAnsi="Times New Roman" w:cs="Times New Roman"/>
                      <w:sz w:val="21"/>
                      <w:szCs w:val="21"/>
                    </w:rPr>
                  </w:pPr>
                </w:p>
              </w:tc>
              <w:tc>
                <w:tcPr>
                  <w:tcW w:w="2633" w:type="dxa"/>
                  <w:tcBorders>
                    <w:top w:val="single" w:color="auto" w:sz="4" w:space="0"/>
                    <w:left w:val="nil"/>
                    <w:bottom w:val="single" w:color="auto" w:sz="4" w:space="0"/>
                    <w:right w:val="single" w:color="auto" w:sz="4" w:space="0"/>
                  </w:tcBorders>
                  <w:vAlign w:val="center"/>
                </w:tcPr>
                <w:p w14:paraId="777571E8">
                  <w:pPr>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石化、化工行业全面推进行业达标排放改造，鼓励采用先进的清洁生产技术，提高原油的转化和利用效率；新建石化和化工生产项目污染物排放必须同时满足污染物排放标准和主要污染物总量控制要求，必须配套固废综合利用或无害化处理设施，危险废物必须按照国家及自治区相关危险废物的管理规定进行贮存、转移、安全处置。</w:t>
                  </w:r>
                </w:p>
              </w:tc>
              <w:tc>
                <w:tcPr>
                  <w:tcW w:w="1980" w:type="dxa"/>
                  <w:tcBorders>
                    <w:left w:val="nil"/>
                    <w:right w:val="single" w:color="auto" w:sz="4" w:space="0"/>
                  </w:tcBorders>
                  <w:vAlign w:val="center"/>
                </w:tcPr>
                <w:p w14:paraId="4E1F7AD7">
                  <w:pPr>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本项目为</w:t>
                  </w:r>
                  <w:r>
                    <w:rPr>
                      <w:rFonts w:ascii="Times New Roman" w:hAnsi="Times New Roman" w:cs="Times New Roman"/>
                      <w:color w:val="000000" w:themeColor="text1"/>
                      <w:sz w:val="21"/>
                      <w:szCs w:val="21"/>
                      <w14:textFill>
                        <w14:solidFill>
                          <w14:schemeClr w14:val="tx1"/>
                        </w14:solidFill>
                      </w14:textFill>
                    </w:rPr>
                    <w:t>液硫、发烟硫酸/98%硫酸、液碱</w:t>
                  </w:r>
                  <w:r>
                    <w:rPr>
                      <w:rFonts w:hint="eastAsia" w:ascii="Times New Roman" w:hAnsi="Times New Roman" w:cs="Times New Roman"/>
                      <w:color w:val="000000" w:themeColor="text1"/>
                      <w:sz w:val="21"/>
                      <w:szCs w:val="21"/>
                      <w14:textFill>
                        <w14:solidFill>
                          <w14:schemeClr w14:val="tx1"/>
                        </w14:solidFill>
                      </w14:textFill>
                    </w:rPr>
                    <w:t>、苯酚、己内酰胺储运工程，储罐设置氮封系统，并对液硫储罐呼吸废气采取升华硫回收装置，对发烟硫酸/98%硫酸呼吸废气采取二级三氧化硫吸收塔，对苯酚储罐呼吸废气采取活性炭吸附措施，对己内酰胺储罐采取水洗+活性炭吸附等措施后，储罐呼吸废气均达标排放。项目产生的废活性炭等危险废物收集至危险废物贮存间贮存，定期委托资质单位处置。</w:t>
                  </w:r>
                </w:p>
              </w:tc>
              <w:tc>
                <w:tcPr>
                  <w:tcW w:w="642" w:type="dxa"/>
                  <w:tcBorders>
                    <w:left w:val="nil"/>
                    <w:right w:val="single" w:color="auto" w:sz="4" w:space="0"/>
                  </w:tcBorders>
                  <w:vAlign w:val="center"/>
                </w:tcPr>
                <w:p w14:paraId="40B49C3F">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6280F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1088" w:type="dxa"/>
                  <w:vMerge w:val="continue"/>
                  <w:tcBorders>
                    <w:left w:val="single" w:color="auto" w:sz="4" w:space="0"/>
                    <w:right w:val="single" w:color="auto" w:sz="4" w:space="0"/>
                  </w:tcBorders>
                  <w:vAlign w:val="center"/>
                </w:tcPr>
                <w:p w14:paraId="23A98FB2">
                  <w:pPr>
                    <w:snapToGrid w:val="0"/>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3A2E6A5A">
                  <w:pPr>
                    <w:snapToGrid w:val="0"/>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07B9737A">
                  <w:pPr>
                    <w:snapToGrid w:val="0"/>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3EACF547">
                  <w:pPr>
                    <w:snapToGrid w:val="0"/>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17313B1F">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4.逐步完成工业集聚区集中式污水处理设施建设，确保已建污水处理设施稳定运行及达标排放。园区集中式污水处理设施总排口安装自动监控系统、视频监控系统，并与生态环境主管部门联网。按照"清污分流、雨污分流"原则，实施废水分类收集、分质处理。</w:t>
                  </w:r>
                </w:p>
              </w:tc>
              <w:tc>
                <w:tcPr>
                  <w:tcW w:w="1980" w:type="dxa"/>
                  <w:tcBorders>
                    <w:left w:val="nil"/>
                    <w:right w:val="single" w:color="auto" w:sz="4" w:space="0"/>
                  </w:tcBorders>
                  <w:vAlign w:val="center"/>
                </w:tcPr>
                <w:p w14:paraId="6D4C60DE">
                  <w:pPr>
                    <w:snapToGrid w:val="0"/>
                    <w:rPr>
                      <w:rFonts w:ascii="Times New Roman" w:hAnsi="Times New Roman" w:cs="Times New Roman"/>
                      <w:color w:val="000000"/>
                      <w:sz w:val="21"/>
                      <w:szCs w:val="21"/>
                    </w:rPr>
                  </w:pPr>
                  <w:r>
                    <w:rPr>
                      <w:rFonts w:hint="eastAsia" w:ascii="Times New Roman" w:hAnsi="Times New Roman" w:cs="Times New Roman"/>
                      <w:color w:val="000000"/>
                      <w:sz w:val="21"/>
                      <w:szCs w:val="21"/>
                    </w:rPr>
                    <w:t>本项目位于工业园区，厂区</w:t>
                  </w:r>
                  <w:r>
                    <w:rPr>
                      <w:rFonts w:ascii="Times New Roman" w:hAnsi="Times New Roman" w:cs="Times New Roman"/>
                      <w:color w:val="000000"/>
                      <w:sz w:val="21"/>
                      <w:szCs w:val="21"/>
                    </w:rPr>
                    <w:t>按照"清污分流、雨污分流"原则，实施废水分类收集、分质处理</w:t>
                  </w:r>
                  <w:r>
                    <w:rPr>
                      <w:rFonts w:hint="eastAsia" w:ascii="Times New Roman" w:hAnsi="Times New Roman" w:cs="Times New Roman"/>
                      <w:color w:val="000000"/>
                      <w:sz w:val="21"/>
                      <w:szCs w:val="21"/>
                    </w:rPr>
                    <w:t>。项目废水依托广西恒逸污水处理厂处理，</w:t>
                  </w:r>
                  <w:r>
                    <w:rPr>
                      <w:rFonts w:ascii="Times New Roman" w:hAnsi="Times New Roman" w:cs="Times New Roman"/>
                      <w:color w:val="000000"/>
                      <w:sz w:val="21"/>
                      <w:szCs w:val="21"/>
                    </w:rPr>
                    <w:t>园区集中式污水处理设施总排口安装自动监控系统、视频监控系统，并与生态环境主管部门联网</w:t>
                  </w:r>
                  <w:r>
                    <w:rPr>
                      <w:rFonts w:hint="eastAsia" w:ascii="Times New Roman" w:hAnsi="Times New Roman" w:cs="Times New Roman"/>
                      <w:color w:val="000000"/>
                      <w:sz w:val="21"/>
                      <w:szCs w:val="21"/>
                    </w:rPr>
                    <w:t>。</w:t>
                  </w:r>
                </w:p>
              </w:tc>
              <w:tc>
                <w:tcPr>
                  <w:tcW w:w="642" w:type="dxa"/>
                  <w:tcBorders>
                    <w:left w:val="nil"/>
                    <w:right w:val="single" w:color="auto" w:sz="4" w:space="0"/>
                  </w:tcBorders>
                  <w:vAlign w:val="center"/>
                </w:tcPr>
                <w:p w14:paraId="51E112AF">
                  <w:pPr>
                    <w:snapToGrid w:val="0"/>
                    <w:rPr>
                      <w:rFonts w:ascii="Times New Roman" w:hAnsi="Times New Roman" w:cs="Times New Roman"/>
                      <w:color w:val="000000"/>
                      <w:sz w:val="21"/>
                      <w:szCs w:val="21"/>
                    </w:rPr>
                  </w:pPr>
                  <w:r>
                    <w:rPr>
                      <w:rFonts w:hint="eastAsia" w:ascii="Times New Roman" w:hAnsi="Times New Roman" w:cs="Times New Roman"/>
                      <w:color w:val="000000"/>
                      <w:sz w:val="21"/>
                      <w:szCs w:val="21"/>
                    </w:rPr>
                    <w:t>符合</w:t>
                  </w:r>
                </w:p>
              </w:tc>
            </w:tr>
            <w:tr w14:paraId="6786E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1088" w:type="dxa"/>
                  <w:vMerge w:val="continue"/>
                  <w:tcBorders>
                    <w:left w:val="single" w:color="auto" w:sz="4" w:space="0"/>
                    <w:right w:val="single" w:color="auto" w:sz="4" w:space="0"/>
                  </w:tcBorders>
                  <w:vAlign w:val="center"/>
                </w:tcPr>
                <w:p w14:paraId="582B62A0">
                  <w:pPr>
                    <w:snapToGrid w:val="0"/>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42D7FADF">
                  <w:pPr>
                    <w:snapToGrid w:val="0"/>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740C829E">
                  <w:pPr>
                    <w:snapToGrid w:val="0"/>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5FE07F91">
                  <w:pPr>
                    <w:snapToGrid w:val="0"/>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798728D5">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5.园区及园区企业排放水污染物，要满足国家或者地方规定的水污染物排放标准和重点水污染物排放总量控制指标。直接外排水环境的，执行国家或者地方规定的标准要求;经城镇污水集中处理设施处理后排放的，执行市政部门管理要求；经园区污水集中处理设施处理后排放的，执行园区管理部门相关要求。</w:t>
                  </w:r>
                </w:p>
              </w:tc>
              <w:tc>
                <w:tcPr>
                  <w:tcW w:w="1980" w:type="dxa"/>
                  <w:tcBorders>
                    <w:left w:val="nil"/>
                    <w:right w:val="single" w:color="auto" w:sz="4" w:space="0"/>
                  </w:tcBorders>
                  <w:vAlign w:val="center"/>
                </w:tcPr>
                <w:p w14:paraId="2D040573">
                  <w:pPr>
                    <w:snapToGrid w:val="0"/>
                    <w:rPr>
                      <w:rFonts w:ascii="Times New Roman" w:hAnsi="Times New Roman" w:cs="Times New Roman"/>
                      <w:color w:val="000000"/>
                      <w:sz w:val="21"/>
                      <w:szCs w:val="21"/>
                    </w:rPr>
                  </w:pPr>
                  <w:r>
                    <w:rPr>
                      <w:rFonts w:ascii="Times New Roman" w:hAnsi="Times New Roman" w:cs="Times New Roman"/>
                      <w:color w:val="000000" w:themeColor="text1"/>
                      <w:sz w:val="21"/>
                      <w:szCs w:val="21"/>
                      <w14:textFill>
                        <w14:solidFill>
                          <w14:schemeClr w14:val="tx1"/>
                        </w14:solidFill>
                      </w14:textFill>
                    </w:rPr>
                    <w:t>项目雨污分流；初期雨水经排水沟进入初期雨水池收集，再泵送至广西恒逸污水处理厂处理后达标排放</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后期清净雨水通过厂区东侧雨水涵管排出口排入海中</w:t>
                  </w:r>
                  <w:r>
                    <w:rPr>
                      <w:rFonts w:hint="eastAsia" w:ascii="Times New Roman" w:hAnsi="Times New Roman" w:cs="Times New Roman"/>
                      <w:color w:val="000000" w:themeColor="text1"/>
                      <w:sz w:val="21"/>
                      <w:szCs w:val="21"/>
                      <w14:textFill>
                        <w14:solidFill>
                          <w14:schemeClr w14:val="tx1"/>
                        </w14:solidFill>
                      </w14:textFill>
                    </w:rPr>
                    <w:t>；己内酰胺储罐废气水洗塔吸收废水泵送至恒逸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r>
                    <w:rPr>
                      <w:rFonts w:hint="eastAsia" w:ascii="Times New Roman" w:hAnsi="Times New Roman" w:cs="Times New Roman"/>
                      <w:color w:val="000000" w:themeColor="text1"/>
                      <w:sz w:val="21"/>
                      <w:szCs w:val="21"/>
                      <w14:textFill>
                        <w14:solidFill>
                          <w14:schemeClr w14:val="tx1"/>
                        </w14:solidFill>
                      </w14:textFill>
                    </w:rPr>
                    <w:t>处理后达标排放。</w:t>
                  </w:r>
                </w:p>
              </w:tc>
              <w:tc>
                <w:tcPr>
                  <w:tcW w:w="642" w:type="dxa"/>
                  <w:tcBorders>
                    <w:left w:val="nil"/>
                    <w:right w:val="single" w:color="auto" w:sz="4" w:space="0"/>
                  </w:tcBorders>
                  <w:vAlign w:val="center"/>
                </w:tcPr>
                <w:p w14:paraId="54AF5D35">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03E36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1088" w:type="dxa"/>
                  <w:vMerge w:val="continue"/>
                  <w:tcBorders>
                    <w:left w:val="single" w:color="auto" w:sz="4" w:space="0"/>
                    <w:right w:val="single" w:color="auto" w:sz="4" w:space="0"/>
                  </w:tcBorders>
                  <w:vAlign w:val="center"/>
                </w:tcPr>
                <w:p w14:paraId="6BF2D01B">
                  <w:pPr>
                    <w:snapToGrid w:val="0"/>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0F8E2C53">
                  <w:pPr>
                    <w:snapToGrid w:val="0"/>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04B9028E">
                  <w:pPr>
                    <w:snapToGrid w:val="0"/>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7C463593">
                  <w:pPr>
                    <w:snapToGrid w:val="0"/>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113919ED">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6.鼓励建设高盐废水集中处理设施，回收固体盐类，降低外排水量和含盐浓度。</w:t>
                  </w:r>
                </w:p>
              </w:tc>
              <w:tc>
                <w:tcPr>
                  <w:tcW w:w="1980" w:type="dxa"/>
                  <w:tcBorders>
                    <w:left w:val="nil"/>
                    <w:right w:val="single" w:color="auto" w:sz="4" w:space="0"/>
                  </w:tcBorders>
                  <w:vAlign w:val="center"/>
                </w:tcPr>
                <w:p w14:paraId="7E200F5F">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本项目不涉及。</w:t>
                  </w:r>
                </w:p>
              </w:tc>
              <w:tc>
                <w:tcPr>
                  <w:tcW w:w="642" w:type="dxa"/>
                  <w:tcBorders>
                    <w:left w:val="nil"/>
                    <w:right w:val="single" w:color="auto" w:sz="4" w:space="0"/>
                  </w:tcBorders>
                  <w:vAlign w:val="center"/>
                </w:tcPr>
                <w:p w14:paraId="6C2FED63">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3C040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1088" w:type="dxa"/>
                  <w:vMerge w:val="continue"/>
                  <w:tcBorders>
                    <w:left w:val="single" w:color="auto" w:sz="4" w:space="0"/>
                    <w:right w:val="single" w:color="auto" w:sz="4" w:space="0"/>
                  </w:tcBorders>
                  <w:vAlign w:val="center"/>
                </w:tcPr>
                <w:p w14:paraId="308CB600">
                  <w:pPr>
                    <w:snapToGrid w:val="0"/>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6360BA4C">
                  <w:pPr>
                    <w:snapToGrid w:val="0"/>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1C70F0EF">
                  <w:pPr>
                    <w:snapToGrid w:val="0"/>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15D4525C">
                  <w:pPr>
                    <w:snapToGrid w:val="0"/>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7631EF1E">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7.严格控制石油类、氨氮、总磷等污染物排放浓度及排放量，采取有效措施减少挥发性有机化合物(VOCs)、氮氧化物(NOx)等污染物排放量。</w:t>
                  </w:r>
                </w:p>
              </w:tc>
              <w:tc>
                <w:tcPr>
                  <w:tcW w:w="1980" w:type="dxa"/>
                  <w:tcBorders>
                    <w:left w:val="nil"/>
                    <w:right w:val="single" w:color="auto" w:sz="4" w:space="0"/>
                  </w:tcBorders>
                  <w:vAlign w:val="center"/>
                </w:tcPr>
                <w:p w14:paraId="78DD3218">
                  <w:pPr>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项目排放废水为初期雨水和己内酰胺水洗塔吸收废水，均泵送至恒逸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r>
                    <w:rPr>
                      <w:rFonts w:hint="eastAsia" w:ascii="Times New Roman" w:hAnsi="Times New Roman" w:cs="Times New Roman"/>
                      <w:color w:val="000000" w:themeColor="text1"/>
                      <w:sz w:val="21"/>
                      <w:szCs w:val="21"/>
                      <w14:textFill>
                        <w14:solidFill>
                          <w14:schemeClr w14:val="tx1"/>
                        </w14:solidFill>
                      </w14:textFill>
                    </w:rPr>
                    <w:t>处理后达标排放。项目储运货种为</w:t>
                  </w:r>
                  <w:r>
                    <w:rPr>
                      <w:rFonts w:ascii="Times New Roman" w:hAnsi="Times New Roman" w:cs="Times New Roman"/>
                      <w:color w:val="000000" w:themeColor="text1"/>
                      <w:sz w:val="21"/>
                      <w:szCs w:val="21"/>
                      <w14:textFill>
                        <w14:solidFill>
                          <w14:schemeClr w14:val="tx1"/>
                        </w14:solidFill>
                      </w14:textFill>
                    </w:rPr>
                    <w:t>液硫、发烟硫酸/98%硫酸、液碱</w:t>
                  </w:r>
                  <w:r>
                    <w:rPr>
                      <w:rFonts w:hint="eastAsia" w:ascii="Times New Roman" w:hAnsi="Times New Roman" w:cs="Times New Roman"/>
                      <w:color w:val="000000" w:themeColor="text1"/>
                      <w:sz w:val="21"/>
                      <w:szCs w:val="21"/>
                      <w14:textFill>
                        <w14:solidFill>
                          <w14:schemeClr w14:val="tx1"/>
                        </w14:solidFill>
                      </w14:textFill>
                    </w:rPr>
                    <w:t>、苯酚、己内酰胺等，储罐设置氮封系统，并对液硫储罐呼吸废气采取升华硫回收装置，对发烟硫酸/98%硫酸呼吸废气采取二级三氧化硫吸收塔，对苯酚储罐呼吸废气采取油气回收装置处置，对己内酰胺储罐废气采取水洗塔喷淋吸收，储罐呼吸废气均达标排放。</w:t>
                  </w:r>
                </w:p>
              </w:tc>
              <w:tc>
                <w:tcPr>
                  <w:tcW w:w="642" w:type="dxa"/>
                  <w:tcBorders>
                    <w:left w:val="nil"/>
                    <w:right w:val="single" w:color="auto" w:sz="4" w:space="0"/>
                  </w:tcBorders>
                  <w:vAlign w:val="center"/>
                </w:tcPr>
                <w:p w14:paraId="602B8A09">
                  <w:pPr>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复合</w:t>
                  </w:r>
                </w:p>
              </w:tc>
            </w:tr>
            <w:tr w14:paraId="414D9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5" w:hRule="atLeast"/>
                <w:jc w:val="center"/>
              </w:trPr>
              <w:tc>
                <w:tcPr>
                  <w:tcW w:w="1088" w:type="dxa"/>
                  <w:vMerge w:val="restart"/>
                  <w:tcBorders>
                    <w:left w:val="single" w:color="auto" w:sz="4" w:space="0"/>
                    <w:right w:val="single" w:color="auto" w:sz="4" w:space="0"/>
                  </w:tcBorders>
                  <w:vAlign w:val="center"/>
                </w:tcPr>
                <w:p w14:paraId="0A054B5C">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ZH45070220003</w:t>
                  </w:r>
                </w:p>
              </w:tc>
              <w:tc>
                <w:tcPr>
                  <w:tcW w:w="943" w:type="dxa"/>
                  <w:vMerge w:val="restart"/>
                  <w:tcBorders>
                    <w:left w:val="single" w:color="auto" w:sz="4" w:space="0"/>
                    <w:right w:val="single" w:color="auto" w:sz="4" w:space="0"/>
                  </w:tcBorders>
                  <w:vAlign w:val="center"/>
                </w:tcPr>
                <w:p w14:paraId="67B1B0FA">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广西钦州石化产业园重点管控单元</w:t>
                  </w:r>
                </w:p>
              </w:tc>
              <w:tc>
                <w:tcPr>
                  <w:tcW w:w="805" w:type="dxa"/>
                  <w:vMerge w:val="restart"/>
                  <w:tcBorders>
                    <w:left w:val="single" w:color="auto" w:sz="4" w:space="0"/>
                    <w:right w:val="single" w:color="auto" w:sz="4" w:space="0"/>
                  </w:tcBorders>
                  <w:vAlign w:val="center"/>
                </w:tcPr>
                <w:p w14:paraId="59E1E393">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重点管控单元</w:t>
                  </w:r>
                </w:p>
              </w:tc>
              <w:tc>
                <w:tcPr>
                  <w:tcW w:w="866" w:type="dxa"/>
                  <w:vMerge w:val="restart"/>
                  <w:tcBorders>
                    <w:left w:val="single" w:color="auto" w:sz="4" w:space="0"/>
                    <w:right w:val="single" w:color="auto" w:sz="4" w:space="0"/>
                  </w:tcBorders>
                  <w:vAlign w:val="center"/>
                </w:tcPr>
                <w:p w14:paraId="02C43D99">
                  <w:pPr>
                    <w:jc w:val="center"/>
                    <w:rPr>
                      <w:rFonts w:ascii="Times New Roman" w:hAnsi="Times New Roman" w:cs="Times New Roman"/>
                      <w:color w:val="000000"/>
                      <w:sz w:val="21"/>
                      <w:szCs w:val="21"/>
                    </w:rPr>
                  </w:pPr>
                  <w:r>
                    <w:rPr>
                      <w:rFonts w:ascii="Times New Roman" w:hAnsi="Times New Roman" w:cs="Times New Roman"/>
                      <w:color w:val="000000"/>
                      <w:sz w:val="21"/>
                      <w:szCs w:val="21"/>
                    </w:rPr>
                    <w:t>环境风险防控</w:t>
                  </w:r>
                </w:p>
              </w:tc>
              <w:tc>
                <w:tcPr>
                  <w:tcW w:w="2633" w:type="dxa"/>
                  <w:tcBorders>
                    <w:top w:val="single" w:color="auto" w:sz="4" w:space="0"/>
                    <w:left w:val="nil"/>
                    <w:bottom w:val="single" w:color="auto" w:sz="4" w:space="0"/>
                    <w:right w:val="single" w:color="auto" w:sz="4" w:space="0"/>
                  </w:tcBorders>
                  <w:vAlign w:val="center"/>
                </w:tcPr>
                <w:p w14:paraId="1D29CC96">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1.建设项目应严格落实环境保护措施和环境风险防范措施，减缓对周边海域和陆域生态环境敏感区的不良环境影响。</w:t>
                  </w:r>
                </w:p>
              </w:tc>
              <w:tc>
                <w:tcPr>
                  <w:tcW w:w="1980" w:type="dxa"/>
                  <w:tcBorders>
                    <w:top w:val="single" w:color="auto" w:sz="4" w:space="0"/>
                    <w:left w:val="nil"/>
                    <w:right w:val="single" w:color="auto" w:sz="4" w:space="0"/>
                  </w:tcBorders>
                  <w:vAlign w:val="center"/>
                </w:tcPr>
                <w:p w14:paraId="04281A10">
                  <w:pPr>
                    <w:adjustRightInd w:val="0"/>
                    <w:snapToGrid w:val="0"/>
                    <w:jc w:val="both"/>
                    <w:textAlignment w:val="center"/>
                    <w:rPr>
                      <w:rFonts w:ascii="Times New Roman" w:hAnsi="Times New Roman" w:cs="Times New Roman"/>
                      <w:color w:val="000000"/>
                      <w:sz w:val="21"/>
                      <w:szCs w:val="21"/>
                      <w:shd w:val="clear" w:color="auto" w:fill="FFFFFF"/>
                    </w:rPr>
                  </w:pPr>
                  <w:r>
                    <w:rPr>
                      <w:rFonts w:ascii="Times New Roman" w:hAnsi="Times New Roman" w:cs="Times New Roman"/>
                      <w:color w:val="000000"/>
                      <w:sz w:val="21"/>
                      <w:szCs w:val="21"/>
                      <w:shd w:val="clear" w:color="auto" w:fill="FFFFFF"/>
                    </w:rPr>
                    <w:t>本评价要求建设单位落实提出的环境保护措施和环境风险防范措施；</w:t>
                  </w:r>
                </w:p>
              </w:tc>
              <w:tc>
                <w:tcPr>
                  <w:tcW w:w="642" w:type="dxa"/>
                  <w:tcBorders>
                    <w:top w:val="single" w:color="auto" w:sz="4" w:space="0"/>
                    <w:left w:val="nil"/>
                    <w:right w:val="single" w:color="auto" w:sz="4" w:space="0"/>
                  </w:tcBorders>
                  <w:vAlign w:val="center"/>
                </w:tcPr>
                <w:p w14:paraId="3517950E">
                  <w:pPr>
                    <w:adjustRightInd w:val="0"/>
                    <w:snapToGrid w:val="0"/>
                    <w:jc w:val="center"/>
                    <w:textAlignment w:val="center"/>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4F6C1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5" w:hRule="atLeast"/>
                <w:jc w:val="center"/>
              </w:trPr>
              <w:tc>
                <w:tcPr>
                  <w:tcW w:w="1088" w:type="dxa"/>
                  <w:vMerge w:val="continue"/>
                  <w:tcBorders>
                    <w:left w:val="single" w:color="auto" w:sz="4" w:space="0"/>
                    <w:right w:val="single" w:color="auto" w:sz="4" w:space="0"/>
                  </w:tcBorders>
                  <w:vAlign w:val="center"/>
                </w:tcPr>
                <w:p w14:paraId="75EE5599">
                  <w:pPr>
                    <w:snapToGrid w:val="0"/>
                    <w:rPr>
                      <w:rFonts w:ascii="Times New Roman" w:hAnsi="Times New Roman" w:cs="Times New Roman"/>
                      <w:sz w:val="21"/>
                      <w:szCs w:val="21"/>
                    </w:rPr>
                  </w:pPr>
                </w:p>
              </w:tc>
              <w:tc>
                <w:tcPr>
                  <w:tcW w:w="943" w:type="dxa"/>
                  <w:vMerge w:val="continue"/>
                  <w:tcBorders>
                    <w:left w:val="single" w:color="auto" w:sz="4" w:space="0"/>
                    <w:right w:val="single" w:color="auto" w:sz="4" w:space="0"/>
                  </w:tcBorders>
                  <w:vAlign w:val="center"/>
                </w:tcPr>
                <w:p w14:paraId="3C9B3BA3">
                  <w:pPr>
                    <w:snapToGrid w:val="0"/>
                    <w:rPr>
                      <w:rFonts w:ascii="Times New Roman" w:hAnsi="Times New Roman" w:cs="Times New Roman"/>
                      <w:sz w:val="21"/>
                      <w:szCs w:val="21"/>
                    </w:rPr>
                  </w:pPr>
                </w:p>
              </w:tc>
              <w:tc>
                <w:tcPr>
                  <w:tcW w:w="805" w:type="dxa"/>
                  <w:vMerge w:val="continue"/>
                  <w:tcBorders>
                    <w:left w:val="single" w:color="auto" w:sz="4" w:space="0"/>
                    <w:right w:val="single" w:color="auto" w:sz="4" w:space="0"/>
                  </w:tcBorders>
                  <w:vAlign w:val="center"/>
                </w:tcPr>
                <w:p w14:paraId="79BB8A8B">
                  <w:pPr>
                    <w:snapToGrid w:val="0"/>
                    <w:rPr>
                      <w:rFonts w:ascii="Times New Roman" w:hAnsi="Times New Roman" w:cs="Times New Roman"/>
                      <w:sz w:val="21"/>
                      <w:szCs w:val="21"/>
                    </w:rPr>
                  </w:pPr>
                </w:p>
              </w:tc>
              <w:tc>
                <w:tcPr>
                  <w:tcW w:w="866" w:type="dxa"/>
                  <w:vMerge w:val="continue"/>
                  <w:tcBorders>
                    <w:left w:val="single" w:color="auto" w:sz="4" w:space="0"/>
                    <w:right w:val="single" w:color="auto" w:sz="4" w:space="0"/>
                  </w:tcBorders>
                  <w:vAlign w:val="center"/>
                </w:tcPr>
                <w:p w14:paraId="7FB821CD">
                  <w:pPr>
                    <w:snapToGrid w:val="0"/>
                    <w:rPr>
                      <w:rFonts w:ascii="Times New Roman" w:hAnsi="Times New Roman" w:cs="Times New Roman"/>
                      <w:sz w:val="21"/>
                      <w:szCs w:val="21"/>
                    </w:rPr>
                  </w:pPr>
                </w:p>
              </w:tc>
              <w:tc>
                <w:tcPr>
                  <w:tcW w:w="2633" w:type="dxa"/>
                  <w:tcBorders>
                    <w:top w:val="single" w:color="auto" w:sz="4" w:space="0"/>
                    <w:left w:val="nil"/>
                    <w:bottom w:val="single" w:color="auto" w:sz="4" w:space="0"/>
                    <w:right w:val="single" w:color="auto" w:sz="4" w:space="0"/>
                  </w:tcBorders>
                  <w:vAlign w:val="center"/>
                </w:tcPr>
                <w:p w14:paraId="491B5D75">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2.三墩片区实行封闭式管理。开展环境风险评估，制定突发环境事件应急预案并备案，配备应急能力和物资，建设环境应急队伍，并定期演练。企业、园区与地方人民政府环境应急预案应当有机衔接。</w:t>
                  </w:r>
                </w:p>
              </w:tc>
              <w:tc>
                <w:tcPr>
                  <w:tcW w:w="1980" w:type="dxa"/>
                  <w:tcBorders>
                    <w:left w:val="nil"/>
                    <w:right w:val="single" w:color="auto" w:sz="4" w:space="0"/>
                  </w:tcBorders>
                  <w:vAlign w:val="center"/>
                </w:tcPr>
                <w:p w14:paraId="7AED15F2">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项目</w:t>
                  </w:r>
                  <w:r>
                    <w:rPr>
                      <w:rFonts w:hint="eastAsia" w:ascii="Times New Roman" w:hAnsi="Times New Roman" w:cs="Times New Roman"/>
                      <w:color w:val="000000"/>
                      <w:sz w:val="21"/>
                      <w:szCs w:val="21"/>
                    </w:rPr>
                    <w:t>位于钦州市金鼓江作业区，</w:t>
                  </w:r>
                  <w:r>
                    <w:rPr>
                      <w:rFonts w:ascii="Times New Roman" w:hAnsi="Times New Roman" w:cs="Times New Roman"/>
                      <w:color w:val="000000"/>
                      <w:sz w:val="21"/>
                      <w:szCs w:val="21"/>
                    </w:rPr>
                    <w:t>不属于三墩片区</w:t>
                  </w:r>
                  <w:r>
                    <w:rPr>
                      <w:rFonts w:hint="eastAsia" w:ascii="Times New Roman" w:hAnsi="Times New Roman" w:cs="Times New Roman"/>
                      <w:color w:val="000000"/>
                      <w:sz w:val="21"/>
                      <w:szCs w:val="21"/>
                    </w:rPr>
                    <w:t>。</w:t>
                  </w:r>
                </w:p>
              </w:tc>
              <w:tc>
                <w:tcPr>
                  <w:tcW w:w="642" w:type="dxa"/>
                  <w:tcBorders>
                    <w:left w:val="nil"/>
                    <w:right w:val="single" w:color="auto" w:sz="4" w:space="0"/>
                  </w:tcBorders>
                  <w:vAlign w:val="center"/>
                </w:tcPr>
                <w:p w14:paraId="1D40EEA0">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396C2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5" w:hRule="atLeast"/>
                <w:jc w:val="center"/>
              </w:trPr>
              <w:tc>
                <w:tcPr>
                  <w:tcW w:w="1088" w:type="dxa"/>
                  <w:vMerge w:val="continue"/>
                  <w:tcBorders>
                    <w:left w:val="single" w:color="auto" w:sz="4" w:space="0"/>
                    <w:right w:val="single" w:color="auto" w:sz="4" w:space="0"/>
                  </w:tcBorders>
                  <w:vAlign w:val="center"/>
                </w:tcPr>
                <w:p w14:paraId="31048BF0">
                  <w:pPr>
                    <w:snapToGrid w:val="0"/>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7E14B3EE">
                  <w:pPr>
                    <w:snapToGrid w:val="0"/>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74CC35E4">
                  <w:pPr>
                    <w:snapToGrid w:val="0"/>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0A7642A6">
                  <w:pPr>
                    <w:snapToGrid w:val="0"/>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30C3C6BA">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3.土壤环境监管重点单位应当严格控制有毒有害物质排放，并按年度向所在地设区的市人民政府生态环境主管部门报告排放情况；建立土壤污染隐患排查制度，保证持续有效防止有毒有害物质渗漏、流失、扬散。</w:t>
                  </w:r>
                </w:p>
              </w:tc>
              <w:tc>
                <w:tcPr>
                  <w:tcW w:w="1980" w:type="dxa"/>
                  <w:tcBorders>
                    <w:left w:val="nil"/>
                    <w:bottom w:val="single" w:color="auto" w:sz="4" w:space="0"/>
                    <w:right w:val="single" w:color="auto" w:sz="4" w:space="0"/>
                  </w:tcBorders>
                  <w:vAlign w:val="center"/>
                </w:tcPr>
                <w:p w14:paraId="2575DCA7">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项目不属于土壤污染重点监管单位。</w:t>
                  </w:r>
                </w:p>
              </w:tc>
              <w:tc>
                <w:tcPr>
                  <w:tcW w:w="642" w:type="dxa"/>
                  <w:tcBorders>
                    <w:left w:val="nil"/>
                    <w:bottom w:val="single" w:color="auto" w:sz="4" w:space="0"/>
                    <w:right w:val="single" w:color="auto" w:sz="4" w:space="0"/>
                  </w:tcBorders>
                  <w:vAlign w:val="center"/>
                </w:tcPr>
                <w:p w14:paraId="47BCCB60">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06A39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9" w:hRule="atLeast"/>
                <w:jc w:val="center"/>
              </w:trPr>
              <w:tc>
                <w:tcPr>
                  <w:tcW w:w="1088" w:type="dxa"/>
                  <w:vMerge w:val="restart"/>
                  <w:tcBorders>
                    <w:left w:val="single" w:color="auto" w:sz="4" w:space="0"/>
                    <w:right w:val="single" w:color="auto" w:sz="4" w:space="0"/>
                  </w:tcBorders>
                  <w:vAlign w:val="center"/>
                </w:tcPr>
                <w:p w14:paraId="2AD4D26D">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ZH45070220003</w:t>
                  </w:r>
                </w:p>
              </w:tc>
              <w:tc>
                <w:tcPr>
                  <w:tcW w:w="943" w:type="dxa"/>
                  <w:vMerge w:val="restart"/>
                  <w:tcBorders>
                    <w:left w:val="single" w:color="auto" w:sz="4" w:space="0"/>
                    <w:right w:val="single" w:color="auto" w:sz="4" w:space="0"/>
                  </w:tcBorders>
                  <w:vAlign w:val="center"/>
                </w:tcPr>
                <w:p w14:paraId="69FA7EE0">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广西钦州石化产业园重点管控单元</w:t>
                  </w:r>
                </w:p>
              </w:tc>
              <w:tc>
                <w:tcPr>
                  <w:tcW w:w="805" w:type="dxa"/>
                  <w:vMerge w:val="restart"/>
                  <w:tcBorders>
                    <w:left w:val="single" w:color="auto" w:sz="4" w:space="0"/>
                    <w:right w:val="single" w:color="auto" w:sz="4" w:space="0"/>
                  </w:tcBorders>
                  <w:vAlign w:val="center"/>
                </w:tcPr>
                <w:p w14:paraId="4B6C0DC6">
                  <w:pPr>
                    <w:adjustRightInd w:val="0"/>
                    <w:snapToGrid w:val="0"/>
                    <w:jc w:val="center"/>
                    <w:rPr>
                      <w:rFonts w:ascii="Times New Roman" w:hAnsi="Times New Roman" w:cs="Times New Roman"/>
                      <w:color w:val="000000"/>
                      <w:sz w:val="21"/>
                      <w:szCs w:val="21"/>
                    </w:rPr>
                  </w:pPr>
                  <w:r>
                    <w:rPr>
                      <w:rFonts w:ascii="Times New Roman" w:hAnsi="Times New Roman" w:cs="Times New Roman"/>
                      <w:bCs/>
                      <w:color w:val="000000"/>
                      <w:sz w:val="21"/>
                      <w:szCs w:val="21"/>
                    </w:rPr>
                    <w:t>重点管控单元</w:t>
                  </w:r>
                </w:p>
              </w:tc>
              <w:tc>
                <w:tcPr>
                  <w:tcW w:w="866" w:type="dxa"/>
                  <w:vMerge w:val="restart"/>
                  <w:tcBorders>
                    <w:left w:val="single" w:color="auto" w:sz="4" w:space="0"/>
                    <w:right w:val="single" w:color="auto" w:sz="4" w:space="0"/>
                  </w:tcBorders>
                  <w:vAlign w:val="center"/>
                </w:tcPr>
                <w:p w14:paraId="7A7A45C3">
                  <w:pPr>
                    <w:jc w:val="center"/>
                    <w:rPr>
                      <w:rFonts w:ascii="Times New Roman" w:hAnsi="Times New Roman" w:cs="Times New Roman"/>
                      <w:color w:val="000000"/>
                      <w:sz w:val="21"/>
                      <w:szCs w:val="21"/>
                    </w:rPr>
                  </w:pPr>
                  <w:r>
                    <w:rPr>
                      <w:rFonts w:ascii="Times New Roman" w:hAnsi="Times New Roman" w:cs="Times New Roman"/>
                      <w:color w:val="000000"/>
                      <w:sz w:val="21"/>
                      <w:szCs w:val="21"/>
                    </w:rPr>
                    <w:t>资源开发效率要求</w:t>
                  </w:r>
                </w:p>
              </w:tc>
              <w:tc>
                <w:tcPr>
                  <w:tcW w:w="2633" w:type="dxa"/>
                  <w:tcBorders>
                    <w:top w:val="single" w:color="auto" w:sz="4" w:space="0"/>
                    <w:left w:val="nil"/>
                    <w:bottom w:val="single" w:color="auto" w:sz="4" w:space="0"/>
                    <w:right w:val="single" w:color="auto" w:sz="4" w:space="0"/>
                  </w:tcBorders>
                  <w:vAlign w:val="center"/>
                </w:tcPr>
                <w:p w14:paraId="049B84C0">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1.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p>
              </w:tc>
              <w:tc>
                <w:tcPr>
                  <w:tcW w:w="1980" w:type="dxa"/>
                  <w:tcBorders>
                    <w:top w:val="single" w:color="auto" w:sz="4" w:space="0"/>
                    <w:left w:val="nil"/>
                    <w:right w:val="single" w:color="auto" w:sz="4" w:space="0"/>
                  </w:tcBorders>
                  <w:vAlign w:val="center"/>
                </w:tcPr>
                <w:p w14:paraId="5A2FE339">
                  <w:pPr>
                    <w:adjustRightInd w:val="0"/>
                    <w:snapToGrid w:val="0"/>
                    <w:jc w:val="center"/>
                    <w:textAlignment w:val="center"/>
                    <w:rPr>
                      <w:rFonts w:ascii="Times New Roman" w:hAnsi="Times New Roman" w:cs="Times New Roman"/>
                      <w:color w:val="000000"/>
                      <w:sz w:val="21"/>
                      <w:szCs w:val="21"/>
                      <w:shd w:val="clear" w:color="auto" w:fill="FFFFFF"/>
                    </w:rPr>
                  </w:pPr>
                  <w:r>
                    <w:rPr>
                      <w:rFonts w:ascii="Times New Roman" w:hAnsi="Times New Roman" w:cs="Times New Roman"/>
                      <w:color w:val="000000"/>
                      <w:sz w:val="21"/>
                      <w:szCs w:val="21"/>
                      <w:shd w:val="clear" w:color="auto" w:fill="FFFFFF"/>
                    </w:rPr>
                    <w:t>项目位于钦州港金谷港区金鼓江作业区，属于禁燃区范围，项目</w:t>
                  </w:r>
                  <w:r>
                    <w:rPr>
                      <w:rFonts w:hint="eastAsia" w:ascii="Times New Roman" w:hAnsi="Times New Roman" w:cs="Times New Roman"/>
                      <w:color w:val="000000"/>
                      <w:sz w:val="21"/>
                      <w:szCs w:val="21"/>
                      <w:shd w:val="clear" w:color="auto" w:fill="FFFFFF"/>
                    </w:rPr>
                    <w:t>货种储运过程保温加热使用电能，不使用石化燃料</w:t>
                  </w:r>
                  <w:r>
                    <w:rPr>
                      <w:rFonts w:ascii="Times New Roman" w:hAnsi="Times New Roman" w:cs="Times New Roman"/>
                      <w:color w:val="000000"/>
                      <w:sz w:val="21"/>
                      <w:szCs w:val="21"/>
                      <w:shd w:val="clear" w:color="auto" w:fill="FFFFFF"/>
                    </w:rPr>
                    <w:t>。</w:t>
                  </w:r>
                </w:p>
              </w:tc>
              <w:tc>
                <w:tcPr>
                  <w:tcW w:w="642" w:type="dxa"/>
                  <w:tcBorders>
                    <w:top w:val="single" w:color="auto" w:sz="4" w:space="0"/>
                    <w:left w:val="nil"/>
                    <w:right w:val="single" w:color="auto" w:sz="4" w:space="0"/>
                  </w:tcBorders>
                  <w:vAlign w:val="center"/>
                </w:tcPr>
                <w:p w14:paraId="620C3A1D">
                  <w:pPr>
                    <w:adjustRightInd w:val="0"/>
                    <w:snapToGrid w:val="0"/>
                    <w:jc w:val="center"/>
                    <w:textAlignment w:val="center"/>
                    <w:rPr>
                      <w:rFonts w:ascii="Times New Roman" w:hAnsi="Times New Roman" w:cs="Times New Roman"/>
                      <w:color w:val="000000"/>
                      <w:sz w:val="21"/>
                      <w:szCs w:val="21"/>
                    </w:rPr>
                  </w:pPr>
                  <w:r>
                    <w:rPr>
                      <w:rFonts w:ascii="Times New Roman" w:hAnsi="Times New Roman" w:cs="Times New Roman"/>
                      <w:color w:val="000000"/>
                      <w:sz w:val="21"/>
                      <w:szCs w:val="21"/>
                    </w:rPr>
                    <w:t>符合</w:t>
                  </w:r>
                </w:p>
              </w:tc>
            </w:tr>
            <w:tr w14:paraId="4FC6B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8" w:hRule="atLeast"/>
                <w:jc w:val="center"/>
              </w:trPr>
              <w:tc>
                <w:tcPr>
                  <w:tcW w:w="1088" w:type="dxa"/>
                  <w:vMerge w:val="continue"/>
                  <w:tcBorders>
                    <w:left w:val="single" w:color="auto" w:sz="4" w:space="0"/>
                    <w:right w:val="single" w:color="auto" w:sz="4" w:space="0"/>
                  </w:tcBorders>
                  <w:vAlign w:val="center"/>
                </w:tcPr>
                <w:p w14:paraId="7986652E">
                  <w:pPr>
                    <w:snapToGrid w:val="0"/>
                    <w:rPr>
                      <w:rFonts w:ascii="Times New Roman" w:hAnsi="Times New Roman" w:cs="Times New Roman"/>
                      <w:sz w:val="21"/>
                      <w:szCs w:val="21"/>
                    </w:rPr>
                  </w:pPr>
                </w:p>
              </w:tc>
              <w:tc>
                <w:tcPr>
                  <w:tcW w:w="943" w:type="dxa"/>
                  <w:vMerge w:val="continue"/>
                  <w:tcBorders>
                    <w:left w:val="single" w:color="auto" w:sz="4" w:space="0"/>
                    <w:right w:val="single" w:color="auto" w:sz="4" w:space="0"/>
                  </w:tcBorders>
                  <w:vAlign w:val="center"/>
                </w:tcPr>
                <w:p w14:paraId="5ED5973A">
                  <w:pPr>
                    <w:snapToGrid w:val="0"/>
                    <w:rPr>
                      <w:rFonts w:ascii="Times New Roman" w:hAnsi="Times New Roman" w:cs="Times New Roman"/>
                      <w:sz w:val="21"/>
                      <w:szCs w:val="21"/>
                    </w:rPr>
                  </w:pPr>
                </w:p>
              </w:tc>
              <w:tc>
                <w:tcPr>
                  <w:tcW w:w="805" w:type="dxa"/>
                  <w:vMerge w:val="continue"/>
                  <w:tcBorders>
                    <w:left w:val="single" w:color="auto" w:sz="4" w:space="0"/>
                    <w:right w:val="single" w:color="auto" w:sz="4" w:space="0"/>
                  </w:tcBorders>
                  <w:vAlign w:val="center"/>
                </w:tcPr>
                <w:p w14:paraId="38683A13">
                  <w:pPr>
                    <w:snapToGrid w:val="0"/>
                    <w:rPr>
                      <w:rFonts w:ascii="Times New Roman" w:hAnsi="Times New Roman" w:cs="Times New Roman"/>
                      <w:sz w:val="21"/>
                      <w:szCs w:val="21"/>
                    </w:rPr>
                  </w:pPr>
                </w:p>
              </w:tc>
              <w:tc>
                <w:tcPr>
                  <w:tcW w:w="866" w:type="dxa"/>
                  <w:vMerge w:val="continue"/>
                  <w:tcBorders>
                    <w:left w:val="single" w:color="auto" w:sz="4" w:space="0"/>
                    <w:right w:val="single" w:color="auto" w:sz="4" w:space="0"/>
                  </w:tcBorders>
                  <w:vAlign w:val="center"/>
                </w:tcPr>
                <w:p w14:paraId="5FB8AC47">
                  <w:pPr>
                    <w:snapToGrid w:val="0"/>
                    <w:rPr>
                      <w:rFonts w:ascii="Times New Roman" w:hAnsi="Times New Roman" w:cs="Times New Roman"/>
                      <w:sz w:val="21"/>
                      <w:szCs w:val="21"/>
                    </w:rPr>
                  </w:pPr>
                </w:p>
              </w:tc>
              <w:tc>
                <w:tcPr>
                  <w:tcW w:w="2633" w:type="dxa"/>
                  <w:tcBorders>
                    <w:top w:val="single" w:color="auto" w:sz="4" w:space="0"/>
                    <w:left w:val="nil"/>
                    <w:bottom w:val="single" w:color="auto" w:sz="4" w:space="0"/>
                    <w:right w:val="single" w:color="auto" w:sz="4" w:space="0"/>
                  </w:tcBorders>
                  <w:vAlign w:val="center"/>
                </w:tcPr>
                <w:p w14:paraId="04EB516A">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2.加强水资源消耗总量与强度控制，推进节水减排，提升水资源利用效率和效益。</w:t>
                  </w:r>
                </w:p>
              </w:tc>
              <w:tc>
                <w:tcPr>
                  <w:tcW w:w="1980" w:type="dxa"/>
                  <w:tcBorders>
                    <w:left w:val="nil"/>
                    <w:right w:val="single" w:color="auto" w:sz="4" w:space="0"/>
                  </w:tcBorders>
                  <w:vAlign w:val="center"/>
                </w:tcPr>
                <w:p w14:paraId="5D1D90EA">
                  <w:pPr>
                    <w:snapToGrid w:val="0"/>
                    <w:rPr>
                      <w:rFonts w:ascii="Times New Roman" w:hAnsi="Times New Roman" w:cs="Times New Roman"/>
                      <w:color w:val="000000"/>
                      <w:sz w:val="21"/>
                      <w:szCs w:val="21"/>
                    </w:rPr>
                  </w:pPr>
                  <w:r>
                    <w:rPr>
                      <w:rFonts w:hint="eastAsia" w:ascii="Times New Roman" w:hAnsi="Times New Roman" w:cs="Times New Roman"/>
                      <w:color w:val="000000"/>
                      <w:sz w:val="21"/>
                      <w:szCs w:val="21"/>
                    </w:rPr>
                    <w:t>本项目用水主要为场地清洗水和工人生活用水，用水量较少。</w:t>
                  </w:r>
                </w:p>
              </w:tc>
              <w:tc>
                <w:tcPr>
                  <w:tcW w:w="642" w:type="dxa"/>
                  <w:tcBorders>
                    <w:left w:val="nil"/>
                    <w:right w:val="single" w:color="auto" w:sz="4" w:space="0"/>
                  </w:tcBorders>
                  <w:vAlign w:val="center"/>
                </w:tcPr>
                <w:p w14:paraId="0303564D">
                  <w:pPr>
                    <w:snapToGrid w:val="0"/>
                    <w:rPr>
                      <w:rFonts w:ascii="Times New Roman" w:hAnsi="Times New Roman" w:cs="Times New Roman"/>
                      <w:color w:val="000000"/>
                      <w:sz w:val="21"/>
                      <w:szCs w:val="21"/>
                    </w:rPr>
                  </w:pPr>
                  <w:r>
                    <w:rPr>
                      <w:rFonts w:hint="eastAsia" w:ascii="Times New Roman" w:hAnsi="Times New Roman" w:cs="Times New Roman"/>
                      <w:color w:val="000000"/>
                      <w:sz w:val="21"/>
                      <w:szCs w:val="21"/>
                    </w:rPr>
                    <w:t>符合</w:t>
                  </w:r>
                </w:p>
              </w:tc>
            </w:tr>
            <w:tr w14:paraId="1E208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8" w:hRule="atLeast"/>
                <w:jc w:val="center"/>
              </w:trPr>
              <w:tc>
                <w:tcPr>
                  <w:tcW w:w="1088" w:type="dxa"/>
                  <w:vMerge w:val="continue"/>
                  <w:tcBorders>
                    <w:left w:val="single" w:color="auto" w:sz="4" w:space="0"/>
                    <w:right w:val="single" w:color="auto" w:sz="4" w:space="0"/>
                  </w:tcBorders>
                  <w:vAlign w:val="center"/>
                </w:tcPr>
                <w:p w14:paraId="57C90E87">
                  <w:pPr>
                    <w:snapToGrid w:val="0"/>
                    <w:rPr>
                      <w:rFonts w:ascii="Times New Roman" w:hAnsi="Times New Roman" w:cs="Times New Roman"/>
                      <w:color w:val="000000"/>
                      <w:sz w:val="21"/>
                      <w:szCs w:val="21"/>
                    </w:rPr>
                  </w:pPr>
                </w:p>
              </w:tc>
              <w:tc>
                <w:tcPr>
                  <w:tcW w:w="943" w:type="dxa"/>
                  <w:vMerge w:val="continue"/>
                  <w:tcBorders>
                    <w:left w:val="single" w:color="auto" w:sz="4" w:space="0"/>
                    <w:right w:val="single" w:color="auto" w:sz="4" w:space="0"/>
                  </w:tcBorders>
                  <w:vAlign w:val="center"/>
                </w:tcPr>
                <w:p w14:paraId="6FC08D41">
                  <w:pPr>
                    <w:snapToGrid w:val="0"/>
                    <w:rPr>
                      <w:rFonts w:ascii="Times New Roman" w:hAnsi="Times New Roman" w:cs="Times New Roman"/>
                      <w:color w:val="000000"/>
                      <w:sz w:val="21"/>
                      <w:szCs w:val="21"/>
                    </w:rPr>
                  </w:pPr>
                </w:p>
              </w:tc>
              <w:tc>
                <w:tcPr>
                  <w:tcW w:w="805" w:type="dxa"/>
                  <w:vMerge w:val="continue"/>
                  <w:tcBorders>
                    <w:left w:val="single" w:color="auto" w:sz="4" w:space="0"/>
                    <w:right w:val="single" w:color="auto" w:sz="4" w:space="0"/>
                  </w:tcBorders>
                  <w:vAlign w:val="center"/>
                </w:tcPr>
                <w:p w14:paraId="0843AE00">
                  <w:pPr>
                    <w:snapToGrid w:val="0"/>
                    <w:rPr>
                      <w:rFonts w:ascii="Times New Roman" w:hAnsi="Times New Roman" w:cs="Times New Roman"/>
                      <w:color w:val="000000"/>
                      <w:sz w:val="21"/>
                      <w:szCs w:val="21"/>
                    </w:rPr>
                  </w:pPr>
                </w:p>
              </w:tc>
              <w:tc>
                <w:tcPr>
                  <w:tcW w:w="866" w:type="dxa"/>
                  <w:vMerge w:val="continue"/>
                  <w:tcBorders>
                    <w:left w:val="single" w:color="auto" w:sz="4" w:space="0"/>
                    <w:right w:val="single" w:color="auto" w:sz="4" w:space="0"/>
                  </w:tcBorders>
                  <w:vAlign w:val="center"/>
                </w:tcPr>
                <w:p w14:paraId="63F18CEB">
                  <w:pPr>
                    <w:snapToGrid w:val="0"/>
                    <w:rPr>
                      <w:rFonts w:ascii="Times New Roman" w:hAnsi="Times New Roman" w:cs="Times New Roman"/>
                      <w:color w:val="000000"/>
                      <w:sz w:val="21"/>
                      <w:szCs w:val="21"/>
                    </w:rPr>
                  </w:pPr>
                </w:p>
              </w:tc>
              <w:tc>
                <w:tcPr>
                  <w:tcW w:w="2633" w:type="dxa"/>
                  <w:tcBorders>
                    <w:top w:val="single" w:color="auto" w:sz="4" w:space="0"/>
                    <w:left w:val="nil"/>
                    <w:bottom w:val="single" w:color="auto" w:sz="4" w:space="0"/>
                    <w:right w:val="single" w:color="auto" w:sz="4" w:space="0"/>
                  </w:tcBorders>
                  <w:vAlign w:val="center"/>
                </w:tcPr>
                <w:p w14:paraId="567CA072">
                  <w:pPr>
                    <w:snapToGrid w:val="0"/>
                    <w:rPr>
                      <w:rFonts w:ascii="Times New Roman" w:hAnsi="Times New Roman" w:cs="Times New Roman"/>
                      <w:color w:val="000000"/>
                      <w:sz w:val="21"/>
                      <w:szCs w:val="21"/>
                    </w:rPr>
                  </w:pPr>
                  <w:r>
                    <w:rPr>
                      <w:rFonts w:ascii="Times New Roman" w:hAnsi="Times New Roman" w:cs="Times New Roman"/>
                      <w:color w:val="000000"/>
                      <w:sz w:val="21"/>
                      <w:szCs w:val="21"/>
                    </w:rPr>
                    <w:t>3.坚持节约集约用地，提高土地利用效率。</w:t>
                  </w:r>
                </w:p>
              </w:tc>
              <w:tc>
                <w:tcPr>
                  <w:tcW w:w="1980" w:type="dxa"/>
                  <w:tcBorders>
                    <w:left w:val="nil"/>
                    <w:right w:val="single" w:color="auto" w:sz="4" w:space="0"/>
                  </w:tcBorders>
                  <w:vAlign w:val="center"/>
                </w:tcPr>
                <w:p w14:paraId="328411F5">
                  <w:pPr>
                    <w:snapToGrid w:val="0"/>
                    <w:rPr>
                      <w:rFonts w:ascii="Times New Roman" w:hAnsi="Times New Roman" w:cs="Times New Roman"/>
                      <w:color w:val="000000"/>
                      <w:sz w:val="21"/>
                      <w:szCs w:val="21"/>
                    </w:rPr>
                  </w:pPr>
                  <w:r>
                    <w:rPr>
                      <w:rFonts w:hint="eastAsia" w:ascii="Times New Roman" w:hAnsi="Times New Roman" w:cs="Times New Roman"/>
                      <w:color w:val="000000"/>
                      <w:sz w:val="21"/>
                      <w:szCs w:val="21"/>
                    </w:rPr>
                    <w:t>项目按节约集约用地要求开展设计及施工。</w:t>
                  </w:r>
                </w:p>
              </w:tc>
              <w:tc>
                <w:tcPr>
                  <w:tcW w:w="642" w:type="dxa"/>
                  <w:tcBorders>
                    <w:left w:val="nil"/>
                    <w:bottom w:val="single" w:color="auto" w:sz="4" w:space="0"/>
                    <w:right w:val="single" w:color="auto" w:sz="4" w:space="0"/>
                  </w:tcBorders>
                  <w:vAlign w:val="center"/>
                </w:tcPr>
                <w:p w14:paraId="76368546">
                  <w:pPr>
                    <w:snapToGrid w:val="0"/>
                    <w:rPr>
                      <w:rFonts w:ascii="Times New Roman" w:hAnsi="Times New Roman" w:cs="Times New Roman"/>
                      <w:color w:val="000000"/>
                      <w:sz w:val="21"/>
                      <w:szCs w:val="21"/>
                    </w:rPr>
                  </w:pPr>
                  <w:r>
                    <w:rPr>
                      <w:rFonts w:hint="eastAsia" w:ascii="Times New Roman" w:hAnsi="Times New Roman" w:cs="Times New Roman"/>
                      <w:color w:val="000000"/>
                      <w:sz w:val="21"/>
                      <w:szCs w:val="21"/>
                    </w:rPr>
                    <w:t>符合</w:t>
                  </w:r>
                </w:p>
              </w:tc>
            </w:tr>
          </w:tbl>
          <w:p w14:paraId="4961EBC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综上所述，本项目的建设符合</w:t>
            </w:r>
            <w:r>
              <w:rPr>
                <w:rFonts w:hint="eastAsia" w:ascii="Times New Roman" w:hAnsi="Times New Roman" w:cs="Times New Roman"/>
                <w:color w:val="000000" w:themeColor="text1"/>
                <w14:textFill>
                  <w14:solidFill>
                    <w14:schemeClr w14:val="tx1"/>
                  </w14:solidFill>
                </w14:textFill>
              </w:rPr>
              <w:t>广西钦州石化产业园重点管控单元生态环境准入及管控要求。</w:t>
            </w:r>
          </w:p>
          <w:p w14:paraId="42E5C2AA">
            <w:pPr>
              <w:adjustRightInd w:val="0"/>
              <w:snapToGrid w:val="0"/>
              <w:spacing w:line="360" w:lineRule="auto"/>
              <w:rPr>
                <w:rFonts w:ascii="Times New Roman" w:hAnsi="Times New Roman" w:cs="Times New Roman"/>
                <w:b/>
                <w:color w:val="000000" w:themeColor="text1"/>
                <w14:textFill>
                  <w14:solidFill>
                    <w14:schemeClr w14:val="tx1"/>
                  </w14:solidFill>
                </w14:textFill>
              </w:rPr>
            </w:pPr>
            <w:r>
              <w:rPr>
                <w:rFonts w:hint="eastAsia" w:ascii="Times New Roman" w:hAnsi="Times New Roman" w:cs="Times New Roman"/>
                <w:b/>
                <w:color w:val="000000" w:themeColor="text1"/>
                <w14:textFill>
                  <w14:solidFill>
                    <w14:schemeClr w14:val="tx1"/>
                  </w14:solidFill>
                </w14:textFill>
              </w:rPr>
              <w:t>4.</w:t>
            </w:r>
            <w:r>
              <w:rPr>
                <w:rFonts w:ascii="Times New Roman" w:hAnsi="Times New Roman" w:cs="Times New Roman"/>
                <w:b/>
                <w:color w:val="000000" w:themeColor="text1"/>
                <w14:textFill>
                  <w14:solidFill>
                    <w14:schemeClr w14:val="tx1"/>
                  </w14:solidFill>
                </w14:textFill>
              </w:rPr>
              <w:t>项目与《钦州市人民政府关于划定高污染燃料禁燃区的通告》（2018年1月5日）的相符性分析</w:t>
            </w:r>
          </w:p>
          <w:p w14:paraId="65DAF6D9">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（1）钦州市高污染燃料禁燃区划定范围如下：</w:t>
            </w:r>
          </w:p>
          <w:p w14:paraId="10F366DF">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我市城市建成区90.5平方公里范围，其中主城区建成区范围为东至南北二级公路，西至钦州学院旧址、北部湾大道，南至金海湾大街（含白石湖公园），北至林湖公园，面积约64.15平方公里；钦州港区建成区东至南港大道，西至七十二泾，南至</w:t>
            </w:r>
            <w:r>
              <w:rPr>
                <w:rFonts w:hint="eastAsia" w:ascii="Times New Roman" w:hAnsi="Times New Roman" w:cs="Times New Roman"/>
                <w:color w:val="000000" w:themeColor="text1"/>
                <w14:textFill>
                  <w14:solidFill>
                    <w14:schemeClr w14:val="tx1"/>
                  </w14:solidFill>
                </w14:textFill>
              </w:rPr>
              <w:t>金谷港区金鼓江作业区</w:t>
            </w:r>
            <w:r>
              <w:rPr>
                <w:rFonts w:ascii="Times New Roman" w:hAnsi="Times New Roman" w:cs="Times New Roman"/>
                <w:color w:val="000000" w:themeColor="text1"/>
                <w14:textFill>
                  <w14:solidFill>
                    <w14:schemeClr w14:val="tx1"/>
                  </w14:solidFill>
                </w14:textFill>
              </w:rPr>
              <w:t>，北至对坎龙水库、鸡笼山，面积约26.35平方公里。</w:t>
            </w:r>
          </w:p>
          <w:p w14:paraId="514287A8">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钦州高新区、中马钦州产业园区、黎合江工业园区、进口资源加工区、皇马工业园区（一、二区）等我市城市建成区周边的工业园区。</w:t>
            </w:r>
          </w:p>
          <w:p w14:paraId="5FE1BF5D">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（2）高污染燃料：</w:t>
            </w:r>
          </w:p>
          <w:p w14:paraId="6A626308">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除单台出力大于等于20蒸吨/小时锅炉以外的燃用煤炭及其制品；</w:t>
            </w:r>
          </w:p>
          <w:p w14:paraId="218088F2">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石油焦、油页岩、原油、重油、渣油、煤焦油，以及各种可燃废物和直接燃用的生物质非成型燃料（树木、秸秆、锯末、稻壳、蔗渣等）。</w:t>
            </w:r>
          </w:p>
          <w:p w14:paraId="6D4A0C9D">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（3）禁燃区内单台出力小于20蒸吨/小时的锅炉、窑炉等燃用高污染燃料设施，2018年6月底前必须使用低灰（灰分小于或等于10%）低硫（硫含量小于0.5%）的优质煤或清洁能源。</w:t>
            </w:r>
          </w:p>
          <w:p w14:paraId="2C7C9B1B">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集中供热管网或者燃气管网覆盖范围内的单台出力小于20蒸吨/小时的锅炉、窑炉等燃用高污染燃料设施，应当改用集中供热或者改用天然气、电等清洁能源；未在集中供热管网或者燃气管网覆盖范围内的，可以改用生物质成型燃料或者其他清洁能源，以淘汰燃用高污染燃料的锅炉、窑炉等燃烧设施。</w:t>
            </w:r>
          </w:p>
          <w:p w14:paraId="6FA7D990">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（4）自本通告发布之日起，禁燃区内禁止新建、扩建燃用高污染燃料的锅炉、窑炉等燃烧设施。</w:t>
            </w:r>
          </w:p>
          <w:p w14:paraId="4490D211">
            <w:pPr>
              <w:pStyle w:val="87"/>
              <w:spacing w:after="0" w:line="360" w:lineRule="auto"/>
              <w:ind w:left="0" w:leftChars="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项目位于钦州港</w:t>
            </w:r>
            <w:r>
              <w:rPr>
                <w:rFonts w:hint="eastAsia" w:ascii="Times New Roman" w:hAnsi="Times New Roman" w:cs="Times New Roman"/>
                <w:color w:val="000000" w:themeColor="text1"/>
                <w14:textFill>
                  <w14:solidFill>
                    <w14:schemeClr w14:val="tx1"/>
                  </w14:solidFill>
                </w14:textFill>
              </w:rPr>
              <w:t>金谷港区金鼓江作业区</w:t>
            </w:r>
            <w:r>
              <w:rPr>
                <w:rFonts w:ascii="Times New Roman" w:hAnsi="Times New Roman" w:cs="Times New Roman"/>
                <w:color w:val="000000" w:themeColor="text1"/>
                <w14:textFill>
                  <w14:solidFill>
                    <w14:schemeClr w14:val="tx1"/>
                  </w14:solidFill>
                </w14:textFill>
              </w:rPr>
              <w:t>，属于禁燃区范围</w:t>
            </w:r>
            <w:r>
              <w:rPr>
                <w:rFonts w:ascii="Times New Roman" w:hAnsi="Times New Roman" w:cs="Times New Roman"/>
                <w:color w:val="000000" w:themeColor="text1"/>
                <w:u w:val="single"/>
                <w14:textFill>
                  <w14:solidFill>
                    <w14:schemeClr w14:val="tx1"/>
                  </w14:solidFill>
                </w14:textFill>
              </w:rPr>
              <w:t>（附图</w:t>
            </w:r>
            <w:r>
              <w:rPr>
                <w:rFonts w:hint="eastAsia" w:ascii="Times New Roman" w:hAnsi="Times New Roman" w:cs="Times New Roman"/>
                <w:color w:val="000000" w:themeColor="text1"/>
                <w:u w:val="single"/>
                <w14:textFill>
                  <w14:solidFill>
                    <w14:schemeClr w14:val="tx1"/>
                  </w14:solidFill>
                </w14:textFill>
              </w:rPr>
              <w:t>12</w:t>
            </w:r>
            <w:r>
              <w:rPr>
                <w:rFonts w:ascii="Times New Roman" w:hAnsi="Times New Roman" w:cs="Times New Roman"/>
                <w:color w:val="000000" w:themeColor="text1"/>
                <w:u w:val="single"/>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。项目为储罐仓储，对物料主要采用电加热、电伴热，为清洁能源；不使用石化</w:t>
            </w:r>
            <w:r>
              <w:rPr>
                <w:rFonts w:ascii="Times New Roman" w:hAnsi="Times New Roman" w:cs="Times New Roman"/>
                <w:color w:val="000000" w:themeColor="text1"/>
                <w14:textFill>
                  <w14:solidFill>
                    <w14:schemeClr w14:val="tx1"/>
                  </w14:solidFill>
                </w14:textFill>
              </w:rPr>
              <w:t>禁燃区要求。</w:t>
            </w:r>
          </w:p>
          <w:p w14:paraId="3E293ADC">
            <w:pPr>
              <w:spacing w:line="360" w:lineRule="auto"/>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5.项目与环境准入负面清单的符合性分析</w:t>
            </w:r>
          </w:p>
          <w:p w14:paraId="53D17BC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项目不属于桂环发〔2022〕54号中《广西生态保护正面清单（2022）》中鼓励的项目，不属于《广西生态保护禁止事项清单（2022）》中禁止的项目。</w:t>
            </w:r>
          </w:p>
          <w:p w14:paraId="23E85685">
            <w:pPr>
              <w:snapToGrid w:val="0"/>
              <w:spacing w:line="360" w:lineRule="auto"/>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6.项目与《危险化学品仓库储存通则》（GB 15603-2022）的相符性分析</w:t>
            </w:r>
          </w:p>
          <w:p w14:paraId="0F6A3F77">
            <w:pPr>
              <w:snapToGrid w:val="0"/>
              <w:spacing w:line="360" w:lineRule="auto"/>
              <w:jc w:val="center"/>
              <w:rPr>
                <w:rFonts w:ascii="Times New Roman" w:hAnsi="Times New Roman" w:cs="Times New Roman"/>
                <w:b/>
                <w:bCs/>
                <w:color w:val="000000" w:themeColor="text1"/>
                <w:lang w:val="en-GB"/>
                <w14:textFill>
                  <w14:solidFill>
                    <w14:schemeClr w14:val="tx1"/>
                  </w14:solidFill>
                </w14:textFill>
              </w:rPr>
            </w:pPr>
            <w:r>
              <w:rPr>
                <w:rFonts w:hint="eastAsia" w:ascii="Times New Roman" w:hAnsi="Times New Roman" w:cs="Times New Roman"/>
                <w:b/>
                <w:bCs/>
                <w:color w:val="000000" w:themeColor="text1"/>
                <w:lang w:val="en-GB"/>
                <w14:textFill>
                  <w14:solidFill>
                    <w14:schemeClr w14:val="tx1"/>
                  </w14:solidFill>
                </w14:textFill>
              </w:rPr>
              <w:t>表1-</w:t>
            </w:r>
            <w:r>
              <w:rPr>
                <w:rFonts w:hint="eastAsia" w:ascii="Times New Roman" w:hAnsi="Times New Roman" w:cs="Times New Roman"/>
                <w:b/>
                <w:bCs/>
                <w:color w:val="000000" w:themeColor="text1"/>
                <w14:textFill>
                  <w14:solidFill>
                    <w14:schemeClr w14:val="tx1"/>
                  </w14:solidFill>
                </w14:textFill>
              </w:rPr>
              <w:t>6</w:t>
            </w:r>
            <w:r>
              <w:rPr>
                <w:rFonts w:hint="eastAsia" w:ascii="Times New Roman" w:hAnsi="Times New Roman" w:cs="Times New Roman"/>
                <w:b/>
                <w:bCs/>
                <w:color w:val="000000" w:themeColor="text1"/>
                <w:lang w:val="en-GB"/>
                <w14:textFill>
                  <w14:solidFill>
                    <w14:schemeClr w14:val="tx1"/>
                  </w14:solidFill>
                </w14:textFill>
              </w:rPr>
              <w:t xml:space="preserve"> </w:t>
            </w:r>
            <w:r>
              <w:rPr>
                <w:rFonts w:hint="eastAsia" w:ascii="Times New Roman" w:hAnsi="Times New Roman" w:cs="Times New Roman"/>
                <w:b/>
                <w:bCs/>
                <w:color w:val="000000" w:themeColor="text1"/>
                <w14:textFill>
                  <w14:solidFill>
                    <w14:schemeClr w14:val="tx1"/>
                  </w14:solidFill>
                </w14:textFill>
              </w:rPr>
              <w:t>项目与《危险化学品仓库储存通则》（</w:t>
            </w:r>
            <w:r>
              <w:rPr>
                <w:rFonts w:hint="eastAsia" w:ascii="Times New Roman" w:hAnsi="Times New Roman" w:cs="Times New Roman"/>
                <w:b/>
                <w:bCs/>
                <w:color w:val="000000" w:themeColor="text1"/>
                <w:lang w:val="en-GB"/>
                <w14:textFill>
                  <w14:solidFill>
                    <w14:schemeClr w14:val="tx1"/>
                  </w14:solidFill>
                </w14:textFill>
              </w:rPr>
              <w:t>GB 15603-2022</w:t>
            </w:r>
            <w:r>
              <w:rPr>
                <w:rFonts w:hint="eastAsia" w:ascii="Times New Roman" w:hAnsi="Times New Roman" w:cs="Times New Roman"/>
                <w:b/>
                <w:bCs/>
                <w:color w:val="000000" w:themeColor="text1"/>
                <w14:textFill>
                  <w14:solidFill>
                    <w14:schemeClr w14:val="tx1"/>
                  </w14:solidFill>
                </w14:textFill>
              </w:rPr>
              <w:t>）</w:t>
            </w:r>
            <w:r>
              <w:rPr>
                <w:rFonts w:hint="eastAsia" w:ascii="Times New Roman" w:hAnsi="Times New Roman" w:cs="Times New Roman"/>
                <w:b/>
                <w:bCs/>
                <w:color w:val="000000" w:themeColor="text1"/>
                <w:lang w:val="en-GB"/>
                <w14:textFill>
                  <w14:solidFill>
                    <w14:schemeClr w14:val="tx1"/>
                  </w14:solidFill>
                </w14:textFill>
              </w:rPr>
              <w:t>相符性分析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4077"/>
              <w:gridCol w:w="4097"/>
            </w:tblGrid>
            <w:tr w14:paraId="33AB8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2446D29">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4077" w:type="dxa"/>
                  <w:vAlign w:val="center"/>
                </w:tcPr>
                <w:p w14:paraId="15FDB8AA">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通则要求</w:t>
                  </w:r>
                </w:p>
              </w:tc>
              <w:tc>
                <w:tcPr>
                  <w:tcW w:w="4097" w:type="dxa"/>
                  <w:vAlign w:val="center"/>
                </w:tcPr>
                <w:p w14:paraId="6084A586">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相符性分析</w:t>
                  </w:r>
                </w:p>
              </w:tc>
            </w:tr>
            <w:tr w14:paraId="7A7D1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0812C00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基本要求</w:t>
                  </w:r>
                </w:p>
              </w:tc>
            </w:tr>
            <w:tr w14:paraId="04D4A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520E1B76">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w:t>
                  </w:r>
                </w:p>
              </w:tc>
              <w:tc>
                <w:tcPr>
                  <w:tcW w:w="4077" w:type="dxa"/>
                  <w:vAlign w:val="center"/>
                </w:tcPr>
                <w:p w14:paraId="7380BA36">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危险化学品储存、经营企业的仓库规划选址、建设、安全设施，应符合GB 50016、GB 18265的要求。</w:t>
                  </w:r>
                </w:p>
              </w:tc>
              <w:tc>
                <w:tcPr>
                  <w:tcW w:w="4097" w:type="dxa"/>
                  <w:vAlign w:val="center"/>
                </w:tcPr>
                <w:p w14:paraId="2C9D62A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符合，项目选址、建设、安全设施符合《建筑设计防火规范》（2018年版）（GB50016-2014）、GB 18265-2019的要求。</w:t>
                  </w:r>
                </w:p>
              </w:tc>
            </w:tr>
            <w:tr w14:paraId="0D7D7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5" w:hRule="atLeast"/>
                <w:jc w:val="center"/>
              </w:trPr>
              <w:tc>
                <w:tcPr>
                  <w:tcW w:w="790" w:type="dxa"/>
                  <w:vAlign w:val="center"/>
                </w:tcPr>
                <w:p w14:paraId="23032EBD">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w:t>
                  </w:r>
                </w:p>
              </w:tc>
              <w:tc>
                <w:tcPr>
                  <w:tcW w:w="4077" w:type="dxa"/>
                  <w:vAlign w:val="center"/>
                </w:tcPr>
                <w:p w14:paraId="5B2495BC">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应建立危险化学品储存信息管理系统，按照储存量大小进行分层次要求，实时记录作业基础数据，包括但不限于：</w:t>
                  </w:r>
                </w:p>
                <w:p w14:paraId="0EC2AB4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a）危险化学品出入库记录，包括但不限于：时间、品种、品名、数量；</w:t>
                  </w:r>
                </w:p>
                <w:p w14:paraId="2A6474A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b）识别化学品安全技术说明书中要求的灭火介质，应急、消防要求以及危险特性，理化性质，搬运、储存注意事项和禁忌等，以及可能涉及安全相容矩阵表；</w:t>
                  </w:r>
                </w:p>
                <w:p w14:paraId="0F84984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c）库存危险化学品品种、数量、库内分布、包装形式等信息；</w:t>
                  </w:r>
                </w:p>
                <w:p w14:paraId="60E3774E">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d）库存危险化学品禁忌配存情况；</w:t>
                  </w:r>
                </w:p>
                <w:p w14:paraId="1580AE68">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e）库存危险化学品安全和应急措施。</w:t>
                  </w:r>
                </w:p>
              </w:tc>
              <w:tc>
                <w:tcPr>
                  <w:tcW w:w="4097" w:type="dxa"/>
                  <w:vAlign w:val="center"/>
                </w:tcPr>
                <w:p w14:paraId="0756F7A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符合，企业将建立危险化学品储存信息管理系统，按照储存量大小进行分层次要求，实时记录作业基础数据。</w:t>
                  </w:r>
                </w:p>
              </w:tc>
            </w:tr>
            <w:tr w14:paraId="73465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0BF0E2C">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4.3</w:t>
                  </w:r>
                </w:p>
              </w:tc>
              <w:tc>
                <w:tcPr>
                  <w:tcW w:w="4077" w:type="dxa"/>
                  <w:vAlign w:val="center"/>
                </w:tcPr>
                <w:p w14:paraId="58384A10">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危险化学品储存信息数据应进行异地实时备份，数据保存期限不少于1年。</w:t>
                  </w:r>
                </w:p>
              </w:tc>
              <w:tc>
                <w:tcPr>
                  <w:tcW w:w="4097" w:type="dxa"/>
                  <w:vAlign w:val="center"/>
                </w:tcPr>
                <w:p w14:paraId="080DDBE8">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符合，危险化学品储存信息数据将进行异地实时备份，数据保存期限不少于1年。</w:t>
                  </w:r>
                </w:p>
              </w:tc>
            </w:tr>
            <w:tr w14:paraId="79012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4CFDD09">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4.4</w:t>
                  </w:r>
                </w:p>
              </w:tc>
              <w:tc>
                <w:tcPr>
                  <w:tcW w:w="4077" w:type="dxa"/>
                  <w:vAlign w:val="center"/>
                </w:tcPr>
                <w:p w14:paraId="27FA4D02">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危险化学品信息系统应具有接入所在地相关监管部门业务信息系统的接口。</w:t>
                  </w:r>
                </w:p>
              </w:tc>
              <w:tc>
                <w:tcPr>
                  <w:tcW w:w="4097" w:type="dxa"/>
                  <w:vAlign w:val="center"/>
                </w:tcPr>
                <w:p w14:paraId="66229FBC">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符合，危险化学品信息系统将加入具有接入所在地相关监管部门业务信息系统。</w:t>
                  </w:r>
                </w:p>
              </w:tc>
            </w:tr>
            <w:tr w14:paraId="0276F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33707AFC">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储存要求</w:t>
                  </w:r>
                </w:p>
              </w:tc>
            </w:tr>
            <w:tr w14:paraId="62483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1B2B87A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5.1</w:t>
                  </w:r>
                </w:p>
              </w:tc>
              <w:tc>
                <w:tcPr>
                  <w:tcW w:w="4077" w:type="dxa"/>
                  <w:vAlign w:val="center"/>
                </w:tcPr>
                <w:p w14:paraId="5516B062">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危险化学品仓库应采用隔离储存、隔开储存、分离储存的方式对危险化学品进行储存。</w:t>
                  </w:r>
                </w:p>
              </w:tc>
              <w:tc>
                <w:tcPr>
                  <w:tcW w:w="4097" w:type="dxa"/>
                  <w:vAlign w:val="center"/>
                </w:tcPr>
                <w:p w14:paraId="45919B23">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w:t>
                  </w:r>
                  <w:r>
                    <w:rPr>
                      <w:rFonts w:hint="eastAsia" w:ascii="Times New Roman" w:hAnsi="Times New Roman" w:cs="Times New Roman"/>
                      <w:color w:val="000000" w:themeColor="text1"/>
                      <w:sz w:val="21"/>
                      <w:szCs w:val="21"/>
                      <w14:textFill>
                        <w14:solidFill>
                          <w14:schemeClr w14:val="tx1"/>
                        </w14:solidFill>
                      </w14:textFill>
                    </w:rPr>
                    <w:t>储存货种为液硫、发烟硫酸/98硫酸、液碱，采取储罐隔开储存，满足危险化学品的储存要求。</w:t>
                  </w:r>
                </w:p>
              </w:tc>
            </w:tr>
            <w:tr w14:paraId="198B8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1AB3EEC">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5.2</w:t>
                  </w:r>
                </w:p>
              </w:tc>
              <w:tc>
                <w:tcPr>
                  <w:tcW w:w="4077" w:type="dxa"/>
                  <w:vAlign w:val="center"/>
                </w:tcPr>
                <w:p w14:paraId="13F514B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应选择符合危险化学品的特性、防火要求及化学品安全技术说明书中储存要求的仓储设施进行储存。</w:t>
                  </w:r>
                </w:p>
              </w:tc>
              <w:tc>
                <w:tcPr>
                  <w:tcW w:w="4097" w:type="dxa"/>
                  <w:vAlign w:val="center"/>
                </w:tcPr>
                <w:p w14:paraId="58B8381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符合，项目根据危险化学品的特性、防火要求及危险化学品安全技术说明对危险化学品进行分类储存。</w:t>
                  </w:r>
                </w:p>
              </w:tc>
            </w:tr>
            <w:tr w14:paraId="6558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dxa"/>
                  <w:vAlign w:val="center"/>
                </w:tcPr>
                <w:p w14:paraId="0F1AF381">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5.3</w:t>
                  </w:r>
                </w:p>
              </w:tc>
              <w:tc>
                <w:tcPr>
                  <w:tcW w:w="4077" w:type="dxa"/>
                  <w:vAlign w:val="center"/>
                </w:tcPr>
                <w:p w14:paraId="30483E0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应根据危险化学品仓库的设计和经营许可要求，严格控制危险化学品的储存品种、数量。</w:t>
                  </w:r>
                </w:p>
              </w:tc>
              <w:tc>
                <w:tcPr>
                  <w:tcW w:w="4097" w:type="dxa"/>
                  <w:vAlign w:val="center"/>
                </w:tcPr>
                <w:p w14:paraId="3D156AFC">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本项目储存货种为液硫、发烟硫酸/98硫酸、液碱，储存的品种、数量满足危险化学品仓库的设计和公司经营许可证的要求。</w:t>
                  </w:r>
                </w:p>
              </w:tc>
            </w:tr>
            <w:tr w14:paraId="022C6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54721E0">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5.4</w:t>
                  </w:r>
                </w:p>
              </w:tc>
              <w:tc>
                <w:tcPr>
                  <w:tcW w:w="4077" w:type="dxa"/>
                  <w:vAlign w:val="center"/>
                </w:tcPr>
                <w:p w14:paraId="52BBB37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危险化学品储存应满足危险化学品分类、包装、储存方式及消防要求。</w:t>
                  </w:r>
                </w:p>
              </w:tc>
              <w:tc>
                <w:tcPr>
                  <w:tcW w:w="4097" w:type="dxa"/>
                  <w:vAlign w:val="center"/>
                </w:tcPr>
                <w:p w14:paraId="1DE21596">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符合，项目危险化学品</w:t>
                  </w:r>
                  <w:r>
                    <w:rPr>
                      <w:rFonts w:hint="eastAsia" w:ascii="Times New Roman" w:hAnsi="Times New Roman" w:cs="Times New Roman"/>
                      <w:color w:val="000000" w:themeColor="text1"/>
                      <w:sz w:val="21"/>
                      <w:szCs w:val="21"/>
                      <w14:textFill>
                        <w14:solidFill>
                          <w14:schemeClr w14:val="tx1"/>
                        </w14:solidFill>
                      </w14:textFill>
                    </w:rPr>
                    <w:t>采用储罐分类</w:t>
                  </w:r>
                  <w:r>
                    <w:rPr>
                      <w:rFonts w:ascii="Times New Roman" w:hAnsi="Times New Roman" w:cs="Times New Roman"/>
                      <w:color w:val="000000" w:themeColor="text1"/>
                      <w:sz w:val="21"/>
                      <w:szCs w:val="21"/>
                      <w14:textFill>
                        <w14:solidFill>
                          <w14:schemeClr w14:val="tx1"/>
                        </w14:solidFill>
                      </w14:textFill>
                    </w:rPr>
                    <w:t>储存</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满足危险化学品分类、包装、储存方式及消防要求。</w:t>
                  </w:r>
                </w:p>
              </w:tc>
            </w:tr>
            <w:tr w14:paraId="15012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02EE30A">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w:t>
                  </w:r>
                </w:p>
              </w:tc>
              <w:tc>
                <w:tcPr>
                  <w:tcW w:w="4077" w:type="dxa"/>
                  <w:vAlign w:val="center"/>
                </w:tcPr>
                <w:p w14:paraId="2F1AB81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危险化学品的储存配存，应符合附录A及其化学品安全技术说明书的要求。</w:t>
                  </w:r>
                </w:p>
              </w:tc>
              <w:tc>
                <w:tcPr>
                  <w:tcW w:w="4097" w:type="dxa"/>
                  <w:vAlign w:val="center"/>
                </w:tcPr>
                <w:p w14:paraId="24316A4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w:t>
                  </w:r>
                  <w:r>
                    <w:rPr>
                      <w:rFonts w:ascii="Times New Roman" w:hAnsi="Times New Roman" w:cs="Times New Roman"/>
                      <w:color w:val="000000" w:themeColor="text1"/>
                      <w:sz w:val="21"/>
                      <w:szCs w:val="21"/>
                      <w14:textFill>
                        <w14:solidFill>
                          <w14:schemeClr w14:val="tx1"/>
                        </w14:solidFill>
                      </w14:textFill>
                    </w:rPr>
                    <w:t>危险化学品的储存配存符合GB 15603-2022附录A及其化学品安全技术说明书的要求。</w:t>
                  </w:r>
                </w:p>
              </w:tc>
            </w:tr>
            <w:tr w14:paraId="13FBD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4E56F918">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5.6</w:t>
                  </w:r>
                </w:p>
              </w:tc>
              <w:tc>
                <w:tcPr>
                  <w:tcW w:w="4077" w:type="dxa"/>
                  <w:vAlign w:val="center"/>
                </w:tcPr>
                <w:p w14:paraId="3B102D53">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储存爆炸物的仓库，其外部安全防护距离以及物品存放应满足GB18265的要求。</w:t>
                  </w:r>
                </w:p>
              </w:tc>
              <w:tc>
                <w:tcPr>
                  <w:tcW w:w="4097" w:type="dxa"/>
                  <w:vAlign w:val="center"/>
                </w:tcPr>
                <w:p w14:paraId="55A5E465">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不涉及。本项目不涉及爆炸物储存仓库。</w:t>
                  </w:r>
                </w:p>
              </w:tc>
            </w:tr>
            <w:tr w14:paraId="1C11C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FA13840">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w:t>
                  </w:r>
                </w:p>
              </w:tc>
              <w:tc>
                <w:tcPr>
                  <w:tcW w:w="4077" w:type="dxa"/>
                  <w:vAlign w:val="center"/>
                </w:tcPr>
                <w:p w14:paraId="3AFD8F3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储存有毒气体或易燃气体，且其构成危险化学品重大危险源的仓库，其外部安全防护距离应满足GB18265的要求。</w:t>
                  </w:r>
                </w:p>
              </w:tc>
              <w:tc>
                <w:tcPr>
                  <w:tcW w:w="4097" w:type="dxa"/>
                  <w:vAlign w:val="center"/>
                </w:tcPr>
                <w:p w14:paraId="1C2F079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符合，项目不储存有毒气体或易燃气体。</w:t>
                  </w:r>
                </w:p>
              </w:tc>
            </w:tr>
            <w:tr w14:paraId="2B150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78B67A4">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5.8</w:t>
                  </w:r>
                </w:p>
              </w:tc>
              <w:tc>
                <w:tcPr>
                  <w:tcW w:w="4077" w:type="dxa"/>
                  <w:vAlign w:val="center"/>
                </w:tcPr>
                <w:p w14:paraId="19C1FB3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储存具有火灾危险性危险化学品的仓库，耐火等级、层数、面积及防火间距应符合GB50016的要求。</w:t>
                  </w:r>
                </w:p>
              </w:tc>
              <w:tc>
                <w:tcPr>
                  <w:tcW w:w="4097" w:type="dxa"/>
                  <w:vAlign w:val="center"/>
                </w:tcPr>
                <w:p w14:paraId="2FD12CE6">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。本项目储存具有火灾危险性的货种为液硫，其储罐占地面积、防火堤、防火间距等符合GB50016要求。</w:t>
                  </w:r>
                </w:p>
              </w:tc>
            </w:tr>
            <w:tr w14:paraId="4CC00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1542ABDF">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w:t>
                  </w:r>
                </w:p>
              </w:tc>
              <w:tc>
                <w:tcPr>
                  <w:tcW w:w="4077" w:type="dxa"/>
                  <w:vAlign w:val="center"/>
                </w:tcPr>
                <w:p w14:paraId="2CD6855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剧毒化学品、易燃气体、氧化性气体、急性毒性气体、遇水放出易燃气体的物质和混合物、氯酸盐、高锰酸盐、亚硝酸盐、过氧化钠、过氧化氢、溴素应分离储存。</w:t>
                  </w:r>
                </w:p>
              </w:tc>
              <w:tc>
                <w:tcPr>
                  <w:tcW w:w="4097" w:type="dxa"/>
                  <w:vAlign w:val="center"/>
                </w:tcPr>
                <w:p w14:paraId="3E2573EB">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符合，项目不涉及剧毒化学品、易燃气体、氧化性气体、急性毒性气体、遇水放出易燃气体的物质和混合物、氯酸盐、高锰酸盐、亚硝酸盐、过氧化钠、过氧化氢、溴素等物品的储存。</w:t>
                  </w:r>
                </w:p>
              </w:tc>
            </w:tr>
            <w:tr w14:paraId="57B89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4F8CB29">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5.10</w:t>
                  </w:r>
                </w:p>
              </w:tc>
              <w:tc>
                <w:tcPr>
                  <w:tcW w:w="4077" w:type="dxa"/>
                  <w:vAlign w:val="center"/>
                </w:tcPr>
                <w:p w14:paraId="66DD9F8B">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剧毒化学品、监控化学品、易制毒化学品、易制爆危险化学品，应按规定将储存地点、储存数量、流向及管理人员的情况报相关部门备案，剧毒化学品以及构成重大危险源的危险化学品，应在专用仓库内单独存放，并实行双人收发、双人保管制度。</w:t>
                  </w:r>
                </w:p>
              </w:tc>
              <w:tc>
                <w:tcPr>
                  <w:tcW w:w="4097" w:type="dxa"/>
                  <w:vAlign w:val="center"/>
                </w:tcPr>
                <w:p w14:paraId="3B196758">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u w:val="single"/>
                      <w14:textFill>
                        <w14:solidFill>
                          <w14:schemeClr w14:val="tx1"/>
                        </w14:solidFill>
                      </w14:textFill>
                    </w:rPr>
                    <w:t>项目</w:t>
                  </w:r>
                  <w:r>
                    <w:rPr>
                      <w:rFonts w:hint="eastAsia" w:ascii="Times New Roman" w:hAnsi="Times New Roman" w:cs="Times New Roman"/>
                      <w:color w:val="000000" w:themeColor="text1"/>
                      <w:sz w:val="21"/>
                      <w:szCs w:val="21"/>
                      <w:u w:val="single"/>
                      <w14:textFill>
                        <w14:solidFill>
                          <w14:schemeClr w14:val="tx1"/>
                        </w14:solidFill>
                      </w14:textFill>
                    </w:rPr>
                    <w:t>货种为液硫、发烟硫酸/98%硫酸、液碱。其中液硫、液碱等不属于</w:t>
                  </w:r>
                  <w:r>
                    <w:rPr>
                      <w:rFonts w:ascii="Times New Roman" w:hAnsi="Times New Roman" w:cs="Times New Roman"/>
                      <w:color w:val="000000" w:themeColor="text1"/>
                      <w:sz w:val="21"/>
                      <w:szCs w:val="21"/>
                      <w:u w:val="single"/>
                      <w14:textFill>
                        <w14:solidFill>
                          <w14:schemeClr w14:val="tx1"/>
                        </w14:solidFill>
                      </w14:textFill>
                    </w:rPr>
                    <w:t>剧毒化学品、监控化学品、易制爆危险化学品</w:t>
                  </w:r>
                  <w:r>
                    <w:rPr>
                      <w:rFonts w:hint="eastAsia" w:ascii="Times New Roman" w:hAnsi="Times New Roman" w:cs="Times New Roman"/>
                      <w:color w:val="000000" w:themeColor="text1"/>
                      <w:sz w:val="21"/>
                      <w:szCs w:val="21"/>
                      <w:u w:val="single"/>
                      <w14:textFill>
                        <w14:solidFill>
                          <w14:schemeClr w14:val="tx1"/>
                        </w14:solidFill>
                      </w14:textFill>
                    </w:rPr>
                    <w:t>的储存。硫酸属于易制毒化学品。建设单位应按规定将储存地点、储存数量、流向及管理人员报相关部门备案。</w:t>
                  </w:r>
                </w:p>
              </w:tc>
            </w:tr>
            <w:tr w14:paraId="7E1B6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32BF994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装卸搬运与堆码</w:t>
                  </w:r>
                </w:p>
              </w:tc>
            </w:tr>
            <w:tr w14:paraId="54DE0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4144054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6.1.1</w:t>
                  </w:r>
                </w:p>
              </w:tc>
              <w:tc>
                <w:tcPr>
                  <w:tcW w:w="4077" w:type="dxa"/>
                  <w:vAlign w:val="center"/>
                </w:tcPr>
                <w:p w14:paraId="24E43D2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应按照化学品安全技术说明书及装卸要求进行作业。</w:t>
                  </w:r>
                </w:p>
              </w:tc>
              <w:tc>
                <w:tcPr>
                  <w:tcW w:w="4097" w:type="dxa"/>
                  <w:vAlign w:val="center"/>
                </w:tcPr>
                <w:p w14:paraId="62BF0C9C">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符合，项目危险化学品按照化学品安全技术说明书及装卸要求进行作业。</w:t>
                  </w:r>
                </w:p>
              </w:tc>
            </w:tr>
            <w:tr w14:paraId="2F32E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AF1283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6.1.2</w:t>
                  </w:r>
                </w:p>
              </w:tc>
              <w:tc>
                <w:tcPr>
                  <w:tcW w:w="4077" w:type="dxa"/>
                  <w:vAlign w:val="center"/>
                </w:tcPr>
                <w:p w14:paraId="6FA6889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应做到轻拿轻放，不应拖拉、翻滚、撞击、摩擦、摔扔、挤压等。</w:t>
                  </w:r>
                </w:p>
              </w:tc>
              <w:tc>
                <w:tcPr>
                  <w:tcW w:w="4097" w:type="dxa"/>
                  <w:vAlign w:val="center"/>
                </w:tcPr>
                <w:p w14:paraId="09C6235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本项目主要为液料危险化学品的储存和装卸，主要为机泵管道输送，不涉及</w:t>
                  </w:r>
                  <w:r>
                    <w:rPr>
                      <w:rFonts w:ascii="Times New Roman" w:hAnsi="Times New Roman" w:cs="Times New Roman"/>
                      <w:color w:val="000000" w:themeColor="text1"/>
                      <w:sz w:val="21"/>
                      <w:szCs w:val="21"/>
                      <w14:textFill>
                        <w14:solidFill>
                          <w14:schemeClr w14:val="tx1"/>
                        </w14:solidFill>
                      </w14:textFill>
                    </w:rPr>
                    <w:t>拖拉、翻滚、撞击、摩擦、摔扔、挤压等。。</w:t>
                  </w:r>
                </w:p>
              </w:tc>
            </w:tr>
            <w:tr w14:paraId="6458A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86DB5C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6.1.3</w:t>
                  </w:r>
                </w:p>
              </w:tc>
              <w:tc>
                <w:tcPr>
                  <w:tcW w:w="4077" w:type="dxa"/>
                  <w:vAlign w:val="center"/>
                </w:tcPr>
                <w:p w14:paraId="6A7889A2">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应使用防爆叉车搬运装卸爆炸物及其他易发生燃烧爆炸的危险化学品。</w:t>
                  </w:r>
                </w:p>
              </w:tc>
              <w:tc>
                <w:tcPr>
                  <w:tcW w:w="4097" w:type="dxa"/>
                  <w:vAlign w:val="center"/>
                </w:tcPr>
                <w:p w14:paraId="3BE7420E">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本项目主要为液料储罐储存和槽罐车装卸，不涉及叉车搬运危险化学品。</w:t>
                  </w:r>
                </w:p>
              </w:tc>
            </w:tr>
            <w:tr w14:paraId="0237A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74F98C5">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6.2.1</w:t>
                  </w:r>
                </w:p>
              </w:tc>
              <w:tc>
                <w:tcPr>
                  <w:tcW w:w="4077" w:type="dxa"/>
                  <w:vAlign w:val="center"/>
                </w:tcPr>
                <w:p w14:paraId="53A272C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危险化学品堆码应整齐、牢固、无倒置；不应遮挡消防设备、安全设施、安全标志和通道。</w:t>
                  </w:r>
                </w:p>
              </w:tc>
              <w:tc>
                <w:tcPr>
                  <w:tcW w:w="4097" w:type="dxa"/>
                  <w:vAlign w:val="center"/>
                </w:tcPr>
                <w:p w14:paraId="28A82F7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本项目主要为液料储罐储存，不涉及危险化学品堆码。</w:t>
                  </w:r>
                </w:p>
              </w:tc>
            </w:tr>
            <w:tr w14:paraId="0B068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1B4D02C3">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6.2.2</w:t>
                  </w:r>
                </w:p>
              </w:tc>
              <w:tc>
                <w:tcPr>
                  <w:tcW w:w="4077" w:type="dxa"/>
                  <w:vAlign w:val="center"/>
                </w:tcPr>
                <w:p w14:paraId="77DB84C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除200L及以上的钢桶、气体钢瓶外，其他包装的危险化学品不应直接与地面接触，垫底高度不小于10cm。</w:t>
                  </w:r>
                </w:p>
              </w:tc>
              <w:tc>
                <w:tcPr>
                  <w:tcW w:w="4097" w:type="dxa"/>
                  <w:vAlign w:val="center"/>
                </w:tcPr>
                <w:p w14:paraId="433B4C5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本项目主要为液料储存和槽罐车装卸，危险化学品不直接跟地面接触。</w:t>
                  </w:r>
                </w:p>
              </w:tc>
            </w:tr>
            <w:tr w14:paraId="029C9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958C7B1">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6.2.3</w:t>
                  </w:r>
                </w:p>
              </w:tc>
              <w:tc>
                <w:tcPr>
                  <w:tcW w:w="4077" w:type="dxa"/>
                  <w:vAlign w:val="center"/>
                </w:tcPr>
                <w:p w14:paraId="325FC84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堆码应符合包装标志要求；包装无堆码标志的危险化学品堆码高度应不超过3m（不含托盘等的高度）。</w:t>
                  </w:r>
                </w:p>
              </w:tc>
              <w:tc>
                <w:tcPr>
                  <w:tcW w:w="4097" w:type="dxa"/>
                  <w:vAlign w:val="center"/>
                </w:tcPr>
                <w:p w14:paraId="79A8F89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本项目主要为液料储存和槽罐车装卸，不涉及堆码。</w:t>
                  </w:r>
                </w:p>
              </w:tc>
            </w:tr>
            <w:tr w14:paraId="15D3E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15670C0D">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6.2.4</w:t>
                  </w:r>
                </w:p>
              </w:tc>
              <w:tc>
                <w:tcPr>
                  <w:tcW w:w="4077" w:type="dxa"/>
                  <w:vAlign w:val="center"/>
                </w:tcPr>
                <w:p w14:paraId="192170DC">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采用货架存放时，应置于托盘上并采取固定措施。</w:t>
                  </w:r>
                </w:p>
              </w:tc>
              <w:tc>
                <w:tcPr>
                  <w:tcW w:w="4097" w:type="dxa"/>
                  <w:vAlign w:val="center"/>
                </w:tcPr>
                <w:p w14:paraId="4FB2E45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本项目主要为液料储存和槽罐车装卸，不涉及货架存放。</w:t>
                  </w:r>
                </w:p>
              </w:tc>
            </w:tr>
            <w:tr w14:paraId="3142C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5A40BD69">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6.2.5</w:t>
                  </w:r>
                </w:p>
              </w:tc>
              <w:tc>
                <w:tcPr>
                  <w:tcW w:w="4077" w:type="dxa"/>
                  <w:vAlign w:val="center"/>
                </w:tcPr>
                <w:p w14:paraId="2BAB8822">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仓库堆垛间距应满足以下要求：</w:t>
                  </w:r>
                </w:p>
                <w:p w14:paraId="5EDDFCE3">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a）主通道大于或等于200cm；</w:t>
                  </w:r>
                </w:p>
                <w:p w14:paraId="194BD946">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b）墙距大于或等于50cm；</w:t>
                  </w:r>
                </w:p>
                <w:p w14:paraId="4028A58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c）柱距大于或等于30cm；</w:t>
                  </w:r>
                </w:p>
                <w:p w14:paraId="0FAF8806">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d）垛距大于或等于100cm（每个堆垛的面积不应大于150m</w:t>
                  </w:r>
                  <w:r>
                    <w:rPr>
                      <w:rFonts w:ascii="Times New Roman" w:hAnsi="Times New Roman" w:cs="Times New Roman"/>
                      <w:color w:val="000000" w:themeColor="text1"/>
                      <w:sz w:val="21"/>
                      <w:szCs w:val="21"/>
                      <w:vertAlign w:val="superscript"/>
                      <w14:textFill>
                        <w14:solidFill>
                          <w14:schemeClr w14:val="tx1"/>
                        </w14:solidFill>
                      </w14:textFill>
                    </w:rPr>
                    <w:t>2</w:t>
                  </w:r>
                  <w:r>
                    <w:rPr>
                      <w:rFonts w:ascii="Times New Roman" w:hAnsi="Times New Roman" w:cs="Times New Roman"/>
                      <w:color w:val="000000" w:themeColor="text1"/>
                      <w:sz w:val="21"/>
                      <w:szCs w:val="21"/>
                      <w14:textFill>
                        <w14:solidFill>
                          <w14:schemeClr w14:val="tx1"/>
                        </w14:solidFill>
                      </w14:textFill>
                    </w:rPr>
                    <w:t>；</w:t>
                  </w:r>
                </w:p>
                <w:p w14:paraId="55128FF3">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e）灯距大于或等于50cm。</w:t>
                  </w:r>
                </w:p>
              </w:tc>
              <w:tc>
                <w:tcPr>
                  <w:tcW w:w="4097" w:type="dxa"/>
                  <w:vAlign w:val="center"/>
                </w:tcPr>
                <w:p w14:paraId="4FB4219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。本项目主要为液料储存和槽罐车装卸，不涉及仓库堆垛。</w:t>
                  </w:r>
                </w:p>
              </w:tc>
            </w:tr>
            <w:tr w14:paraId="53F5E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71E015A7">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入库作业</w:t>
                  </w:r>
                </w:p>
              </w:tc>
            </w:tr>
            <w:tr w14:paraId="019BA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5AF69599">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7.1</w:t>
                  </w:r>
                </w:p>
              </w:tc>
              <w:tc>
                <w:tcPr>
                  <w:tcW w:w="4077" w:type="dxa"/>
                  <w:vAlign w:val="center"/>
                </w:tcPr>
                <w:p w14:paraId="5CE6E0C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入库前应做好储存位置、搬运工具、加固材料，防护装备、交接清单的准备。</w:t>
                  </w:r>
                </w:p>
              </w:tc>
              <w:tc>
                <w:tcPr>
                  <w:tcW w:w="4097" w:type="dxa"/>
                  <w:vAlign w:val="center"/>
                </w:tcPr>
                <w:p w14:paraId="2CABD60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项目货种</w:t>
                  </w:r>
                  <w:r>
                    <w:rPr>
                      <w:rFonts w:ascii="Times New Roman" w:hAnsi="Times New Roman" w:cs="Times New Roman"/>
                      <w:color w:val="000000" w:themeColor="text1"/>
                      <w:sz w:val="21"/>
                      <w:szCs w:val="21"/>
                      <w14:textFill>
                        <w14:solidFill>
                          <w14:schemeClr w14:val="tx1"/>
                        </w14:solidFill>
                      </w14:textFill>
                    </w:rPr>
                    <w:t>入库前做好储存位置、搬运工具、加固材料，防护装备、交接清单的准备。</w:t>
                  </w:r>
                </w:p>
              </w:tc>
            </w:tr>
            <w:tr w14:paraId="02304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68FEF0C">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w:t>
                  </w:r>
                </w:p>
              </w:tc>
              <w:tc>
                <w:tcPr>
                  <w:tcW w:w="4077" w:type="dxa"/>
                  <w:vAlign w:val="center"/>
                </w:tcPr>
                <w:p w14:paraId="66F02AFE">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应对运输车辆（厢）、装载状况（含施封）进行检查。</w:t>
                  </w:r>
                </w:p>
              </w:tc>
              <w:tc>
                <w:tcPr>
                  <w:tcW w:w="4097" w:type="dxa"/>
                  <w:vAlign w:val="center"/>
                </w:tcPr>
                <w:p w14:paraId="0ECC79A0">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符合，工作人员装卸作业时，对运输车辆（厢）、装载状况（含施封）进行检查。</w:t>
                  </w:r>
                </w:p>
              </w:tc>
            </w:tr>
            <w:tr w14:paraId="0ECAE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90" w:type="dxa"/>
                  <w:vAlign w:val="center"/>
                </w:tcPr>
                <w:p w14:paraId="4CEA6BB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7.3</w:t>
                  </w:r>
                </w:p>
              </w:tc>
              <w:tc>
                <w:tcPr>
                  <w:tcW w:w="4077" w:type="dxa"/>
                  <w:vAlign w:val="center"/>
                </w:tcPr>
                <w:p w14:paraId="336C2AB3">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应对入库危险化学品的品名、规格、数量与入库信息或单据的一致性进行查验。</w:t>
                  </w:r>
                </w:p>
              </w:tc>
              <w:tc>
                <w:tcPr>
                  <w:tcW w:w="4097" w:type="dxa"/>
                  <w:vAlign w:val="center"/>
                </w:tcPr>
                <w:p w14:paraId="5B30F62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符合，工作人员对入库危险化学品的品名、规格、数量与入库信息或单据的一致性进行查验。</w:t>
                  </w:r>
                </w:p>
              </w:tc>
            </w:tr>
            <w:tr w14:paraId="27849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90" w:type="dxa"/>
                  <w:vAlign w:val="center"/>
                </w:tcPr>
                <w:p w14:paraId="469EBDA2">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7.4</w:t>
                  </w:r>
                </w:p>
              </w:tc>
              <w:tc>
                <w:tcPr>
                  <w:tcW w:w="4077" w:type="dxa"/>
                  <w:vAlign w:val="center"/>
                </w:tcPr>
                <w:p w14:paraId="006736F3">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入库物品的包装应完好，标志、安全标签应规范、清晰。</w:t>
                  </w:r>
                </w:p>
              </w:tc>
              <w:tc>
                <w:tcPr>
                  <w:tcW w:w="4097" w:type="dxa"/>
                  <w:vAlign w:val="center"/>
                </w:tcPr>
                <w:p w14:paraId="1752CBDF">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w:t>
                  </w:r>
                  <w:r>
                    <w:rPr>
                      <w:rFonts w:hint="eastAsia" w:ascii="Times New Roman" w:hAnsi="Times New Roman" w:cs="Times New Roman"/>
                      <w:color w:val="000000" w:themeColor="text1"/>
                      <w:sz w:val="21"/>
                      <w:szCs w:val="21"/>
                      <w14:textFill>
                        <w14:solidFill>
                          <w14:schemeClr w14:val="tx1"/>
                        </w14:solidFill>
                      </w14:textFill>
                    </w:rPr>
                    <w:t>本项目为液料危险化学品的储存和汽车装卸。工作人员对货种进行确认后方可入库。</w:t>
                  </w:r>
                </w:p>
              </w:tc>
            </w:tr>
            <w:tr w14:paraId="27F73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90" w:type="dxa"/>
                  <w:vAlign w:val="center"/>
                </w:tcPr>
                <w:p w14:paraId="0EFE6C77">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4077" w:type="dxa"/>
                  <w:vAlign w:val="center"/>
                </w:tcPr>
                <w:p w14:paraId="1C21FEEE">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入库物品应附有中文化学品安全技术说明书和安全标签。</w:t>
                  </w:r>
                </w:p>
              </w:tc>
              <w:tc>
                <w:tcPr>
                  <w:tcW w:w="4097" w:type="dxa"/>
                  <w:vAlign w:val="center"/>
                </w:tcPr>
                <w:p w14:paraId="5EFF6980">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符合，要求入库物品附有中文化学品安全技术说明书和安全标签。拒收无中文化学品安全技术说明书和安全标签的危险化学品。</w:t>
                  </w:r>
                </w:p>
              </w:tc>
            </w:tr>
            <w:tr w14:paraId="6D477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90" w:type="dxa"/>
                  <w:vAlign w:val="center"/>
                </w:tcPr>
                <w:p w14:paraId="683DCEDD">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7.6</w:t>
                  </w:r>
                </w:p>
              </w:tc>
              <w:tc>
                <w:tcPr>
                  <w:tcW w:w="4077" w:type="dxa"/>
                  <w:vAlign w:val="center"/>
                </w:tcPr>
                <w:p w14:paraId="00E2C85F">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入库数量应以实际验收为准。</w:t>
                  </w:r>
                </w:p>
              </w:tc>
              <w:tc>
                <w:tcPr>
                  <w:tcW w:w="4097" w:type="dxa"/>
                  <w:vAlign w:val="center"/>
                </w:tcPr>
                <w:p w14:paraId="5A79FBF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符合，入库数量以实际验收为准。</w:t>
                  </w:r>
                </w:p>
              </w:tc>
            </w:tr>
            <w:tr w14:paraId="45120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90" w:type="dxa"/>
                  <w:vAlign w:val="center"/>
                </w:tcPr>
                <w:p w14:paraId="784FA56F">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7.7</w:t>
                  </w:r>
                </w:p>
              </w:tc>
              <w:tc>
                <w:tcPr>
                  <w:tcW w:w="4077" w:type="dxa"/>
                  <w:vAlign w:val="center"/>
                </w:tcPr>
                <w:p w14:paraId="3725018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验收完毕应做好记录并归档，单据保存期限不少于1年。</w:t>
                  </w:r>
                </w:p>
              </w:tc>
              <w:tc>
                <w:tcPr>
                  <w:tcW w:w="4097" w:type="dxa"/>
                  <w:vAlign w:val="center"/>
                </w:tcPr>
                <w:p w14:paraId="2764979D">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符合，验收完毕后，做好记录并归档，单据保存期限不少于1年。</w:t>
                  </w:r>
                </w:p>
              </w:tc>
            </w:tr>
            <w:tr w14:paraId="33897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8964" w:type="dxa"/>
                  <w:gridSpan w:val="3"/>
                  <w:vAlign w:val="center"/>
                </w:tcPr>
                <w:p w14:paraId="7EE068FB">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在库管理</w:t>
                  </w:r>
                </w:p>
              </w:tc>
            </w:tr>
            <w:tr w14:paraId="284FC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43F31D85">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8.1</w:t>
                  </w:r>
                </w:p>
              </w:tc>
              <w:tc>
                <w:tcPr>
                  <w:tcW w:w="4077" w:type="dxa"/>
                  <w:vAlign w:val="center"/>
                </w:tcPr>
                <w:p w14:paraId="65F9AC4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应定期进行盘点，并记录。发现账货不符，应及时进行处理。</w:t>
                  </w:r>
                </w:p>
              </w:tc>
              <w:tc>
                <w:tcPr>
                  <w:tcW w:w="4097" w:type="dxa"/>
                  <w:vAlign w:val="center"/>
                </w:tcPr>
                <w:p w14:paraId="1A11EB6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符合，定期进行盘点，并记录。发现账货不符，应及时进行处理。</w:t>
                  </w:r>
                </w:p>
              </w:tc>
            </w:tr>
            <w:tr w14:paraId="5778F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73797F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8.2</w:t>
                  </w:r>
                </w:p>
              </w:tc>
              <w:tc>
                <w:tcPr>
                  <w:tcW w:w="4077" w:type="dxa"/>
                  <w:vAlign w:val="center"/>
                </w:tcPr>
                <w:p w14:paraId="58EA0D08">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应定期对物品堆码状态、包装及仓库进行检查，并记录。应对检查发现的问题及时进行处理。</w:t>
                  </w:r>
                </w:p>
              </w:tc>
              <w:tc>
                <w:tcPr>
                  <w:tcW w:w="4097" w:type="dxa"/>
                  <w:vAlign w:val="center"/>
                </w:tcPr>
                <w:p w14:paraId="29D653FF">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符合，工作人员将定期对物品</w:t>
                  </w:r>
                  <w:r>
                    <w:rPr>
                      <w:rFonts w:hint="eastAsia" w:ascii="Times New Roman" w:hAnsi="Times New Roman" w:cs="Times New Roman"/>
                      <w:color w:val="000000" w:themeColor="text1"/>
                      <w:sz w:val="21"/>
                      <w:szCs w:val="21"/>
                      <w14:textFill>
                        <w14:solidFill>
                          <w14:schemeClr w14:val="tx1"/>
                        </w14:solidFill>
                      </w14:textFill>
                    </w:rPr>
                    <w:t>储存</w:t>
                  </w:r>
                  <w:r>
                    <w:rPr>
                      <w:rFonts w:ascii="Times New Roman" w:hAnsi="Times New Roman" w:cs="Times New Roman"/>
                      <w:color w:val="000000" w:themeColor="text1"/>
                      <w:sz w:val="21"/>
                      <w:szCs w:val="21"/>
                      <w14:textFill>
                        <w14:solidFill>
                          <w14:schemeClr w14:val="tx1"/>
                        </w14:solidFill>
                      </w14:textFill>
                    </w:rPr>
                    <w:t>状态、进行检查，并记录。对检查发现的问题及时进行处理。</w:t>
                  </w:r>
                </w:p>
              </w:tc>
            </w:tr>
            <w:tr w14:paraId="1A59E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58888B7">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w:t>
                  </w:r>
                </w:p>
              </w:tc>
              <w:tc>
                <w:tcPr>
                  <w:tcW w:w="4077" w:type="dxa"/>
                  <w:vAlign w:val="center"/>
                </w:tcPr>
                <w:p w14:paraId="2CFC144C">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应根据储存的危险化学品特性和气候条件，确定每日观测库内温湿度次数，并记录。</w:t>
                  </w:r>
                </w:p>
              </w:tc>
              <w:tc>
                <w:tcPr>
                  <w:tcW w:w="4097" w:type="dxa"/>
                  <w:vAlign w:val="center"/>
                </w:tcPr>
                <w:p w14:paraId="15DD131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符合，工作人员根据储存的危险化学品特性和气候条件，确定每日观测库内温湿度次数，并记录。</w:t>
                  </w:r>
                </w:p>
              </w:tc>
            </w:tr>
            <w:tr w14:paraId="76F64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90C73AD">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w:t>
                  </w:r>
                </w:p>
              </w:tc>
              <w:tc>
                <w:tcPr>
                  <w:tcW w:w="4077" w:type="dxa"/>
                  <w:vAlign w:val="center"/>
                </w:tcPr>
                <w:p w14:paraId="5D9481F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应根据储存的危险化学品特性，正确调节控制库内温湿度。</w:t>
                  </w:r>
                </w:p>
              </w:tc>
              <w:tc>
                <w:tcPr>
                  <w:tcW w:w="4097" w:type="dxa"/>
                  <w:vAlign w:val="center"/>
                </w:tcPr>
                <w:p w14:paraId="3DF8007F">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符合，根据储存的危险化学品特性，正确调节控制库内温湿度。</w:t>
                  </w:r>
                </w:p>
              </w:tc>
            </w:tr>
            <w:tr w14:paraId="22D97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684388F">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8.5</w:t>
                  </w:r>
                </w:p>
              </w:tc>
              <w:tc>
                <w:tcPr>
                  <w:tcW w:w="4077" w:type="dxa"/>
                  <w:vAlign w:val="center"/>
                </w:tcPr>
                <w:p w14:paraId="2B4F6B20">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盘点、检查、观测记录应保存不少于1年。</w:t>
                  </w:r>
                </w:p>
              </w:tc>
              <w:tc>
                <w:tcPr>
                  <w:tcW w:w="4097" w:type="dxa"/>
                  <w:vAlign w:val="center"/>
                </w:tcPr>
                <w:p w14:paraId="5731017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符合，盘点、检查、观测记录保存不少于1年。</w:t>
                  </w:r>
                </w:p>
              </w:tc>
            </w:tr>
            <w:tr w14:paraId="2DA5F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02242F85">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出库作业</w:t>
                  </w:r>
                </w:p>
              </w:tc>
            </w:tr>
            <w:tr w14:paraId="2F186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10A96A77">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w:t>
                  </w:r>
                </w:p>
              </w:tc>
              <w:tc>
                <w:tcPr>
                  <w:tcW w:w="4077" w:type="dxa"/>
                  <w:vAlign w:val="center"/>
                </w:tcPr>
                <w:p w14:paraId="1A4F9F3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应在出库作业前，进行账货核对。</w:t>
                  </w:r>
                </w:p>
              </w:tc>
              <w:tc>
                <w:tcPr>
                  <w:tcW w:w="4097" w:type="dxa"/>
                  <w:vAlign w:val="center"/>
                </w:tcPr>
                <w:p w14:paraId="104DDEEF">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符合，储存物品在出库作业前，进行账货核对。</w:t>
                  </w:r>
                </w:p>
              </w:tc>
            </w:tr>
            <w:tr w14:paraId="3E1E7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F532073">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w:t>
                  </w:r>
                </w:p>
              </w:tc>
              <w:tc>
                <w:tcPr>
                  <w:tcW w:w="4077" w:type="dxa"/>
                  <w:vAlign w:val="center"/>
                </w:tcPr>
                <w:p w14:paraId="51731766">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应核对出库单据的有效性。发现问题立即与相关方协调处理。</w:t>
                  </w:r>
                </w:p>
              </w:tc>
              <w:tc>
                <w:tcPr>
                  <w:tcW w:w="4097" w:type="dxa"/>
                  <w:vAlign w:val="center"/>
                </w:tcPr>
                <w:p w14:paraId="6D59E592">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符合，核对出库单据的有效性。发现问题立即与相关方协调处理。</w:t>
                  </w:r>
                </w:p>
              </w:tc>
            </w:tr>
            <w:tr w14:paraId="4921F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7A0F6C5">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9.3</w:t>
                  </w:r>
                </w:p>
              </w:tc>
              <w:tc>
                <w:tcPr>
                  <w:tcW w:w="4077" w:type="dxa"/>
                  <w:vAlign w:val="center"/>
                </w:tcPr>
                <w:p w14:paraId="348DEFE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应查验提货车辆及驾驶、押运人员的资质，并记录。不符合要求的不应受理出库业务。</w:t>
                  </w:r>
                </w:p>
              </w:tc>
              <w:tc>
                <w:tcPr>
                  <w:tcW w:w="4097" w:type="dxa"/>
                  <w:vAlign w:val="center"/>
                </w:tcPr>
                <w:p w14:paraId="373A5BFB">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符合，查验提货车辆及驾驶、押运人员的资质，并记录。不符合要求的不应受理出库业务。</w:t>
                  </w:r>
                </w:p>
              </w:tc>
            </w:tr>
            <w:tr w14:paraId="19F37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DA93FB9">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9.4</w:t>
                  </w:r>
                </w:p>
              </w:tc>
              <w:tc>
                <w:tcPr>
                  <w:tcW w:w="4077" w:type="dxa"/>
                  <w:vAlign w:val="center"/>
                </w:tcPr>
                <w:p w14:paraId="513CDB7D">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应做好出库前安全检查，确保包装及标签、标志正确完好，货物捆扎安全牢固。</w:t>
                  </w:r>
                </w:p>
              </w:tc>
              <w:tc>
                <w:tcPr>
                  <w:tcW w:w="4097" w:type="dxa"/>
                  <w:vAlign w:val="center"/>
                </w:tcPr>
                <w:p w14:paraId="1B33BA50">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符合，做好出库前安全检查，确保包装及标签、标志正确完好，货物捆扎安全牢固。</w:t>
                  </w:r>
                </w:p>
              </w:tc>
            </w:tr>
            <w:tr w14:paraId="08AAF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B6512D2">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9.5</w:t>
                  </w:r>
                </w:p>
              </w:tc>
              <w:tc>
                <w:tcPr>
                  <w:tcW w:w="4077" w:type="dxa"/>
                  <w:vAlign w:val="center"/>
                </w:tcPr>
                <w:p w14:paraId="1D470CE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出库单据保存期应不少于1年。</w:t>
                  </w:r>
                </w:p>
              </w:tc>
              <w:tc>
                <w:tcPr>
                  <w:tcW w:w="4097" w:type="dxa"/>
                  <w:vAlign w:val="center"/>
                </w:tcPr>
                <w:p w14:paraId="3222042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符合，出库单据保存期不少于1年。</w:t>
                  </w:r>
                </w:p>
              </w:tc>
            </w:tr>
            <w:tr w14:paraId="7D7DA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76F0472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个体防护</w:t>
                  </w:r>
                </w:p>
              </w:tc>
            </w:tr>
            <w:tr w14:paraId="141AC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F8DD654">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w:t>
                  </w:r>
                </w:p>
              </w:tc>
              <w:tc>
                <w:tcPr>
                  <w:tcW w:w="4077" w:type="dxa"/>
                  <w:vAlign w:val="center"/>
                </w:tcPr>
                <w:p w14:paraId="1E3EF5A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危险化学品储存单位应建立完善的个体防护制度，应配置安全有效的个体防护装备，并符合GB39800.1和GB 39800.2的要求。</w:t>
                  </w:r>
                </w:p>
              </w:tc>
              <w:tc>
                <w:tcPr>
                  <w:tcW w:w="4097" w:type="dxa"/>
                  <w:vAlign w:val="center"/>
                </w:tcPr>
                <w:p w14:paraId="47B4D3A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符合，本项目将建立完善的个体防护制度，配置安全有效的个体防护装备，并符合GB39800.1和GB 39800.2的要求。</w:t>
                  </w:r>
                </w:p>
              </w:tc>
            </w:tr>
            <w:tr w14:paraId="0A607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F032FBC">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9.2</w:t>
                  </w:r>
                </w:p>
              </w:tc>
              <w:tc>
                <w:tcPr>
                  <w:tcW w:w="4077" w:type="dxa"/>
                  <w:vAlign w:val="center"/>
                </w:tcPr>
                <w:p w14:paraId="0CEB96FE">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从业人员应经过专业防护知识培训，根据作业对象的危险特性应正确穿戴相应的防护装备作业。</w:t>
                  </w:r>
                </w:p>
              </w:tc>
              <w:tc>
                <w:tcPr>
                  <w:tcW w:w="4097" w:type="dxa"/>
                  <w:vAlign w:val="center"/>
                </w:tcPr>
                <w:p w14:paraId="4FE0D5E2">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符合，从业人员经过专业防护知识培训，根据作业对象的危险特性正确穿戴相应的防护装备作业。</w:t>
                  </w:r>
                </w:p>
              </w:tc>
            </w:tr>
            <w:tr w14:paraId="475B5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0ED41C22">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安全管理</w:t>
                  </w:r>
                </w:p>
              </w:tc>
            </w:tr>
            <w:tr w14:paraId="3E466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E05AB24">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11.1.1</w:t>
                  </w:r>
                </w:p>
              </w:tc>
              <w:tc>
                <w:tcPr>
                  <w:tcW w:w="4077" w:type="dxa"/>
                  <w:vAlign w:val="center"/>
                </w:tcPr>
                <w:p w14:paraId="3BCF54AC">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应建立设施、设备、器具检查和维护制度以及仓储日常操作，控制指标等运行制度。</w:t>
                  </w:r>
                </w:p>
              </w:tc>
              <w:tc>
                <w:tcPr>
                  <w:tcW w:w="4097" w:type="dxa"/>
                  <w:vAlign w:val="center"/>
                </w:tcPr>
                <w:p w14:paraId="70DA854E">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符合，项目将建立设施、设备、器具检查和维护制度以及仓储日常操作，控制指标等运行制度。</w:t>
                  </w:r>
                </w:p>
              </w:tc>
            </w:tr>
            <w:tr w14:paraId="4935E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6D60E0D">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11.1.2</w:t>
                  </w:r>
                </w:p>
              </w:tc>
              <w:tc>
                <w:tcPr>
                  <w:tcW w:w="4077" w:type="dxa"/>
                  <w:vAlign w:val="center"/>
                </w:tcPr>
                <w:p w14:paraId="02D5095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应与社区及周边企事业单位建立应急联动机制。</w:t>
                  </w:r>
                </w:p>
              </w:tc>
              <w:tc>
                <w:tcPr>
                  <w:tcW w:w="4097" w:type="dxa"/>
                  <w:vAlign w:val="center"/>
                </w:tcPr>
                <w:p w14:paraId="59A12CD9">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符合，项目建设完成后将编制突发环境应急预案，并与周边企事业单位、园区相连接，建立应急联动机制。</w:t>
                  </w:r>
                </w:p>
              </w:tc>
            </w:tr>
            <w:tr w14:paraId="69B3C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4CC0A61">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11.1.3</w:t>
                  </w:r>
                </w:p>
              </w:tc>
              <w:tc>
                <w:tcPr>
                  <w:tcW w:w="4077" w:type="dxa"/>
                  <w:vAlign w:val="center"/>
                </w:tcPr>
                <w:p w14:paraId="43FE9FF0">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应建立风险评估制度，并定期进行风险评估。</w:t>
                  </w:r>
                </w:p>
              </w:tc>
              <w:tc>
                <w:tcPr>
                  <w:tcW w:w="4097" w:type="dxa"/>
                  <w:vAlign w:val="center"/>
                </w:tcPr>
                <w:p w14:paraId="1F705390">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符合，项目将建立风险评估制度，并定期进行风险评估。</w:t>
                  </w:r>
                </w:p>
              </w:tc>
            </w:tr>
            <w:tr w14:paraId="6CDAA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E427030">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11.1.4</w:t>
                  </w:r>
                </w:p>
              </w:tc>
              <w:tc>
                <w:tcPr>
                  <w:tcW w:w="4077" w:type="dxa"/>
                  <w:vAlign w:val="center"/>
                </w:tcPr>
                <w:p w14:paraId="606DD0F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应建立覆盖全员的应急响应程序，编制危险化学品事故应急预案，至少每半年进行一次演练。</w:t>
                  </w:r>
                </w:p>
              </w:tc>
              <w:tc>
                <w:tcPr>
                  <w:tcW w:w="4097" w:type="dxa"/>
                  <w:vAlign w:val="center"/>
                </w:tcPr>
                <w:p w14:paraId="4BD8C50F">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符合，项目将建立覆盖全员的应急响应程序，编制危险化学品事故应急预案，至少每半年进行一次演练。</w:t>
                  </w:r>
                </w:p>
              </w:tc>
            </w:tr>
            <w:tr w14:paraId="7B2D6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C4DAF34">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11.2.1</w:t>
                  </w:r>
                </w:p>
              </w:tc>
              <w:tc>
                <w:tcPr>
                  <w:tcW w:w="4077" w:type="dxa"/>
                  <w:vAlign w:val="center"/>
                </w:tcPr>
                <w:p w14:paraId="39769E9D">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储存危险化学品的仓库和作业场所应设置明显的安全标志，并符合GB 2894、AQ3047的规定。</w:t>
                  </w:r>
                </w:p>
              </w:tc>
              <w:tc>
                <w:tcPr>
                  <w:tcW w:w="4097" w:type="dxa"/>
                  <w:vAlign w:val="center"/>
                </w:tcPr>
                <w:p w14:paraId="47F7472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符合，储存危险化学品的仓库和作业场所设置明显的安全标志，并符合GB 2894、AQ3047的规定。</w:t>
                  </w:r>
                </w:p>
              </w:tc>
            </w:tr>
            <w:tr w14:paraId="15955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5A4BCFC">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11.2.2</w:t>
                  </w:r>
                </w:p>
              </w:tc>
              <w:tc>
                <w:tcPr>
                  <w:tcW w:w="4077" w:type="dxa"/>
                  <w:vAlign w:val="center"/>
                </w:tcPr>
                <w:p w14:paraId="1B15C1FB">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库区内严禁吸烟和使用明火。</w:t>
                  </w:r>
                </w:p>
              </w:tc>
              <w:tc>
                <w:tcPr>
                  <w:tcW w:w="4097" w:type="dxa"/>
                  <w:vAlign w:val="center"/>
                </w:tcPr>
                <w:p w14:paraId="5FAD1CD0">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符合，库区内严禁吸烟和使用明火。</w:t>
                  </w:r>
                </w:p>
              </w:tc>
            </w:tr>
            <w:tr w14:paraId="5F024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6E0EC3B">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11.2.3</w:t>
                  </w:r>
                </w:p>
              </w:tc>
              <w:tc>
                <w:tcPr>
                  <w:tcW w:w="4077" w:type="dxa"/>
                  <w:vAlign w:val="center"/>
                </w:tcPr>
                <w:p w14:paraId="454671D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应对进入库区的人员进行登记及安全告知。</w:t>
                  </w:r>
                </w:p>
              </w:tc>
              <w:tc>
                <w:tcPr>
                  <w:tcW w:w="4097" w:type="dxa"/>
                  <w:vAlign w:val="center"/>
                </w:tcPr>
                <w:p w14:paraId="3C7D7E5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符合，对进入库区的人员进行登记及安全告知。</w:t>
                  </w:r>
                </w:p>
              </w:tc>
            </w:tr>
            <w:tr w14:paraId="44E56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7285B6B">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11.2.4</w:t>
                  </w:r>
                </w:p>
              </w:tc>
              <w:tc>
                <w:tcPr>
                  <w:tcW w:w="4077" w:type="dxa"/>
                  <w:vAlign w:val="center"/>
                </w:tcPr>
                <w:p w14:paraId="67CB013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应对进入库区的车辆登记管理，并采取防火措施。</w:t>
                  </w:r>
                </w:p>
              </w:tc>
              <w:tc>
                <w:tcPr>
                  <w:tcW w:w="4097" w:type="dxa"/>
                  <w:vAlign w:val="center"/>
                </w:tcPr>
                <w:p w14:paraId="0B13487B">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符合，对进入库区的车辆登记管理，并采取防火措施。</w:t>
                  </w:r>
                </w:p>
              </w:tc>
            </w:tr>
            <w:tr w14:paraId="0D5C5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EF3B363">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11.2.5</w:t>
                  </w:r>
                </w:p>
              </w:tc>
              <w:tc>
                <w:tcPr>
                  <w:tcW w:w="4077" w:type="dxa"/>
                  <w:vAlign w:val="center"/>
                </w:tcPr>
                <w:p w14:paraId="38927BC6">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危险化学品仓库的应急救援物资配备，应符合GB30077的要求。</w:t>
                  </w:r>
                </w:p>
              </w:tc>
              <w:tc>
                <w:tcPr>
                  <w:tcW w:w="4097" w:type="dxa"/>
                  <w:vAlign w:val="center"/>
                </w:tcPr>
                <w:p w14:paraId="7EC8C37C">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符合，项目危险化学品储存场所将根据GB30077的要求配备应急救援物资。</w:t>
                  </w:r>
                </w:p>
              </w:tc>
            </w:tr>
            <w:tr w14:paraId="4E99E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14E9E21">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11.3.1</w:t>
                  </w:r>
                </w:p>
              </w:tc>
              <w:tc>
                <w:tcPr>
                  <w:tcW w:w="4077" w:type="dxa"/>
                  <w:vAlign w:val="center"/>
                </w:tcPr>
                <w:p w14:paraId="64E693CE">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危险化学品储存作业前，应先对仓库通风。</w:t>
                  </w:r>
                </w:p>
              </w:tc>
              <w:tc>
                <w:tcPr>
                  <w:tcW w:w="4097" w:type="dxa"/>
                  <w:vAlign w:val="center"/>
                </w:tcPr>
                <w:p w14:paraId="00DCD62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符合，危险化学品储存作业前，先对仓库通风。</w:t>
                  </w:r>
                </w:p>
              </w:tc>
            </w:tr>
            <w:tr w14:paraId="28B21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B7BC95F">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11.3.2</w:t>
                  </w:r>
                </w:p>
              </w:tc>
              <w:tc>
                <w:tcPr>
                  <w:tcW w:w="4077" w:type="dxa"/>
                  <w:vAlign w:val="center"/>
                </w:tcPr>
                <w:p w14:paraId="03F948AA">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进入储存爆炸物及其他对静电、火花敏感的危险化学品仓库时，应穿防静电工作服，不应穿钉鞋，应在进入仓库前消除人体静电；应使用具备防爆功能的通信工具，不应使用易产生静电和火花的作业机具。</w:t>
                  </w:r>
                </w:p>
              </w:tc>
              <w:tc>
                <w:tcPr>
                  <w:tcW w:w="4097" w:type="dxa"/>
                  <w:vAlign w:val="center"/>
                </w:tcPr>
                <w:p w14:paraId="407695F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符合，项目不储存爆炸物及其他对静电、火花敏感的危险化学品。</w:t>
                  </w:r>
                </w:p>
              </w:tc>
            </w:tr>
            <w:tr w14:paraId="50F46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C628F2D">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11.3.3</w:t>
                  </w:r>
                </w:p>
              </w:tc>
              <w:tc>
                <w:tcPr>
                  <w:tcW w:w="4077" w:type="dxa"/>
                  <w:vAlign w:val="center"/>
                </w:tcPr>
                <w:p w14:paraId="34BCDDA1">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储存仓库内禁止进行开桶、分装、改装作业。</w:t>
                  </w:r>
                </w:p>
              </w:tc>
              <w:tc>
                <w:tcPr>
                  <w:tcW w:w="4097" w:type="dxa"/>
                  <w:vAlign w:val="center"/>
                </w:tcPr>
                <w:p w14:paraId="1A48E6C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符合，项目不涉及储存物品的开桶、分装、改装作业。</w:t>
                  </w:r>
                </w:p>
              </w:tc>
            </w:tr>
            <w:tr w14:paraId="640AF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43F9E913">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11.3.4</w:t>
                  </w:r>
                </w:p>
              </w:tc>
              <w:tc>
                <w:tcPr>
                  <w:tcW w:w="4077" w:type="dxa"/>
                  <w:vAlign w:val="center"/>
                </w:tcPr>
                <w:p w14:paraId="75D4C006">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不应在恶劣天气进行装卸作业。</w:t>
                  </w:r>
                </w:p>
              </w:tc>
              <w:tc>
                <w:tcPr>
                  <w:tcW w:w="4097" w:type="dxa"/>
                  <w:vAlign w:val="center"/>
                </w:tcPr>
                <w:p w14:paraId="1CBAD80F">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符合，项目不在恶劣天气进行装卸作业。</w:t>
                  </w:r>
                </w:p>
              </w:tc>
            </w:tr>
            <w:tr w14:paraId="5A676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5B6A076A">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人员培训</w:t>
                  </w:r>
                </w:p>
              </w:tc>
            </w:tr>
            <w:tr w14:paraId="07DD9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1E738DFA">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w:t>
                  </w:r>
                </w:p>
              </w:tc>
              <w:tc>
                <w:tcPr>
                  <w:tcW w:w="4077" w:type="dxa"/>
                  <w:vAlign w:val="center"/>
                </w:tcPr>
                <w:p w14:paraId="7CCD354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应建立全员培训体系，对从业人员进行法规、标准、岗位技能、安全、个体防护、应急处置等培训，考核合格后上岗作业；对有资质要求的岗位，应配备依法取得相应资质的人员。</w:t>
                  </w:r>
                </w:p>
              </w:tc>
              <w:tc>
                <w:tcPr>
                  <w:tcW w:w="4097" w:type="dxa"/>
                  <w:vAlign w:val="center"/>
                </w:tcPr>
                <w:p w14:paraId="15777395">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符合，建立全员培训体系，工作人员持证上岗。</w:t>
                  </w:r>
                </w:p>
              </w:tc>
            </w:tr>
            <w:tr w14:paraId="67078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F6FA7FD">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w:t>
                  </w:r>
                </w:p>
              </w:tc>
              <w:tc>
                <w:tcPr>
                  <w:tcW w:w="4077" w:type="dxa"/>
                  <w:vAlign w:val="center"/>
                </w:tcPr>
                <w:p w14:paraId="351D33BE">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危险化学品仓库管理人员应具备危险化学品储存管理范围相关的安全知识和管理能力。</w:t>
                  </w:r>
                </w:p>
              </w:tc>
              <w:tc>
                <w:tcPr>
                  <w:tcW w:w="4097" w:type="dxa"/>
                  <w:vAlign w:val="center"/>
                </w:tcPr>
                <w:p w14:paraId="4BB8F9A3">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符合，危险化学品仓库管理人员持证上岗，具备危险化学品储存管理范围相关的安全知识和管理能力。</w:t>
                  </w:r>
                </w:p>
              </w:tc>
            </w:tr>
            <w:tr w14:paraId="1CFC1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2D21107">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w:t>
                  </w:r>
                </w:p>
              </w:tc>
              <w:tc>
                <w:tcPr>
                  <w:tcW w:w="4077" w:type="dxa"/>
                  <w:vAlign w:val="center"/>
                </w:tcPr>
                <w:p w14:paraId="74257374">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危险化学品仓库从业人员应能理解化学品安全技术说明书的内容并掌握风险防范措施，掌握岗位操作技能。</w:t>
                  </w:r>
                </w:p>
              </w:tc>
              <w:tc>
                <w:tcPr>
                  <w:tcW w:w="4097" w:type="dxa"/>
                  <w:vAlign w:val="center"/>
                </w:tcPr>
                <w:p w14:paraId="14CF9907">
                  <w:pPr>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符合，危险化学品仓库从业人员持证上岗，能理解化学品安全技术说明书的内容并掌握风险防范措施，掌握岗位操作技能。</w:t>
                  </w:r>
                </w:p>
              </w:tc>
            </w:tr>
          </w:tbl>
          <w:p w14:paraId="252239C1">
            <w:pPr>
              <w:snapToGrid w:val="0"/>
              <w:spacing w:line="360" w:lineRule="auto"/>
              <w:rPr>
                <w:rFonts w:ascii="Times New Roman" w:hAnsi="Times New Roman" w:cs="Times New Roman"/>
                <w:color w:val="000000" w:themeColor="text1"/>
                <w14:textFill>
                  <w14:solidFill>
                    <w14:schemeClr w14:val="tx1"/>
                  </w14:solidFill>
                </w14:textFill>
              </w:rPr>
            </w:pPr>
          </w:p>
          <w:p w14:paraId="49AB3C0D">
            <w:pPr>
              <w:snapToGrid w:val="0"/>
              <w:spacing w:line="360" w:lineRule="auto"/>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6.项目与《危险化学品经营企业安全技术基本要求》（GB18265-2019）相符性分析</w:t>
            </w:r>
          </w:p>
          <w:p w14:paraId="2EAC21B9">
            <w:pPr>
              <w:snapToGrid w:val="0"/>
              <w:spacing w:line="360" w:lineRule="auto"/>
              <w:jc w:val="center"/>
              <w:rPr>
                <w:rFonts w:ascii="Times New Roman" w:hAnsi="Times New Roman" w:cs="Times New Roman"/>
                <w:color w:val="000000" w:themeColor="text1"/>
                <w:lang w:val="en-GB"/>
                <w14:textFill>
                  <w14:solidFill>
                    <w14:schemeClr w14:val="tx1"/>
                  </w14:solidFill>
                </w14:textFill>
              </w:rPr>
            </w:pPr>
            <w:r>
              <w:rPr>
                <w:rFonts w:hint="eastAsia" w:ascii="Times New Roman" w:hAnsi="Times New Roman" w:cs="Times New Roman"/>
                <w:b/>
                <w:bCs/>
                <w:color w:val="000000" w:themeColor="text1"/>
                <w:lang w:val="en-GB"/>
                <w14:textFill>
                  <w14:solidFill>
                    <w14:schemeClr w14:val="tx1"/>
                  </w14:solidFill>
                </w14:textFill>
              </w:rPr>
              <w:t>表1-</w:t>
            </w:r>
            <w:r>
              <w:rPr>
                <w:rFonts w:hint="eastAsia" w:ascii="Times New Roman" w:hAnsi="Times New Roman" w:cs="Times New Roman"/>
                <w:b/>
                <w:bCs/>
                <w:color w:val="000000" w:themeColor="text1"/>
                <w14:textFill>
                  <w14:solidFill>
                    <w14:schemeClr w14:val="tx1"/>
                  </w14:solidFill>
                </w14:textFill>
              </w:rPr>
              <w:t>7</w:t>
            </w:r>
            <w:r>
              <w:rPr>
                <w:rFonts w:hint="eastAsia" w:ascii="Times New Roman" w:hAnsi="Times New Roman" w:cs="Times New Roman"/>
                <w:b/>
                <w:bCs/>
                <w:color w:val="000000" w:themeColor="text1"/>
                <w:lang w:val="en-GB"/>
                <w14:textFill>
                  <w14:solidFill>
                    <w14:schemeClr w14:val="tx1"/>
                  </w14:solidFill>
                </w14:textFill>
              </w:rPr>
              <w:t>与</w:t>
            </w:r>
            <w:r>
              <w:rPr>
                <w:rFonts w:hint="eastAsia" w:ascii="Times New Roman" w:hAnsi="Times New Roman" w:cs="Times New Roman"/>
                <w:b/>
                <w:bCs/>
                <w:color w:val="000000" w:themeColor="text1"/>
                <w14:textFill>
                  <w14:solidFill>
                    <w14:schemeClr w14:val="tx1"/>
                  </w14:solidFill>
                </w14:textFill>
              </w:rPr>
              <w:t>《危险化学品经营企业安全技术基本要求》（GB18265-2019）</w:t>
            </w:r>
            <w:r>
              <w:rPr>
                <w:rFonts w:hint="eastAsia" w:ascii="Times New Roman" w:hAnsi="Times New Roman" w:cs="Times New Roman"/>
                <w:b/>
                <w:bCs/>
                <w:color w:val="000000" w:themeColor="text1"/>
                <w:lang w:val="en-GB"/>
                <w14:textFill>
                  <w14:solidFill>
                    <w14:schemeClr w14:val="tx1"/>
                  </w14:solidFill>
                </w14:textFill>
              </w:rPr>
              <w:t>相符性分析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4452"/>
              <w:gridCol w:w="3722"/>
            </w:tblGrid>
            <w:tr w14:paraId="54C2A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90" w:type="dxa"/>
                  <w:vAlign w:val="center"/>
                </w:tcPr>
                <w:p w14:paraId="2D41ABF5">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序号</w:t>
                  </w:r>
                </w:p>
              </w:tc>
              <w:tc>
                <w:tcPr>
                  <w:tcW w:w="4452" w:type="dxa"/>
                  <w:vAlign w:val="center"/>
                </w:tcPr>
                <w:p w14:paraId="6F531485">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相关内容</w:t>
                  </w:r>
                </w:p>
              </w:tc>
              <w:tc>
                <w:tcPr>
                  <w:tcW w:w="3722" w:type="dxa"/>
                  <w:vAlign w:val="center"/>
                </w:tcPr>
                <w:p w14:paraId="34E961A3">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相符性分析</w:t>
                  </w:r>
                </w:p>
              </w:tc>
            </w:tr>
            <w:tr w14:paraId="11CDA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3C6BF2A1">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4.1规划选址</w:t>
                  </w:r>
                </w:p>
              </w:tc>
            </w:tr>
            <w:tr w14:paraId="5EA1E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4919C139">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4.1.1</w:t>
                  </w:r>
                </w:p>
              </w:tc>
              <w:tc>
                <w:tcPr>
                  <w:tcW w:w="4452" w:type="dxa"/>
                  <w:vAlign w:val="center"/>
                </w:tcPr>
                <w:p w14:paraId="7353517C">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危险化学品仓库应符合本地区城乡规划，选址在远离市区和居民区的常年最小频率风向的上风侧。</w:t>
                  </w:r>
                </w:p>
              </w:tc>
              <w:tc>
                <w:tcPr>
                  <w:tcW w:w="3722" w:type="dxa"/>
                  <w:vAlign w:val="center"/>
                </w:tcPr>
                <w:p w14:paraId="7CB08D07">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符合，项目选址位于钦州石化产业园区内的石化码头物料仓储区，选址符合广西钦州石化产业园总体发展规划，项目位于居民区常年下风向。</w:t>
                  </w:r>
                </w:p>
              </w:tc>
            </w:tr>
            <w:tr w14:paraId="4B5C3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EC15945">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4.1.2</w:t>
                  </w:r>
                </w:p>
              </w:tc>
              <w:tc>
                <w:tcPr>
                  <w:tcW w:w="4452" w:type="dxa"/>
                  <w:vAlign w:val="center"/>
                </w:tcPr>
                <w:p w14:paraId="0DF76D4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危险化学品仓库防火间距应按GB50016的规定执行。危险化学品仓库与铁路安全防护距离，与公路、广播电视设施、石油天然气管道、电力设施距离应符合其法规要求。</w:t>
                  </w:r>
                </w:p>
              </w:tc>
              <w:tc>
                <w:tcPr>
                  <w:tcW w:w="3722" w:type="dxa"/>
                  <w:vAlign w:val="center"/>
                </w:tcPr>
                <w:p w14:paraId="6D46C987">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符合，项目危险化学品仓库防火间距、与电力设施满足《建筑设计防火规范》（GB50016-2014）（2018年版）要求。</w:t>
                  </w:r>
                </w:p>
              </w:tc>
            </w:tr>
            <w:tr w14:paraId="3CB5F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51CC92E">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4.1.3</w:t>
                  </w:r>
                </w:p>
              </w:tc>
              <w:tc>
                <w:tcPr>
                  <w:tcW w:w="4452" w:type="dxa"/>
                  <w:vAlign w:val="center"/>
                </w:tcPr>
                <w:p w14:paraId="0A1775C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爆炸物库房除符合4.1.2要求外，与防护目标应至少保持1000 m的距离。还应按GB/T 37243的规定，采用事故后果法计算外部安全防护距离。事故后果法计算时应采用最严重事故情景计算外部安全防护距离。</w:t>
                  </w:r>
                </w:p>
              </w:tc>
              <w:tc>
                <w:tcPr>
                  <w:tcW w:w="3722" w:type="dxa"/>
                  <w:vAlign w:val="center"/>
                </w:tcPr>
                <w:p w14:paraId="678B51C2">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符合，项目不涉及爆炸物储存。</w:t>
                  </w:r>
                </w:p>
              </w:tc>
            </w:tr>
            <w:tr w14:paraId="0A902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E81A53C">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4.1.4</w:t>
                  </w:r>
                </w:p>
              </w:tc>
              <w:tc>
                <w:tcPr>
                  <w:tcW w:w="4452" w:type="dxa"/>
                  <w:vAlign w:val="center"/>
                </w:tcPr>
                <w:p w14:paraId="70836B47">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涉及有毒气体或易燃气体，且其构成危险化学品重大危险源的库房除符合4.1.2要求外，还应按GB/T37243的规定，采用定量风险评价法计算外部安全防护距离。定量风险评价法计算时应采用可能储存的危险化学品最大量计算外部安全防护距离。</w:t>
                  </w:r>
                </w:p>
              </w:tc>
              <w:tc>
                <w:tcPr>
                  <w:tcW w:w="3722" w:type="dxa"/>
                  <w:vAlign w:val="center"/>
                </w:tcPr>
                <w:p w14:paraId="6F774AA2">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符合，项目不涉及有毒气体或易燃气体储存。</w:t>
                  </w:r>
                </w:p>
              </w:tc>
            </w:tr>
            <w:tr w14:paraId="68365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4FE8314A">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 建设要求</w:t>
                  </w:r>
                </w:p>
              </w:tc>
            </w:tr>
            <w:tr w14:paraId="2F251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493B5760">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4.2.1</w:t>
                  </w:r>
                </w:p>
              </w:tc>
              <w:tc>
                <w:tcPr>
                  <w:tcW w:w="4452" w:type="dxa"/>
                  <w:vAlign w:val="center"/>
                </w:tcPr>
                <w:p w14:paraId="7D5C9F5A">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危险化学品仓库建设应按GB 50016平面布置、建筑构造、耐火等级、安全疏散、消防设施、电气、通风等规定执行。</w:t>
                  </w:r>
                </w:p>
              </w:tc>
              <w:tc>
                <w:tcPr>
                  <w:tcW w:w="3722" w:type="dxa"/>
                  <w:vAlign w:val="center"/>
                </w:tcPr>
                <w:p w14:paraId="5692875D">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符合，项目危险化学品仓库建设满足50016要求。</w:t>
                  </w:r>
                </w:p>
              </w:tc>
            </w:tr>
            <w:tr w14:paraId="01ADD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13D0DD8">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4.2.2</w:t>
                  </w:r>
                </w:p>
              </w:tc>
              <w:tc>
                <w:tcPr>
                  <w:tcW w:w="4452" w:type="dxa"/>
                  <w:vAlign w:val="center"/>
                </w:tcPr>
                <w:p w14:paraId="350F3DD1">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爆炸物库房建设应按GB 50089或GB 50161平面布置、建筑与结构、消防、电气、通风等规定执行。</w:t>
                  </w:r>
                </w:p>
              </w:tc>
              <w:tc>
                <w:tcPr>
                  <w:tcW w:w="3722" w:type="dxa"/>
                  <w:vAlign w:val="center"/>
                </w:tcPr>
                <w:p w14:paraId="45B79EA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符合，项目不涉及爆炸物储存。</w:t>
                  </w:r>
                </w:p>
              </w:tc>
            </w:tr>
            <w:tr w14:paraId="4BB5A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1EFCDA16">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4.2.3</w:t>
                  </w:r>
                </w:p>
              </w:tc>
              <w:tc>
                <w:tcPr>
                  <w:tcW w:w="4452" w:type="dxa"/>
                  <w:vAlign w:val="center"/>
                </w:tcPr>
                <w:p w14:paraId="757F6AA2">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库房应防潮、平整、坚实、易于清扫。可能释放可燃性气体或蒸气，在空气中能形成粉尘、纤维等爆炸性混合物的危险化学品库房应采用不发生火花的地面。储存腐蚀性危险化学品的库房的地面、踢脚应采取防腐材料。</w:t>
                  </w:r>
                </w:p>
              </w:tc>
              <w:tc>
                <w:tcPr>
                  <w:tcW w:w="3722" w:type="dxa"/>
                  <w:vAlign w:val="center"/>
                </w:tcPr>
                <w:p w14:paraId="549BD668">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符合，项目危险化学品库采用不发生火花的地面，存放腐蚀性的危险化学品库房地面、踢脚均进行防腐。</w:t>
                  </w:r>
                </w:p>
              </w:tc>
            </w:tr>
            <w:tr w14:paraId="69FCB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21EFB66A">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4.2.4</w:t>
                  </w:r>
                </w:p>
              </w:tc>
              <w:tc>
                <w:tcPr>
                  <w:tcW w:w="4452" w:type="dxa"/>
                  <w:vAlign w:val="center"/>
                </w:tcPr>
                <w:p w14:paraId="4A1C6EDF">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危险化学品储存禁忌应按GB 15603的规定执行。</w:t>
                  </w:r>
                </w:p>
              </w:tc>
              <w:tc>
                <w:tcPr>
                  <w:tcW w:w="3722" w:type="dxa"/>
                  <w:vAlign w:val="center"/>
                </w:tcPr>
                <w:p w14:paraId="15AD5B3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符合，项目危险化学品储存符合GB 15603-2022要求。</w:t>
                  </w:r>
                </w:p>
              </w:tc>
            </w:tr>
            <w:tr w14:paraId="537DD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B4385F5">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4.2.5</w:t>
                  </w:r>
                </w:p>
              </w:tc>
              <w:tc>
                <w:tcPr>
                  <w:tcW w:w="4452" w:type="dxa"/>
                  <w:vAlign w:val="center"/>
                </w:tcPr>
                <w:p w14:paraId="5422265A">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应建立危险化学品追溯管理信息系统，应具备危险化学品出入库记录，库存危险化学品品种、数量及库内分布等功能，数据保存期限不得少于1年，且应异地实时备份。</w:t>
                  </w:r>
                </w:p>
              </w:tc>
              <w:tc>
                <w:tcPr>
                  <w:tcW w:w="3722" w:type="dxa"/>
                  <w:vAlign w:val="center"/>
                </w:tcPr>
                <w:p w14:paraId="165CC8D1">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符合，项目将建立危险化学品追溯管理信息系统，并具备危险化学品出入库记录，库存危险化学品品种、数量及库内分布等功能，数据保存期限不少于1年，且异地实时备份。</w:t>
                  </w:r>
                </w:p>
              </w:tc>
            </w:tr>
            <w:tr w14:paraId="3D262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951B014">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4.2.6</w:t>
                  </w:r>
                </w:p>
              </w:tc>
              <w:tc>
                <w:tcPr>
                  <w:tcW w:w="4452" w:type="dxa"/>
                  <w:vAlign w:val="center"/>
                </w:tcPr>
                <w:p w14:paraId="6AF946F1">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构成危险化学品重大危险源的危险化学品仓库应符合国家法律法规、标准规范关于危险化学品重大危险源的技术要求。</w:t>
                  </w:r>
                </w:p>
              </w:tc>
              <w:tc>
                <w:tcPr>
                  <w:tcW w:w="3722" w:type="dxa"/>
                  <w:vAlign w:val="center"/>
                </w:tcPr>
                <w:p w14:paraId="319AC189">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符合，本项目液硫储罐、发烟硫酸/98%硫酸、液硫储罐均构成危险化学品重大危险源，储罐设计符合国家法律法规、标准规范关于危险化学品重大危险源的技术要求。</w:t>
                  </w:r>
                </w:p>
              </w:tc>
            </w:tr>
            <w:tr w14:paraId="1431B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4AF601E8">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4.2.7</w:t>
                  </w:r>
                </w:p>
              </w:tc>
              <w:tc>
                <w:tcPr>
                  <w:tcW w:w="4452" w:type="dxa"/>
                  <w:vAlign w:val="center"/>
                </w:tcPr>
                <w:p w14:paraId="3EF34F46">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爆炸物宜按不同品种单独存放。当受条件限制，不同品种爆炸物需同库存放时，应确保爆炸物之间不是禁忌物品且包装完整无损。</w:t>
                  </w:r>
                </w:p>
              </w:tc>
              <w:tc>
                <w:tcPr>
                  <w:tcW w:w="3722" w:type="dxa"/>
                  <w:vAlign w:val="center"/>
                </w:tcPr>
                <w:p w14:paraId="13EBD42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符合，项目不涉及爆炸物的储存。</w:t>
                  </w:r>
                </w:p>
              </w:tc>
            </w:tr>
            <w:tr w14:paraId="2A98A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42499F57">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4.2.8</w:t>
                  </w:r>
                </w:p>
              </w:tc>
              <w:tc>
                <w:tcPr>
                  <w:tcW w:w="4452" w:type="dxa"/>
                  <w:vAlign w:val="center"/>
                </w:tcPr>
                <w:p w14:paraId="007F2DF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有机过氧化物应储存在危险化学品库房特定区域内，避免阳光直射，并应满足不同品种的存储温度、湿度要求。</w:t>
                  </w:r>
                </w:p>
              </w:tc>
              <w:tc>
                <w:tcPr>
                  <w:tcW w:w="3722" w:type="dxa"/>
                  <w:vAlign w:val="center"/>
                </w:tcPr>
                <w:p w14:paraId="11BCBF6A">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符合，项目不涉及有机过氧化物的储存。</w:t>
                  </w:r>
                </w:p>
              </w:tc>
            </w:tr>
            <w:tr w14:paraId="673FD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6B2D499">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4.2.9</w:t>
                  </w:r>
                </w:p>
              </w:tc>
              <w:tc>
                <w:tcPr>
                  <w:tcW w:w="4452" w:type="dxa"/>
                  <w:vAlign w:val="center"/>
                </w:tcPr>
                <w:p w14:paraId="65899B82">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遇水放出易燃气体的物质和混合物应密闭储存在设有防水、防雨、防潮措施的危险化学品库房中的干燥区域内。</w:t>
                  </w:r>
                </w:p>
              </w:tc>
              <w:tc>
                <w:tcPr>
                  <w:tcW w:w="3722" w:type="dxa"/>
                  <w:vAlign w:val="center"/>
                </w:tcPr>
                <w:p w14:paraId="5266D65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符合，项目不涉及遇水放出易燃气体的物质和混合物储存。</w:t>
                  </w:r>
                </w:p>
              </w:tc>
            </w:tr>
            <w:tr w14:paraId="63043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5166180">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4.2.10</w:t>
                  </w:r>
                </w:p>
              </w:tc>
              <w:tc>
                <w:tcPr>
                  <w:tcW w:w="4452" w:type="dxa"/>
                  <w:vAlign w:val="center"/>
                </w:tcPr>
                <w:p w14:paraId="008A8B56">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自热物质和混合物的储存温度应满足不同品种的存储温度、湿度要求，并避免阳光直射。</w:t>
                  </w:r>
                </w:p>
              </w:tc>
              <w:tc>
                <w:tcPr>
                  <w:tcW w:w="3722" w:type="dxa"/>
                  <w:vAlign w:val="center"/>
                </w:tcPr>
                <w:p w14:paraId="22A9696A">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符合，项目不涉及自热物质和混合物的储存。</w:t>
                  </w:r>
                </w:p>
              </w:tc>
            </w:tr>
            <w:tr w14:paraId="0987F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5E09BDC">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4.2.11</w:t>
                  </w:r>
                </w:p>
              </w:tc>
              <w:tc>
                <w:tcPr>
                  <w:tcW w:w="4452" w:type="dxa"/>
                  <w:vAlign w:val="center"/>
                </w:tcPr>
                <w:p w14:paraId="3C4C7C2A">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自反应物质和混合物应储存在危险化学品库房特定区域内，避免阳光直射并保持良好通风，且应满足不同品种的存储温度、湿度要求。自反应物质及其混合物只能在原装容器中存放。</w:t>
                  </w:r>
                </w:p>
              </w:tc>
              <w:tc>
                <w:tcPr>
                  <w:tcW w:w="3722" w:type="dxa"/>
                  <w:vAlign w:val="center"/>
                </w:tcPr>
                <w:p w14:paraId="733E34DB">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符合，项目不涉及自反应物质和混合物的储存。</w:t>
                  </w:r>
                </w:p>
              </w:tc>
            </w:tr>
            <w:tr w14:paraId="341F9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4" w:type="dxa"/>
                  <w:gridSpan w:val="3"/>
                  <w:vAlign w:val="center"/>
                </w:tcPr>
                <w:p w14:paraId="60EC1CCF">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4.3安全设施</w:t>
                  </w:r>
                </w:p>
              </w:tc>
            </w:tr>
            <w:tr w14:paraId="02D70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CE51DF6">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4.3.1</w:t>
                  </w:r>
                </w:p>
              </w:tc>
              <w:tc>
                <w:tcPr>
                  <w:tcW w:w="4452" w:type="dxa"/>
                  <w:vAlign w:val="center"/>
                </w:tcPr>
                <w:p w14:paraId="178C5338">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危险化学品库房内的爆炸危险环境电力装置应按GB50058的规定执行。危险化学品库房爆炸危险环境内使用的电瓶车铲车等作业工具应符合防爆要求。</w:t>
                  </w:r>
                </w:p>
              </w:tc>
              <w:tc>
                <w:tcPr>
                  <w:tcW w:w="3722" w:type="dxa"/>
                  <w:vAlign w:val="center"/>
                </w:tcPr>
                <w:p w14:paraId="2E281D28">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符合，危险化学品库内安装电力装置符合GB50058的规定。</w:t>
                  </w:r>
                </w:p>
              </w:tc>
            </w:tr>
            <w:tr w14:paraId="557F3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026F1EC6">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4.3.2</w:t>
                  </w:r>
                </w:p>
              </w:tc>
              <w:tc>
                <w:tcPr>
                  <w:tcW w:w="4452" w:type="dxa"/>
                  <w:vAlign w:val="center"/>
                </w:tcPr>
                <w:p w14:paraId="27D6C2A5">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危险化学品仓库防雷、防静电应按GB50057、GB12158的规定执行。</w:t>
                  </w:r>
                </w:p>
              </w:tc>
              <w:tc>
                <w:tcPr>
                  <w:tcW w:w="3722" w:type="dxa"/>
                  <w:vAlign w:val="center"/>
                </w:tcPr>
                <w:p w14:paraId="3CC742D9">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符合，项目危险化学品仓库防雷、防静电按GB50057、GB12158的规定设计。</w:t>
                  </w:r>
                </w:p>
              </w:tc>
            </w:tr>
            <w:tr w14:paraId="61AD5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54BEA76">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4.3.3</w:t>
                  </w:r>
                </w:p>
              </w:tc>
              <w:tc>
                <w:tcPr>
                  <w:tcW w:w="4452" w:type="dxa"/>
                  <w:vAlign w:val="center"/>
                </w:tcPr>
                <w:p w14:paraId="4DB25F7C">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危险化学品仓库应设置通信、火灾报警装置，有供对外联络的通讯设备，并保证处于适用状态。</w:t>
                  </w:r>
                </w:p>
              </w:tc>
              <w:tc>
                <w:tcPr>
                  <w:tcW w:w="3722" w:type="dxa"/>
                  <w:vAlign w:val="center"/>
                </w:tcPr>
                <w:p w14:paraId="393600C0">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符合，项目危险化学品仓库设置通信、火灾报警装置，有供对外联络的通讯设备，保证处于适用状态。</w:t>
                  </w:r>
                </w:p>
              </w:tc>
            </w:tr>
            <w:tr w14:paraId="71DE3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4E330C9">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4.3.4</w:t>
                  </w:r>
                </w:p>
              </w:tc>
              <w:tc>
                <w:tcPr>
                  <w:tcW w:w="4452" w:type="dxa"/>
                  <w:vAlign w:val="center"/>
                </w:tcPr>
                <w:p w14:paraId="6FBF435B">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储存可能散发可燃气体、有毒气体的危险化学品库房应按GB50493的规定配备相应的气体检测报警装置，并与风机联锁。报警信号应传至24h有人值守的场所，并设声光报警器。</w:t>
                  </w:r>
                </w:p>
              </w:tc>
              <w:tc>
                <w:tcPr>
                  <w:tcW w:w="3722" w:type="dxa"/>
                  <w:vAlign w:val="center"/>
                </w:tcPr>
                <w:p w14:paraId="284A588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符合，项目不储存可能散发可燃气体、有毒气体的危险化学品。</w:t>
                  </w:r>
                </w:p>
              </w:tc>
            </w:tr>
            <w:tr w14:paraId="768B8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3E6EFEA">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4.3.5</w:t>
                  </w:r>
                </w:p>
              </w:tc>
              <w:tc>
                <w:tcPr>
                  <w:tcW w:w="4452" w:type="dxa"/>
                  <w:vAlign w:val="center"/>
                </w:tcPr>
                <w:p w14:paraId="0700609B">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储存易燃液体的危险化学品库房应设置防液体流散措施。剧毒物品的危险化学品库房应安装通风设备。</w:t>
                  </w:r>
                </w:p>
              </w:tc>
              <w:tc>
                <w:tcPr>
                  <w:tcW w:w="3722" w:type="dxa"/>
                  <w:vAlign w:val="center"/>
                </w:tcPr>
                <w:p w14:paraId="373DFFC8">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符合，项目不储存剧毒和易燃危险化学品。</w:t>
                  </w:r>
                </w:p>
              </w:tc>
            </w:tr>
            <w:tr w14:paraId="4EF70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9DC3BE4">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4.3.6</w:t>
                  </w:r>
                </w:p>
              </w:tc>
              <w:tc>
                <w:tcPr>
                  <w:tcW w:w="4452" w:type="dxa"/>
                  <w:vAlign w:val="center"/>
                </w:tcPr>
                <w:p w14:paraId="6D68DECA">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危险化学品仓库应在库区建立全覆盖的视频监控系统。</w:t>
                  </w:r>
                </w:p>
              </w:tc>
              <w:tc>
                <w:tcPr>
                  <w:tcW w:w="3722" w:type="dxa"/>
                  <w:vAlign w:val="center"/>
                </w:tcPr>
                <w:p w14:paraId="638632CE">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符合，危险化学品仓库在库区建立全覆盖的视频监控系统。</w:t>
                  </w:r>
                </w:p>
              </w:tc>
            </w:tr>
            <w:tr w14:paraId="1AAE5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EB8B213">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4.3.7</w:t>
                  </w:r>
                </w:p>
              </w:tc>
              <w:tc>
                <w:tcPr>
                  <w:tcW w:w="4452" w:type="dxa"/>
                  <w:vAlign w:val="center"/>
                </w:tcPr>
                <w:p w14:paraId="7D5ABCCC">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危险化学品库房、作业场所和安全设施、设备上，应按GB 2894的规定设置明显的安全警示标志。不能用水、泡沫等灭火的危险化学品库房应在库房外适当位置设置醒目标识。</w:t>
                  </w:r>
                </w:p>
              </w:tc>
              <w:tc>
                <w:tcPr>
                  <w:tcW w:w="3722" w:type="dxa"/>
                  <w:vAlign w:val="center"/>
                </w:tcPr>
                <w:p w14:paraId="5DF92C8C">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符合，危险化学品库房、作业场所和安全设施、设备上，应按GB 2894的规定设置明显的安全警示标志。不能用水、泡沫等灭火的危险化学品库房应在库房外适当位置设置醒目标识。</w:t>
                  </w:r>
                </w:p>
              </w:tc>
            </w:tr>
            <w:tr w14:paraId="29654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322E2AEE">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4.3.8</w:t>
                  </w:r>
                </w:p>
              </w:tc>
              <w:tc>
                <w:tcPr>
                  <w:tcW w:w="4452" w:type="dxa"/>
                  <w:vAlign w:val="center"/>
                </w:tcPr>
                <w:p w14:paraId="0160FE50">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危险化学品仓库应按GB50016、GB50140的规定设置消防设施和消防器材。</w:t>
                  </w:r>
                </w:p>
              </w:tc>
              <w:tc>
                <w:tcPr>
                  <w:tcW w:w="3722" w:type="dxa"/>
                  <w:vAlign w:val="center"/>
                </w:tcPr>
                <w:p w14:paraId="2B9704CD">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符合，危险化学品仓库按GB50016、GB50140的规定设置消防设施和消防器材。</w:t>
                  </w:r>
                </w:p>
              </w:tc>
            </w:tr>
            <w:tr w14:paraId="0C7FB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62A5CE46">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4.3.9</w:t>
                  </w:r>
                </w:p>
              </w:tc>
              <w:tc>
                <w:tcPr>
                  <w:tcW w:w="4452" w:type="dxa"/>
                  <w:vAlign w:val="center"/>
                </w:tcPr>
                <w:p w14:paraId="092A7C80">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危险化学品仓库应按GB30077的规定配备相应的防护装备及应急救援器材、设备、物资，并保障其完好和方便使用。</w:t>
                  </w:r>
                </w:p>
              </w:tc>
              <w:tc>
                <w:tcPr>
                  <w:tcW w:w="3722" w:type="dxa"/>
                  <w:vAlign w:val="center"/>
                </w:tcPr>
                <w:p w14:paraId="49B143FD">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符合，危险化学品仓库按GB30077的规定配备相应的防护装备及应急救援器材、设备、物资，并保障其完好和方便使用。</w:t>
                  </w:r>
                </w:p>
              </w:tc>
            </w:tr>
          </w:tbl>
          <w:p w14:paraId="355F8F16">
            <w:pPr>
              <w:snapToGrid w:val="0"/>
              <w:spacing w:line="360" w:lineRule="auto"/>
              <w:ind w:firstLine="240" w:firstLineChars="100"/>
              <w:rPr>
                <w:rFonts w:ascii="Times New Roman" w:hAnsi="Times New Roman" w:cs="Times New Roman"/>
                <w:color w:val="000000" w:themeColor="text1"/>
                <w14:textFill>
                  <w14:solidFill>
                    <w14:schemeClr w14:val="tx1"/>
                  </w14:solidFill>
                </w14:textFill>
              </w:rPr>
            </w:pPr>
          </w:p>
          <w:p w14:paraId="795194AF">
            <w:pPr>
              <w:snapToGrid w:val="0"/>
              <w:spacing w:line="360" w:lineRule="auto"/>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7.项目与《广西红树林资源保护规划（2020-2030年）》符合性分析</w:t>
            </w:r>
          </w:p>
          <w:p w14:paraId="64D75C4E">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广西红树林资源保护规划（2020-2030年）中设有禁止开发建设的红树林区域、限制开发建设的红树林区域、红树林生态修复规划区域。</w:t>
            </w:r>
          </w:p>
          <w:p w14:paraId="2DF58F81">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本项目西北面3.8km处分布有广西壮族自治区茅尾海红树林自然保护区（七十二泾片区），项目北侧3.8km为红树林集中分布斑块，该片区域属于禁止开发的红树林区域，项目占地不涉及该区域。</w:t>
            </w:r>
            <w:r>
              <w:rPr>
                <w:rFonts w:hint="eastAsia" w:ascii="Times New Roman" w:hAnsi="Times New Roman" w:cs="Times New Roman"/>
                <w:color w:val="000000" w:themeColor="text1"/>
                <w14:textFill>
                  <w14:solidFill>
                    <w14:schemeClr w14:val="tx1"/>
                  </w14:solidFill>
                </w14:textFill>
              </w:rPr>
              <w:t>因此</w:t>
            </w:r>
            <w:r>
              <w:rPr>
                <w:rFonts w:ascii="Times New Roman" w:hAnsi="Times New Roman" w:cs="Times New Roman"/>
                <w:color w:val="000000" w:themeColor="text1"/>
                <w14:textFill>
                  <w14:solidFill>
                    <w14:schemeClr w14:val="tx1"/>
                  </w14:solidFill>
                </w14:textFill>
              </w:rPr>
              <w:t>，项目符合《广西红树林资源保护规划（2020-2030年）》。</w:t>
            </w:r>
          </w:p>
          <w:p w14:paraId="76E907BD">
            <w:pPr>
              <w:snapToGrid w:val="0"/>
              <w:spacing w:line="360" w:lineRule="auto"/>
            </w:pPr>
            <w:r>
              <mc:AlternateContent>
                <mc:Choice Requires="wps">
                  <w:drawing>
                    <wp:anchor distT="0" distB="0" distL="114300" distR="114300" simplePos="0" relativeHeight="251738112" behindDoc="0" locked="0" layoutInCell="1" allowOverlap="1">
                      <wp:simplePos x="0" y="0"/>
                      <wp:positionH relativeFrom="column">
                        <wp:posOffset>2060575</wp:posOffset>
                      </wp:positionH>
                      <wp:positionV relativeFrom="paragraph">
                        <wp:posOffset>2811780</wp:posOffset>
                      </wp:positionV>
                      <wp:extent cx="601345" cy="251460"/>
                      <wp:effectExtent l="4445" t="366395" r="22860" b="10795"/>
                      <wp:wrapNone/>
                      <wp:docPr id="82" name="矩形标注 82"/>
                      <wp:cNvGraphicFramePr/>
                      <a:graphic xmlns:a="http://schemas.openxmlformats.org/drawingml/2006/main">
                        <a:graphicData uri="http://schemas.microsoft.com/office/word/2010/wordprocessingShape">
                          <wps:wsp>
                            <wps:cNvSpPr/>
                            <wps:spPr>
                              <a:xfrm>
                                <a:off x="2943225" y="3251200"/>
                                <a:ext cx="601345" cy="251460"/>
                              </a:xfrm>
                              <a:prstGeom prst="wedgeRectCallout">
                                <a:avLst>
                                  <a:gd name="adj1" fmla="val -25290"/>
                                  <a:gd name="adj2" fmla="val -193939"/>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12CA21B">
                                  <w:pPr>
                                    <w:jc w:val="center"/>
                                    <w:rPr>
                                      <w:b/>
                                      <w:bCs/>
                                      <w:color w:val="000000" w:themeColor="text1"/>
                                      <w:sz w:val="22"/>
                                      <w:szCs w:val="22"/>
                                      <w14:textFill>
                                        <w14:solidFill>
                                          <w14:schemeClr w14:val="tx1"/>
                                        </w14:solidFill>
                                      </w14:textFill>
                                    </w:rPr>
                                  </w:pPr>
                                  <w:r>
                                    <w:rPr>
                                      <w:rFonts w:hint="eastAsia"/>
                                      <w:b/>
                                      <w:bCs/>
                                      <w:color w:val="000000" w:themeColor="text1"/>
                                      <w:sz w:val="22"/>
                                      <w:szCs w:val="22"/>
                                      <w14:textFill>
                                        <w14:solidFill>
                                          <w14:schemeClr w14:val="tx1"/>
                                        </w14:solidFill>
                                      </w14:textFill>
                                    </w:rPr>
                                    <w:t>本项目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62.25pt;margin-top:221.4pt;height:19.8pt;width:47.35pt;z-index:251738112;v-text-anchor:middle;mso-width-relative:page;mso-height-relative:page;" filled="f" stroked="t" coordsize="21600,21600" o:gfxdata="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O1neR9oAAAALAQAADwAAAAAAAAABACAAAAAiAAAAZHJzL2Rvd25yZXYueG1sUEsB&#10;AhQAFAAAAAgAh07iQCxoJJGeAgAAIQUAAA4AAAAAAAAAAQAgAAAAKQEAAGRycy9lMm9Eb2MueG1s&#10;UEsFBgAAAAAGAAYAWQEAADkGAAAAAA==&#10;" adj="5337,-31091">
                      <v:fill on="f" focussize="0,0"/>
                      <v:stroke weight="0.5pt" color="#000000 [3213]" joinstyle="round"/>
                      <v:imagedata o:title=""/>
                      <o:lock v:ext="edit" aspectratio="f"/>
                      <v:textbox inset="0mm,0mm,0mm,0mm">
                        <w:txbxContent>
                          <w:p w14:paraId="712CA21B">
                            <w:pPr>
                              <w:jc w:val="center"/>
                              <w:rPr>
                                <w:b/>
                                <w:bCs/>
                                <w:color w:val="000000" w:themeColor="text1"/>
                                <w:sz w:val="22"/>
                                <w:szCs w:val="22"/>
                                <w14:textFill>
                                  <w14:solidFill>
                                    <w14:schemeClr w14:val="tx1"/>
                                  </w14:solidFill>
                                </w14:textFill>
                              </w:rPr>
                            </w:pPr>
                            <w:r>
                              <w:rPr>
                                <w:rFonts w:hint="eastAsia"/>
                                <w:b/>
                                <w:bCs/>
                                <w:color w:val="000000" w:themeColor="text1"/>
                                <w:sz w:val="22"/>
                                <w:szCs w:val="22"/>
                                <w14:textFill>
                                  <w14:solidFill>
                                    <w14:schemeClr w14:val="tx1"/>
                                  </w14:solidFill>
                                </w14:textFill>
                              </w:rPr>
                              <w:t>本项目</w:t>
                            </w:r>
                          </w:p>
                        </w:txbxContent>
                      </v:textbox>
                    </v:shape>
                  </w:pict>
                </mc:Fallback>
              </mc:AlternateContent>
            </w:r>
            <w:r>
              <w:drawing>
                <wp:inline distT="0" distB="0" distL="114300" distR="114300">
                  <wp:extent cx="5689600" cy="4290060"/>
                  <wp:effectExtent l="0" t="0" r="6350" b="1524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5"/>
                          <a:stretch>
                            <a:fillRect/>
                          </a:stretch>
                        </pic:blipFill>
                        <pic:spPr>
                          <a:xfrm>
                            <a:off x="0" y="0"/>
                            <a:ext cx="5689600" cy="4290060"/>
                          </a:xfrm>
                          <a:prstGeom prst="rect">
                            <a:avLst/>
                          </a:prstGeom>
                          <a:noFill/>
                          <a:ln>
                            <a:noFill/>
                          </a:ln>
                        </pic:spPr>
                      </pic:pic>
                    </a:graphicData>
                  </a:graphic>
                </wp:inline>
              </w:drawing>
            </w:r>
            <w:r>
              <mc:AlternateContent>
                <mc:Choice Requires="wps">
                  <w:drawing>
                    <wp:anchor distT="0" distB="0" distL="114300" distR="114300" simplePos="0" relativeHeight="251739136" behindDoc="0" locked="0" layoutInCell="1" allowOverlap="1">
                      <wp:simplePos x="0" y="0"/>
                      <wp:positionH relativeFrom="column">
                        <wp:posOffset>2172970</wp:posOffset>
                      </wp:positionH>
                      <wp:positionV relativeFrom="paragraph">
                        <wp:posOffset>2388870</wp:posOffset>
                      </wp:positionV>
                      <wp:extent cx="75565" cy="75565"/>
                      <wp:effectExtent l="4445" t="4445" r="15240" b="15240"/>
                      <wp:wrapNone/>
                      <wp:docPr id="122" name="椭圆 122"/>
                      <wp:cNvGraphicFramePr/>
                      <a:graphic xmlns:a="http://schemas.openxmlformats.org/drawingml/2006/main">
                        <a:graphicData uri="http://schemas.microsoft.com/office/word/2010/wordprocessingShape">
                          <wps:wsp>
                            <wps:cNvSpPr/>
                            <wps:spPr>
                              <a:xfrm>
                                <a:off x="3249930" y="3151505"/>
                                <a:ext cx="75565" cy="75565"/>
                              </a:xfrm>
                              <a:prstGeom prst="ellipse">
                                <a:avLst/>
                              </a:prstGeom>
                              <a:solidFill>
                                <a:srgbClr val="FF0000"/>
                              </a:solidFill>
                              <a:ln w="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1.1pt;margin-top:188.1pt;height:5.95pt;width:5.95pt;z-index:251739136;v-text-anchor:middle;mso-width-relative:page;mso-height-relative:page;" fillcolor="#FF0000" filled="t" stroked="t" coordsize="21600,21600" o:gfxdata="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idNtdcAAAALAQAADwAAAAAAAAABACAAAAAiAAAAZHJzL2Rvd25yZXYueG1sUEsB&#10;AhQAFAAAAAgAh07iQB4cSXVoAgAA6QQAAA4AAAAAAAAAAQAgAAAAJgEAAGRycy9lMm9Eb2MueG1s&#10;UEsFBgAAAAAGAAYAWQEAAAAGAAAAAA==&#10;">
                      <v:fill on="t" focussize="0,0"/>
                      <v:stroke weight="0pt" color="#FF0000 [2404]" joinstyle="round"/>
                      <v:imagedata o:title=""/>
                      <o:lock v:ext="edit" aspectratio="f"/>
                    </v:shape>
                  </w:pict>
                </mc:Fallback>
              </mc:AlternateContent>
            </w:r>
          </w:p>
          <w:p w14:paraId="05420FDC">
            <w:pPr>
              <w:snapToGrid w:val="0"/>
              <w:spacing w:line="360" w:lineRule="auto"/>
              <w:jc w:val="center"/>
            </w:pPr>
            <w:r>
              <w:rPr>
                <w:rFonts w:ascii="Times New Roman" w:hAnsi="Times New Roman" w:cs="Times New Roman"/>
                <w:b/>
                <w:bCs/>
              </w:rPr>
              <w:t>图1-2  本项目与广西红树林资源保护规划布局图位置关系</w:t>
            </w:r>
            <w:r>
              <w:rPr>
                <w:sz w:val="21"/>
              </w:rPr>
              <mc:AlternateContent>
                <mc:Choice Requires="wps">
                  <w:drawing>
                    <wp:anchor distT="0" distB="0" distL="114300" distR="114300" simplePos="0" relativeHeight="251740160" behindDoc="0" locked="0" layoutInCell="1" allowOverlap="1">
                      <wp:simplePos x="0" y="0"/>
                      <wp:positionH relativeFrom="column">
                        <wp:posOffset>1356360</wp:posOffset>
                      </wp:positionH>
                      <wp:positionV relativeFrom="paragraph">
                        <wp:posOffset>6980555</wp:posOffset>
                      </wp:positionV>
                      <wp:extent cx="921385" cy="228600"/>
                      <wp:effectExtent l="4445" t="5080" r="140970" b="547370"/>
                      <wp:wrapNone/>
                      <wp:docPr id="39" name="矩形标注 39"/>
                      <wp:cNvGraphicFramePr/>
                      <a:graphic xmlns:a="http://schemas.openxmlformats.org/drawingml/2006/main">
                        <a:graphicData uri="http://schemas.microsoft.com/office/word/2010/wordprocessingShape">
                          <wps:wsp>
                            <wps:cNvSpPr/>
                            <wps:spPr>
                              <a:xfrm>
                                <a:off x="0" y="0"/>
                                <a:ext cx="921385" cy="228600"/>
                              </a:xfrm>
                              <a:prstGeom prst="wedgeRectCallout">
                                <a:avLst>
                                  <a:gd name="adj1" fmla="val 62269"/>
                                  <a:gd name="adj2" fmla="val 270833"/>
                                </a:avLst>
                              </a:prstGeom>
                              <a:solidFill>
                                <a:srgbClr val="FFFFFF">
                                  <a:alpha val="50000"/>
                                </a:srgbClr>
                              </a:solidFill>
                              <a:ln w="6350" cap="flat" cmpd="sng">
                                <a:solidFill>
                                  <a:srgbClr val="000000"/>
                                </a:solidFill>
                                <a:prstDash val="solid"/>
                                <a:miter/>
                                <a:headEnd type="none" w="med" len="med"/>
                                <a:tailEnd type="none" w="med" len="med"/>
                              </a:ln>
                            </wps:spPr>
                            <wps:txbx>
                              <w:txbxContent>
                                <w:p w14:paraId="241AC13D">
                                  <w:pPr>
                                    <w:jc w:val="center"/>
                                    <w:rPr>
                                      <w:b/>
                                      <w:bCs/>
                                    </w:rPr>
                                  </w:pPr>
                                  <w:r>
                                    <w:rPr>
                                      <w:rFonts w:hint="eastAsia"/>
                                      <w:b/>
                                      <w:bCs/>
                                    </w:rPr>
                                    <w:t>项目施工范围</w:t>
                                  </w:r>
                                </w:p>
                              </w:txbxContent>
                            </wps:txbx>
                            <wps:bodyPr lIns="0" tIns="0" rIns="0" bIns="0" upright="1"/>
                          </wps:wsp>
                        </a:graphicData>
                      </a:graphic>
                    </wp:anchor>
                  </w:drawing>
                </mc:Choice>
                <mc:Fallback>
                  <w:pict>
                    <v:shape id="_x0000_s1026" o:spid="_x0000_s1026" o:spt="61" type="#_x0000_t61" style="position:absolute;left:0pt;margin-left:106.8pt;margin-top:549.65pt;height:18pt;width:72.55pt;z-index:251740160;mso-width-relative:page;mso-height-relative:page;" fillcolor="#FFFFFF" filled="t" stroked="t" coordsize="21600,21600" o:gfxdata="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JY&#10;QTzZAAAADQEAAA8AAAAAAAAAAQAgAAAAIgAAAGRycy9kb3ducmV2LnhtbFBLAQIUABQAAAAIAIdO&#10;4kCg20DLWwIAANMEAAAOAAAAAAAAAAEAIAAAACgBAABkcnMvZTJvRG9jLnhtbFBLBQYAAAAABgAG&#10;AFkBAAD1BQAAAAA=&#10;" adj="24250,69300">
                      <v:fill on="t" opacity="32768f" focussize="0,0"/>
                      <v:stroke weight="0.5pt" color="#000000" joinstyle="miter"/>
                      <v:imagedata o:title=""/>
                      <o:lock v:ext="edit" aspectratio="f"/>
                      <v:textbox inset="0mm,0mm,0mm,0mm">
                        <w:txbxContent>
                          <w:p w14:paraId="241AC13D">
                            <w:pPr>
                              <w:jc w:val="center"/>
                              <w:rPr>
                                <w:b/>
                                <w:bCs/>
                              </w:rPr>
                            </w:pPr>
                            <w:r>
                              <w:rPr>
                                <w:rFonts w:hint="eastAsia"/>
                                <w:b/>
                                <w:bCs/>
                              </w:rPr>
                              <w:t>项目施工范围</w:t>
                            </w:r>
                          </w:p>
                        </w:txbxContent>
                      </v:textbox>
                    </v:shape>
                  </w:pict>
                </mc:Fallback>
              </mc:AlternateContent>
            </w:r>
          </w:p>
          <w:p w14:paraId="073A0D16">
            <w:pPr>
              <w:snapToGrid w:val="0"/>
              <w:spacing w:line="360" w:lineRule="auto"/>
              <w:rPr>
                <w:rFonts w:ascii="Times New Roman" w:hAnsi="Times New Roman" w:cs="Times New Roman"/>
                <w:b/>
                <w:bCs/>
                <w:color w:val="000000" w:themeColor="text1"/>
                <w:lang w:val="en-GB"/>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8.与《地下水管理条例》（2021年12月1日起施行）第四十二条符合性分析</w:t>
            </w:r>
          </w:p>
          <w:p w14:paraId="500982A2">
            <w:pPr>
              <w:snapToGrid w:val="0"/>
              <w:spacing w:line="360" w:lineRule="auto"/>
              <w:jc w:val="center"/>
              <w:rPr>
                <w:rFonts w:ascii="Times New Roman" w:hAnsi="Times New Roman" w:cs="Times New Roman"/>
                <w:b/>
                <w:bCs/>
                <w:color w:val="000000" w:themeColor="text1"/>
                <w:lang w:val="en-GB"/>
                <w14:textFill>
                  <w14:solidFill>
                    <w14:schemeClr w14:val="tx1"/>
                  </w14:solidFill>
                </w14:textFill>
              </w:rPr>
            </w:pPr>
          </w:p>
          <w:p w14:paraId="60C5F75C">
            <w:pPr>
              <w:snapToGrid w:val="0"/>
              <w:spacing w:line="360" w:lineRule="auto"/>
              <w:jc w:val="center"/>
              <w:rPr>
                <w:rFonts w:ascii="Times New Roman" w:hAnsi="Times New Roman" w:cs="Times New Roman"/>
                <w:b/>
                <w:bCs/>
                <w:color w:val="000000" w:themeColor="text1"/>
                <w:lang w:val="en-GB"/>
                <w14:textFill>
                  <w14:solidFill>
                    <w14:schemeClr w14:val="tx1"/>
                  </w14:solidFill>
                </w14:textFill>
              </w:rPr>
            </w:pPr>
          </w:p>
          <w:p w14:paraId="3B041B38">
            <w:pPr>
              <w:snapToGrid w:val="0"/>
              <w:spacing w:line="360" w:lineRule="auto"/>
              <w:jc w:val="center"/>
              <w:rPr>
                <w:rFonts w:ascii="Times New Roman" w:hAnsi="Times New Roman" w:cs="Times New Roman"/>
                <w:b/>
                <w:bCs/>
                <w:color w:val="000000" w:themeColor="text1"/>
                <w:lang w:val="en-GB"/>
                <w14:textFill>
                  <w14:solidFill>
                    <w14:schemeClr w14:val="tx1"/>
                  </w14:solidFill>
                </w14:textFill>
              </w:rPr>
            </w:pPr>
          </w:p>
          <w:p w14:paraId="41CECB17">
            <w:pPr>
              <w:snapToGrid w:val="0"/>
              <w:spacing w:line="360" w:lineRule="auto"/>
              <w:jc w:val="center"/>
              <w:rPr>
                <w:rFonts w:ascii="Times New Roman" w:hAnsi="Times New Roman" w:cs="Times New Roman"/>
                <w:b/>
                <w:bCs/>
                <w:color w:val="000000" w:themeColor="text1"/>
                <w:lang w:val="en-GB"/>
                <w14:textFill>
                  <w14:solidFill>
                    <w14:schemeClr w14:val="tx1"/>
                  </w14:solidFill>
                </w14:textFill>
              </w:rPr>
            </w:pPr>
            <w:r>
              <w:rPr>
                <w:rFonts w:hint="eastAsia" w:ascii="Times New Roman" w:hAnsi="Times New Roman" w:cs="Times New Roman"/>
                <w:b/>
                <w:bCs/>
                <w:color w:val="000000" w:themeColor="text1"/>
                <w:lang w:val="en-GB"/>
                <w14:textFill>
                  <w14:solidFill>
                    <w14:schemeClr w14:val="tx1"/>
                  </w14:solidFill>
                </w14:textFill>
              </w:rPr>
              <w:t>表1-</w:t>
            </w:r>
            <w:r>
              <w:rPr>
                <w:rFonts w:hint="eastAsia" w:ascii="Times New Roman" w:hAnsi="Times New Roman" w:cs="Times New Roman"/>
                <w:b/>
                <w:bCs/>
                <w:color w:val="000000" w:themeColor="text1"/>
                <w14:textFill>
                  <w14:solidFill>
                    <w14:schemeClr w14:val="tx1"/>
                  </w14:solidFill>
                </w14:textFill>
              </w:rPr>
              <w:t>8</w:t>
            </w:r>
            <w:r>
              <w:rPr>
                <w:rFonts w:hint="eastAsia" w:ascii="Times New Roman" w:hAnsi="Times New Roman" w:cs="Times New Roman"/>
                <w:b/>
                <w:bCs/>
                <w:color w:val="000000" w:themeColor="text1"/>
                <w:lang w:val="en-GB"/>
                <w14:textFill>
                  <w14:solidFill>
                    <w14:schemeClr w14:val="tx1"/>
                  </w14:solidFill>
                </w14:textFill>
              </w:rPr>
              <w:t>与《地下水管理条例》的相符性分析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4042"/>
              <w:gridCol w:w="3808"/>
            </w:tblGrid>
            <w:tr w14:paraId="0976E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844" w:type="dxa"/>
                  <w:vAlign w:val="center"/>
                </w:tcPr>
                <w:p w14:paraId="09D32386">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序号</w:t>
                  </w:r>
                </w:p>
              </w:tc>
              <w:tc>
                <w:tcPr>
                  <w:tcW w:w="3060" w:type="dxa"/>
                  <w:vAlign w:val="center"/>
                </w:tcPr>
                <w:p w14:paraId="2618BA73">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相关内容</w:t>
                  </w:r>
                </w:p>
              </w:tc>
              <w:tc>
                <w:tcPr>
                  <w:tcW w:w="2883" w:type="dxa"/>
                  <w:vAlign w:val="center"/>
                </w:tcPr>
                <w:p w14:paraId="04C02AD2">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相符性分析</w:t>
                  </w:r>
                </w:p>
              </w:tc>
            </w:tr>
            <w:tr w14:paraId="2394E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844" w:type="dxa"/>
                  <w:vAlign w:val="center"/>
                </w:tcPr>
                <w:p w14:paraId="417C606F">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3060" w:type="dxa"/>
                  <w:vAlign w:val="center"/>
                </w:tcPr>
                <w:p w14:paraId="415787A0">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第四十二条 在泉域保护范围以及岩溶强发育、存在较多落水洞和岩溶漏斗的区域内，不得新建、改建、扩建可能造成地下水污染的建设项目。</w:t>
                  </w:r>
                </w:p>
              </w:tc>
              <w:tc>
                <w:tcPr>
                  <w:tcW w:w="2883" w:type="dxa"/>
                  <w:vAlign w:val="center"/>
                </w:tcPr>
                <w:p w14:paraId="1173F38F">
                  <w:pPr>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符合，本项目地块不涉及岩溶强发育、存在较多落水洞和岩溶漏斗的区域。</w:t>
                  </w:r>
                </w:p>
              </w:tc>
            </w:tr>
          </w:tbl>
          <w:p w14:paraId="04D15135">
            <w:pPr>
              <w:snapToGrid w:val="0"/>
              <w:spacing w:line="360" w:lineRule="auto"/>
              <w:rPr>
                <w:rFonts w:ascii="Times New Roman" w:hAnsi="Times New Roman" w:cs="Times New Roman"/>
                <w:color w:val="FF0000"/>
              </w:rPr>
            </w:pPr>
          </w:p>
          <w:p w14:paraId="722675C7">
            <w:pPr>
              <w:snapToGrid w:val="0"/>
              <w:spacing w:line="360" w:lineRule="auto"/>
              <w:rPr>
                <w:rFonts w:ascii="Times New Roman" w:hAnsi="Times New Roman" w:cs="Times New Roman"/>
                <w:color w:val="FF0000"/>
              </w:rPr>
            </w:pPr>
          </w:p>
          <w:p w14:paraId="20DBB7DD">
            <w:pPr>
              <w:snapToGrid w:val="0"/>
              <w:spacing w:line="360" w:lineRule="auto"/>
              <w:rPr>
                <w:rFonts w:ascii="Times New Roman" w:hAnsi="Times New Roman" w:cs="Times New Roman"/>
                <w:color w:val="FF0000"/>
              </w:rPr>
            </w:pPr>
          </w:p>
          <w:p w14:paraId="148F61C8">
            <w:pPr>
              <w:snapToGrid w:val="0"/>
              <w:spacing w:line="360" w:lineRule="auto"/>
              <w:rPr>
                <w:rFonts w:ascii="Times New Roman" w:hAnsi="Times New Roman" w:cs="Times New Roman"/>
                <w:color w:val="FF0000"/>
              </w:rPr>
            </w:pPr>
          </w:p>
          <w:p w14:paraId="1C0AD952">
            <w:pPr>
              <w:snapToGrid w:val="0"/>
              <w:spacing w:line="360" w:lineRule="auto"/>
              <w:rPr>
                <w:rFonts w:ascii="Times New Roman" w:hAnsi="Times New Roman" w:cs="Times New Roman"/>
                <w:color w:val="FF0000"/>
              </w:rPr>
            </w:pPr>
          </w:p>
          <w:p w14:paraId="4BD1E973">
            <w:pPr>
              <w:snapToGrid w:val="0"/>
              <w:spacing w:line="360" w:lineRule="auto"/>
              <w:rPr>
                <w:rFonts w:ascii="Times New Roman" w:hAnsi="Times New Roman" w:cs="Times New Roman"/>
                <w:color w:val="FF0000"/>
              </w:rPr>
            </w:pPr>
          </w:p>
          <w:p w14:paraId="33E73BAB">
            <w:pPr>
              <w:snapToGrid w:val="0"/>
              <w:spacing w:line="360" w:lineRule="auto"/>
              <w:rPr>
                <w:rFonts w:ascii="Times New Roman" w:hAnsi="Times New Roman" w:cs="Times New Roman"/>
                <w:color w:val="FF0000"/>
              </w:rPr>
            </w:pPr>
          </w:p>
        </w:tc>
      </w:tr>
    </w:tbl>
    <w:p w14:paraId="2ADF1CB2">
      <w:pPr>
        <w:spacing w:line="360" w:lineRule="auto"/>
        <w:ind w:firstLine="600"/>
        <w:outlineLvl w:val="0"/>
        <w:rPr>
          <w:rFonts w:ascii="Times New Roman" w:hAnsi="Times New Roman" w:cs="Times New Roman"/>
          <w:color w:val="FF0000"/>
          <w:sz w:val="30"/>
        </w:rPr>
        <w:sectPr>
          <w:footerReference r:id="rId8" w:type="default"/>
          <w:pgSz w:w="11906" w:h="16838"/>
          <w:pgMar w:top="1191" w:right="1304" w:bottom="1191" w:left="1304" w:header="851" w:footer="1077" w:gutter="0"/>
          <w:pgNumType w:start="1"/>
          <w:cols w:space="720" w:num="1"/>
          <w:docGrid w:linePitch="312" w:charSpace="0"/>
        </w:sectPr>
      </w:pPr>
    </w:p>
    <w:p w14:paraId="68F747EF">
      <w:pPr>
        <w:pStyle w:val="81"/>
        <w:numPr>
          <w:ilvl w:val="0"/>
          <w:numId w:val="9"/>
        </w:numPr>
        <w:spacing w:before="0" w:beforeAutospacing="0" w:after="0" w:afterAutospacing="0" w:line="360" w:lineRule="auto"/>
        <w:jc w:val="center"/>
        <w:outlineLvl w:val="0"/>
        <w:rPr>
          <w:rFonts w:ascii="Times New Roman" w:hAnsi="Times New Roman" w:cs="Times New Roman"/>
          <w:b/>
          <w:bCs/>
          <w:snapToGrid w:val="0"/>
          <w:color w:val="000000" w:themeColor="text1"/>
          <w:sz w:val="30"/>
          <w:szCs w:val="30"/>
          <w14:textFill>
            <w14:solidFill>
              <w14:schemeClr w14:val="tx1"/>
            </w14:solidFill>
          </w14:textFill>
        </w:rPr>
        <w:sectPr>
          <w:type w:val="continuous"/>
          <w:pgSz w:w="11906" w:h="16838"/>
          <w:pgMar w:top="1213" w:right="1304" w:bottom="1208" w:left="1304" w:header="851" w:footer="851" w:gutter="0"/>
          <w:cols w:space="720" w:num="1"/>
          <w:docGrid w:linePitch="326" w:charSpace="0"/>
        </w:sectPr>
      </w:pPr>
      <w:bookmarkStart w:id="11" w:name="_Toc144375210"/>
      <w:bookmarkStart w:id="12" w:name="_Toc146041487"/>
    </w:p>
    <w:p w14:paraId="07B518B3">
      <w:pPr>
        <w:pStyle w:val="81"/>
        <w:numPr>
          <w:ilvl w:val="0"/>
          <w:numId w:val="9"/>
        </w:numPr>
        <w:spacing w:before="0" w:beforeAutospacing="0" w:after="0" w:afterAutospacing="0" w:line="360" w:lineRule="auto"/>
        <w:jc w:val="center"/>
        <w:outlineLvl w:val="0"/>
        <w:rPr>
          <w:rFonts w:ascii="Times New Roman" w:hAnsi="Times New Roman" w:cs="Times New Roman"/>
          <w:b/>
          <w:bCs/>
          <w:snapToGrid w:val="0"/>
          <w:color w:val="000000" w:themeColor="text1"/>
          <w:sz w:val="30"/>
          <w:szCs w:val="30"/>
          <w14:textFill>
            <w14:solidFill>
              <w14:schemeClr w14:val="tx1"/>
            </w14:solidFill>
          </w14:textFill>
        </w:rPr>
      </w:pPr>
      <w:r>
        <w:rPr>
          <w:rFonts w:ascii="Times New Roman" w:hAnsi="Times New Roman" w:cs="Times New Roman"/>
          <w:b/>
          <w:bCs/>
          <w:snapToGrid w:val="0"/>
          <w:color w:val="000000" w:themeColor="text1"/>
          <w:sz w:val="30"/>
          <w:szCs w:val="30"/>
          <w14:textFill>
            <w14:solidFill>
              <w14:schemeClr w14:val="tx1"/>
            </w14:solidFill>
          </w14:textFill>
        </w:rPr>
        <w:t>建设项目工程分析</w:t>
      </w:r>
      <w:bookmarkEnd w:id="11"/>
      <w:bookmarkEnd w:id="12"/>
    </w:p>
    <w:tbl>
      <w:tblPr>
        <w:tblStyle w:val="88"/>
        <w:tblW w:w="944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987"/>
      </w:tblGrid>
      <w:tr w14:paraId="27AE0E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6" w:hRule="atLeast"/>
          <w:jc w:val="center"/>
        </w:trPr>
        <w:tc>
          <w:tcPr>
            <w:tcW w:w="456" w:type="dxa"/>
            <w:vAlign w:val="center"/>
          </w:tcPr>
          <w:p w14:paraId="4EEC9A0D">
            <w:pPr>
              <w:pStyle w:val="81"/>
              <w:widowControl w:val="0"/>
              <w:autoSpaceDE w:val="0"/>
              <w:autoSpaceDN w:val="0"/>
              <w:adjustRightInd w:val="0"/>
              <w:snapToGrid w:val="0"/>
              <w:spacing w:before="0" w:beforeAutospacing="0" w:after="0" w:afterAutospacing="0" w:line="400" w:lineRule="exact"/>
              <w:jc w:val="center"/>
              <w:rPr>
                <w:rFonts w:ascii="Times New Roman" w:hAnsi="Times New Roman" w:cs="Times New Roman"/>
                <w:color w:val="FF0000"/>
                <w:sz w:val="21"/>
                <w:szCs w:val="21"/>
              </w:rPr>
            </w:pPr>
            <w:r>
              <w:rPr>
                <w:rFonts w:ascii="Times New Roman" w:hAnsi="Times New Roman" w:cs="Times New Roman"/>
                <w:color w:val="000000" w:themeColor="text1"/>
                <w:szCs w:val="21"/>
                <w14:textFill>
                  <w14:solidFill>
                    <w14:schemeClr w14:val="tx1"/>
                  </w14:solidFill>
                </w14:textFill>
              </w:rPr>
              <w:t>建设内容</w:t>
            </w:r>
          </w:p>
        </w:tc>
        <w:tc>
          <w:tcPr>
            <w:tcW w:w="8987" w:type="dxa"/>
          </w:tcPr>
          <w:p w14:paraId="16DB6033">
            <w:pPr>
              <w:tabs>
                <w:tab w:val="center" w:pos="4153"/>
                <w:tab w:val="right" w:pos="8306"/>
              </w:tabs>
              <w:snapToGrid w:val="0"/>
              <w:spacing w:line="360" w:lineRule="auto"/>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1.广西自贸区逸海港务有限责任公司建设单位基本情况</w:t>
            </w:r>
          </w:p>
          <w:p w14:paraId="5B052B1E">
            <w:pPr>
              <w:tabs>
                <w:tab w:val="center" w:pos="4153"/>
                <w:tab w:val="right" w:pos="8306"/>
              </w:tabs>
              <w:snapToGrid w:val="0"/>
              <w:spacing w:line="360" w:lineRule="auto"/>
              <w:ind w:firstLine="480" w:firstLineChars="200"/>
              <w:rPr>
                <w:rFonts w:ascii="Times New Roman" w:hAnsi="Times New Roman" w:cs="Times New Roman"/>
                <w:color w:val="000000" w:themeColor="text1"/>
                <w:szCs w:val="28"/>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广西自贸区逸海港务有限责任公司位于广西钦州港经济技术开发区石化产业园区内，2022年3月由广西恒逸新材料有限公司持股66%，广西临海工业投资集团有限公司持股34%，共同出资组建。</w:t>
            </w:r>
            <w:r>
              <w:rPr>
                <w:rFonts w:ascii="Times New Roman" w:hAnsi="Times New Roman" w:cs="Times New Roman"/>
                <w:color w:val="000000" w:themeColor="text1"/>
                <w:szCs w:val="28"/>
                <w14:textFill>
                  <w14:solidFill>
                    <w14:schemeClr w14:val="tx1"/>
                  </w14:solidFill>
                </w14:textFill>
              </w:rPr>
              <w:t>主要从事各种石油化工原料及产品的仓储及物流代理服务，以及码头项目的投资和管理，在港区内</w:t>
            </w:r>
            <w:r>
              <w:rPr>
                <w:rFonts w:ascii="Times New Roman" w:hAnsi="Times New Roman" w:cs="Times New Roman"/>
                <w:color w:val="000000" w:themeColor="text1"/>
                <w:szCs w:val="28"/>
                <w:lang w:val="zh-TW" w:eastAsia="zh-TW" w:bidi="zh-TW"/>
                <w14:textFill>
                  <w14:solidFill>
                    <w14:schemeClr w14:val="tx1"/>
                  </w14:solidFill>
                </w14:textFill>
              </w:rPr>
              <w:t>提供货物装卸、仓储服务</w:t>
            </w:r>
            <w:r>
              <w:rPr>
                <w:rFonts w:ascii="Times New Roman" w:hAnsi="Times New Roman" w:cs="Times New Roman"/>
                <w:color w:val="000000" w:themeColor="text1"/>
                <w:szCs w:val="28"/>
                <w14:textFill>
                  <w14:solidFill>
                    <w14:schemeClr w14:val="tx1"/>
                  </w14:solidFill>
                </w14:textFill>
              </w:rPr>
              <w:t>等。</w:t>
            </w:r>
          </w:p>
          <w:p w14:paraId="2161E2DA">
            <w:pPr>
              <w:tabs>
                <w:tab w:val="center" w:pos="4153"/>
                <w:tab w:val="right" w:pos="8306"/>
              </w:tabs>
              <w:snapToGrid w:val="0"/>
              <w:spacing w:line="360" w:lineRule="auto"/>
              <w:rPr>
                <w:rFonts w:ascii="Times New Roman" w:hAnsi="Times New Roman" w:cs="Times New Roman"/>
                <w:color w:val="000000" w:themeColor="text1"/>
                <w:szCs w:val="28"/>
                <w14:textFill>
                  <w14:solidFill>
                    <w14:schemeClr w14:val="tx1"/>
                  </w14:solidFill>
                </w14:textFill>
              </w:rPr>
            </w:pPr>
            <w:r>
              <w:rPr>
                <w:rFonts w:ascii="Times New Roman" w:hAnsi="Times New Roman" w:cs="Times New Roman"/>
                <w:b/>
                <w:bCs/>
                <w:color w:val="000000" w:themeColor="text1"/>
                <w:szCs w:val="28"/>
                <w14:textFill>
                  <w14:solidFill>
                    <w14:schemeClr w14:val="tx1"/>
                  </w14:solidFill>
                </w14:textFill>
              </w:rPr>
              <w:t>2.钦州港金谷港区金鼓江作业区14号、15号泊位工程基本情况</w:t>
            </w:r>
          </w:p>
          <w:p w14:paraId="64EBADD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1、2018年，获得广西壮族自治区</w:t>
            </w:r>
            <w:r>
              <w:rPr>
                <w:rFonts w:hint="eastAsia" w:ascii="Times New Roman" w:hAnsi="Times New Roman" w:cs="Times New Roman"/>
                <w:color w:val="000000" w:themeColor="text1"/>
                <w:lang w:eastAsia="zh-CN"/>
                <w14:textFill>
                  <w14:solidFill>
                    <w14:schemeClr w14:val="tx1"/>
                  </w14:solidFill>
                </w14:textFill>
              </w:rPr>
              <w:t>发展和改革委员会</w:t>
            </w:r>
            <w:r>
              <w:rPr>
                <w:rFonts w:ascii="Times New Roman" w:hAnsi="Times New Roman" w:cs="Times New Roman"/>
                <w:color w:val="000000" w:themeColor="text1"/>
                <w14:textFill>
                  <w14:solidFill>
                    <w14:schemeClr w14:val="tx1"/>
                  </w14:solidFill>
                </w14:textFill>
              </w:rPr>
              <w:t>信息登记单。确定建设内容：建设2个5万吨级化工散杂货泊位。建设单位：广西临海工业投资集团有限公司。</w:t>
            </w:r>
          </w:p>
          <w:p w14:paraId="58A69E1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2023年8月，钦州市生态环境局批复《钦州港金谷港区金鼓江作业区14号、15号泊位工程（重大变动）环境影响报告书》（自贸钦审批环〔2023〕42号）。批复内容主要如下：项目由码头及后方陆域组成。建设2个5万吨级液体散货泊位，使用码头岸线531米，设计年吞吐量 533 万吨，水工结构采用“部分重力墩式+三座引桥的透水建筑”结构，码头长度 531米，平台宽 25 米，码头前沿通过长 55 米、宽 13.5 米的引桥与后方连接。后方陆域配套8个罐组71座储罐，总库容31.8万立方米。吞吐货种包括液氨等共6类76种货种。</w:t>
            </w:r>
          </w:p>
          <w:p w14:paraId="34CC2E20">
            <w:pPr>
              <w:spacing w:line="360" w:lineRule="auto"/>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3.钦州港金谷港区金鼓江作业区14号泊位码头（一期工程）基本情况</w:t>
            </w:r>
          </w:p>
          <w:p w14:paraId="030594A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建设地点：位于钦州港金鼓江西岸，距金鼓江航道口门约3km，北端与金鼓江作业区13#泊位相邻，南端与金鼓江作业区15#泊位相邻，对岸为大榄坪作业区。</w:t>
            </w:r>
          </w:p>
          <w:p w14:paraId="670C803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规模：14号泊位工程为1个5万吨级液体散货泊位，码头岸线总长度为240m，设计吞吐量276万吨/年，设计年通过能力300万吨/年；货种包括乙二醇、对二甲苯、甲醇、苯、甲苯、粗苯、混二甲苯、叔丁醇、环己烷、环己酮、液氨11种化学品。目前建设了苯、环己酮、粗苯、液氨装卸。</w:t>
            </w:r>
          </w:p>
          <w:p w14:paraId="67132E5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陆域部分设置1座20000m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w:t>
            </w:r>
          </w:p>
          <w:p w14:paraId="47A8EF7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水工部分码头结构采用圆筒墩式平台+引桥方案，码头面高程为6.30m，前沿停泊地底高程-13.70m。前沿布置1个34m×51m作业平台和4个17m×17m的靠船墩（系缆墩）。作业平台与靠船墩（系缆墩）之间的栈桥净跨30.25m，宽6m。作业平台与后方陆域连接设1座引桥，长46m，宽15m。码头前沿停泊水域宽度为65m，底高程-13.7m，回旋水域底高程为-11.3m，回旋水域采用圆形布置，直径为330m。</w:t>
            </w:r>
          </w:p>
          <w:p w14:paraId="79C279C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2025年12月，建设单位广西自贸区逸海港务有限责任公司组织通过《钦州港金谷港区金鼓江作业区14号泊位码头（一期工程）》竣工环保验收（附件</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p>
          <w:p w14:paraId="4F5E7CFD">
            <w:pPr>
              <w:spacing w:line="360" w:lineRule="auto"/>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4.项目的由来</w:t>
            </w:r>
          </w:p>
          <w:p w14:paraId="7C3A4EC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随着区域产业升级，钦州港石化园区及企业化学品运输需求发生结构性变化，广西自贸区逸海港务有限责任公司拟在14号泊位11个货种情况下增加12个货种，同时调整各货种运输量，调整后吞吐量251万吨/年。</w:t>
            </w:r>
          </w:p>
          <w:p w14:paraId="0537523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广西自贸区逸海港务有限责任公司拟实施《</w:t>
            </w:r>
            <w:r>
              <w:rPr>
                <w:rFonts w:hint="eastAsia" w:ascii="Times New Roman" w:hAnsi="Times New Roman" w:cs="Times New Roman"/>
                <w:bCs/>
                <w:color w:val="000000" w:themeColor="text1"/>
                <w14:textFill>
                  <w14:solidFill>
                    <w14:schemeClr w14:val="tx1"/>
                  </w14:solidFill>
                </w14:textFill>
              </w:rPr>
              <w:t>金鼓江作业区14号泊位后方储罐区工程</w:t>
            </w:r>
            <w:r>
              <w:rPr>
                <w:rFonts w:ascii="Times New Roman" w:hAnsi="Times New Roman" w:cs="Times New Roman"/>
                <w:color w:val="000000" w:themeColor="text1"/>
                <w14:textFill>
                  <w14:solidFill>
                    <w14:schemeClr w14:val="tx1"/>
                  </w14:solidFill>
                </w14:textFill>
              </w:rPr>
              <w:t>》（以下简称“本项目”），即在现有14号泊位工程基础上</w:t>
            </w:r>
            <w:r>
              <w:rPr>
                <w:rFonts w:hint="eastAsia" w:ascii="Times New Roman" w:hAnsi="Times New Roman" w:cs="Times New Roman"/>
                <w:color w:val="000000" w:themeColor="text1"/>
                <w14:textFill>
                  <w14:solidFill>
                    <w14:schemeClr w14:val="tx1"/>
                  </w14:solidFill>
                </w14:textFill>
              </w:rPr>
              <w:t>再后方陆域建设罐区工程，建设</w:t>
            </w:r>
            <w:r>
              <w:rPr>
                <w:rFonts w:ascii="Times New Roman" w:hAnsi="Times New Roman" w:cs="Times New Roman"/>
                <w:color w:val="000000" w:themeColor="text1"/>
                <w14:textFill>
                  <w14:solidFill>
                    <w14:schemeClr w14:val="tx1"/>
                  </w14:solidFill>
                </w14:textFill>
              </w:rPr>
              <w:t>内容为：①液硫自码头界区的输送管道、罐区储存、汽车装车设施；②发烟硫酸</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98%硫酸（以下均简称“硫酸”）自码头界区的输送管道、罐区储存、汽车装车设施；③液碱</w:t>
            </w:r>
            <w:r>
              <w:rPr>
                <w:rFonts w:hint="eastAsia" w:ascii="Times New Roman" w:hAnsi="Times New Roman" w:cs="Times New Roman"/>
                <w:color w:val="000000" w:themeColor="text1"/>
                <w14:textFill>
                  <w14:solidFill>
                    <w14:schemeClr w14:val="tx1"/>
                  </w14:solidFill>
                </w14:textFill>
              </w:rPr>
              <w:t>（48wt%）</w:t>
            </w:r>
            <w:r>
              <w:rPr>
                <w:rFonts w:ascii="Times New Roman" w:hAnsi="Times New Roman" w:cs="Times New Roman"/>
                <w:color w:val="000000" w:themeColor="text1"/>
                <w14:textFill>
                  <w14:solidFill>
                    <w14:schemeClr w14:val="tx1"/>
                  </w14:solidFill>
                </w14:textFill>
              </w:rPr>
              <w:t>自码头界区的输送管道、罐区储存、汽车装车设施</w:t>
            </w:r>
            <w:r>
              <w:rPr>
                <w:rFonts w:hint="eastAsia" w:ascii="Times New Roman" w:hAnsi="Times New Roman" w:cs="Times New Roman"/>
                <w:color w:val="000000" w:themeColor="text1"/>
                <w14:textFill>
                  <w14:solidFill>
                    <w14:schemeClr w14:val="tx1"/>
                  </w14:solidFill>
                </w14:textFill>
              </w:rPr>
              <w:t>；④苯酚自码头界区的输送管道、罐区储存、输送泵设施；⑤己内酰胺汽车卸车设施、罐区储存、罐区至码头界区的输送管线；⑥</w:t>
            </w:r>
            <w:r>
              <w:rPr>
                <w:rFonts w:hint="eastAsia" w:ascii="Times New Roman" w:hAnsi="Times New Roman" w:cs="Times New Roman"/>
                <w:bCs/>
                <w:color w:val="000000" w:themeColor="text1"/>
                <w14:textFill>
                  <w14:solidFill>
                    <w14:schemeClr w14:val="tx1"/>
                  </w14:solidFill>
                </w14:textFill>
              </w:rPr>
              <w:t>新建1条DN250油品输送管线(与丰之力新能源管线相连，以项目红线为边界)；⑦改造1条原有DN200苯管线作为苯乙烯输送管线(与骅桥新材料管线相连，以项目红线为边界)。</w:t>
            </w:r>
          </w:p>
          <w:p w14:paraId="3DF2D0D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液硫、发烟硫酸/98%硫酸、液碱、苯酚</w:t>
            </w:r>
            <w:r>
              <w:rPr>
                <w:rFonts w:ascii="Times New Roman" w:hAnsi="Times New Roman" w:cs="Times New Roman"/>
                <w:color w:val="000000" w:themeColor="text1"/>
                <w14:textFill>
                  <w14:solidFill>
                    <w14:schemeClr w14:val="tx1"/>
                  </w14:solidFill>
                </w14:textFill>
              </w:rPr>
              <w:t>货种</w:t>
            </w:r>
            <w:r>
              <w:rPr>
                <w:rFonts w:hint="eastAsia" w:ascii="Times New Roman" w:hAnsi="Times New Roman" w:cs="Times New Roman"/>
                <w:color w:val="000000" w:themeColor="text1"/>
                <w14:textFill>
                  <w14:solidFill>
                    <w14:schemeClr w14:val="tx1"/>
                  </w14:solidFill>
                </w14:textFill>
              </w:rPr>
              <w:t>从码头船舶通过管道输送至储罐区储存，再用槽罐车或管道运输出厂；己内酰胺货种从后方陆域通过槽罐车运送至储罐区储存，再通过管道输送至码头装船外运。</w:t>
            </w:r>
            <w:r>
              <w:rPr>
                <w:rFonts w:ascii="Times New Roman" w:hAnsi="Times New Roman" w:cs="Times New Roman"/>
                <w:color w:val="000000" w:themeColor="text1"/>
                <w14:textFill>
                  <w14:solidFill>
                    <w14:schemeClr w14:val="tx1"/>
                  </w14:solidFill>
                </w14:textFill>
              </w:rPr>
              <w:t>本项目建设不涉及码头，不改变公司现有码头的性质、水工结构、装卸工艺、岸线长度、泊位吨级、吞吐量以及装卸货种等内容。</w:t>
            </w:r>
          </w:p>
          <w:p w14:paraId="12C405C7">
            <w:pPr>
              <w:spacing w:line="360" w:lineRule="auto"/>
              <w:ind w:firstLine="480" w:firstLineChars="200"/>
              <w:rPr>
                <w:rFonts w:ascii="Times New Roman" w:hAnsi="Times New Roman" w:cs="Times New Roman"/>
                <w:color w:val="000000" w:themeColor="text1"/>
                <w:lang w:val="zh-CN"/>
                <w14:textFill>
                  <w14:solidFill>
                    <w14:schemeClr w14:val="tx1"/>
                  </w14:solidFill>
                </w14:textFill>
              </w:rPr>
            </w:pPr>
            <w:r>
              <w:rPr>
                <w:rFonts w:ascii="Times New Roman" w:hAnsi="Times New Roman" w:cs="Times New Roman"/>
                <w:color w:val="000000" w:themeColor="text1"/>
                <w:lang w:val="zh-CN"/>
                <w14:textFill>
                  <w14:solidFill>
                    <w14:schemeClr w14:val="tx1"/>
                  </w14:solidFill>
                </w14:textFill>
              </w:rPr>
              <w:t>根据《中华人民共和国环境影响评价法》、《建设项目环境保护管理条例》、《建设项目环境影响评价分类管理名录（2021年版）》</w:t>
            </w:r>
            <w:r>
              <w:rPr>
                <w:rFonts w:ascii="Times New Roman" w:hAnsi="Times New Roman" w:cs="Times New Roman"/>
                <w:color w:val="000000" w:themeColor="text1"/>
                <w14:textFill>
                  <w14:solidFill>
                    <w14:schemeClr w14:val="tx1"/>
                  </w14:solidFill>
                </w14:textFill>
              </w:rPr>
              <w:t>等有关规定的要求</w:t>
            </w:r>
            <w:r>
              <w:rPr>
                <w:rFonts w:ascii="Times New Roman" w:hAnsi="Times New Roman" w:cs="Times New Roman"/>
                <w:color w:val="000000" w:themeColor="text1"/>
                <w:lang w:val="zh-CN"/>
                <w14:textFill>
                  <w14:solidFill>
                    <w14:schemeClr w14:val="tx1"/>
                  </w14:solidFill>
                </w14:textFill>
              </w:rPr>
              <w:t>，该项目属于“五十三、装卸搬运和仓储业—149危险品仓储（不含加油站的油库；不含加气站的气库）”中的“其他（含有毒、有害、危险品的仓储；含液化天然气库）”类别，应编制环境影响报告表。</w:t>
            </w:r>
          </w:p>
          <w:p w14:paraId="39DED7A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项目周边环境概况：根据现场勘查，项目建设地位于广西重点建设的工业园区——钦州市钦州港经济技术开发区内（国家级经</w:t>
            </w:r>
            <w:r>
              <w:rPr>
                <w:rFonts w:ascii="Times New Roman" w:hAnsi="Times New Roman" w:cs="Times New Roman"/>
              </w:rPr>
              <w:t>济技术开发区）钦州市石化产业园金鼓片区—钦州港金谷港区金鼓江作业区14号泊位工程储罐区和码头区，该区块北面为金鼓江作业区13号泊位及预留用地，南面为广西华谊新材料有限公司，西面为园区临海大道，东</w:t>
            </w:r>
            <w:r>
              <w:rPr>
                <w:rFonts w:ascii="Times New Roman" w:hAnsi="Times New Roman" w:cs="Times New Roman"/>
                <w:color w:val="000000" w:themeColor="text1"/>
                <w14:textFill>
                  <w14:solidFill>
                    <w14:schemeClr w14:val="tx1"/>
                  </w14:solidFill>
                </w14:textFill>
              </w:rPr>
              <w:t>面临江。</w:t>
            </w:r>
          </w:p>
          <w:p w14:paraId="0EF30730">
            <w:pPr>
              <w:tabs>
                <w:tab w:val="center" w:pos="4153"/>
                <w:tab w:val="right" w:pos="8306"/>
              </w:tabs>
              <w:snapToGrid w:val="0"/>
              <w:spacing w:line="360" w:lineRule="auto"/>
              <w:rPr>
                <w:rFonts w:ascii="Times New Roman" w:hAnsi="Times New Roman" w:cs="Times New Roman"/>
                <w:b/>
                <w:color w:val="000000" w:themeColor="text1"/>
                <w14:textFill>
                  <w14:solidFill>
                    <w14:schemeClr w14:val="tx1"/>
                  </w14:solidFill>
                </w14:textFill>
              </w:rPr>
            </w:pPr>
            <w:r>
              <w:rPr>
                <w:rFonts w:hint="eastAsia" w:ascii="Times New Roman" w:hAnsi="Times New Roman" w:cs="Times New Roman"/>
                <w:b/>
                <w:color w:val="000000" w:themeColor="text1"/>
                <w14:textFill>
                  <w14:solidFill>
                    <w14:schemeClr w14:val="tx1"/>
                  </w14:solidFill>
                </w14:textFill>
              </w:rPr>
              <w:t>5.本项目基本情况</w:t>
            </w:r>
          </w:p>
          <w:p w14:paraId="406BBFCB">
            <w:pPr>
              <w:tabs>
                <w:tab w:val="center" w:pos="4153"/>
                <w:tab w:val="right" w:pos="8306"/>
              </w:tabs>
              <w:snapToGrid w:val="0"/>
              <w:spacing w:line="360" w:lineRule="auto"/>
              <w:ind w:firstLine="482"/>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（1）项目名称：金鼓江作业区14号泊位后方储罐区工程</w:t>
            </w:r>
          </w:p>
          <w:p w14:paraId="40A16394">
            <w:pPr>
              <w:tabs>
                <w:tab w:val="center" w:pos="4153"/>
                <w:tab w:val="right" w:pos="8306"/>
              </w:tabs>
              <w:snapToGrid w:val="0"/>
              <w:spacing w:line="360" w:lineRule="auto"/>
              <w:ind w:firstLine="482"/>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（2）建设单位：广西自贸区逸海港务有限责任公司</w:t>
            </w:r>
          </w:p>
          <w:p w14:paraId="206655FB">
            <w:pPr>
              <w:tabs>
                <w:tab w:val="center" w:pos="4153"/>
                <w:tab w:val="right" w:pos="8306"/>
              </w:tabs>
              <w:snapToGrid w:val="0"/>
              <w:spacing w:line="360" w:lineRule="auto"/>
              <w:ind w:firstLine="482"/>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（3）建设地点：中国（广西）自由贸易试验区钦州港片区</w:t>
            </w:r>
          </w:p>
          <w:p w14:paraId="056D7B04">
            <w:pPr>
              <w:tabs>
                <w:tab w:val="center" w:pos="4153"/>
                <w:tab w:val="right" w:pos="8306"/>
              </w:tabs>
              <w:snapToGrid w:val="0"/>
              <w:spacing w:line="360" w:lineRule="auto"/>
              <w:ind w:firstLine="482"/>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（4）项目性质：新建</w:t>
            </w:r>
          </w:p>
          <w:p w14:paraId="1F508AC5">
            <w:pPr>
              <w:spacing w:line="360" w:lineRule="auto"/>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（5）项目建设规模：14号泊位后方储罐区工程占地面积约131478.45m</w:t>
            </w:r>
            <w:r>
              <w:rPr>
                <w:rFonts w:hint="eastAsia" w:ascii="Times New Roman" w:hAnsi="Times New Roman" w:cs="Times New Roman"/>
                <w:bCs/>
                <w:color w:val="000000" w:themeColor="text1"/>
                <w:vertAlign w:val="superscript"/>
                <w14:textFill>
                  <w14:solidFill>
                    <w14:schemeClr w14:val="tx1"/>
                  </w14:solidFill>
                </w14:textFill>
              </w:rPr>
              <w:t>2</w:t>
            </w:r>
            <w:r>
              <w:rPr>
                <w:rFonts w:hint="eastAsia" w:ascii="Times New Roman" w:hAnsi="Times New Roman" w:cs="Times New Roman"/>
                <w:bCs/>
                <w:color w:val="000000" w:themeColor="text1"/>
                <w14:textFill>
                  <w14:solidFill>
                    <w14:schemeClr w14:val="tx1"/>
                  </w14:solidFill>
                </w14:textFill>
              </w:rPr>
              <w:t>，本项目位于14号泊位后方储罐区区域内，占地面积约18215m</w:t>
            </w:r>
            <w:r>
              <w:rPr>
                <w:rFonts w:hint="eastAsia" w:ascii="Times New Roman" w:hAnsi="Times New Roman" w:cs="Times New Roman"/>
                <w:bCs/>
                <w:color w:val="000000" w:themeColor="text1"/>
                <w:vertAlign w:val="superscript"/>
                <w14:textFill>
                  <w14:solidFill>
                    <w14:schemeClr w14:val="tx1"/>
                  </w14:solidFill>
                </w14:textFill>
              </w:rPr>
              <w:t>2</w:t>
            </w:r>
            <w:r>
              <w:rPr>
                <w:rFonts w:hint="eastAsia" w:ascii="Times New Roman" w:hAnsi="Times New Roman" w:cs="Times New Roman"/>
                <w:bCs/>
                <w:color w:val="000000" w:themeColor="text1"/>
                <w14:textFill>
                  <w14:solidFill>
                    <w14:schemeClr w14:val="tx1"/>
                  </w14:solidFill>
                </w14:textFill>
              </w:rPr>
              <w:t>。建设内容：一部分新建1台5000m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液硫储罐、1台5000m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液碱储罐、1台5000m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发烟硫酸(硫酸)储罐及配套输送管线和装车设施；新建1条DN250油品输送管线(与丰之力新能源管线相连，以项目红线为边界)，改造1条原有DN200苯管线作为苯乙烯输送管线(与骅桥新材料管线相连，以项目红线为边界)，二部分新建2台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酚储罐及配套工艺管道(含厂外输送管道)；1台15000m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己内酰胺储罐和配套装卸车设施。液硫储运量为24万吨/年，硫酸储运量为2万吨/年，液碱储运量为2万吨/年，苯酚储运量为20万吨/年，己内酰胺储运量为22.4万吨/年，总周转量为70.4万吨/年。</w:t>
            </w:r>
          </w:p>
          <w:p w14:paraId="02A7695D">
            <w:pPr>
              <w:tabs>
                <w:tab w:val="center" w:pos="4153"/>
                <w:tab w:val="right" w:pos="8306"/>
              </w:tabs>
              <w:snapToGrid w:val="0"/>
              <w:spacing w:line="360" w:lineRule="auto"/>
              <w:ind w:firstLine="482"/>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（6）项目投资：15200万元，其中环保投资160万元，环保投资占总投资的1.05%。</w:t>
            </w:r>
          </w:p>
          <w:p w14:paraId="7A963AAD">
            <w:pPr>
              <w:spacing w:line="360" w:lineRule="auto"/>
              <w:rPr>
                <w:rFonts w:ascii="Times New Roman" w:hAnsi="Times New Roman" w:cs="Times New Roman"/>
                <w:b/>
                <w:color w:val="000000" w:themeColor="text1"/>
                <w14:textFill>
                  <w14:solidFill>
                    <w14:schemeClr w14:val="tx1"/>
                  </w14:solidFill>
                </w14:textFill>
              </w:rPr>
            </w:pPr>
            <w:r>
              <w:rPr>
                <w:rFonts w:hint="eastAsia" w:ascii="Times New Roman" w:hAnsi="Times New Roman" w:cs="Times New Roman"/>
                <w:b/>
                <w:color w:val="000000" w:themeColor="text1"/>
                <w14:textFill>
                  <w14:solidFill>
                    <w14:schemeClr w14:val="tx1"/>
                  </w14:solidFill>
                </w14:textFill>
              </w:rPr>
              <w:t xml:space="preserve">6. </w:t>
            </w:r>
            <w:r>
              <w:rPr>
                <w:rFonts w:ascii="Times New Roman" w:hAnsi="Times New Roman" w:cs="Times New Roman"/>
                <w:b/>
                <w:color w:val="000000" w:themeColor="text1"/>
                <w14:textFill>
                  <w14:solidFill>
                    <w14:schemeClr w14:val="tx1"/>
                  </w14:solidFill>
                </w14:textFill>
              </w:rPr>
              <w:t>建设内容</w:t>
            </w:r>
          </w:p>
          <w:p w14:paraId="6E309A4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本项目主要包括罐区、泵棚、装卸车台、</w:t>
            </w:r>
            <w:r>
              <w:rPr>
                <w:rFonts w:hint="eastAsia" w:ascii="Times New Roman" w:hAnsi="Times New Roman" w:cs="Times New Roman"/>
                <w:color w:val="000000" w:themeColor="text1"/>
                <w14:textFill>
                  <w14:solidFill>
                    <w14:schemeClr w14:val="tx1"/>
                  </w14:solidFill>
                </w14:textFill>
              </w:rPr>
              <w:t>管廊</w:t>
            </w:r>
            <w:r>
              <w:rPr>
                <w:rFonts w:ascii="Times New Roman" w:hAnsi="Times New Roman" w:cs="Times New Roman"/>
                <w:color w:val="000000" w:themeColor="text1"/>
                <w14:textFill>
                  <w14:solidFill>
                    <w14:schemeClr w14:val="tx1"/>
                  </w14:solidFill>
                </w14:textFill>
              </w:rPr>
              <w:t>等配套设施，具体设置情况见表2-1。</w:t>
            </w:r>
          </w:p>
          <w:p w14:paraId="3ED91E03">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表2-1 项目工程组成一览表</w:t>
            </w:r>
          </w:p>
          <w:tbl>
            <w:tblPr>
              <w:tblStyle w:val="88"/>
              <w:tblW w:w="87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567"/>
              <w:gridCol w:w="1049"/>
              <w:gridCol w:w="6200"/>
              <w:gridCol w:w="902"/>
            </w:tblGrid>
            <w:tr w14:paraId="48306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Align w:val="center"/>
                </w:tcPr>
                <w:p w14:paraId="45FCB656">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工程</w:t>
                  </w:r>
                </w:p>
              </w:tc>
              <w:tc>
                <w:tcPr>
                  <w:tcW w:w="1049" w:type="dxa"/>
                  <w:vAlign w:val="center"/>
                </w:tcPr>
                <w:p w14:paraId="0967C153">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工程名称</w:t>
                  </w:r>
                </w:p>
              </w:tc>
              <w:tc>
                <w:tcPr>
                  <w:tcW w:w="6200" w:type="dxa"/>
                  <w:vAlign w:val="center"/>
                </w:tcPr>
                <w:p w14:paraId="2C6F0147">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项目建设内容</w:t>
                  </w:r>
                </w:p>
              </w:tc>
              <w:tc>
                <w:tcPr>
                  <w:tcW w:w="902" w:type="dxa"/>
                </w:tcPr>
                <w:p w14:paraId="5E4422ED">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备注</w:t>
                  </w:r>
                </w:p>
              </w:tc>
            </w:tr>
            <w:tr w14:paraId="39C45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3" w:hRule="atLeast"/>
              </w:trPr>
              <w:tc>
                <w:tcPr>
                  <w:tcW w:w="567" w:type="dxa"/>
                  <w:vMerge w:val="restart"/>
                  <w:vAlign w:val="center"/>
                </w:tcPr>
                <w:p w14:paraId="21E4704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主体工程</w:t>
                  </w:r>
                </w:p>
              </w:tc>
              <w:tc>
                <w:tcPr>
                  <w:tcW w:w="1049" w:type="dxa"/>
                  <w:vAlign w:val="center"/>
                </w:tcPr>
                <w:p w14:paraId="7EAE3C6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1#储罐组</w:t>
                  </w:r>
                </w:p>
              </w:tc>
              <w:tc>
                <w:tcPr>
                  <w:tcW w:w="6200" w:type="dxa"/>
                  <w:vAlign w:val="center"/>
                </w:tcPr>
                <w:p w14:paraId="1FC68DC5">
                  <w:pPr>
                    <w:adjustRightInd w:val="0"/>
                    <w:snapToGrid w:val="0"/>
                    <w:jc w:val="both"/>
                    <w:rPr>
                      <w:rFonts w:ascii="Times New Roman" w:hAnsi="Times New Roman" w:cs="Times New Roman"/>
                      <w:color w:val="000000" w:themeColor="text1"/>
                      <w:sz w:val="21"/>
                      <w:szCs w:val="28"/>
                      <w14:textFill>
                        <w14:solidFill>
                          <w14:schemeClr w14:val="tx1"/>
                        </w14:solidFill>
                      </w14:textFill>
                    </w:rPr>
                  </w:pPr>
                  <w:r>
                    <w:rPr>
                      <w:rFonts w:hint="eastAsia" w:ascii="Times New Roman" w:hAnsi="Times New Roman" w:cs="Times New Roman"/>
                      <w:color w:val="000000" w:themeColor="text1"/>
                      <w:sz w:val="21"/>
                      <w:szCs w:val="28"/>
                      <w14:textFill>
                        <w14:solidFill>
                          <w14:schemeClr w14:val="tx1"/>
                        </w14:solidFill>
                      </w14:textFill>
                    </w:rPr>
                    <w:t>占地面积2754.2m</w:t>
                  </w:r>
                  <w:r>
                    <w:rPr>
                      <w:rFonts w:hint="eastAsia" w:ascii="Times New Roman" w:hAnsi="Times New Roman" w:cs="Times New Roman"/>
                      <w:color w:val="000000" w:themeColor="text1"/>
                      <w:sz w:val="21"/>
                      <w:szCs w:val="28"/>
                      <w:vertAlign w:val="superscript"/>
                      <w14:textFill>
                        <w14:solidFill>
                          <w14:schemeClr w14:val="tx1"/>
                        </w14:solidFill>
                      </w14:textFill>
                    </w:rPr>
                    <w:t>2</w:t>
                  </w:r>
                  <w:r>
                    <w:rPr>
                      <w:rFonts w:hint="eastAsia" w:ascii="Times New Roman" w:hAnsi="Times New Roman" w:cs="Times New Roman"/>
                      <w:color w:val="000000" w:themeColor="text1"/>
                      <w:sz w:val="21"/>
                      <w:szCs w:val="28"/>
                      <w14:textFill>
                        <w14:solidFill>
                          <w14:schemeClr w14:val="tx1"/>
                        </w14:solidFill>
                      </w14:textFill>
                    </w:rPr>
                    <w:t>，新建2台5000m</w:t>
                  </w:r>
                  <w:r>
                    <w:rPr>
                      <w:rFonts w:hint="eastAsia" w:ascii="Times New Roman" w:hAnsi="Times New Roman" w:cs="Times New Roman"/>
                      <w:color w:val="000000" w:themeColor="text1"/>
                      <w:sz w:val="21"/>
                      <w:szCs w:val="28"/>
                      <w:vertAlign w:val="superscript"/>
                      <w14:textFill>
                        <w14:solidFill>
                          <w14:schemeClr w14:val="tx1"/>
                        </w14:solidFill>
                      </w14:textFill>
                    </w:rPr>
                    <w:t>3</w:t>
                  </w:r>
                  <w:r>
                    <w:rPr>
                      <w:rFonts w:hint="eastAsia" w:ascii="Times New Roman" w:hAnsi="Times New Roman" w:cs="Times New Roman"/>
                      <w:color w:val="000000" w:themeColor="text1"/>
                      <w:sz w:val="21"/>
                      <w:szCs w:val="28"/>
                      <w14:textFill>
                        <w14:solidFill>
                          <w14:schemeClr w14:val="tx1"/>
                        </w14:solidFill>
                      </w14:textFill>
                    </w:rPr>
                    <w:t>苯酚储罐，每个储罐之间设置0.8m高的隔堤，整个罐区设置1.4m高的防火堤。</w:t>
                  </w:r>
                </w:p>
              </w:tc>
              <w:tc>
                <w:tcPr>
                  <w:tcW w:w="902" w:type="dxa"/>
                  <w:vAlign w:val="center"/>
                </w:tcPr>
                <w:p w14:paraId="1094A99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35711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6B25E35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68E8820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2#储罐组</w:t>
                  </w:r>
                </w:p>
              </w:tc>
              <w:tc>
                <w:tcPr>
                  <w:tcW w:w="6200" w:type="dxa"/>
                  <w:vAlign w:val="center"/>
                </w:tcPr>
                <w:p w14:paraId="42A39995">
                  <w:pPr>
                    <w:adjustRightInd w:val="0"/>
                    <w:snapToGrid w:val="0"/>
                    <w:jc w:val="both"/>
                    <w:rPr>
                      <w:rFonts w:ascii="Times New Roman" w:hAnsi="Times New Roman" w:cs="Times New Roman"/>
                      <w:color w:val="000000" w:themeColor="text1"/>
                      <w:sz w:val="21"/>
                      <w:szCs w:val="28"/>
                      <w14:textFill>
                        <w14:solidFill>
                          <w14:schemeClr w14:val="tx1"/>
                        </w14:solidFill>
                      </w14:textFill>
                    </w:rPr>
                  </w:pPr>
                  <w:r>
                    <w:rPr>
                      <w:rFonts w:hint="eastAsia" w:ascii="Times New Roman" w:hAnsi="Times New Roman" w:cs="Times New Roman"/>
                      <w:color w:val="000000" w:themeColor="text1"/>
                      <w:sz w:val="21"/>
                      <w:szCs w:val="28"/>
                      <w14:textFill>
                        <w14:solidFill>
                          <w14:schemeClr w14:val="tx1"/>
                        </w14:solidFill>
                      </w14:textFill>
                    </w:rPr>
                    <w:t>占地面积4970m</w:t>
                  </w:r>
                  <w:r>
                    <w:rPr>
                      <w:rFonts w:hint="eastAsia" w:ascii="Times New Roman" w:hAnsi="Times New Roman" w:cs="Times New Roman"/>
                      <w:color w:val="000000" w:themeColor="text1"/>
                      <w:sz w:val="21"/>
                      <w:szCs w:val="28"/>
                      <w:vertAlign w:val="superscript"/>
                      <w14:textFill>
                        <w14:solidFill>
                          <w14:schemeClr w14:val="tx1"/>
                        </w14:solidFill>
                      </w14:textFill>
                    </w:rPr>
                    <w:t>2</w:t>
                  </w:r>
                  <w:r>
                    <w:rPr>
                      <w:rFonts w:hint="eastAsia" w:ascii="Times New Roman" w:hAnsi="Times New Roman" w:cs="Times New Roman"/>
                      <w:color w:val="000000" w:themeColor="text1"/>
                      <w:sz w:val="21"/>
                      <w:szCs w:val="28"/>
                      <w14:textFill>
                        <w14:solidFill>
                          <w14:schemeClr w14:val="tx1"/>
                        </w14:solidFill>
                      </w14:textFill>
                    </w:rPr>
                    <w:t>，新建1台15000m</w:t>
                  </w:r>
                  <w:r>
                    <w:rPr>
                      <w:rFonts w:hint="eastAsia" w:ascii="Times New Roman" w:hAnsi="Times New Roman" w:cs="Times New Roman"/>
                      <w:color w:val="000000" w:themeColor="text1"/>
                      <w:sz w:val="21"/>
                      <w:szCs w:val="28"/>
                      <w:vertAlign w:val="superscript"/>
                      <w14:textFill>
                        <w14:solidFill>
                          <w14:schemeClr w14:val="tx1"/>
                        </w14:solidFill>
                      </w14:textFill>
                    </w:rPr>
                    <w:t>3</w:t>
                  </w:r>
                  <w:r>
                    <w:rPr>
                      <w:rFonts w:hint="eastAsia" w:ascii="Times New Roman" w:hAnsi="Times New Roman" w:cs="Times New Roman"/>
                      <w:color w:val="000000" w:themeColor="text1"/>
                      <w:sz w:val="21"/>
                      <w:szCs w:val="28"/>
                      <w14:textFill>
                        <w14:solidFill>
                          <w14:schemeClr w14:val="tx1"/>
                        </w14:solidFill>
                      </w14:textFill>
                    </w:rPr>
                    <w:t>苯酚储罐，罐区设置1.4m高的防火堤。</w:t>
                  </w:r>
                </w:p>
              </w:tc>
              <w:tc>
                <w:tcPr>
                  <w:tcW w:w="902" w:type="dxa"/>
                  <w:vAlign w:val="center"/>
                </w:tcPr>
                <w:p w14:paraId="521CA30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072C5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02D60A1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16E8759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4#储罐组</w:t>
                  </w:r>
                </w:p>
              </w:tc>
              <w:tc>
                <w:tcPr>
                  <w:tcW w:w="6200" w:type="dxa"/>
                  <w:vAlign w:val="center"/>
                </w:tcPr>
                <w:p w14:paraId="6BA85833">
                  <w:pPr>
                    <w:adjustRightInd w:val="0"/>
                    <w:snapToGrid w:val="0"/>
                    <w:jc w:val="both"/>
                    <w:rPr>
                      <w:rFonts w:ascii="Times New Roman" w:hAnsi="Times New Roman" w:cs="Times New Roman"/>
                      <w:color w:val="000000" w:themeColor="text1"/>
                      <w:sz w:val="21"/>
                      <w:szCs w:val="28"/>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占地面积4316.0m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，设有5000m</w:t>
                  </w:r>
                  <w:r>
                    <w:rPr>
                      <w:rFonts w:hint="eastAsia" w:ascii="Times New Roman" w:hAnsi="Times New Roman" w:cs="Times New Roman"/>
                      <w:color w:val="000000" w:themeColor="text1"/>
                      <w:sz w:val="21"/>
                      <w:szCs w:val="21"/>
                      <w:vertAlign w:val="superscript"/>
                      <w14:textFill>
                        <w14:solidFill>
                          <w14:schemeClr w14:val="tx1"/>
                        </w14:solidFill>
                      </w14:textFill>
                    </w:rPr>
                    <w:t>3</w:t>
                  </w:r>
                  <w:r>
                    <w:rPr>
                      <w:rFonts w:hint="eastAsia" w:ascii="Times New Roman" w:hAnsi="Times New Roman" w:cs="Times New Roman"/>
                      <w:color w:val="000000" w:themeColor="text1"/>
                      <w:sz w:val="21"/>
                      <w:szCs w:val="21"/>
                      <w14:textFill>
                        <w14:solidFill>
                          <w14:schemeClr w14:val="tx1"/>
                        </w14:solidFill>
                      </w14:textFill>
                    </w:rPr>
                    <w:t>固定顶罐3座，</w:t>
                  </w:r>
                  <w:r>
                    <w:rPr>
                      <w:rFonts w:hint="eastAsia" w:ascii="Times New Roman" w:hAnsi="Times New Roman" w:cs="Times New Roman"/>
                      <w:color w:val="000000" w:themeColor="text1"/>
                      <w:sz w:val="21"/>
                      <w:szCs w:val="28"/>
                      <w14:textFill>
                        <w14:solidFill>
                          <w14:schemeClr w14:val="tx1"/>
                        </w14:solidFill>
                      </w14:textFill>
                    </w:rPr>
                    <w:t>每个储罐之间设置0.8m高的隔堤，整个罐区设置1.4m高的防火堤。</w:t>
                  </w:r>
                </w:p>
              </w:tc>
              <w:tc>
                <w:tcPr>
                  <w:tcW w:w="902" w:type="dxa"/>
                  <w:vAlign w:val="center"/>
                </w:tcPr>
                <w:p w14:paraId="68EF8BC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新建</w:t>
                  </w:r>
                </w:p>
              </w:tc>
            </w:tr>
            <w:tr w14:paraId="257E2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12F639E6">
                  <w:pPr>
                    <w:adjustRightInd w:val="0"/>
                    <w:snapToGrid w:val="0"/>
                    <w:jc w:val="center"/>
                    <w:rPr>
                      <w:rFonts w:ascii="Times New Roman" w:hAnsi="Times New Roman" w:cs="Times New Roman"/>
                      <w:color w:val="FF0000"/>
                      <w:sz w:val="21"/>
                      <w:szCs w:val="21"/>
                    </w:rPr>
                  </w:pPr>
                </w:p>
              </w:tc>
              <w:tc>
                <w:tcPr>
                  <w:tcW w:w="1049" w:type="dxa"/>
                  <w:vAlign w:val="center"/>
                </w:tcPr>
                <w:p w14:paraId="5EAFB81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汽车装卸区</w:t>
                  </w:r>
                </w:p>
              </w:tc>
              <w:tc>
                <w:tcPr>
                  <w:tcW w:w="6200" w:type="dxa"/>
                  <w:vAlign w:val="center"/>
                </w:tcPr>
                <w:p w14:paraId="0DDE9247">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装卸区域占地约4687m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，包含一座装车棚、一栋门卫/地磅房、一台地磅。装车棚占地约372.6m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，设置液硫装卸臂2台，</w:t>
                  </w:r>
                  <w:r>
                    <w:rPr>
                      <w:color w:val="000000" w:themeColor="text1"/>
                      <w:sz w:val="21"/>
                      <w:szCs w:val="21"/>
                      <w14:textFill>
                        <w14:solidFill>
                          <w14:schemeClr w14:val="tx1"/>
                        </w14:solidFill>
                      </w14:textFill>
                    </w:rPr>
                    <w:t>液硫装卸车位</w:t>
                  </w:r>
                  <w:r>
                    <w:rPr>
                      <w:rFonts w:hint="eastAsia"/>
                      <w:color w:val="000000" w:themeColor="text1"/>
                      <w:sz w:val="21"/>
                      <w:szCs w:val="21"/>
                      <w14:textFill>
                        <w14:solidFill>
                          <w14:schemeClr w14:val="tx1"/>
                        </w14:solidFill>
                      </w14:textFill>
                    </w:rPr>
                    <w:t>2个；设置</w:t>
                  </w:r>
                  <w:r>
                    <w:rPr>
                      <w:rFonts w:hint="eastAsia" w:ascii="Times New Roman" w:hAnsi="Times New Roman" w:cs="Times New Roman"/>
                      <w:color w:val="000000" w:themeColor="text1"/>
                      <w:sz w:val="21"/>
                      <w:szCs w:val="21"/>
                      <w14:textFill>
                        <w14:solidFill>
                          <w14:schemeClr w14:val="tx1"/>
                        </w14:solidFill>
                      </w14:textFill>
                    </w:rPr>
                    <w:t>硫酸装卸臂1台，硫酸装卸车位1个；设置液碱装卸臂1台，液碱装卸车位1个；设置己内酰胺卸车泵2台，卸车位2个。</w:t>
                  </w:r>
                </w:p>
              </w:tc>
              <w:tc>
                <w:tcPr>
                  <w:tcW w:w="902" w:type="dxa"/>
                  <w:vAlign w:val="center"/>
                </w:tcPr>
                <w:p w14:paraId="302C489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1E554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5" w:hRule="atLeast"/>
              </w:trPr>
              <w:tc>
                <w:tcPr>
                  <w:tcW w:w="567" w:type="dxa"/>
                  <w:vMerge w:val="restart"/>
                  <w:vAlign w:val="center"/>
                </w:tcPr>
                <w:p w14:paraId="66AB393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辅助工程</w:t>
                  </w:r>
                </w:p>
              </w:tc>
              <w:tc>
                <w:tcPr>
                  <w:tcW w:w="1049" w:type="dxa"/>
                  <w:vAlign w:val="center"/>
                </w:tcPr>
                <w:p w14:paraId="096ED19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1#罐组</w:t>
                  </w:r>
                </w:p>
                <w:p w14:paraId="6E4EDF3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泵棚</w:t>
                  </w:r>
                </w:p>
              </w:tc>
              <w:tc>
                <w:tcPr>
                  <w:tcW w:w="6200" w:type="dxa"/>
                  <w:vAlign w:val="center"/>
                </w:tcPr>
                <w:p w14:paraId="6C4963E7">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占地面积45m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，设置2台苯酚输送泵。</w:t>
                  </w:r>
                </w:p>
              </w:tc>
              <w:tc>
                <w:tcPr>
                  <w:tcW w:w="902" w:type="dxa"/>
                  <w:vAlign w:val="center"/>
                </w:tcPr>
                <w:p w14:paraId="2F89A4B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329B1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21F9F74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0C10C2A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2#罐组</w:t>
                  </w:r>
                </w:p>
                <w:p w14:paraId="14EBF2F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泵棚</w:t>
                  </w:r>
                </w:p>
              </w:tc>
              <w:tc>
                <w:tcPr>
                  <w:tcW w:w="6200" w:type="dxa"/>
                  <w:vAlign w:val="center"/>
                </w:tcPr>
                <w:p w14:paraId="6DB83637">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占地面积约265m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，设置1个热水罐，2台热水泵，2台己内酰胺装船泵，1台循环泵。</w:t>
                  </w:r>
                </w:p>
              </w:tc>
              <w:tc>
                <w:tcPr>
                  <w:tcW w:w="902" w:type="dxa"/>
                  <w:vAlign w:val="center"/>
                </w:tcPr>
                <w:p w14:paraId="6993C5E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586A1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0FB378B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205D9E6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4#罐组</w:t>
                  </w:r>
                </w:p>
                <w:p w14:paraId="5A3EC58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泵棚</w:t>
                  </w:r>
                </w:p>
              </w:tc>
              <w:tc>
                <w:tcPr>
                  <w:tcW w:w="6200" w:type="dxa"/>
                  <w:vAlign w:val="center"/>
                </w:tcPr>
                <w:p w14:paraId="0F7AC631">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占地面积</w:t>
                  </w:r>
                  <w:r>
                    <w:rPr>
                      <w:rFonts w:hint="eastAsia" w:ascii="Times New Roman" w:hAnsi="Times New Roman" w:cs="Times New Roman"/>
                      <w:color w:val="000000" w:themeColor="text1"/>
                      <w:sz w:val="21"/>
                      <w:szCs w:val="21"/>
                      <w14:textFill>
                        <w14:solidFill>
                          <w14:schemeClr w14:val="tx1"/>
                        </w14:solidFill>
                      </w14:textFill>
                    </w:rPr>
                    <w:t>178.0</w:t>
                  </w:r>
                  <w:r>
                    <w:rPr>
                      <w:rFonts w:ascii="Times New Roman" w:hAnsi="Times New Roman" w:cs="Times New Roman"/>
                      <w:color w:val="000000" w:themeColor="text1"/>
                      <w:sz w:val="21"/>
                      <w:szCs w:val="21"/>
                      <w14:textFill>
                        <w14:solidFill>
                          <w14:schemeClr w14:val="tx1"/>
                        </w14:solidFill>
                      </w14:textFill>
                    </w:rPr>
                    <w:t>m</w:t>
                  </w:r>
                  <w:r>
                    <w:rPr>
                      <w:rFonts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，位于4#储罐组东侧</w:t>
                  </w:r>
                </w:p>
              </w:tc>
              <w:tc>
                <w:tcPr>
                  <w:tcW w:w="902" w:type="dxa"/>
                  <w:vAlign w:val="center"/>
                </w:tcPr>
                <w:p w14:paraId="2772FB2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新建</w:t>
                  </w:r>
                </w:p>
              </w:tc>
            </w:tr>
            <w:tr w14:paraId="5FFCF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0FDAC73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76EC1E6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管道工程</w:t>
                  </w:r>
                </w:p>
              </w:tc>
              <w:tc>
                <w:tcPr>
                  <w:tcW w:w="6200" w:type="dxa"/>
                  <w:vAlign w:val="center"/>
                </w:tcPr>
                <w:p w14:paraId="45E58A34">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占地面积</w:t>
                  </w:r>
                  <w:r>
                    <w:rPr>
                      <w:rFonts w:hint="eastAsia" w:ascii="Times New Roman" w:hAnsi="Times New Roman" w:cs="Times New Roman"/>
                      <w:color w:val="000000" w:themeColor="text1"/>
                      <w:sz w:val="21"/>
                      <w:szCs w:val="21"/>
                      <w14:textFill>
                        <w14:solidFill>
                          <w14:schemeClr w14:val="tx1"/>
                        </w14:solidFill>
                      </w14:textFill>
                    </w:rPr>
                    <w:t>约1000</w:t>
                  </w:r>
                  <w:r>
                    <w:rPr>
                      <w:rFonts w:ascii="Times New Roman" w:hAnsi="Times New Roman" w:cs="Times New Roman"/>
                      <w:color w:val="000000" w:themeColor="text1"/>
                      <w:sz w:val="21"/>
                      <w:szCs w:val="21"/>
                      <w14:textFill>
                        <w14:solidFill>
                          <w14:schemeClr w14:val="tx1"/>
                        </w14:solidFill>
                      </w14:textFill>
                    </w:rPr>
                    <w:t>m</w:t>
                  </w:r>
                  <w:r>
                    <w:rPr>
                      <w:rFonts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液硫、发烟硫酸/98%硫酸、液碱、苯酚、己内酰胺储运工程管道连接储罐区、汽车装卸区和泊位码头区域。新建1条DN250油品输送管线(与丰之力新能源管线相连，以项目红线为边界)，改造1条原有DN200苯管线作为苯乙烯输送管线(与骅桥新材料管线相连，以项目红线为边界)。</w:t>
                  </w:r>
                </w:p>
              </w:tc>
              <w:tc>
                <w:tcPr>
                  <w:tcW w:w="902" w:type="dxa"/>
                  <w:vAlign w:val="center"/>
                </w:tcPr>
                <w:p w14:paraId="34B55AE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新建</w:t>
                  </w:r>
                </w:p>
              </w:tc>
            </w:tr>
            <w:tr w14:paraId="4BDBD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13081DB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3D6025F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伴热装置</w:t>
                  </w:r>
                </w:p>
              </w:tc>
              <w:tc>
                <w:tcPr>
                  <w:tcW w:w="6200" w:type="dxa"/>
                  <w:vAlign w:val="center"/>
                </w:tcPr>
                <w:p w14:paraId="1E0820A8">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所有液硫设备、管道均设置集肤式电伴热，保证液硫温度135~145℃，避免堵塞。</w:t>
                  </w:r>
                </w:p>
                <w:p w14:paraId="70A3427D">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硫酸管道均设置电伴热保温，保证输送温度40~50℃，避免堵塞。</w:t>
                  </w:r>
                </w:p>
                <w:p w14:paraId="6E19FB4C">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液碱管道均设置电伴热保温，保证液碱温度50~60℃，避免堵塞。</w:t>
                  </w:r>
                </w:p>
                <w:p w14:paraId="0E037744">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苯酚储罐采用热水内盘管维持储罐温度55℃，苯酚管道采用热水伴热。</w:t>
                  </w:r>
                </w:p>
                <w:p w14:paraId="00AA1DB9">
                  <w:pPr>
                    <w:pStyle w:val="86"/>
                    <w:ind w:firstLine="0" w:firstLineChars="0"/>
                  </w:pPr>
                  <w:r>
                    <w:rPr>
                      <w:rFonts w:hint="eastAsia"/>
                      <w:sz w:val="21"/>
                      <w:szCs w:val="21"/>
                    </w:rPr>
                    <w:t>己内酰胺储罐采用罐壁、罐底热水外盘管维持储罐温度80℃，库区管道采用热水夹套管伴热。</w:t>
                  </w:r>
                </w:p>
              </w:tc>
              <w:tc>
                <w:tcPr>
                  <w:tcW w:w="902" w:type="dxa"/>
                  <w:vAlign w:val="center"/>
                </w:tcPr>
                <w:p w14:paraId="0B196A0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4644A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restart"/>
                  <w:vAlign w:val="center"/>
                </w:tcPr>
                <w:p w14:paraId="0C7032D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公用工程</w:t>
                  </w:r>
                </w:p>
              </w:tc>
              <w:tc>
                <w:tcPr>
                  <w:tcW w:w="1049" w:type="dxa"/>
                  <w:vAlign w:val="center"/>
                </w:tcPr>
                <w:p w14:paraId="19B3E79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供水工程</w:t>
                  </w:r>
                </w:p>
              </w:tc>
              <w:tc>
                <w:tcPr>
                  <w:tcW w:w="6200" w:type="dxa"/>
                  <w:vAlign w:val="center"/>
                </w:tcPr>
                <w:p w14:paraId="64C4A0B2">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由开发区自来水管网引入。</w:t>
                  </w:r>
                </w:p>
              </w:tc>
              <w:tc>
                <w:tcPr>
                  <w:tcW w:w="902" w:type="dxa"/>
                  <w:vAlign w:val="center"/>
                </w:tcPr>
                <w:p w14:paraId="0198B94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0AF31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86" w:hRule="atLeast"/>
              </w:trPr>
              <w:tc>
                <w:tcPr>
                  <w:tcW w:w="567" w:type="dxa"/>
                  <w:vMerge w:val="continue"/>
                  <w:vAlign w:val="center"/>
                </w:tcPr>
                <w:p w14:paraId="44ADB04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09F1100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排水工程</w:t>
                  </w:r>
                </w:p>
              </w:tc>
              <w:tc>
                <w:tcPr>
                  <w:tcW w:w="6200" w:type="dxa"/>
                  <w:vAlign w:val="center"/>
                </w:tcPr>
                <w:p w14:paraId="5C967C8B">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雨污分流</w:t>
                  </w:r>
                  <w:r>
                    <w:rPr>
                      <w:rFonts w:hint="eastAsia" w:ascii="Times New Roman" w:hAnsi="Times New Roman" w:cs="Times New Roman"/>
                      <w:color w:val="000000" w:themeColor="text1"/>
                      <w:sz w:val="21"/>
                      <w:szCs w:val="21"/>
                      <w14:textFill>
                        <w14:solidFill>
                          <w14:schemeClr w14:val="tx1"/>
                        </w14:solidFill>
                      </w14:textFill>
                    </w:rPr>
                    <w:t>初期雨水</w:t>
                  </w:r>
                  <w:r>
                    <w:rPr>
                      <w:rFonts w:ascii="Times New Roman" w:hAnsi="Times New Roman" w:cs="Times New Roman"/>
                      <w:color w:val="000000" w:themeColor="text1"/>
                      <w:sz w:val="21"/>
                      <w:szCs w:val="21"/>
                      <w14:textFill>
                        <w14:solidFill>
                          <w14:schemeClr w14:val="tx1"/>
                        </w14:solidFill>
                      </w14:textFill>
                    </w:rPr>
                    <w:t>经过池隔油沉淀处理后交由</w:t>
                  </w:r>
                  <w:r>
                    <w:rPr>
                      <w:rFonts w:hint="eastAsia" w:ascii="Times New Roman" w:hAnsi="Times New Roman" w:cs="Times New Roman"/>
                      <w:color w:val="000000" w:themeColor="text1"/>
                      <w:sz w:val="21"/>
                      <w:szCs w:val="21"/>
                      <w14:textFill>
                        <w14:solidFill>
                          <w14:schemeClr w14:val="tx1"/>
                        </w14:solidFill>
                      </w14:textFill>
                    </w:rPr>
                    <w:t>广西恒逸新材料有限公司建设的污水处理厂</w:t>
                  </w:r>
                  <w:r>
                    <w:rPr>
                      <w:rFonts w:ascii="Times New Roman" w:hAnsi="Times New Roman" w:cs="Times New Roman"/>
                      <w:color w:val="000000" w:themeColor="text1"/>
                      <w:sz w:val="21"/>
                      <w:szCs w:val="21"/>
                      <w14:textFill>
                        <w14:solidFill>
                          <w14:schemeClr w14:val="tx1"/>
                        </w14:solidFill>
                      </w14:textFill>
                    </w:rPr>
                    <w:t>处理</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后期雨水及其他区域的一般雨水通过</w:t>
                  </w:r>
                  <w:r>
                    <w:rPr>
                      <w:rFonts w:hint="eastAsia" w:ascii="Times New Roman" w:hAnsi="Times New Roman" w:cs="Times New Roman"/>
                      <w:color w:val="000000" w:themeColor="text1"/>
                      <w:sz w:val="21"/>
                      <w:szCs w:val="21"/>
                      <w14:textFill>
                        <w14:solidFill>
                          <w14:schemeClr w14:val="tx1"/>
                        </w14:solidFill>
                      </w14:textFill>
                    </w:rPr>
                    <w:t>雨水排放管网</w:t>
                  </w:r>
                  <w:r>
                    <w:rPr>
                      <w:rFonts w:ascii="Times New Roman" w:hAnsi="Times New Roman" w:cs="Times New Roman"/>
                      <w:color w:val="000000" w:themeColor="text1"/>
                      <w:sz w:val="21"/>
                      <w:szCs w:val="21"/>
                      <w14:textFill>
                        <w14:solidFill>
                          <w14:schemeClr w14:val="tx1"/>
                        </w14:solidFill>
                      </w14:textFill>
                    </w:rPr>
                    <w:t>排至海域；</w:t>
                  </w:r>
                  <w:r>
                    <w:rPr>
                      <w:rFonts w:hint="eastAsia" w:ascii="Times New Roman" w:hAnsi="Times New Roman" w:cs="Times New Roman"/>
                      <w:color w:val="000000" w:themeColor="text1"/>
                      <w:sz w:val="21"/>
                      <w:szCs w:val="21"/>
                      <w14:textFill>
                        <w14:solidFill>
                          <w14:schemeClr w14:val="tx1"/>
                        </w14:solidFill>
                      </w14:textFill>
                    </w:rPr>
                    <w:t>己内酰胺储罐尾气水洗塔吸收废水泵经污水管网泵送至恒逸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r>
                    <w:rPr>
                      <w:rFonts w:hint="eastAsia" w:ascii="Times New Roman" w:hAnsi="Times New Roman" w:cs="Times New Roman"/>
                      <w:color w:val="000000" w:themeColor="text1"/>
                      <w:sz w:val="21"/>
                      <w:szCs w:val="21"/>
                      <w14:textFill>
                        <w14:solidFill>
                          <w14:schemeClr w14:val="tx1"/>
                        </w14:solidFill>
                      </w14:textFill>
                    </w:rPr>
                    <w:t>处理。</w:t>
                  </w:r>
                </w:p>
              </w:tc>
              <w:tc>
                <w:tcPr>
                  <w:tcW w:w="902" w:type="dxa"/>
                </w:tcPr>
                <w:p w14:paraId="036EE66C">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依托</w:t>
                  </w:r>
                  <w:r>
                    <w:rPr>
                      <w:rFonts w:hint="eastAsia" w:ascii="Times New Roman" w:hAnsi="Times New Roman" w:cs="Times New Roman"/>
                      <w:color w:val="000000" w:themeColor="text1"/>
                      <w:sz w:val="21"/>
                      <w:szCs w:val="21"/>
                      <w14:textFill>
                        <w14:solidFill>
                          <w14:schemeClr w14:val="tx1"/>
                        </w14:solidFill>
                      </w14:textFill>
                    </w:rPr>
                    <w:t>广西恒逸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p>
              </w:tc>
            </w:tr>
            <w:tr w14:paraId="3BD3B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03D5178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1D79686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供电工程</w:t>
                  </w:r>
                </w:p>
              </w:tc>
              <w:tc>
                <w:tcPr>
                  <w:tcW w:w="6200" w:type="dxa"/>
                  <w:vAlign w:val="center"/>
                </w:tcPr>
                <w:p w14:paraId="5F2A4C65">
                  <w:pPr>
                    <w:adjustRightInd w:val="0"/>
                    <w:snapToGrid w:val="0"/>
                    <w:rPr>
                      <w:rFonts w:ascii="Times New Roman" w:hAnsi="Times New Roman" w:cs="Times New Roman"/>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由园区变电站提供</w:t>
                  </w:r>
                  <w:r>
                    <w:rPr>
                      <w:rFonts w:ascii="Times New Roman" w:hAnsi="Times New Roman" w:cs="Times New Roman"/>
                      <w:color w:val="000000" w:themeColor="text1"/>
                      <w:sz w:val="21"/>
                      <w:szCs w:val="21"/>
                      <w14:textFill>
                        <w14:solidFill>
                          <w14:schemeClr w14:val="tx1"/>
                        </w14:solidFill>
                      </w14:textFill>
                    </w:rPr>
                    <w:t>。</w:t>
                  </w:r>
                </w:p>
              </w:tc>
              <w:tc>
                <w:tcPr>
                  <w:tcW w:w="902" w:type="dxa"/>
                  <w:vAlign w:val="center"/>
                </w:tcPr>
                <w:p w14:paraId="2ECFAD1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11A02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229EA7A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1D3D266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氮气系统</w:t>
                  </w:r>
                </w:p>
              </w:tc>
              <w:tc>
                <w:tcPr>
                  <w:tcW w:w="6200" w:type="dxa"/>
                  <w:vAlign w:val="center"/>
                </w:tcPr>
                <w:p w14:paraId="3D98F104">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依托钦州港金谷港区金鼓江作业区14号泊位码头（一期工程）氮气系统</w:t>
                  </w:r>
                </w:p>
              </w:tc>
              <w:tc>
                <w:tcPr>
                  <w:tcW w:w="902" w:type="dxa"/>
                </w:tcPr>
                <w:p w14:paraId="0DE1C9E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w:t>
                  </w:r>
                </w:p>
              </w:tc>
            </w:tr>
            <w:tr w14:paraId="45652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53DA056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6E87DF2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仪表空气</w:t>
                  </w:r>
                </w:p>
              </w:tc>
              <w:tc>
                <w:tcPr>
                  <w:tcW w:w="6200" w:type="dxa"/>
                  <w:vAlign w:val="center"/>
                </w:tcPr>
                <w:p w14:paraId="059F1B45">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依托钦州港金谷港区金鼓江作业区14号泊位码头（一期工程）仪表空气系统</w:t>
                  </w:r>
                </w:p>
              </w:tc>
              <w:tc>
                <w:tcPr>
                  <w:tcW w:w="902" w:type="dxa"/>
                </w:tcPr>
                <w:p w14:paraId="02994FE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w:t>
                  </w:r>
                </w:p>
              </w:tc>
            </w:tr>
            <w:tr w14:paraId="5D8A5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4178CE8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522FA98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泡沫灭火系统</w:t>
                  </w:r>
                </w:p>
              </w:tc>
              <w:tc>
                <w:tcPr>
                  <w:tcW w:w="6200" w:type="dxa"/>
                  <w:vAlign w:val="center"/>
                </w:tcPr>
                <w:p w14:paraId="17AA4F18">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依托钦州港金谷港区金鼓江作业区14号泊位码头（一期工程）泡沫灭火系统</w:t>
                  </w:r>
                </w:p>
              </w:tc>
              <w:tc>
                <w:tcPr>
                  <w:tcW w:w="902" w:type="dxa"/>
                </w:tcPr>
                <w:p w14:paraId="6489DAD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w:t>
                  </w:r>
                </w:p>
              </w:tc>
            </w:tr>
            <w:tr w14:paraId="3BAC4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9" w:hRule="atLeast"/>
              </w:trPr>
              <w:tc>
                <w:tcPr>
                  <w:tcW w:w="567" w:type="dxa"/>
                  <w:vMerge w:val="restart"/>
                  <w:vAlign w:val="center"/>
                </w:tcPr>
                <w:p w14:paraId="582C8C3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环保工程</w:t>
                  </w:r>
                </w:p>
              </w:tc>
              <w:tc>
                <w:tcPr>
                  <w:tcW w:w="1049" w:type="dxa"/>
                  <w:vMerge w:val="restart"/>
                  <w:vAlign w:val="center"/>
                </w:tcPr>
                <w:p w14:paraId="3E1E288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w:t>
                  </w:r>
                </w:p>
              </w:tc>
              <w:tc>
                <w:tcPr>
                  <w:tcW w:w="6200" w:type="dxa"/>
                  <w:vAlign w:val="center"/>
                </w:tcPr>
                <w:p w14:paraId="0EE6F730">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液硫储罐（TK-407）：储罐设置氮封系统及升华硫回收装置。液硫储罐呼吸废气经升华硫回收装置处理后，经罐顶排气口（DA001，H=15m）排放。</w:t>
                  </w:r>
                </w:p>
              </w:tc>
              <w:tc>
                <w:tcPr>
                  <w:tcW w:w="902" w:type="dxa"/>
                  <w:vMerge w:val="restart"/>
                  <w:vAlign w:val="center"/>
                </w:tcPr>
                <w:p w14:paraId="7B12A48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新建</w:t>
                  </w:r>
                </w:p>
              </w:tc>
            </w:tr>
            <w:tr w14:paraId="58964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9" w:hRule="atLeast"/>
              </w:trPr>
              <w:tc>
                <w:tcPr>
                  <w:tcW w:w="567" w:type="dxa"/>
                  <w:vMerge w:val="continue"/>
                  <w:vAlign w:val="center"/>
                </w:tcPr>
                <w:p w14:paraId="0684F625">
                  <w:pPr>
                    <w:adjustRightInd w:val="0"/>
                    <w:snapToGrid w:val="0"/>
                    <w:jc w:val="center"/>
                  </w:pPr>
                </w:p>
              </w:tc>
              <w:tc>
                <w:tcPr>
                  <w:tcW w:w="1049" w:type="dxa"/>
                  <w:vMerge w:val="continue"/>
                  <w:vAlign w:val="center"/>
                </w:tcPr>
                <w:p w14:paraId="3766E52C">
                  <w:pPr>
                    <w:adjustRightInd w:val="0"/>
                    <w:snapToGrid w:val="0"/>
                    <w:jc w:val="center"/>
                  </w:pPr>
                </w:p>
              </w:tc>
              <w:tc>
                <w:tcPr>
                  <w:tcW w:w="6200" w:type="dxa"/>
                  <w:vAlign w:val="center"/>
                </w:tcPr>
                <w:p w14:paraId="66824D07">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98%硫酸储罐（TK-408）：储罐设置氮封系统，气相管设置液封，正负压液封(V-401液封介质采用98%硫酸)，负压水封气相出口送至二级三氧化硫吸收塔进行吸收后，经二级吸收塔顶部排气口（DA002，H=15m）排放。一级吸收塔(C-401)吸收介质采用68%~98%浓硫酸，二级吸收塔(C-402)吸收介质为 0~50%的稀硫酸。当一级吸收塔内浓硫酸浓度达到98%，将部分浓硫酸送至硫酸储罐内，由二级吸收塔进行补充、稀释至68%左右；二级吸收塔补充水。</w:t>
                  </w:r>
                </w:p>
              </w:tc>
              <w:tc>
                <w:tcPr>
                  <w:tcW w:w="902" w:type="dxa"/>
                  <w:vMerge w:val="continue"/>
                  <w:vAlign w:val="center"/>
                </w:tcPr>
                <w:p w14:paraId="6D11EA7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0AB36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9" w:hRule="atLeast"/>
              </w:trPr>
              <w:tc>
                <w:tcPr>
                  <w:tcW w:w="567" w:type="dxa"/>
                  <w:vMerge w:val="continue"/>
                  <w:vAlign w:val="center"/>
                </w:tcPr>
                <w:p w14:paraId="456C6645">
                  <w:pPr>
                    <w:adjustRightInd w:val="0"/>
                    <w:snapToGrid w:val="0"/>
                    <w:jc w:val="center"/>
                  </w:pPr>
                </w:p>
              </w:tc>
              <w:tc>
                <w:tcPr>
                  <w:tcW w:w="1049" w:type="dxa"/>
                  <w:vMerge w:val="continue"/>
                  <w:vAlign w:val="center"/>
                </w:tcPr>
                <w:p w14:paraId="74CE9CC8">
                  <w:pPr>
                    <w:adjustRightInd w:val="0"/>
                    <w:snapToGrid w:val="0"/>
                    <w:jc w:val="center"/>
                  </w:pPr>
                </w:p>
              </w:tc>
              <w:tc>
                <w:tcPr>
                  <w:tcW w:w="6200" w:type="dxa"/>
                  <w:vAlign w:val="center"/>
                </w:tcPr>
                <w:p w14:paraId="454AAD7B">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苯酚储罐：储罐设置氮封系统和油气回收处理系统，处理规模</w:t>
                  </w:r>
                  <w:r>
                    <w:rPr>
                      <w:rFonts w:ascii="Times New Roman" w:hAnsi="Times New Roman" w:cs="Times New Roman"/>
                      <w:color w:val="000000" w:themeColor="text1"/>
                      <w:sz w:val="21"/>
                      <w:szCs w:val="21"/>
                      <w14:textFill>
                        <w14:solidFill>
                          <w14:schemeClr w14:val="tx1"/>
                        </w14:solidFill>
                      </w14:textFill>
                    </w:rPr>
                    <w:t>为1000Nm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w:t>
                  </w:r>
                  <w:r>
                    <w:rPr>
                      <w:rFonts w:hint="eastAsia" w:ascii="Times New Roman" w:hAnsi="Times New Roman" w:cs="Times New Roman"/>
                      <w:color w:val="000000" w:themeColor="text1"/>
                      <w:sz w:val="21"/>
                      <w:szCs w:val="21"/>
                      <w14:textFill>
                        <w14:solidFill>
                          <w14:schemeClr w14:val="tx1"/>
                        </w14:solidFill>
                      </w14:textFill>
                    </w:rPr>
                    <w:t>，尾气经活性炭吸附后经排气筒DA003（H=15m）排放。</w:t>
                  </w:r>
                </w:p>
              </w:tc>
              <w:tc>
                <w:tcPr>
                  <w:tcW w:w="902" w:type="dxa"/>
                  <w:vAlign w:val="center"/>
                </w:tcPr>
                <w:p w14:paraId="1163BBB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3F333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9" w:hRule="atLeast"/>
              </w:trPr>
              <w:tc>
                <w:tcPr>
                  <w:tcW w:w="567" w:type="dxa"/>
                  <w:vMerge w:val="continue"/>
                  <w:vAlign w:val="center"/>
                </w:tcPr>
                <w:p w14:paraId="518ED8E2">
                  <w:pPr>
                    <w:adjustRightInd w:val="0"/>
                    <w:snapToGrid w:val="0"/>
                    <w:jc w:val="center"/>
                  </w:pPr>
                </w:p>
              </w:tc>
              <w:tc>
                <w:tcPr>
                  <w:tcW w:w="1049" w:type="dxa"/>
                  <w:vMerge w:val="continue"/>
                  <w:vAlign w:val="center"/>
                </w:tcPr>
                <w:p w14:paraId="12BDECE2">
                  <w:pPr>
                    <w:adjustRightInd w:val="0"/>
                    <w:snapToGrid w:val="0"/>
                    <w:jc w:val="center"/>
                  </w:pPr>
                </w:p>
              </w:tc>
              <w:tc>
                <w:tcPr>
                  <w:tcW w:w="6200" w:type="dxa"/>
                  <w:vAlign w:val="center"/>
                </w:tcPr>
                <w:p w14:paraId="4D8221CE">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己内酰胺储罐：储罐设置氮封系统，储罐呼吸废气经水洗塔后，尾气经排气筒DA004（H=15m）排放。</w:t>
                  </w:r>
                </w:p>
              </w:tc>
              <w:tc>
                <w:tcPr>
                  <w:tcW w:w="902" w:type="dxa"/>
                  <w:vAlign w:val="center"/>
                </w:tcPr>
                <w:p w14:paraId="0C9AB48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6F505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2" w:hRule="atLeast"/>
              </w:trPr>
              <w:tc>
                <w:tcPr>
                  <w:tcW w:w="567" w:type="dxa"/>
                  <w:vMerge w:val="continue"/>
                  <w:vAlign w:val="center"/>
                </w:tcPr>
                <w:p w14:paraId="71786BC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44085FE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废水</w:t>
                  </w:r>
                </w:p>
              </w:tc>
              <w:tc>
                <w:tcPr>
                  <w:tcW w:w="6200" w:type="dxa"/>
                  <w:vAlign w:val="center"/>
                </w:tcPr>
                <w:p w14:paraId="6AB85F55">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雨污分流；初期雨水</w:t>
                  </w:r>
                  <w:r>
                    <w:rPr>
                      <w:rFonts w:hint="eastAsia" w:ascii="Times New Roman" w:hAnsi="Times New Roman" w:cs="Times New Roman"/>
                      <w:color w:val="000000" w:themeColor="text1"/>
                      <w:sz w:val="21"/>
                      <w:szCs w:val="21"/>
                      <w14:textFill>
                        <w14:solidFill>
                          <w14:schemeClr w14:val="tx1"/>
                        </w14:solidFill>
                      </w14:textFill>
                    </w:rPr>
                    <w:t>经排水沟收集至初期雨水池，再泵送至</w:t>
                  </w:r>
                  <w:r>
                    <w:rPr>
                      <w:rFonts w:ascii="Times New Roman" w:hAnsi="Times New Roman" w:cs="Times New Roman"/>
                      <w:color w:val="000000" w:themeColor="text1"/>
                      <w:sz w:val="21"/>
                      <w:szCs w:val="21"/>
                      <w14:textFill>
                        <w14:solidFill>
                          <w14:schemeClr w14:val="tx1"/>
                        </w14:solidFill>
                      </w14:textFill>
                    </w:rPr>
                    <w:t>由至</w:t>
                  </w:r>
                  <w:r>
                    <w:rPr>
                      <w:rFonts w:hint="eastAsia" w:ascii="Times New Roman" w:hAnsi="Times New Roman" w:cs="Times New Roman"/>
                      <w:color w:val="000000" w:themeColor="text1"/>
                      <w:sz w:val="21"/>
                      <w:szCs w:val="21"/>
                      <w14:textFill>
                        <w14:solidFill>
                          <w14:schemeClr w14:val="tx1"/>
                        </w14:solidFill>
                      </w14:textFill>
                    </w:rPr>
                    <w:t>广西恒逸污水处理厂</w:t>
                  </w:r>
                  <w:r>
                    <w:rPr>
                      <w:rFonts w:ascii="Times New Roman" w:hAnsi="Times New Roman" w:cs="Times New Roman"/>
                      <w:color w:val="000000" w:themeColor="text1"/>
                      <w:sz w:val="21"/>
                      <w:szCs w:val="21"/>
                      <w14:textFill>
                        <w14:solidFill>
                          <w14:schemeClr w14:val="tx1"/>
                        </w14:solidFill>
                      </w14:textFill>
                    </w:rPr>
                    <w:t>处理</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后期雨水及其他区域的一般雨水通过</w:t>
                  </w:r>
                  <w:r>
                    <w:rPr>
                      <w:rFonts w:hint="eastAsia" w:ascii="Times New Roman" w:hAnsi="Times New Roman" w:cs="Times New Roman"/>
                      <w:color w:val="000000" w:themeColor="text1"/>
                      <w:sz w:val="21"/>
                      <w:szCs w:val="21"/>
                      <w14:textFill>
                        <w14:solidFill>
                          <w14:schemeClr w14:val="tx1"/>
                        </w14:solidFill>
                      </w14:textFill>
                    </w:rPr>
                    <w:t>厂区</w:t>
                  </w:r>
                  <w:r>
                    <w:rPr>
                      <w:rFonts w:ascii="Times New Roman" w:hAnsi="Times New Roman" w:cs="Times New Roman"/>
                      <w:color w:val="000000" w:themeColor="text1"/>
                      <w:sz w:val="21"/>
                      <w:szCs w:val="21"/>
                      <w14:textFill>
                        <w14:solidFill>
                          <w14:schemeClr w14:val="tx1"/>
                        </w14:solidFill>
                      </w14:textFill>
                    </w:rPr>
                    <w:t>东侧雨水涵管排出口排入海中；</w:t>
                  </w:r>
                  <w:r>
                    <w:rPr>
                      <w:rFonts w:hint="eastAsia" w:ascii="Times New Roman" w:hAnsi="Times New Roman" w:cs="Times New Roman"/>
                      <w:color w:val="000000" w:themeColor="text1"/>
                      <w:sz w:val="21"/>
                      <w:szCs w:val="21"/>
                      <w14:textFill>
                        <w14:solidFill>
                          <w14:schemeClr w14:val="tx1"/>
                        </w14:solidFill>
                      </w14:textFill>
                    </w:rPr>
                    <w:t>己内酰胺水洗塔废水经污水管道泵送至恒逸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r>
                    <w:rPr>
                      <w:rFonts w:hint="eastAsia" w:ascii="Times New Roman" w:hAnsi="Times New Roman" w:cs="Times New Roman"/>
                      <w:color w:val="000000" w:themeColor="text1"/>
                      <w:sz w:val="21"/>
                      <w:szCs w:val="21"/>
                      <w14:textFill>
                        <w14:solidFill>
                          <w14:schemeClr w14:val="tx1"/>
                        </w14:solidFill>
                      </w14:textFill>
                    </w:rPr>
                    <w:t>处理。</w:t>
                  </w:r>
                </w:p>
              </w:tc>
              <w:tc>
                <w:tcPr>
                  <w:tcW w:w="902" w:type="dxa"/>
                </w:tcPr>
                <w:p w14:paraId="1D7E992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依托</w:t>
                  </w:r>
                  <w:r>
                    <w:rPr>
                      <w:rFonts w:hint="eastAsia" w:ascii="Times New Roman" w:hAnsi="Times New Roman" w:cs="Times New Roman"/>
                      <w:color w:val="000000" w:themeColor="text1"/>
                      <w:sz w:val="21"/>
                      <w:szCs w:val="21"/>
                      <w14:textFill>
                        <w14:solidFill>
                          <w14:schemeClr w14:val="tx1"/>
                        </w14:solidFill>
                      </w14:textFill>
                    </w:rPr>
                    <w:t>广西恒逸污水处理厂</w:t>
                  </w:r>
                </w:p>
              </w:tc>
            </w:tr>
            <w:tr w14:paraId="45551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6909CB0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7CC906F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噪声</w:t>
                  </w:r>
                </w:p>
              </w:tc>
              <w:tc>
                <w:tcPr>
                  <w:tcW w:w="6200" w:type="dxa"/>
                  <w:vAlign w:val="center"/>
                </w:tcPr>
                <w:p w14:paraId="1EDFB353">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对</w:t>
                  </w:r>
                  <w:r>
                    <w:rPr>
                      <w:rFonts w:hint="eastAsia" w:ascii="Times New Roman" w:hAnsi="Times New Roman" w:cs="Times New Roman"/>
                      <w:color w:val="000000" w:themeColor="text1"/>
                      <w:sz w:val="21"/>
                      <w:szCs w:val="21"/>
                      <w14:textFill>
                        <w14:solidFill>
                          <w14:schemeClr w14:val="tx1"/>
                        </w14:solidFill>
                      </w14:textFill>
                    </w:rPr>
                    <w:t>机</w:t>
                  </w:r>
                  <w:r>
                    <w:rPr>
                      <w:rFonts w:ascii="Times New Roman" w:hAnsi="Times New Roman" w:cs="Times New Roman"/>
                      <w:color w:val="000000" w:themeColor="text1"/>
                      <w:sz w:val="21"/>
                      <w:szCs w:val="21"/>
                      <w14:textFill>
                        <w14:solidFill>
                          <w14:schemeClr w14:val="tx1"/>
                        </w14:solidFill>
                      </w14:textFill>
                    </w:rPr>
                    <w:t>泵等高噪声设备采取减振措施；对机械的维护保养，定期检查，清理机械表面的灰尘</w:t>
                  </w:r>
                  <w:r>
                    <w:rPr>
                      <w:rFonts w:hint="eastAsia" w:ascii="Times New Roman" w:hAnsi="Times New Roman" w:cs="Times New Roman"/>
                      <w:color w:val="000000" w:themeColor="text1"/>
                      <w:sz w:val="21"/>
                      <w:szCs w:val="21"/>
                      <w14:textFill>
                        <w14:solidFill>
                          <w14:schemeClr w14:val="tx1"/>
                        </w14:solidFill>
                      </w14:textFill>
                    </w:rPr>
                    <w:t>。</w:t>
                  </w:r>
                </w:p>
              </w:tc>
              <w:tc>
                <w:tcPr>
                  <w:tcW w:w="902" w:type="dxa"/>
                  <w:vAlign w:val="center"/>
                </w:tcPr>
                <w:p w14:paraId="6031D5F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6B707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6390D81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21BF7DE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固废</w:t>
                  </w:r>
                </w:p>
              </w:tc>
              <w:tc>
                <w:tcPr>
                  <w:tcW w:w="6200" w:type="dxa"/>
                  <w:vAlign w:val="center"/>
                </w:tcPr>
                <w:p w14:paraId="14913054">
                  <w:pPr>
                    <w:pStyle w:val="137"/>
                    <w:snapToGrid w:val="0"/>
                    <w:jc w:val="both"/>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废抹布等吸附材料、废油漆、废酸、废碱、废活性炭等经</w:t>
                  </w:r>
                  <w:r>
                    <w:rPr>
                      <w:rFonts w:hint="default" w:ascii="Times New Roman" w:hAnsi="Times New Roman" w:cs="Times New Roman"/>
                      <w:color w:val="000000" w:themeColor="text1"/>
                      <w:sz w:val="21"/>
                      <w:szCs w:val="21"/>
                      <w14:textFill>
                        <w14:solidFill>
                          <w14:schemeClr w14:val="tx1"/>
                        </w14:solidFill>
                      </w14:textFill>
                    </w:rPr>
                    <w:t>统一收集后，交由具备相关资质的专业单位收集和处理；生活垃圾交由环卫部门清运处理；</w:t>
                  </w:r>
                </w:p>
              </w:tc>
              <w:tc>
                <w:tcPr>
                  <w:tcW w:w="902" w:type="dxa"/>
                  <w:vAlign w:val="center"/>
                </w:tcPr>
                <w:p w14:paraId="2E8C574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依托已建危废贮存库</w:t>
                  </w:r>
                </w:p>
              </w:tc>
            </w:tr>
            <w:tr w14:paraId="1A5AC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459C70C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7927001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环境风险防范设施</w:t>
                  </w:r>
                </w:p>
              </w:tc>
              <w:tc>
                <w:tcPr>
                  <w:tcW w:w="6200" w:type="dxa"/>
                  <w:vAlign w:val="center"/>
                </w:tcPr>
                <w:p w14:paraId="72F19F7E">
                  <w:pPr>
                    <w:pStyle w:val="137"/>
                    <w:snapToGrid w:val="0"/>
                    <w:jc w:val="both"/>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在</w:t>
                  </w:r>
                  <w:r>
                    <w:rPr>
                      <w:rFonts w:ascii="Times New Roman" w:hAnsi="Times New Roman" w:cs="Times New Roman"/>
                      <w:color w:val="000000" w:themeColor="text1"/>
                      <w:sz w:val="21"/>
                      <w:szCs w:val="21"/>
                      <w14:textFill>
                        <w14:solidFill>
                          <w14:schemeClr w14:val="tx1"/>
                        </w14:solidFill>
                      </w14:textFill>
                    </w:rPr>
                    <w:t>储罐区</w:t>
                  </w:r>
                  <w:r>
                    <w:rPr>
                      <w:rFonts w:hint="default" w:ascii="Times New Roman" w:hAnsi="Times New Roman" w:cs="Times New Roman"/>
                      <w:color w:val="000000" w:themeColor="text1"/>
                      <w:sz w:val="21"/>
                      <w:szCs w:val="21"/>
                      <w14:textFill>
                        <w14:solidFill>
                          <w14:schemeClr w14:val="tx1"/>
                        </w14:solidFill>
                      </w14:textFill>
                    </w:rPr>
                    <w:t>区域设围堰，在管廊紧急切断阀组下方设置收集坎，在</w:t>
                  </w:r>
                  <w:r>
                    <w:rPr>
                      <w:rFonts w:ascii="Times New Roman" w:hAnsi="Times New Roman" w:cs="Times New Roman"/>
                      <w:color w:val="000000" w:themeColor="text1"/>
                      <w:sz w:val="21"/>
                      <w:szCs w:val="21"/>
                      <w14:textFill>
                        <w14:solidFill>
                          <w14:schemeClr w14:val="tx1"/>
                        </w14:solidFill>
                      </w14:textFill>
                    </w:rPr>
                    <w:t>储罐区</w:t>
                  </w:r>
                  <w:r>
                    <w:rPr>
                      <w:rFonts w:hint="default" w:ascii="Times New Roman" w:hAnsi="Times New Roman" w:cs="Times New Roman"/>
                      <w:color w:val="000000" w:themeColor="text1"/>
                      <w:sz w:val="21"/>
                      <w:szCs w:val="21"/>
                      <w14:textFill>
                        <w14:solidFill>
                          <w14:schemeClr w14:val="tx1"/>
                        </w14:solidFill>
                      </w14:textFill>
                    </w:rPr>
                    <w:t>设置有毒及可燃气体监测仪，每隔一定距离设置火灾报警按钮，</w:t>
                  </w:r>
                  <w:r>
                    <w:rPr>
                      <w:rFonts w:ascii="Times New Roman" w:hAnsi="Times New Roman" w:cs="Times New Roman"/>
                      <w:color w:val="000000" w:themeColor="text1"/>
                      <w:sz w:val="21"/>
                      <w:szCs w:val="21"/>
                      <w14:textFill>
                        <w14:solidFill>
                          <w14:schemeClr w14:val="tx1"/>
                        </w14:solidFill>
                      </w14:textFill>
                    </w:rPr>
                    <w:t>在罐区及汽车装卸</w:t>
                  </w:r>
                  <w:r>
                    <w:rPr>
                      <w:rFonts w:hint="default" w:ascii="Times New Roman" w:hAnsi="Times New Roman" w:cs="Times New Roman"/>
                      <w:color w:val="000000" w:themeColor="text1"/>
                      <w:sz w:val="21"/>
                      <w:szCs w:val="21"/>
                      <w14:textFill>
                        <w14:solidFill>
                          <w14:schemeClr w14:val="tx1"/>
                        </w14:solidFill>
                      </w14:textFill>
                    </w:rPr>
                    <w:t>平台上设置一体化防爆摄像机，在后方库区消防控制室设置监视器。</w:t>
                  </w:r>
                </w:p>
              </w:tc>
              <w:tc>
                <w:tcPr>
                  <w:tcW w:w="902" w:type="dxa"/>
                  <w:vAlign w:val="center"/>
                </w:tcPr>
                <w:p w14:paraId="116B3FB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bl>
          <w:p w14:paraId="7BE5A9AD">
            <w:pPr>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hint="eastAsia" w:ascii="Times New Roman" w:hAnsi="Times New Roman" w:cs="Times New Roman"/>
                <w:b/>
                <w:color w:val="000000" w:themeColor="text1"/>
                <w14:textFill>
                  <w14:solidFill>
                    <w14:schemeClr w14:val="tx1"/>
                  </w14:solidFill>
                </w14:textFill>
              </w:rPr>
              <w:t>7.</w:t>
            </w:r>
            <w:r>
              <w:rPr>
                <w:rFonts w:ascii="Times New Roman" w:hAnsi="Times New Roman" w:cs="Times New Roman"/>
                <w:b/>
                <w:color w:val="000000" w:themeColor="text1"/>
                <w14:textFill>
                  <w14:solidFill>
                    <w14:schemeClr w14:val="tx1"/>
                  </w14:solidFill>
                </w14:textFill>
              </w:rPr>
              <w:t>平面布置</w:t>
            </w:r>
          </w:p>
          <w:p w14:paraId="27A9433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建设地位于广西重点建设的工业园区——钦州市钦州港经济技术开发区内（国家级经济技术开发区）钦州市石化产业园金鼓片区—钦州港金谷港区金鼓江作业区14号泊位工程储罐区。14号泊位工程储罐区用地纵深为 457m～460m（含库区西面园区公共管廊用地），陆域总面积139094.18</w:t>
            </w:r>
            <w:r>
              <w:rPr>
                <w:rFonts w:hint="eastAsia"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（库区实际面积为 131478.45</w:t>
            </w:r>
            <w:r>
              <w:rPr>
                <w:rFonts w:hint="eastAsia"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4C25B54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14号泊位工程储罐区分为四个区域，行政管理区和辅助区位于用地的西北部，装卸区位于用地的西南部，仓储区位于用地中东部。</w:t>
            </w:r>
          </w:p>
          <w:p w14:paraId="439F270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项目属钦州港金谷港区金鼓江作业区14号、15号泊位工程(项目代码：2018-450700-55-02-037106)中的后方储罐区工程，本项目布置于预留罐区区域内。项目由1#储罐组、2#储罐组、4#储罐组、汽车装卸、室外工程组成。项目总平面布置方案见总平面布置图（附图2）。</w:t>
            </w:r>
          </w:p>
          <w:p w14:paraId="6F5592B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1#储罐组设置2台5000m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苯酚储罐（TK-410、TK-411），2#储罐组设置1台15000m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己内酰胺储罐（TK-412），4#储罐组设置3台5000m3储罐，分别为1台液硫储罐（TK-407），1台硫酸储罐（TK-408），1台液碱储罐（TK-409）。上述储罐均设置防火堤，机泵和尾气处理装置均设置于防火堤外。</w:t>
            </w:r>
          </w:p>
          <w:p w14:paraId="78CBE47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汽车装卸区设置2套液硫装卸臂和2个液硫装车位，1套硫酸装卸臂和1个硫酸装车位，1套液碱装卸臂和1套 液碱装车位；2台己内酰胺卸车泵及2个己内酰胺卸车位。</w:t>
            </w:r>
          </w:p>
          <w:p w14:paraId="444BCA9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本项目平面布置符合《石油库设计规范》（GB50074-2014）、《建筑防火通用规范》（GB55037-2022）等的防火要求。</w:t>
            </w:r>
          </w:p>
          <w:p w14:paraId="52CA2828">
            <w:pPr>
              <w:spacing w:line="360" w:lineRule="auto"/>
              <w:ind w:firstLine="482" w:firstLineChars="200"/>
              <w:rPr>
                <w:rFonts w:ascii="Times New Roman" w:hAnsi="Times New Roman" w:cs="Times New Roman"/>
                <w:b/>
                <w:color w:val="FF0000"/>
              </w:rPr>
            </w:pPr>
            <w:r>
              <w:rPr>
                <w:rFonts w:hint="eastAsia" w:ascii="Times New Roman" w:hAnsi="Times New Roman" w:cs="Times New Roman"/>
                <w:b/>
                <w:color w:val="000000" w:themeColor="text1"/>
                <w14:textFill>
                  <w14:solidFill>
                    <w14:schemeClr w14:val="tx1"/>
                  </w14:solidFill>
                </w14:textFill>
              </w:rPr>
              <w:t>8.</w:t>
            </w:r>
            <w:r>
              <w:rPr>
                <w:rFonts w:ascii="Times New Roman" w:hAnsi="Times New Roman" w:cs="Times New Roman"/>
                <w:b/>
                <w:color w:val="000000" w:themeColor="text1"/>
                <w14:textFill>
                  <w14:solidFill>
                    <w14:schemeClr w14:val="tx1"/>
                  </w14:solidFill>
                </w14:textFill>
              </w:rPr>
              <w:t>产品及原辅材料</w:t>
            </w:r>
          </w:p>
          <w:p w14:paraId="505FF578">
            <w:pPr>
              <w:snapToGrid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项目主要进行</w:t>
            </w: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种货种的</w:t>
            </w:r>
            <w:r>
              <w:rPr>
                <w:rFonts w:hint="eastAsia" w:ascii="Times New Roman" w:hAnsi="Times New Roman" w:cs="Times New Roman"/>
                <w:color w:val="000000" w:themeColor="text1"/>
                <w14:textFill>
                  <w14:solidFill>
                    <w14:schemeClr w14:val="tx1"/>
                  </w14:solidFill>
                </w14:textFill>
              </w:rPr>
              <w:t>储运</w:t>
            </w:r>
            <w:r>
              <w:rPr>
                <w:rFonts w:ascii="Times New Roman" w:hAnsi="Times New Roman" w:cs="Times New Roman"/>
                <w:color w:val="000000" w:themeColor="text1"/>
                <w14:textFill>
                  <w14:solidFill>
                    <w14:schemeClr w14:val="tx1"/>
                  </w14:solidFill>
                </w14:textFill>
              </w:rPr>
              <w:t>，货种储存于罐区</w:t>
            </w:r>
            <w:r>
              <w:rPr>
                <w:rFonts w:hint="eastAsia" w:ascii="Times New Roman" w:hAnsi="Times New Roman" w:cs="Times New Roman"/>
                <w:color w:val="000000" w:themeColor="text1"/>
                <w14:textFill>
                  <w14:solidFill>
                    <w14:schemeClr w14:val="tx1"/>
                  </w14:solidFill>
                </w14:textFill>
              </w:rPr>
              <w:t>。其中发烟硫酸和98%硫酸共用储罐TK-408，根据储运需求进行变换，变换货种时不需清洗储罐</w:t>
            </w:r>
            <w:r>
              <w:rPr>
                <w:rFonts w:ascii="Times New Roman" w:hAnsi="Times New Roman" w:cs="Times New Roman"/>
                <w:color w:val="000000" w:themeColor="text1"/>
                <w14:textFill>
                  <w14:solidFill>
                    <w14:schemeClr w14:val="tx1"/>
                  </w14:solidFill>
                </w14:textFill>
              </w:rPr>
              <w:t>。项目主要储存、分装的货种情况如下：</w:t>
            </w:r>
          </w:p>
          <w:p w14:paraId="2C53F75F">
            <w:pPr>
              <w:tabs>
                <w:tab w:val="left" w:pos="1889"/>
                <w:tab w:val="center" w:pos="4238"/>
              </w:tabs>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b/>
                <w:bCs/>
                <w:color w:val="000000" w:themeColor="text1"/>
                <w14:textFill>
                  <w14:solidFill>
                    <w14:schemeClr w14:val="tx1"/>
                  </w14:solidFill>
                </w14:textFill>
              </w:rPr>
              <w:tab/>
            </w:r>
            <w:r>
              <w:rPr>
                <w:rFonts w:ascii="Times New Roman" w:hAnsi="Times New Roman" w:cs="Times New Roman"/>
                <w:b/>
                <w:bCs/>
                <w:color w:val="000000" w:themeColor="text1"/>
                <w14:textFill>
                  <w14:solidFill>
                    <w14:schemeClr w14:val="tx1"/>
                  </w14:solidFill>
                </w14:textFill>
              </w:rPr>
              <w:t>表2-2 项目储存货种情况一览表</w:t>
            </w:r>
          </w:p>
          <w:tbl>
            <w:tblPr>
              <w:tblStyle w:val="214"/>
              <w:tblW w:w="87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3"/>
              <w:gridCol w:w="1490"/>
              <w:gridCol w:w="1134"/>
              <w:gridCol w:w="1226"/>
              <w:gridCol w:w="1325"/>
              <w:gridCol w:w="1226"/>
              <w:gridCol w:w="851"/>
              <w:gridCol w:w="893"/>
            </w:tblGrid>
            <w:tr w14:paraId="44B74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73" w:type="dxa"/>
                  <w:vAlign w:val="center"/>
                </w:tcPr>
                <w:p w14:paraId="212DA5F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490" w:type="dxa"/>
                  <w:vAlign w:val="center"/>
                </w:tcPr>
                <w:p w14:paraId="234EDBE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货种名称</w:t>
                  </w:r>
                </w:p>
              </w:tc>
              <w:tc>
                <w:tcPr>
                  <w:tcW w:w="1134" w:type="dxa"/>
                  <w:vAlign w:val="center"/>
                </w:tcPr>
                <w:p w14:paraId="086A282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总周转量（t/a）</w:t>
                  </w:r>
                </w:p>
              </w:tc>
              <w:tc>
                <w:tcPr>
                  <w:tcW w:w="1226" w:type="dxa"/>
                  <w:vAlign w:val="center"/>
                </w:tcPr>
                <w:p w14:paraId="6C64A6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最大储存量（t）</w:t>
                  </w:r>
                </w:p>
              </w:tc>
              <w:tc>
                <w:tcPr>
                  <w:tcW w:w="1325" w:type="dxa"/>
                  <w:vAlign w:val="center"/>
                </w:tcPr>
                <w:p w14:paraId="1BC0CEE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储存位置</w:t>
                  </w:r>
                </w:p>
              </w:tc>
              <w:tc>
                <w:tcPr>
                  <w:tcW w:w="1226" w:type="dxa"/>
                  <w:vAlign w:val="center"/>
                </w:tcPr>
                <w:p w14:paraId="621D220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储罐类型</w:t>
                  </w:r>
                </w:p>
              </w:tc>
              <w:tc>
                <w:tcPr>
                  <w:tcW w:w="851" w:type="dxa"/>
                  <w:vAlign w:val="center"/>
                </w:tcPr>
                <w:p w14:paraId="19E5E87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储存温度</w:t>
                  </w:r>
                </w:p>
                <w:p w14:paraId="573A90C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w:t>
                  </w:r>
                </w:p>
              </w:tc>
              <w:tc>
                <w:tcPr>
                  <w:tcW w:w="893" w:type="dxa"/>
                  <w:vAlign w:val="center"/>
                </w:tcPr>
                <w:p w14:paraId="3E86607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储存压力</w:t>
                  </w:r>
                </w:p>
                <w:p w14:paraId="65FFDE4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（MPaG）</w:t>
                  </w:r>
                </w:p>
              </w:tc>
            </w:tr>
            <w:tr w14:paraId="0AA3C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73" w:type="dxa"/>
                  <w:vAlign w:val="center"/>
                </w:tcPr>
                <w:p w14:paraId="02400E03">
                  <w:pPr>
                    <w:pStyle w:val="200"/>
                    <w:numPr>
                      <w:ilvl w:val="0"/>
                      <w:numId w:val="10"/>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490" w:type="dxa"/>
                  <w:vAlign w:val="center"/>
                </w:tcPr>
                <w:p w14:paraId="6BD6B8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1134" w:type="dxa"/>
                  <w:vAlign w:val="center"/>
                </w:tcPr>
                <w:p w14:paraId="7D9614C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r>
                    <w:rPr>
                      <w:rFonts w:hint="eastAsia" w:ascii="Times New Roman" w:hAnsi="Times New Roman" w:cs="Times New Roman"/>
                      <w:color w:val="000000" w:themeColor="text1"/>
                      <w:sz w:val="21"/>
                      <w:szCs w:val="21"/>
                      <w14:textFill>
                        <w14:solidFill>
                          <w14:schemeClr w14:val="tx1"/>
                        </w14:solidFill>
                      </w14:textFill>
                    </w:rPr>
                    <w:t>0000</w:t>
                  </w:r>
                </w:p>
              </w:tc>
              <w:tc>
                <w:tcPr>
                  <w:tcW w:w="1226" w:type="dxa"/>
                  <w:vAlign w:val="center"/>
                </w:tcPr>
                <w:p w14:paraId="2C324F8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7200</w:t>
                  </w:r>
                </w:p>
              </w:tc>
              <w:tc>
                <w:tcPr>
                  <w:tcW w:w="1325" w:type="dxa"/>
                  <w:vAlign w:val="center"/>
                </w:tcPr>
                <w:p w14:paraId="3602837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TK-407</w:t>
                  </w:r>
                </w:p>
              </w:tc>
              <w:tc>
                <w:tcPr>
                  <w:tcW w:w="1226" w:type="dxa"/>
                  <w:vAlign w:val="center"/>
                </w:tcPr>
                <w:p w14:paraId="65FBA64F">
                  <w:pPr>
                    <w:jc w:val="center"/>
                    <w:rPr>
                      <w:rFonts w:ascii="Times New Roman" w:hAnsi="Times New Roman" w:cs="Times New Roman"/>
                      <w:color w:val="000000" w:themeColor="text1"/>
                      <w:sz w:val="21"/>
                      <w:szCs w:val="21"/>
                      <w14:textFill>
                        <w14:solidFill>
                          <w14:schemeClr w14:val="tx1"/>
                        </w14:solidFill>
                      </w14:textFill>
                    </w:rPr>
                  </w:pPr>
                  <w:r>
                    <w:rPr>
                      <w:sz w:val="21"/>
                      <w:szCs w:val="21"/>
                      <w:lang w:val="zh-CN"/>
                    </w:rPr>
                    <w:t>常压拱顶罐</w:t>
                  </w:r>
                </w:p>
              </w:tc>
              <w:tc>
                <w:tcPr>
                  <w:tcW w:w="851" w:type="dxa"/>
                  <w:vAlign w:val="center"/>
                </w:tcPr>
                <w:p w14:paraId="053A109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135~145</w:t>
                  </w:r>
                </w:p>
              </w:tc>
              <w:tc>
                <w:tcPr>
                  <w:tcW w:w="893" w:type="dxa"/>
                  <w:vAlign w:val="center"/>
                </w:tcPr>
                <w:p w14:paraId="1561006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w:t>
                  </w:r>
                </w:p>
              </w:tc>
            </w:tr>
            <w:tr w14:paraId="538EB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73" w:type="dxa"/>
                  <w:vAlign w:val="center"/>
                </w:tcPr>
                <w:p w14:paraId="1F02A079">
                  <w:pPr>
                    <w:pStyle w:val="200"/>
                    <w:numPr>
                      <w:ilvl w:val="0"/>
                      <w:numId w:val="10"/>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490" w:type="dxa"/>
                  <w:vAlign w:val="center"/>
                </w:tcPr>
                <w:p w14:paraId="57C809E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w:t>
                  </w:r>
                </w:p>
              </w:tc>
              <w:tc>
                <w:tcPr>
                  <w:tcW w:w="1134" w:type="dxa"/>
                  <w:vMerge w:val="restart"/>
                  <w:vAlign w:val="center"/>
                </w:tcPr>
                <w:p w14:paraId="1261CB8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0000</w:t>
                  </w:r>
                </w:p>
              </w:tc>
              <w:tc>
                <w:tcPr>
                  <w:tcW w:w="1226" w:type="dxa"/>
                  <w:vMerge w:val="restart"/>
                  <w:vAlign w:val="center"/>
                </w:tcPr>
                <w:p w14:paraId="2B2DBC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7340</w:t>
                  </w:r>
                </w:p>
              </w:tc>
              <w:tc>
                <w:tcPr>
                  <w:tcW w:w="1325" w:type="dxa"/>
                  <w:vMerge w:val="restart"/>
                  <w:vAlign w:val="center"/>
                </w:tcPr>
                <w:p w14:paraId="31674C5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TK-408</w:t>
                  </w:r>
                </w:p>
              </w:tc>
              <w:tc>
                <w:tcPr>
                  <w:tcW w:w="1226" w:type="dxa"/>
                  <w:vMerge w:val="restart"/>
                  <w:vAlign w:val="center"/>
                </w:tcPr>
                <w:p w14:paraId="7FD396B8">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sz w:val="21"/>
                      <w:szCs w:val="21"/>
                      <w:lang w:val="zh-CN"/>
                    </w:rPr>
                    <w:t>常压拱顶罐</w:t>
                  </w:r>
                </w:p>
              </w:tc>
              <w:tc>
                <w:tcPr>
                  <w:tcW w:w="851" w:type="dxa"/>
                  <w:vMerge w:val="restart"/>
                  <w:vAlign w:val="center"/>
                </w:tcPr>
                <w:p w14:paraId="489322BC">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893" w:type="dxa"/>
                  <w:vMerge w:val="restart"/>
                  <w:vAlign w:val="center"/>
                </w:tcPr>
                <w:p w14:paraId="021009CE">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w:t>
                  </w:r>
                </w:p>
              </w:tc>
            </w:tr>
            <w:tr w14:paraId="4C03A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73" w:type="dxa"/>
                  <w:vAlign w:val="center"/>
                </w:tcPr>
                <w:p w14:paraId="720E7C67">
                  <w:pPr>
                    <w:pStyle w:val="200"/>
                    <w:numPr>
                      <w:ilvl w:val="0"/>
                      <w:numId w:val="10"/>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490" w:type="dxa"/>
                  <w:vAlign w:val="center"/>
                </w:tcPr>
                <w:p w14:paraId="5DBDBFC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98%硫酸</w:t>
                  </w:r>
                </w:p>
              </w:tc>
              <w:tc>
                <w:tcPr>
                  <w:tcW w:w="1134" w:type="dxa"/>
                  <w:vMerge w:val="continue"/>
                  <w:vAlign w:val="center"/>
                </w:tcPr>
                <w:p w14:paraId="67312031">
                  <w:pPr>
                    <w:jc w:val="center"/>
                    <w:rPr>
                      <w:rFonts w:ascii="Times New Roman" w:hAnsi="Times New Roman" w:cs="Times New Roman"/>
                      <w:color w:val="000000" w:themeColor="text1"/>
                      <w:sz w:val="21"/>
                      <w:szCs w:val="21"/>
                      <w14:textFill>
                        <w14:solidFill>
                          <w14:schemeClr w14:val="tx1"/>
                        </w14:solidFill>
                      </w14:textFill>
                    </w:rPr>
                  </w:pPr>
                </w:p>
              </w:tc>
              <w:tc>
                <w:tcPr>
                  <w:tcW w:w="1226" w:type="dxa"/>
                  <w:vMerge w:val="continue"/>
                  <w:vAlign w:val="center"/>
                </w:tcPr>
                <w:p w14:paraId="4C08483D">
                  <w:pPr>
                    <w:jc w:val="center"/>
                    <w:rPr>
                      <w:rFonts w:ascii="Times New Roman" w:hAnsi="Times New Roman" w:cs="Times New Roman"/>
                      <w:color w:val="000000" w:themeColor="text1"/>
                      <w:sz w:val="21"/>
                      <w:szCs w:val="21"/>
                      <w14:textFill>
                        <w14:solidFill>
                          <w14:schemeClr w14:val="tx1"/>
                        </w14:solidFill>
                      </w14:textFill>
                    </w:rPr>
                  </w:pPr>
                </w:p>
              </w:tc>
              <w:tc>
                <w:tcPr>
                  <w:tcW w:w="1325" w:type="dxa"/>
                  <w:vMerge w:val="continue"/>
                  <w:vAlign w:val="center"/>
                </w:tcPr>
                <w:p w14:paraId="6FDF5743">
                  <w:pPr>
                    <w:jc w:val="center"/>
                    <w:rPr>
                      <w:rFonts w:ascii="Times New Roman" w:hAnsi="Times New Roman" w:cs="Times New Roman"/>
                      <w:color w:val="000000" w:themeColor="text1"/>
                      <w:sz w:val="21"/>
                      <w:szCs w:val="21"/>
                      <w14:textFill>
                        <w14:solidFill>
                          <w14:schemeClr w14:val="tx1"/>
                        </w14:solidFill>
                      </w14:textFill>
                    </w:rPr>
                  </w:pPr>
                </w:p>
              </w:tc>
              <w:tc>
                <w:tcPr>
                  <w:tcW w:w="1226" w:type="dxa"/>
                  <w:vMerge w:val="continue"/>
                  <w:vAlign w:val="center"/>
                </w:tcPr>
                <w:p w14:paraId="1AA58A3C">
                  <w:pPr>
                    <w:jc w:val="center"/>
                    <w:textAlignment w:val="center"/>
                    <w:rPr>
                      <w:sz w:val="21"/>
                      <w:szCs w:val="21"/>
                      <w:lang w:val="zh-CN"/>
                    </w:rPr>
                  </w:pPr>
                </w:p>
              </w:tc>
              <w:tc>
                <w:tcPr>
                  <w:tcW w:w="851" w:type="dxa"/>
                  <w:vMerge w:val="continue"/>
                  <w:vAlign w:val="center"/>
                </w:tcPr>
                <w:p w14:paraId="7748187B">
                  <w:pPr>
                    <w:jc w:val="center"/>
                    <w:textAlignment w:val="center"/>
                    <w:rPr>
                      <w:rFonts w:ascii="Times New Roman" w:hAnsi="Times New Roman" w:cs="Times New Roman"/>
                      <w:color w:val="000000" w:themeColor="text1"/>
                      <w:sz w:val="21"/>
                      <w:szCs w:val="21"/>
                      <w14:textFill>
                        <w14:solidFill>
                          <w14:schemeClr w14:val="tx1"/>
                        </w14:solidFill>
                      </w14:textFill>
                    </w:rPr>
                  </w:pPr>
                </w:p>
              </w:tc>
              <w:tc>
                <w:tcPr>
                  <w:tcW w:w="893" w:type="dxa"/>
                  <w:vMerge w:val="continue"/>
                  <w:vAlign w:val="center"/>
                </w:tcPr>
                <w:p w14:paraId="7B64CA07">
                  <w:pPr>
                    <w:jc w:val="center"/>
                    <w:textAlignment w:val="center"/>
                    <w:rPr>
                      <w:rFonts w:ascii="Times New Roman" w:hAnsi="Times New Roman" w:cs="Times New Roman"/>
                      <w:color w:val="000000" w:themeColor="text1"/>
                      <w:sz w:val="21"/>
                      <w:szCs w:val="21"/>
                      <w14:textFill>
                        <w14:solidFill>
                          <w14:schemeClr w14:val="tx1"/>
                        </w14:solidFill>
                      </w14:textFill>
                    </w:rPr>
                  </w:pPr>
                </w:p>
              </w:tc>
            </w:tr>
            <w:tr w14:paraId="1656B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73" w:type="dxa"/>
                  <w:vAlign w:val="center"/>
                </w:tcPr>
                <w:p w14:paraId="216BE7E3">
                  <w:pPr>
                    <w:pStyle w:val="200"/>
                    <w:numPr>
                      <w:ilvl w:val="0"/>
                      <w:numId w:val="10"/>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490" w:type="dxa"/>
                  <w:vAlign w:val="center"/>
                </w:tcPr>
                <w:p w14:paraId="49DECEC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w:t>
                  </w:r>
                  <w:r>
                    <w:rPr>
                      <w:rFonts w:hint="eastAsia" w:ascii="Times New Roman" w:hAnsi="Times New Roman" w:cs="Times New Roman"/>
                      <w:color w:val="000000" w:themeColor="text1"/>
                      <w:sz w:val="21"/>
                      <w:szCs w:val="21"/>
                      <w14:textFill>
                        <w14:solidFill>
                          <w14:schemeClr w14:val="tx1"/>
                        </w14:solidFill>
                      </w14:textFill>
                    </w:rPr>
                    <w:t>（48wt%）</w:t>
                  </w:r>
                </w:p>
              </w:tc>
              <w:tc>
                <w:tcPr>
                  <w:tcW w:w="1134" w:type="dxa"/>
                  <w:vAlign w:val="center"/>
                </w:tcPr>
                <w:p w14:paraId="5EC3C5C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0000</w:t>
                  </w:r>
                </w:p>
              </w:tc>
              <w:tc>
                <w:tcPr>
                  <w:tcW w:w="1226" w:type="dxa"/>
                  <w:vAlign w:val="center"/>
                </w:tcPr>
                <w:p w14:paraId="7E806F0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4947</w:t>
                  </w:r>
                </w:p>
              </w:tc>
              <w:tc>
                <w:tcPr>
                  <w:tcW w:w="1325" w:type="dxa"/>
                  <w:vAlign w:val="center"/>
                </w:tcPr>
                <w:p w14:paraId="798818C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TK-409</w:t>
                  </w:r>
                </w:p>
              </w:tc>
              <w:tc>
                <w:tcPr>
                  <w:tcW w:w="1226" w:type="dxa"/>
                  <w:vAlign w:val="center"/>
                </w:tcPr>
                <w:p w14:paraId="1176CCE4">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color w:val="000000" w:themeColor="text1"/>
                      <w:sz w:val="21"/>
                      <w:szCs w:val="21"/>
                      <w:lang w:val="zh-CN"/>
                      <w14:textFill>
                        <w14:solidFill>
                          <w14:schemeClr w14:val="tx1"/>
                        </w14:solidFill>
                      </w14:textFill>
                    </w:rPr>
                    <w:t>常压拱顶罐</w:t>
                  </w:r>
                </w:p>
              </w:tc>
              <w:tc>
                <w:tcPr>
                  <w:tcW w:w="851" w:type="dxa"/>
                  <w:vAlign w:val="center"/>
                </w:tcPr>
                <w:p w14:paraId="59F52F90">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893" w:type="dxa"/>
                  <w:vAlign w:val="center"/>
                </w:tcPr>
                <w:p w14:paraId="30360E6A">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常压</w:t>
                  </w:r>
                </w:p>
              </w:tc>
            </w:tr>
            <w:tr w14:paraId="4F043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73" w:type="dxa"/>
                  <w:vAlign w:val="center"/>
                </w:tcPr>
                <w:p w14:paraId="0BE06D06">
                  <w:pPr>
                    <w:pStyle w:val="200"/>
                    <w:numPr>
                      <w:ilvl w:val="0"/>
                      <w:numId w:val="10"/>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490" w:type="dxa"/>
                  <w:vAlign w:val="center"/>
                </w:tcPr>
                <w:p w14:paraId="60CB2AA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1134" w:type="dxa"/>
                  <w:vAlign w:val="center"/>
                </w:tcPr>
                <w:p w14:paraId="5C8FE20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200000</w:t>
                  </w:r>
                </w:p>
              </w:tc>
              <w:tc>
                <w:tcPr>
                  <w:tcW w:w="1226" w:type="dxa"/>
                  <w:vAlign w:val="center"/>
                </w:tcPr>
                <w:p w14:paraId="62B8565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9639</w:t>
                  </w:r>
                </w:p>
              </w:tc>
              <w:tc>
                <w:tcPr>
                  <w:tcW w:w="1325" w:type="dxa"/>
                  <w:vAlign w:val="center"/>
                </w:tcPr>
                <w:p w14:paraId="0F88B2A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TK-410</w:t>
                  </w:r>
                </w:p>
                <w:p w14:paraId="7BAD62A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TK-411</w:t>
                  </w:r>
                </w:p>
              </w:tc>
              <w:tc>
                <w:tcPr>
                  <w:tcW w:w="1226" w:type="dxa"/>
                  <w:vAlign w:val="center"/>
                </w:tcPr>
                <w:p w14:paraId="026AAADE">
                  <w:pPr>
                    <w:jc w:val="center"/>
                    <w:textAlignment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常压拱顶罐</w:t>
                  </w:r>
                </w:p>
              </w:tc>
              <w:tc>
                <w:tcPr>
                  <w:tcW w:w="851" w:type="dxa"/>
                  <w:vAlign w:val="center"/>
                </w:tcPr>
                <w:p w14:paraId="50253B36">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893" w:type="dxa"/>
                  <w:vAlign w:val="center"/>
                </w:tcPr>
                <w:p w14:paraId="46797BB8">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常压</w:t>
                  </w:r>
                </w:p>
              </w:tc>
            </w:tr>
            <w:tr w14:paraId="156AF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73" w:type="dxa"/>
                  <w:vAlign w:val="center"/>
                </w:tcPr>
                <w:p w14:paraId="5CCCC633">
                  <w:pPr>
                    <w:pStyle w:val="200"/>
                    <w:numPr>
                      <w:ilvl w:val="0"/>
                      <w:numId w:val="10"/>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490" w:type="dxa"/>
                  <w:vAlign w:val="center"/>
                </w:tcPr>
                <w:p w14:paraId="147A24C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1134" w:type="dxa"/>
                  <w:vAlign w:val="center"/>
                </w:tcPr>
                <w:p w14:paraId="2ABA870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224000</w:t>
                  </w:r>
                </w:p>
              </w:tc>
              <w:tc>
                <w:tcPr>
                  <w:tcW w:w="1226" w:type="dxa"/>
                  <w:vAlign w:val="center"/>
                </w:tcPr>
                <w:p w14:paraId="247046D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13810</w:t>
                  </w:r>
                </w:p>
              </w:tc>
              <w:tc>
                <w:tcPr>
                  <w:tcW w:w="1325" w:type="dxa"/>
                  <w:vAlign w:val="center"/>
                </w:tcPr>
                <w:p w14:paraId="1993B04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TK-412</w:t>
                  </w:r>
                </w:p>
              </w:tc>
              <w:tc>
                <w:tcPr>
                  <w:tcW w:w="1226" w:type="dxa"/>
                  <w:vAlign w:val="center"/>
                </w:tcPr>
                <w:p w14:paraId="1446A850">
                  <w:pPr>
                    <w:jc w:val="center"/>
                    <w:textAlignment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常压拱顶罐</w:t>
                  </w:r>
                </w:p>
              </w:tc>
              <w:tc>
                <w:tcPr>
                  <w:tcW w:w="851" w:type="dxa"/>
                  <w:vAlign w:val="center"/>
                </w:tcPr>
                <w:p w14:paraId="60DC4DF4">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c>
                <w:tcPr>
                  <w:tcW w:w="893" w:type="dxa"/>
                  <w:vAlign w:val="center"/>
                </w:tcPr>
                <w:p w14:paraId="0183959F">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常压</w:t>
                  </w:r>
                </w:p>
              </w:tc>
            </w:tr>
          </w:tbl>
          <w:p w14:paraId="1C53F31C">
            <w:pPr>
              <w:spacing w:line="360" w:lineRule="auto"/>
              <w:ind w:firstLine="480" w:firstLineChars="200"/>
              <w:rPr>
                <w:rFonts w:ascii="Times New Roman" w:hAnsi="Times New Roman" w:cs="Times New Roman"/>
              </w:rPr>
            </w:pPr>
          </w:p>
          <w:p w14:paraId="15761DB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原辅材料的理化性质：</w:t>
            </w:r>
          </w:p>
          <w:p w14:paraId="3F9EC9E3">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表2-3 项目货种理化性质一览表</w:t>
            </w:r>
          </w:p>
          <w:tbl>
            <w:tblPr>
              <w:tblStyle w:val="88"/>
              <w:tblW w:w="87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4"/>
              <w:gridCol w:w="1162"/>
              <w:gridCol w:w="1162"/>
              <w:gridCol w:w="1006"/>
              <w:gridCol w:w="1125"/>
              <w:gridCol w:w="3709"/>
            </w:tblGrid>
            <w:tr w14:paraId="0733E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554" w:type="dxa"/>
                  <w:vAlign w:val="center"/>
                </w:tcPr>
                <w:p w14:paraId="1EB3DA84">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序号</w:t>
                  </w:r>
                </w:p>
              </w:tc>
              <w:tc>
                <w:tcPr>
                  <w:tcW w:w="1162" w:type="dxa"/>
                  <w:vAlign w:val="center"/>
                </w:tcPr>
                <w:p w14:paraId="7423AE3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货种名称</w:t>
                  </w:r>
                </w:p>
              </w:tc>
              <w:tc>
                <w:tcPr>
                  <w:tcW w:w="1162" w:type="dxa"/>
                  <w:vAlign w:val="center"/>
                </w:tcPr>
                <w:p w14:paraId="0A5D33A6">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火灾类别</w:t>
                  </w:r>
                </w:p>
              </w:tc>
              <w:tc>
                <w:tcPr>
                  <w:tcW w:w="1006" w:type="dxa"/>
                  <w:vAlign w:val="center"/>
                </w:tcPr>
                <w:p w14:paraId="53AF7EB7">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密度</w:t>
                  </w:r>
                </w:p>
                <w:p w14:paraId="2EE7902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g/cm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1125" w:type="dxa"/>
                  <w:vAlign w:val="center"/>
                </w:tcPr>
                <w:p w14:paraId="5E8EBC1A">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蒸气压</w:t>
                  </w:r>
                </w:p>
                <w:p w14:paraId="789CF762">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k</w:t>
                  </w:r>
                  <w:r>
                    <w:rPr>
                      <w:rFonts w:ascii="Times New Roman" w:hAnsi="Times New Roman" w:cs="Times New Roman"/>
                      <w:color w:val="000000" w:themeColor="text1"/>
                      <w:sz w:val="21"/>
                      <w:szCs w:val="21"/>
                      <w14:textFill>
                        <w14:solidFill>
                          <w14:schemeClr w14:val="tx1"/>
                        </w14:solidFill>
                      </w14:textFill>
                    </w:rPr>
                    <w:t>Pa</w:t>
                  </w:r>
                </w:p>
              </w:tc>
              <w:tc>
                <w:tcPr>
                  <w:tcW w:w="3709" w:type="dxa"/>
                  <w:vAlign w:val="center"/>
                </w:tcPr>
                <w:p w14:paraId="6AA5CF58">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理化性质</w:t>
                  </w:r>
                </w:p>
              </w:tc>
            </w:tr>
            <w:tr w14:paraId="55435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4" w:type="dxa"/>
                  <w:vAlign w:val="center"/>
                </w:tcPr>
                <w:p w14:paraId="06F42E46">
                  <w:pPr>
                    <w:pStyle w:val="200"/>
                    <w:numPr>
                      <w:ilvl w:val="0"/>
                      <w:numId w:val="11"/>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162" w:type="dxa"/>
                  <w:vAlign w:val="center"/>
                </w:tcPr>
                <w:p w14:paraId="2A2689C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1162" w:type="dxa"/>
                  <w:vAlign w:val="center"/>
                </w:tcPr>
                <w:p w14:paraId="268577A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丙B</w:t>
                  </w:r>
                </w:p>
              </w:tc>
              <w:tc>
                <w:tcPr>
                  <w:tcW w:w="1006" w:type="dxa"/>
                  <w:vAlign w:val="center"/>
                </w:tcPr>
                <w:p w14:paraId="7C02FC1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1.92~2.17</w:t>
                  </w:r>
                </w:p>
              </w:tc>
              <w:tc>
                <w:tcPr>
                  <w:tcW w:w="1125" w:type="dxa"/>
                  <w:vAlign w:val="center"/>
                </w:tcPr>
                <w:p w14:paraId="68784F9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0.133（183.8℃）</w:t>
                  </w:r>
                </w:p>
              </w:tc>
              <w:tc>
                <w:tcPr>
                  <w:tcW w:w="3709" w:type="dxa"/>
                  <w:vAlign w:val="center"/>
                </w:tcPr>
                <w:p w14:paraId="66081701">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熔点为112.8℃，沸点为444.6℃，不溶于水，微溶于乙醇、醚，易溶于二硫化碳。</w:t>
                  </w:r>
                </w:p>
              </w:tc>
            </w:tr>
            <w:tr w14:paraId="6F07C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4" w:type="dxa"/>
                  <w:vAlign w:val="center"/>
                </w:tcPr>
                <w:p w14:paraId="22622556">
                  <w:pPr>
                    <w:pStyle w:val="200"/>
                    <w:numPr>
                      <w:ilvl w:val="0"/>
                      <w:numId w:val="11"/>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162" w:type="dxa"/>
                  <w:vAlign w:val="center"/>
                </w:tcPr>
                <w:p w14:paraId="787F30A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发烟硫酸</w:t>
                  </w:r>
                </w:p>
              </w:tc>
              <w:tc>
                <w:tcPr>
                  <w:tcW w:w="1162" w:type="dxa"/>
                  <w:vAlign w:val="center"/>
                </w:tcPr>
                <w:p w14:paraId="0A292326">
                  <w:pPr>
                    <w:jc w:val="center"/>
                    <w:rPr>
                      <w:rFonts w:ascii="Times New Roman" w:hAnsi="Times New Roman" w:cs="Times New Roman"/>
                      <w:color w:val="000000" w:themeColor="text1"/>
                      <w:sz w:val="21"/>
                      <w:szCs w:val="21"/>
                      <w:u w:val="single"/>
                      <w14:textFill>
                        <w14:solidFill>
                          <w14:schemeClr w14:val="tx1"/>
                        </w14:solidFill>
                      </w14:textFill>
                    </w:rPr>
                  </w:pPr>
                  <w:r>
                    <w:rPr>
                      <w:rFonts w:ascii="Times New Roman" w:hAnsi="Times New Roman" w:cs="Times New Roman"/>
                      <w:sz w:val="21"/>
                      <w:szCs w:val="21"/>
                    </w:rPr>
                    <w:t>乙</w:t>
                  </w:r>
                </w:p>
              </w:tc>
              <w:tc>
                <w:tcPr>
                  <w:tcW w:w="1006" w:type="dxa"/>
                  <w:vAlign w:val="center"/>
                </w:tcPr>
                <w:p w14:paraId="388010D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1.84~1.99</w:t>
                  </w:r>
                </w:p>
              </w:tc>
              <w:tc>
                <w:tcPr>
                  <w:tcW w:w="1125" w:type="dxa"/>
                  <w:vAlign w:val="center"/>
                </w:tcPr>
                <w:p w14:paraId="018ABA4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2.666</w:t>
                  </w:r>
                </w:p>
                <w:p w14:paraId="2CCF97A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p w14:paraId="360DCB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3.999</w:t>
                  </w:r>
                </w:p>
              </w:tc>
              <w:tc>
                <w:tcPr>
                  <w:tcW w:w="3709" w:type="dxa"/>
                  <w:vAlign w:val="center"/>
                </w:tcPr>
                <w:p w14:paraId="775C69B5">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熔点10.5℃，沸点330℃，遇水大量放热，可发生沸溅。与易燃物和可燃物接触会发生剧烈反应，甚至引起燃烧。有强烈的腐蚀性和吸水性。</w:t>
                  </w:r>
                </w:p>
              </w:tc>
            </w:tr>
            <w:tr w14:paraId="2D11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4" w:type="dxa"/>
                  <w:vAlign w:val="center"/>
                </w:tcPr>
                <w:p w14:paraId="3F7DD6E5">
                  <w:pPr>
                    <w:pStyle w:val="200"/>
                    <w:numPr>
                      <w:ilvl w:val="0"/>
                      <w:numId w:val="11"/>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162" w:type="dxa"/>
                  <w:vAlign w:val="center"/>
                </w:tcPr>
                <w:p w14:paraId="2D108FB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98%硫酸</w:t>
                  </w:r>
                </w:p>
              </w:tc>
              <w:tc>
                <w:tcPr>
                  <w:tcW w:w="1162" w:type="dxa"/>
                  <w:vAlign w:val="center"/>
                </w:tcPr>
                <w:p w14:paraId="66A0D082">
                  <w:pPr>
                    <w:jc w:val="center"/>
                    <w:rPr>
                      <w:rFonts w:ascii="Times New Roman" w:hAnsi="Times New Roman" w:cs="Times New Roman"/>
                      <w:color w:val="000000" w:themeColor="text1"/>
                      <w:sz w:val="21"/>
                      <w:szCs w:val="21"/>
                      <w:u w:val="single"/>
                      <w14:textFill>
                        <w14:solidFill>
                          <w14:schemeClr w14:val="tx1"/>
                        </w14:solidFill>
                      </w14:textFill>
                    </w:rPr>
                  </w:pPr>
                  <w:r>
                    <w:rPr>
                      <w:rFonts w:ascii="Times New Roman" w:hAnsi="Times New Roman" w:cs="Times New Roman"/>
                      <w:sz w:val="21"/>
                      <w:szCs w:val="21"/>
                    </w:rPr>
                    <w:t>戊</w:t>
                  </w:r>
                </w:p>
              </w:tc>
              <w:tc>
                <w:tcPr>
                  <w:tcW w:w="1006" w:type="dxa"/>
                  <w:vAlign w:val="center"/>
                </w:tcPr>
                <w:p w14:paraId="3D18ED3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1.84</w:t>
                  </w:r>
                </w:p>
              </w:tc>
              <w:tc>
                <w:tcPr>
                  <w:tcW w:w="1125" w:type="dxa"/>
                  <w:vAlign w:val="center"/>
                </w:tcPr>
                <w:p w14:paraId="4EEE01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0.13（145.8℃）</w:t>
                  </w:r>
                </w:p>
              </w:tc>
              <w:tc>
                <w:tcPr>
                  <w:tcW w:w="3709" w:type="dxa"/>
                  <w:vAlign w:val="center"/>
                </w:tcPr>
                <w:p w14:paraId="64B89312">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无色、无味、透明且黏稠的液体，熔点10℃，沸点337℃，相对密度为1.84，混溶于水，具有强腐蚀性和吸水性。</w:t>
                  </w:r>
                </w:p>
              </w:tc>
            </w:tr>
            <w:tr w14:paraId="53627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4" w:type="dxa"/>
                  <w:vAlign w:val="center"/>
                </w:tcPr>
                <w:p w14:paraId="15A08831">
                  <w:pPr>
                    <w:pStyle w:val="200"/>
                    <w:numPr>
                      <w:ilvl w:val="0"/>
                      <w:numId w:val="11"/>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162" w:type="dxa"/>
                  <w:vAlign w:val="center"/>
                </w:tcPr>
                <w:p w14:paraId="15F8D74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液碱(48wt%）</w:t>
                  </w:r>
                </w:p>
              </w:tc>
              <w:tc>
                <w:tcPr>
                  <w:tcW w:w="1162" w:type="dxa"/>
                  <w:vAlign w:val="center"/>
                </w:tcPr>
                <w:p w14:paraId="5F5B955F">
                  <w:pPr>
                    <w:jc w:val="center"/>
                    <w:rPr>
                      <w:rFonts w:ascii="Times New Roman" w:hAnsi="Times New Roman" w:cs="Times New Roman"/>
                      <w:color w:val="000000" w:themeColor="text1"/>
                      <w:sz w:val="21"/>
                      <w:szCs w:val="21"/>
                      <w:u w:val="single"/>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戊</w:t>
                  </w:r>
                </w:p>
              </w:tc>
              <w:tc>
                <w:tcPr>
                  <w:tcW w:w="1006" w:type="dxa"/>
                  <w:vAlign w:val="center"/>
                </w:tcPr>
                <w:p w14:paraId="6E7D4BF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1.51</w:t>
                  </w:r>
                </w:p>
              </w:tc>
              <w:tc>
                <w:tcPr>
                  <w:tcW w:w="1125" w:type="dxa"/>
                  <w:vAlign w:val="center"/>
                </w:tcPr>
                <w:p w14:paraId="62228A7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0.13</w:t>
                  </w:r>
                </w:p>
              </w:tc>
              <w:tc>
                <w:tcPr>
                  <w:tcW w:w="3709" w:type="dxa"/>
                  <w:vAlign w:val="center"/>
                </w:tcPr>
                <w:p w14:paraId="571A58B0">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shd w:val="clear" w:color="auto" w:fill="FFFFFF"/>
                      <w14:textFill>
                        <w14:solidFill>
                          <w14:schemeClr w14:val="tx1"/>
                        </w14:solidFill>
                      </w14:textFill>
                    </w:rPr>
                    <w:t>无色透明液体，</w:t>
                  </w:r>
                  <w:r>
                    <w:rPr>
                      <w:rFonts w:ascii="Times New Roman" w:hAnsi="Times New Roman" w:cs="Times New Roman"/>
                      <w:color w:val="000000" w:themeColor="text1"/>
                      <w:sz w:val="21"/>
                      <w:szCs w:val="21"/>
                      <w14:textFill>
                        <w14:solidFill>
                          <w14:schemeClr w14:val="tx1"/>
                        </w14:solidFill>
                      </w14:textFill>
                    </w:rPr>
                    <w:t>熔点318.4℃，沸点1390℃，凝固点11℃。在水中溶解度极高，且溶解时剧烈放热，具有强碱性和强腐蚀性。易溶于水、乙醇、甘油，不溶于丙酮、乙醚</w:t>
                  </w:r>
                </w:p>
              </w:tc>
            </w:tr>
            <w:tr w14:paraId="08C5D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4" w:type="dxa"/>
                  <w:vAlign w:val="center"/>
                </w:tcPr>
                <w:p w14:paraId="69FACA1B">
                  <w:pPr>
                    <w:pStyle w:val="200"/>
                    <w:numPr>
                      <w:ilvl w:val="0"/>
                      <w:numId w:val="11"/>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162" w:type="dxa"/>
                  <w:vAlign w:val="center"/>
                </w:tcPr>
                <w:p w14:paraId="5CD7F30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苯酚</w:t>
                  </w:r>
                </w:p>
              </w:tc>
              <w:tc>
                <w:tcPr>
                  <w:tcW w:w="1162" w:type="dxa"/>
                  <w:vAlign w:val="center"/>
                </w:tcPr>
                <w:p w14:paraId="60319BE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丙A</w:t>
                  </w:r>
                </w:p>
              </w:tc>
              <w:tc>
                <w:tcPr>
                  <w:tcW w:w="1006" w:type="dxa"/>
                  <w:vAlign w:val="center"/>
                </w:tcPr>
                <w:p w14:paraId="1F060C8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1.071</w:t>
                  </w:r>
                </w:p>
              </w:tc>
              <w:tc>
                <w:tcPr>
                  <w:tcW w:w="1125" w:type="dxa"/>
                  <w:vAlign w:val="center"/>
                </w:tcPr>
                <w:p w14:paraId="0E6E6BD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0.13（40.1℃）</w:t>
                  </w:r>
                </w:p>
              </w:tc>
              <w:tc>
                <w:tcPr>
                  <w:tcW w:w="3709" w:type="dxa"/>
                  <w:vAlign w:val="center"/>
                </w:tcPr>
                <w:p w14:paraId="7171C94C">
                  <w:pPr>
                    <w:jc w:val="both"/>
                    <w:rPr>
                      <w:rFonts w:ascii="Times New Roman" w:hAnsi="Times New Roman" w:cs="Times New Roman"/>
                      <w:color w:val="000000" w:themeColor="text1"/>
                      <w:sz w:val="21"/>
                      <w:szCs w:val="21"/>
                      <w:shd w:val="clear" w:color="auto" w:fill="FFFFFF"/>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熔点为40.6℃，沸点为181.9℃，临界温度419.2℃，临界压力6.13MPa，闪点为79℃（闭杯），引燃温度715℃，爆炸上限为9.5%，爆炸下限为1.3%，黏度3.437mPa·s (50℃)，微溶于冷水，可混溶于乙醇、醚、氯仿、甘油</w:t>
                  </w:r>
                  <w:r>
                    <w:rPr>
                      <w:rFonts w:hint="eastAsia" w:ascii="Times New Roman" w:hAnsi="Times New Roman" w:cs="Times New Roman"/>
                      <w:color w:val="000000" w:themeColor="text1"/>
                      <w:sz w:val="21"/>
                      <w:szCs w:val="21"/>
                      <w14:textFill>
                        <w14:solidFill>
                          <w14:schemeClr w14:val="tx1"/>
                        </w14:solidFill>
                      </w14:textFill>
                    </w:rPr>
                    <w:t>。</w:t>
                  </w:r>
                </w:p>
              </w:tc>
            </w:tr>
            <w:tr w14:paraId="1A22E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4" w:type="dxa"/>
                  <w:vAlign w:val="center"/>
                </w:tcPr>
                <w:p w14:paraId="787797B8">
                  <w:pPr>
                    <w:pStyle w:val="200"/>
                    <w:numPr>
                      <w:ilvl w:val="0"/>
                      <w:numId w:val="11"/>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162" w:type="dxa"/>
                  <w:vAlign w:val="center"/>
                </w:tcPr>
                <w:p w14:paraId="1A81B16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己内酰胺</w:t>
                  </w:r>
                </w:p>
              </w:tc>
              <w:tc>
                <w:tcPr>
                  <w:tcW w:w="1162" w:type="dxa"/>
                  <w:vAlign w:val="center"/>
                </w:tcPr>
                <w:p w14:paraId="7EEED19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丙A</w:t>
                  </w:r>
                </w:p>
              </w:tc>
              <w:tc>
                <w:tcPr>
                  <w:tcW w:w="1006" w:type="dxa"/>
                  <w:vAlign w:val="center"/>
                </w:tcPr>
                <w:p w14:paraId="5D88BFB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1.023</w:t>
                  </w:r>
                </w:p>
              </w:tc>
              <w:tc>
                <w:tcPr>
                  <w:tcW w:w="1125" w:type="dxa"/>
                  <w:vAlign w:val="center"/>
                </w:tcPr>
                <w:p w14:paraId="4BA2D25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0.40</w:t>
                  </w:r>
                </w:p>
                <w:p w14:paraId="386E806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c>
                <w:tcPr>
                  <w:tcW w:w="3709" w:type="dxa"/>
                  <w:vAlign w:val="center"/>
                </w:tcPr>
                <w:p w14:paraId="764D9427">
                  <w:pPr>
                    <w:rPr>
                      <w:rFonts w:ascii="Times New Roman" w:hAnsi="Times New Roman" w:cs="Times New Roman"/>
                      <w:color w:val="000000" w:themeColor="text1"/>
                      <w:sz w:val="21"/>
                      <w:szCs w:val="21"/>
                      <w:shd w:val="clear" w:color="auto" w:fill="FFFFFF"/>
                      <w14:textFill>
                        <w14:solidFill>
                          <w14:schemeClr w14:val="tx1"/>
                        </w14:solidFill>
                      </w14:textFill>
                    </w:rPr>
                  </w:pPr>
                  <w:r>
                    <w:rPr>
                      <w:rFonts w:hint="eastAsia" w:ascii="Times New Roman" w:hAnsi="Times New Roman" w:cs="Times New Roman"/>
                      <w:color w:val="000000" w:themeColor="text1"/>
                      <w:sz w:val="21"/>
                      <w:szCs w:val="21"/>
                      <w:shd w:val="clear" w:color="auto" w:fill="FFFFFF"/>
                      <w14:textFill>
                        <w14:solidFill>
                          <w14:schemeClr w14:val="tx1"/>
                        </w14:solidFill>
                      </w14:textFill>
                    </w:rPr>
                    <w:t>熔点为68~71℃，沸点为136~138℃，闪点为152℃（开杯），爆炸上限（V/V）为8%，爆炸下限（V/V）为1.4%。易溶于水、乙醇、甲醇、乙醚、四氢呋喃、甲醇、二甲基甲酰胺。</w:t>
                  </w:r>
                </w:p>
              </w:tc>
            </w:tr>
          </w:tbl>
          <w:p w14:paraId="34963A0D">
            <w:pPr>
              <w:spacing w:line="360" w:lineRule="auto"/>
              <w:ind w:left="482"/>
              <w:rPr>
                <w:rFonts w:ascii="Times New Roman" w:hAnsi="Times New Roman" w:cs="Times New Roman"/>
                <w:b/>
                <w:color w:val="000000" w:themeColor="text1"/>
                <w14:textFill>
                  <w14:solidFill>
                    <w14:schemeClr w14:val="tx1"/>
                  </w14:solidFill>
                </w14:textFill>
              </w:rPr>
            </w:pPr>
          </w:p>
          <w:p w14:paraId="359AA133">
            <w:pPr>
              <w:numPr>
                <w:ilvl w:val="0"/>
                <w:numId w:val="12"/>
              </w:numPr>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设备清单</w:t>
            </w:r>
          </w:p>
          <w:p w14:paraId="3644E1B5">
            <w:pPr>
              <w:pStyle w:val="217"/>
              <w:spacing w:after="0" w:line="240" w:lineRule="auto"/>
              <w:rPr>
                <w:rFonts w:eastAsiaTheme="minorEastAsia"/>
                <w:b w:val="0"/>
                <w:color w:val="000000" w:themeColor="text1"/>
                <w:sz w:val="24"/>
                <w:szCs w:val="24"/>
                <w14:textFill>
                  <w14:solidFill>
                    <w14:schemeClr w14:val="tx1"/>
                  </w14:solidFill>
                </w14:textFill>
              </w:rPr>
            </w:pPr>
            <w:r>
              <w:rPr>
                <w:rFonts w:eastAsiaTheme="minorEastAsia"/>
                <w:bCs/>
                <w:color w:val="000000" w:themeColor="text1"/>
                <w:sz w:val="24"/>
                <w:szCs w:val="24"/>
                <w14:textFill>
                  <w14:solidFill>
                    <w14:schemeClr w14:val="tx1"/>
                  </w14:solidFill>
                </w14:textFill>
              </w:rPr>
              <w:t>表2-4  储罐一览表</w:t>
            </w:r>
          </w:p>
          <w:tbl>
            <w:tblPr>
              <w:tblStyle w:val="88"/>
              <w:tblW w:w="8718" w:type="dxa"/>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0" w:type="dxa"/>
                <w:bottom w:w="0" w:type="dxa"/>
                <w:right w:w="0" w:type="dxa"/>
              </w:tblCellMar>
            </w:tblPr>
            <w:tblGrid>
              <w:gridCol w:w="421"/>
              <w:gridCol w:w="1413"/>
              <w:gridCol w:w="742"/>
              <w:gridCol w:w="966"/>
              <w:gridCol w:w="1276"/>
              <w:gridCol w:w="1463"/>
              <w:gridCol w:w="1282"/>
              <w:gridCol w:w="1155"/>
            </w:tblGrid>
            <w:tr w14:paraId="73671E1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679" w:hRule="atLeast"/>
              </w:trPr>
              <w:tc>
                <w:tcPr>
                  <w:tcW w:w="421" w:type="dxa"/>
                  <w:vAlign w:val="center"/>
                </w:tcPr>
                <w:p w14:paraId="056204AC">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序号</w:t>
                  </w:r>
                </w:p>
              </w:tc>
              <w:tc>
                <w:tcPr>
                  <w:tcW w:w="1413" w:type="dxa"/>
                  <w:vAlign w:val="center"/>
                </w:tcPr>
                <w:p w14:paraId="7E00103B">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介质</w:t>
                  </w:r>
                </w:p>
              </w:tc>
              <w:tc>
                <w:tcPr>
                  <w:tcW w:w="742" w:type="dxa"/>
                  <w:vAlign w:val="center"/>
                </w:tcPr>
                <w:p w14:paraId="4216B690">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容积（m</w:t>
                  </w:r>
                  <w:r>
                    <w:rPr>
                      <w:rFonts w:ascii="Times New Roman" w:hAnsi="Times New Roman" w:cs="Times New Roman"/>
                      <w:bCs w:val="0"/>
                      <w:color w:val="000000" w:themeColor="text1"/>
                      <w:sz w:val="21"/>
                      <w:szCs w:val="21"/>
                      <w:vertAlign w:val="superscript"/>
                      <w14:textFill>
                        <w14:solidFill>
                          <w14:schemeClr w14:val="tx1"/>
                        </w14:solidFill>
                      </w14:textFill>
                    </w:rPr>
                    <w:t>3</w:t>
                  </w:r>
                  <w:r>
                    <w:rPr>
                      <w:rFonts w:ascii="Times New Roman" w:hAnsi="Times New Roman" w:cs="Times New Roman"/>
                      <w:bCs w:val="0"/>
                      <w:color w:val="000000" w:themeColor="text1"/>
                      <w:sz w:val="21"/>
                      <w:szCs w:val="21"/>
                      <w14:textFill>
                        <w14:solidFill>
                          <w14:schemeClr w14:val="tx1"/>
                        </w14:solidFill>
                      </w14:textFill>
                    </w:rPr>
                    <w:t>）</w:t>
                  </w:r>
                </w:p>
              </w:tc>
              <w:tc>
                <w:tcPr>
                  <w:tcW w:w="966" w:type="dxa"/>
                  <w:vAlign w:val="center"/>
                </w:tcPr>
                <w:p w14:paraId="6684C4F0">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数量</w:t>
                  </w:r>
                </w:p>
                <w:p w14:paraId="027E5981">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（台）</w:t>
                  </w:r>
                </w:p>
              </w:tc>
              <w:tc>
                <w:tcPr>
                  <w:tcW w:w="1276" w:type="dxa"/>
                  <w:vAlign w:val="center"/>
                </w:tcPr>
                <w:p w14:paraId="6934C7E2">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储罐规格</w:t>
                  </w:r>
                </w:p>
                <w:p w14:paraId="6BF5D387">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（m）</w:t>
                  </w:r>
                </w:p>
              </w:tc>
              <w:tc>
                <w:tcPr>
                  <w:tcW w:w="1463" w:type="dxa"/>
                  <w:vAlign w:val="center"/>
                </w:tcPr>
                <w:p w14:paraId="1D69479B">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储罐形式</w:t>
                  </w:r>
                </w:p>
              </w:tc>
              <w:tc>
                <w:tcPr>
                  <w:tcW w:w="1282" w:type="dxa"/>
                  <w:vAlign w:val="center"/>
                </w:tcPr>
                <w:p w14:paraId="1FAC98C8">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储罐材质</w:t>
                  </w:r>
                </w:p>
              </w:tc>
              <w:tc>
                <w:tcPr>
                  <w:tcW w:w="1155" w:type="dxa"/>
                  <w:vAlign w:val="center"/>
                </w:tcPr>
                <w:p w14:paraId="6F0E2F3F">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压力</w:t>
                  </w:r>
                </w:p>
                <w:p w14:paraId="6BF4FE58">
                  <w:pPr>
                    <w:pStyle w:val="216"/>
                    <w:spacing w:after="0" w:line="240" w:lineRule="auto"/>
                    <w:ind w:firstLine="0" w:firstLineChars="0"/>
                    <w:rPr>
                      <w:rFonts w:ascii="Times New Roman" w:hAnsi="Times New Roman" w:cs="Times New Roman"/>
                      <w:bCs w:val="0"/>
                      <w:color w:val="000000" w:themeColor="text1"/>
                      <w:sz w:val="21"/>
                      <w:szCs w:val="21"/>
                      <w14:textFill>
                        <w14:solidFill>
                          <w14:schemeClr w14:val="tx1"/>
                        </w14:solidFill>
                      </w14:textFill>
                    </w:rPr>
                  </w:pPr>
                  <w:r>
                    <w:rPr>
                      <w:rFonts w:ascii="Times New Roman" w:hAnsi="Times New Roman" w:cs="Times New Roman"/>
                      <w:bCs w:val="0"/>
                      <w:color w:val="000000" w:themeColor="text1"/>
                      <w:sz w:val="21"/>
                      <w:szCs w:val="21"/>
                      <w14:textFill>
                        <w14:solidFill>
                          <w14:schemeClr w14:val="tx1"/>
                        </w14:solidFill>
                      </w14:textFill>
                    </w:rPr>
                    <w:t>kPa</w:t>
                  </w:r>
                </w:p>
              </w:tc>
            </w:tr>
            <w:tr w14:paraId="04509F0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417" w:hRule="atLeast"/>
              </w:trPr>
              <w:tc>
                <w:tcPr>
                  <w:tcW w:w="421" w:type="dxa"/>
                  <w:vAlign w:val="center"/>
                </w:tcPr>
                <w:p w14:paraId="69A6C52B">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1413" w:type="dxa"/>
                  <w:vAlign w:val="center"/>
                </w:tcPr>
                <w:p w14:paraId="12FE3D10">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TK</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40</w:t>
                  </w:r>
                  <w:r>
                    <w:rPr>
                      <w:rFonts w:hint="eastAsia" w:ascii="Times New Roman" w:hAnsi="Times New Roman" w:cs="Times New Roman"/>
                      <w:color w:val="000000" w:themeColor="text1"/>
                      <w:sz w:val="21"/>
                      <w:szCs w:val="21"/>
                      <w14:textFill>
                        <w14:solidFill>
                          <w14:schemeClr w14:val="tx1"/>
                        </w14:solidFill>
                      </w14:textFill>
                    </w:rPr>
                    <w:t>7</w:t>
                  </w:r>
                </w:p>
                <w:p w14:paraId="0E316A87">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w:t>
                  </w:r>
                </w:p>
              </w:tc>
              <w:tc>
                <w:tcPr>
                  <w:tcW w:w="742" w:type="dxa"/>
                  <w:vAlign w:val="center"/>
                </w:tcPr>
                <w:p w14:paraId="0C5D5330">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5000</w:t>
                  </w:r>
                </w:p>
              </w:tc>
              <w:tc>
                <w:tcPr>
                  <w:tcW w:w="966" w:type="dxa"/>
                  <w:vAlign w:val="center"/>
                </w:tcPr>
                <w:p w14:paraId="764B88B8">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1276" w:type="dxa"/>
                  <w:vAlign w:val="center"/>
                </w:tcPr>
                <w:p w14:paraId="32B41755">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Φ21×14.4</w:t>
                  </w:r>
                </w:p>
              </w:tc>
              <w:tc>
                <w:tcPr>
                  <w:tcW w:w="1463" w:type="dxa"/>
                  <w:vAlign w:val="center"/>
                </w:tcPr>
                <w:p w14:paraId="161FB542">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常压拱顶罐</w:t>
                  </w:r>
                </w:p>
              </w:tc>
              <w:tc>
                <w:tcPr>
                  <w:tcW w:w="1282" w:type="dxa"/>
                  <w:vAlign w:val="center"/>
                </w:tcPr>
                <w:p w14:paraId="1B514955">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Q345R+喷铝</w:t>
                  </w:r>
                </w:p>
              </w:tc>
              <w:tc>
                <w:tcPr>
                  <w:tcW w:w="1155" w:type="dxa"/>
                  <w:vAlign w:val="center"/>
                </w:tcPr>
                <w:p w14:paraId="3FDFE88A">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常压</w:t>
                  </w:r>
                </w:p>
              </w:tc>
            </w:tr>
            <w:tr w14:paraId="2CEC657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437" w:hRule="atLeast"/>
              </w:trPr>
              <w:tc>
                <w:tcPr>
                  <w:tcW w:w="421" w:type="dxa"/>
                  <w:vAlign w:val="center"/>
                </w:tcPr>
                <w:p w14:paraId="77E293C2">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1413" w:type="dxa"/>
                  <w:vAlign w:val="center"/>
                </w:tcPr>
                <w:p w14:paraId="74132BAC">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TK</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40</w:t>
                  </w:r>
                  <w:r>
                    <w:rPr>
                      <w:rFonts w:hint="eastAsia" w:ascii="Times New Roman" w:hAnsi="Times New Roman" w:cs="Times New Roman"/>
                      <w:color w:val="000000" w:themeColor="text1"/>
                      <w:sz w:val="21"/>
                      <w:szCs w:val="21"/>
                      <w14:textFill>
                        <w14:solidFill>
                          <w14:schemeClr w14:val="tx1"/>
                        </w14:solidFill>
                      </w14:textFill>
                    </w:rPr>
                    <w:t>8</w:t>
                  </w:r>
                </w:p>
                <w:p w14:paraId="2A4F6962">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w:t>
                  </w:r>
                  <w:r>
                    <w:rPr>
                      <w:rFonts w:hint="eastAsia" w:ascii="Times New Roman" w:hAnsi="Times New Roman" w:cs="Times New Roman"/>
                      <w:color w:val="000000" w:themeColor="text1"/>
                      <w:sz w:val="21"/>
                      <w:szCs w:val="21"/>
                      <w14:textFill>
                        <w14:solidFill>
                          <w14:schemeClr w14:val="tx1"/>
                        </w14:solidFill>
                      </w14:textFill>
                    </w:rPr>
                    <w:t>/98%硫酸</w:t>
                  </w:r>
                </w:p>
              </w:tc>
              <w:tc>
                <w:tcPr>
                  <w:tcW w:w="742" w:type="dxa"/>
                  <w:vAlign w:val="center"/>
                </w:tcPr>
                <w:p w14:paraId="52808134">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5000</w:t>
                  </w:r>
                </w:p>
              </w:tc>
              <w:tc>
                <w:tcPr>
                  <w:tcW w:w="966" w:type="dxa"/>
                  <w:vAlign w:val="center"/>
                </w:tcPr>
                <w:p w14:paraId="4DAAC30E">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1276" w:type="dxa"/>
                  <w:vAlign w:val="center"/>
                </w:tcPr>
                <w:p w14:paraId="02AAF03B">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Φ21×14.4</w:t>
                  </w:r>
                </w:p>
              </w:tc>
              <w:tc>
                <w:tcPr>
                  <w:tcW w:w="1463" w:type="dxa"/>
                  <w:vAlign w:val="center"/>
                </w:tcPr>
                <w:p w14:paraId="5CEE930A">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常压拱顶罐</w:t>
                  </w:r>
                </w:p>
              </w:tc>
              <w:tc>
                <w:tcPr>
                  <w:tcW w:w="1282" w:type="dxa"/>
                  <w:vAlign w:val="center"/>
                </w:tcPr>
                <w:p w14:paraId="616DF74F">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不锈钢316L</w:t>
                  </w:r>
                </w:p>
              </w:tc>
              <w:tc>
                <w:tcPr>
                  <w:tcW w:w="1155" w:type="dxa"/>
                  <w:vAlign w:val="center"/>
                </w:tcPr>
                <w:p w14:paraId="33E6EA57">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常压</w:t>
                  </w:r>
                </w:p>
              </w:tc>
            </w:tr>
            <w:tr w14:paraId="06C52F2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502" w:hRule="atLeast"/>
              </w:trPr>
              <w:tc>
                <w:tcPr>
                  <w:tcW w:w="421" w:type="dxa"/>
                  <w:vAlign w:val="center"/>
                </w:tcPr>
                <w:p w14:paraId="5B9BA675">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1413" w:type="dxa"/>
                  <w:vAlign w:val="center"/>
                </w:tcPr>
                <w:p w14:paraId="40E30B57">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TK</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40</w:t>
                  </w:r>
                  <w:r>
                    <w:rPr>
                      <w:rFonts w:hint="eastAsia" w:ascii="Times New Roman" w:hAnsi="Times New Roman" w:cs="Times New Roman"/>
                      <w:color w:val="000000" w:themeColor="text1"/>
                      <w:sz w:val="21"/>
                      <w:szCs w:val="21"/>
                      <w14:textFill>
                        <w14:solidFill>
                          <w14:schemeClr w14:val="tx1"/>
                        </w14:solidFill>
                      </w14:textFill>
                    </w:rPr>
                    <w:t>9</w:t>
                  </w:r>
                </w:p>
                <w:p w14:paraId="341FB805">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w:t>
                  </w:r>
                </w:p>
              </w:tc>
              <w:tc>
                <w:tcPr>
                  <w:tcW w:w="742" w:type="dxa"/>
                  <w:vAlign w:val="center"/>
                </w:tcPr>
                <w:p w14:paraId="5E268CE3">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5000</w:t>
                  </w:r>
                </w:p>
              </w:tc>
              <w:tc>
                <w:tcPr>
                  <w:tcW w:w="966" w:type="dxa"/>
                  <w:vAlign w:val="center"/>
                </w:tcPr>
                <w:p w14:paraId="46945FBC">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1276" w:type="dxa"/>
                  <w:vAlign w:val="center"/>
                </w:tcPr>
                <w:p w14:paraId="29C33883">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Φ21×14.4</w:t>
                  </w:r>
                </w:p>
              </w:tc>
              <w:tc>
                <w:tcPr>
                  <w:tcW w:w="1463" w:type="dxa"/>
                  <w:vAlign w:val="center"/>
                </w:tcPr>
                <w:p w14:paraId="1A3CC32B">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常压拱顶罐</w:t>
                  </w:r>
                </w:p>
              </w:tc>
              <w:tc>
                <w:tcPr>
                  <w:tcW w:w="1282" w:type="dxa"/>
                  <w:vAlign w:val="center"/>
                </w:tcPr>
                <w:p w14:paraId="6CEF8296">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不锈钢316L</w:t>
                  </w:r>
                </w:p>
              </w:tc>
              <w:tc>
                <w:tcPr>
                  <w:tcW w:w="1155" w:type="dxa"/>
                  <w:vAlign w:val="center"/>
                </w:tcPr>
                <w:p w14:paraId="44FE9AB8">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常压</w:t>
                  </w:r>
                </w:p>
              </w:tc>
            </w:tr>
            <w:tr w14:paraId="56BB204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502" w:hRule="atLeast"/>
              </w:trPr>
              <w:tc>
                <w:tcPr>
                  <w:tcW w:w="421" w:type="dxa"/>
                  <w:vAlign w:val="center"/>
                </w:tcPr>
                <w:p w14:paraId="18A6D5AA">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w:t>
                  </w:r>
                </w:p>
              </w:tc>
              <w:tc>
                <w:tcPr>
                  <w:tcW w:w="1413" w:type="dxa"/>
                  <w:vAlign w:val="center"/>
                </w:tcPr>
                <w:p w14:paraId="12B8BE7D">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TK-410/411</w:t>
                  </w:r>
                </w:p>
                <w:p w14:paraId="237E9CB5">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742" w:type="dxa"/>
                  <w:vAlign w:val="center"/>
                </w:tcPr>
                <w:p w14:paraId="07F292D1">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5000</w:t>
                  </w:r>
                </w:p>
              </w:tc>
              <w:tc>
                <w:tcPr>
                  <w:tcW w:w="966" w:type="dxa"/>
                  <w:vAlign w:val="center"/>
                </w:tcPr>
                <w:p w14:paraId="62FB8C05">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1276" w:type="dxa"/>
                  <w:vAlign w:val="center"/>
                </w:tcPr>
                <w:p w14:paraId="15F0A7C0">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Φ21×1</w:t>
                  </w:r>
                  <w:r>
                    <w:rPr>
                      <w:rFonts w:hint="eastAsia" w:ascii="Times New Roman" w:hAnsi="Times New Roman" w:cs="Times New Roman"/>
                      <w:color w:val="000000" w:themeColor="text1"/>
                      <w:sz w:val="21"/>
                      <w:szCs w:val="21"/>
                      <w14:textFill>
                        <w14:solidFill>
                          <w14:schemeClr w14:val="tx1"/>
                        </w14:solidFill>
                      </w14:textFill>
                    </w:rPr>
                    <w:t>6</w:t>
                  </w:r>
                </w:p>
              </w:tc>
              <w:tc>
                <w:tcPr>
                  <w:tcW w:w="1463" w:type="dxa"/>
                  <w:vAlign w:val="center"/>
                </w:tcPr>
                <w:p w14:paraId="69E84A81">
                  <w:pPr>
                    <w:pStyle w:val="216"/>
                    <w:spacing w:after="0" w:line="240" w:lineRule="auto"/>
                    <w:ind w:firstLine="0" w:firstLineChars="0"/>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常压拱顶罐</w:t>
                  </w:r>
                </w:p>
              </w:tc>
              <w:tc>
                <w:tcPr>
                  <w:tcW w:w="1282" w:type="dxa"/>
                  <w:vAlign w:val="center"/>
                </w:tcPr>
                <w:p w14:paraId="373561FD">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不锈钢</w:t>
                  </w:r>
                  <w:r>
                    <w:rPr>
                      <w:rFonts w:hint="eastAsia" w:ascii="Times New Roman" w:hAnsi="Times New Roman" w:cs="Times New Roman"/>
                      <w:color w:val="000000" w:themeColor="text1"/>
                      <w:sz w:val="21"/>
                      <w:szCs w:val="21"/>
                      <w14:textFill>
                        <w14:solidFill>
                          <w14:schemeClr w14:val="tx1"/>
                        </w14:solidFill>
                      </w14:textFill>
                    </w:rPr>
                    <w:t>S30408</w:t>
                  </w:r>
                </w:p>
              </w:tc>
              <w:tc>
                <w:tcPr>
                  <w:tcW w:w="1155" w:type="dxa"/>
                  <w:vAlign w:val="center"/>
                </w:tcPr>
                <w:p w14:paraId="3AD017E1">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常压</w:t>
                  </w:r>
                </w:p>
              </w:tc>
            </w:tr>
            <w:tr w14:paraId="5F2A58F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502" w:hRule="atLeast"/>
              </w:trPr>
              <w:tc>
                <w:tcPr>
                  <w:tcW w:w="421" w:type="dxa"/>
                  <w:vAlign w:val="center"/>
                </w:tcPr>
                <w:p w14:paraId="766E0D66">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w:t>
                  </w:r>
                </w:p>
              </w:tc>
              <w:tc>
                <w:tcPr>
                  <w:tcW w:w="1413" w:type="dxa"/>
                  <w:vAlign w:val="center"/>
                </w:tcPr>
                <w:p w14:paraId="119CFFB4">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TK-412</w:t>
                  </w:r>
                </w:p>
                <w:p w14:paraId="5380F937">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742" w:type="dxa"/>
                  <w:vAlign w:val="center"/>
                </w:tcPr>
                <w:p w14:paraId="0B17E17A">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15000</w:t>
                  </w:r>
                </w:p>
              </w:tc>
              <w:tc>
                <w:tcPr>
                  <w:tcW w:w="966" w:type="dxa"/>
                  <w:vAlign w:val="center"/>
                </w:tcPr>
                <w:p w14:paraId="540472EE">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1276" w:type="dxa"/>
                  <w:vAlign w:val="center"/>
                </w:tcPr>
                <w:p w14:paraId="245EB741">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Φ</w:t>
                  </w:r>
                  <w:r>
                    <w:rPr>
                      <w:rFonts w:hint="eastAsia" w:ascii="Times New Roman" w:hAnsi="Times New Roman" w:cs="Times New Roman"/>
                      <w:color w:val="000000" w:themeColor="text1"/>
                      <w:sz w:val="21"/>
                      <w:szCs w:val="21"/>
                      <w14:textFill>
                        <w14:solidFill>
                          <w14:schemeClr w14:val="tx1"/>
                        </w14:solidFill>
                      </w14:textFill>
                    </w:rPr>
                    <w:t>30</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22</w:t>
                  </w:r>
                </w:p>
              </w:tc>
              <w:tc>
                <w:tcPr>
                  <w:tcW w:w="1463" w:type="dxa"/>
                  <w:vAlign w:val="center"/>
                </w:tcPr>
                <w:p w14:paraId="66574666">
                  <w:pPr>
                    <w:pStyle w:val="216"/>
                    <w:spacing w:after="0" w:line="240" w:lineRule="auto"/>
                    <w:ind w:firstLine="0" w:firstLineChars="0"/>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常压拱顶罐</w:t>
                  </w:r>
                </w:p>
              </w:tc>
              <w:tc>
                <w:tcPr>
                  <w:tcW w:w="1282" w:type="dxa"/>
                  <w:vAlign w:val="center"/>
                </w:tcPr>
                <w:p w14:paraId="27916169">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不锈钢</w:t>
                  </w:r>
                  <w:r>
                    <w:rPr>
                      <w:rFonts w:hint="eastAsia" w:ascii="Times New Roman" w:hAnsi="Times New Roman" w:cs="Times New Roman"/>
                      <w:color w:val="000000" w:themeColor="text1"/>
                      <w:sz w:val="21"/>
                      <w:szCs w:val="21"/>
                      <w14:textFill>
                        <w14:solidFill>
                          <w14:schemeClr w14:val="tx1"/>
                        </w14:solidFill>
                      </w14:textFill>
                    </w:rPr>
                    <w:t>S30408</w:t>
                  </w:r>
                </w:p>
              </w:tc>
              <w:tc>
                <w:tcPr>
                  <w:tcW w:w="1155" w:type="dxa"/>
                  <w:vAlign w:val="center"/>
                </w:tcPr>
                <w:p w14:paraId="44A7A975">
                  <w:pPr>
                    <w:pStyle w:val="216"/>
                    <w:spacing w:after="0" w:line="240" w:lineRule="auto"/>
                    <w:ind w:firstLine="0" w:firstLineChars="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常压</w:t>
                  </w:r>
                </w:p>
              </w:tc>
            </w:tr>
          </w:tbl>
          <w:p w14:paraId="743D11ED">
            <w:pPr>
              <w:pStyle w:val="217"/>
              <w:spacing w:after="0" w:line="240" w:lineRule="auto"/>
              <w:rPr>
                <w:rFonts w:eastAsiaTheme="minorEastAsia"/>
                <w:b w:val="0"/>
                <w:color w:val="FF0000"/>
                <w:sz w:val="24"/>
                <w:szCs w:val="24"/>
              </w:rPr>
            </w:pPr>
          </w:p>
          <w:p w14:paraId="68F10378">
            <w:pPr>
              <w:pStyle w:val="217"/>
              <w:spacing w:after="0" w:line="240" w:lineRule="auto"/>
              <w:rPr>
                <w:rFonts w:eastAsiaTheme="minorEastAsia"/>
                <w:bCs/>
                <w:color w:val="000000" w:themeColor="text1"/>
                <w:sz w:val="24"/>
                <w:szCs w:val="24"/>
                <w14:textFill>
                  <w14:solidFill>
                    <w14:schemeClr w14:val="tx1"/>
                  </w14:solidFill>
                </w14:textFill>
              </w:rPr>
            </w:pPr>
            <w:r>
              <w:rPr>
                <w:rFonts w:eastAsiaTheme="minorEastAsia"/>
                <w:bCs/>
                <w:color w:val="000000" w:themeColor="text1"/>
                <w:sz w:val="24"/>
                <w:szCs w:val="24"/>
                <w14:textFill>
                  <w14:solidFill>
                    <w14:schemeClr w14:val="tx1"/>
                  </w14:solidFill>
                </w14:textFill>
              </w:rPr>
              <w:t xml:space="preserve">表2-5  </w:t>
            </w:r>
            <w:r>
              <w:rPr>
                <w:rFonts w:hint="eastAsia" w:eastAsiaTheme="minorEastAsia"/>
                <w:bCs/>
                <w:color w:val="000000" w:themeColor="text1"/>
                <w:sz w:val="24"/>
                <w:szCs w:val="24"/>
                <w14:textFill>
                  <w14:solidFill>
                    <w14:schemeClr w14:val="tx1"/>
                  </w14:solidFill>
                </w14:textFill>
              </w:rPr>
              <w:t>其他</w:t>
            </w:r>
            <w:r>
              <w:rPr>
                <w:rFonts w:eastAsiaTheme="minorEastAsia"/>
                <w:bCs/>
                <w:color w:val="000000" w:themeColor="text1"/>
                <w:sz w:val="24"/>
                <w:szCs w:val="24"/>
                <w14:textFill>
                  <w14:solidFill>
                    <w14:schemeClr w14:val="tx1"/>
                  </w14:solidFill>
                </w14:textFill>
              </w:rPr>
              <w:t>设备一览表</w:t>
            </w:r>
          </w:p>
          <w:tbl>
            <w:tblPr>
              <w:tblStyle w:val="88"/>
              <w:tblW w:w="87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521"/>
              <w:gridCol w:w="1552"/>
              <w:gridCol w:w="3479"/>
              <w:gridCol w:w="1174"/>
              <w:gridCol w:w="963"/>
              <w:gridCol w:w="1092"/>
            </w:tblGrid>
            <w:tr w14:paraId="6A3E7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0" w:hRule="atLeast"/>
                <w:jc w:val="center"/>
              </w:trPr>
              <w:tc>
                <w:tcPr>
                  <w:tcW w:w="521" w:type="dxa"/>
                  <w:tcBorders>
                    <w:top w:val="single" w:color="auto" w:sz="4" w:space="0"/>
                    <w:left w:val="single" w:color="auto" w:sz="4" w:space="0"/>
                    <w:bottom w:val="single" w:color="auto" w:sz="4" w:space="0"/>
                    <w:right w:val="single" w:color="auto" w:sz="4" w:space="0"/>
                  </w:tcBorders>
                  <w:vAlign w:val="center"/>
                </w:tcPr>
                <w:p w14:paraId="4719BC11">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序号</w:t>
                  </w:r>
                </w:p>
              </w:tc>
              <w:tc>
                <w:tcPr>
                  <w:tcW w:w="1552" w:type="dxa"/>
                  <w:tcBorders>
                    <w:top w:val="single" w:color="auto" w:sz="4" w:space="0"/>
                    <w:left w:val="single" w:color="auto" w:sz="4" w:space="0"/>
                    <w:bottom w:val="single" w:color="auto" w:sz="4" w:space="0"/>
                    <w:right w:val="single" w:color="auto" w:sz="4" w:space="0"/>
                  </w:tcBorders>
                  <w:vAlign w:val="center"/>
                </w:tcPr>
                <w:p w14:paraId="09159470">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设备名称</w:t>
                  </w:r>
                </w:p>
              </w:tc>
              <w:tc>
                <w:tcPr>
                  <w:tcW w:w="3479" w:type="dxa"/>
                  <w:tcBorders>
                    <w:top w:val="single" w:color="auto" w:sz="4" w:space="0"/>
                    <w:left w:val="single" w:color="auto" w:sz="4" w:space="0"/>
                    <w:bottom w:val="single" w:color="auto" w:sz="4" w:space="0"/>
                    <w:right w:val="single" w:color="auto" w:sz="4" w:space="0"/>
                  </w:tcBorders>
                  <w:vAlign w:val="center"/>
                </w:tcPr>
                <w:p w14:paraId="6FA4DED2">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参数</w:t>
                  </w:r>
                </w:p>
              </w:tc>
              <w:tc>
                <w:tcPr>
                  <w:tcW w:w="1174" w:type="dxa"/>
                  <w:tcBorders>
                    <w:top w:val="single" w:color="auto" w:sz="4" w:space="0"/>
                    <w:left w:val="single" w:color="auto" w:sz="4" w:space="0"/>
                    <w:bottom w:val="single" w:color="auto" w:sz="4" w:space="0"/>
                    <w:right w:val="single" w:color="auto" w:sz="4" w:space="0"/>
                  </w:tcBorders>
                  <w:vAlign w:val="center"/>
                </w:tcPr>
                <w:p w14:paraId="74333795">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数量（台）</w:t>
                  </w:r>
                </w:p>
              </w:tc>
              <w:tc>
                <w:tcPr>
                  <w:tcW w:w="963" w:type="dxa"/>
                  <w:tcBorders>
                    <w:top w:val="single" w:color="auto" w:sz="4" w:space="0"/>
                    <w:left w:val="single" w:color="auto" w:sz="4" w:space="0"/>
                    <w:bottom w:val="single" w:color="auto" w:sz="4" w:space="0"/>
                    <w:right w:val="single" w:color="auto" w:sz="4" w:space="0"/>
                  </w:tcBorders>
                  <w:vAlign w:val="center"/>
                </w:tcPr>
                <w:p w14:paraId="55130FD2">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用途</w:t>
                  </w:r>
                </w:p>
              </w:tc>
              <w:tc>
                <w:tcPr>
                  <w:tcW w:w="1092" w:type="dxa"/>
                  <w:tcBorders>
                    <w:top w:val="single" w:color="auto" w:sz="4" w:space="0"/>
                    <w:left w:val="single" w:color="auto" w:sz="4" w:space="0"/>
                    <w:bottom w:val="single" w:color="auto" w:sz="4" w:space="0"/>
                    <w:right w:val="single" w:color="auto" w:sz="4" w:space="0"/>
                  </w:tcBorders>
                  <w:vAlign w:val="center"/>
                </w:tcPr>
                <w:p w14:paraId="63D5BB90">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安装位置</w:t>
                  </w:r>
                </w:p>
              </w:tc>
            </w:tr>
            <w:tr w14:paraId="276E6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top w:val="single" w:color="auto" w:sz="4" w:space="0"/>
                    <w:left w:val="single" w:color="auto" w:sz="4" w:space="0"/>
                    <w:right w:val="single" w:color="auto" w:sz="4" w:space="0"/>
                  </w:tcBorders>
                  <w:vAlign w:val="center"/>
                </w:tcPr>
                <w:p w14:paraId="39E91FEE">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top w:val="single" w:color="auto" w:sz="4" w:space="0"/>
                    <w:left w:val="single" w:color="auto" w:sz="4" w:space="0"/>
                    <w:right w:val="single" w:color="auto" w:sz="4" w:space="0"/>
                  </w:tcBorders>
                  <w:vAlign w:val="center"/>
                </w:tcPr>
                <w:p w14:paraId="2D69E0AE">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液硫输送泵</w:t>
                  </w:r>
                </w:p>
                <w:p w14:paraId="580A70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P-401A/B</w:t>
                  </w:r>
                </w:p>
              </w:tc>
              <w:tc>
                <w:tcPr>
                  <w:tcW w:w="3479" w:type="dxa"/>
                  <w:tcBorders>
                    <w:top w:val="single" w:color="auto" w:sz="4" w:space="0"/>
                    <w:left w:val="single" w:color="auto" w:sz="4" w:space="0"/>
                    <w:bottom w:val="single" w:color="auto" w:sz="4" w:space="0"/>
                    <w:right w:val="single" w:color="auto" w:sz="4" w:space="0"/>
                  </w:tcBorders>
                  <w:vAlign w:val="center"/>
                </w:tcPr>
                <w:p w14:paraId="50DCD2F0">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转子泵，流量Q=60m³/h，扬程 H=30m</w:t>
                  </w:r>
                </w:p>
              </w:tc>
              <w:tc>
                <w:tcPr>
                  <w:tcW w:w="1174" w:type="dxa"/>
                  <w:tcBorders>
                    <w:top w:val="single" w:color="auto" w:sz="4" w:space="0"/>
                    <w:left w:val="single" w:color="auto" w:sz="4" w:space="0"/>
                    <w:bottom w:val="single" w:color="auto" w:sz="4" w:space="0"/>
                    <w:right w:val="single" w:color="auto" w:sz="4" w:space="0"/>
                  </w:tcBorders>
                  <w:vAlign w:val="center"/>
                </w:tcPr>
                <w:p w14:paraId="6A3A86E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963" w:type="dxa"/>
                  <w:tcBorders>
                    <w:top w:val="single" w:color="auto" w:sz="4" w:space="0"/>
                    <w:left w:val="single" w:color="auto" w:sz="4" w:space="0"/>
                    <w:bottom w:val="single" w:color="auto" w:sz="4" w:space="0"/>
                    <w:right w:val="single" w:color="auto" w:sz="4" w:space="0"/>
                  </w:tcBorders>
                  <w:vAlign w:val="center"/>
                </w:tcPr>
                <w:p w14:paraId="06DEE5E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装车</w:t>
                  </w:r>
                </w:p>
              </w:tc>
              <w:tc>
                <w:tcPr>
                  <w:tcW w:w="1092" w:type="dxa"/>
                  <w:vMerge w:val="restart"/>
                  <w:tcBorders>
                    <w:top w:val="single" w:color="auto" w:sz="4" w:space="0"/>
                    <w:left w:val="single" w:color="auto" w:sz="4" w:space="0"/>
                    <w:right w:val="single" w:color="auto" w:sz="4" w:space="0"/>
                  </w:tcBorders>
                  <w:vAlign w:val="center"/>
                </w:tcPr>
                <w:p w14:paraId="6C33A52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4#罐区</w:t>
                  </w:r>
                </w:p>
                <w:p w14:paraId="73C6298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泵棚</w:t>
                  </w:r>
                </w:p>
              </w:tc>
            </w:tr>
            <w:tr w14:paraId="78F88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 w:hRule="atLeast"/>
                <w:jc w:val="center"/>
              </w:trPr>
              <w:tc>
                <w:tcPr>
                  <w:tcW w:w="521" w:type="dxa"/>
                  <w:tcBorders>
                    <w:left w:val="single" w:color="auto" w:sz="4" w:space="0"/>
                    <w:right w:val="single" w:color="auto" w:sz="4" w:space="0"/>
                  </w:tcBorders>
                  <w:vAlign w:val="center"/>
                </w:tcPr>
                <w:p w14:paraId="442AD9AB">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0C5D844B">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发烟硫酸输送泵</w:t>
                  </w:r>
                </w:p>
                <w:p w14:paraId="6841471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P-402</w:t>
                  </w:r>
                </w:p>
              </w:tc>
              <w:tc>
                <w:tcPr>
                  <w:tcW w:w="3479" w:type="dxa"/>
                  <w:tcBorders>
                    <w:top w:val="single" w:color="auto" w:sz="4" w:space="0"/>
                    <w:left w:val="single" w:color="auto" w:sz="4" w:space="0"/>
                    <w:right w:val="single" w:color="auto" w:sz="4" w:space="0"/>
                  </w:tcBorders>
                  <w:vAlign w:val="center"/>
                </w:tcPr>
                <w:p w14:paraId="38717A18">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磁力泵，流量Q=50m³/h，扬程 H=30m</w:t>
                  </w:r>
                </w:p>
              </w:tc>
              <w:tc>
                <w:tcPr>
                  <w:tcW w:w="1174" w:type="dxa"/>
                  <w:tcBorders>
                    <w:top w:val="single" w:color="auto" w:sz="4" w:space="0"/>
                    <w:left w:val="single" w:color="auto" w:sz="4" w:space="0"/>
                    <w:right w:val="single" w:color="auto" w:sz="4" w:space="0"/>
                  </w:tcBorders>
                  <w:vAlign w:val="center"/>
                </w:tcPr>
                <w:p w14:paraId="0735A4B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63" w:type="dxa"/>
                  <w:tcBorders>
                    <w:top w:val="single" w:color="auto" w:sz="4" w:space="0"/>
                    <w:left w:val="single" w:color="auto" w:sz="4" w:space="0"/>
                    <w:right w:val="single" w:color="auto" w:sz="4" w:space="0"/>
                  </w:tcBorders>
                  <w:vAlign w:val="center"/>
                </w:tcPr>
                <w:p w14:paraId="50D8DF9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装车</w:t>
                  </w:r>
                </w:p>
              </w:tc>
              <w:tc>
                <w:tcPr>
                  <w:tcW w:w="1092" w:type="dxa"/>
                  <w:vMerge w:val="continue"/>
                  <w:tcBorders>
                    <w:left w:val="single" w:color="auto" w:sz="4" w:space="0"/>
                    <w:right w:val="single" w:color="auto" w:sz="4" w:space="0"/>
                  </w:tcBorders>
                  <w:vAlign w:val="center"/>
                </w:tcPr>
                <w:p w14:paraId="6E706496">
                  <w:pPr>
                    <w:jc w:val="center"/>
                    <w:rPr>
                      <w:rFonts w:ascii="Times New Roman" w:hAnsi="Times New Roman" w:cs="Times New Roman"/>
                      <w:color w:val="000000" w:themeColor="text1"/>
                      <w:sz w:val="21"/>
                      <w:szCs w:val="21"/>
                      <w14:textFill>
                        <w14:solidFill>
                          <w14:schemeClr w14:val="tx1"/>
                        </w14:solidFill>
                      </w14:textFill>
                    </w:rPr>
                  </w:pPr>
                </w:p>
              </w:tc>
            </w:tr>
            <w:tr w14:paraId="4BED3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68807BF1">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6E0D131E">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碱液输送泵</w:t>
                  </w:r>
                </w:p>
                <w:p w14:paraId="34F9BE4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P-403</w:t>
                  </w:r>
                </w:p>
              </w:tc>
              <w:tc>
                <w:tcPr>
                  <w:tcW w:w="3479" w:type="dxa"/>
                  <w:tcBorders>
                    <w:top w:val="single" w:color="auto" w:sz="4" w:space="0"/>
                    <w:left w:val="single" w:color="auto" w:sz="4" w:space="0"/>
                    <w:bottom w:val="single" w:color="auto" w:sz="4" w:space="0"/>
                    <w:right w:val="single" w:color="auto" w:sz="4" w:space="0"/>
                  </w:tcBorders>
                  <w:vAlign w:val="center"/>
                </w:tcPr>
                <w:p w14:paraId="08F190E3">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离心泵，流量Q=50m³/h，扬程 H=30m</w:t>
                  </w:r>
                </w:p>
              </w:tc>
              <w:tc>
                <w:tcPr>
                  <w:tcW w:w="1174" w:type="dxa"/>
                  <w:tcBorders>
                    <w:top w:val="single" w:color="auto" w:sz="4" w:space="0"/>
                    <w:left w:val="single" w:color="auto" w:sz="4" w:space="0"/>
                    <w:bottom w:val="single" w:color="auto" w:sz="4" w:space="0"/>
                    <w:right w:val="single" w:color="auto" w:sz="4" w:space="0"/>
                  </w:tcBorders>
                  <w:vAlign w:val="center"/>
                </w:tcPr>
                <w:p w14:paraId="2896878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63" w:type="dxa"/>
                  <w:tcBorders>
                    <w:top w:val="single" w:color="auto" w:sz="4" w:space="0"/>
                    <w:left w:val="single" w:color="auto" w:sz="4" w:space="0"/>
                    <w:bottom w:val="single" w:color="auto" w:sz="4" w:space="0"/>
                    <w:right w:val="single" w:color="auto" w:sz="4" w:space="0"/>
                  </w:tcBorders>
                  <w:vAlign w:val="center"/>
                </w:tcPr>
                <w:p w14:paraId="7070C63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装车</w:t>
                  </w:r>
                </w:p>
              </w:tc>
              <w:tc>
                <w:tcPr>
                  <w:tcW w:w="1092" w:type="dxa"/>
                  <w:vMerge w:val="continue"/>
                  <w:tcBorders>
                    <w:left w:val="single" w:color="auto" w:sz="4" w:space="0"/>
                    <w:bottom w:val="single" w:color="auto" w:sz="4" w:space="0"/>
                    <w:right w:val="single" w:color="auto" w:sz="4" w:space="0"/>
                  </w:tcBorders>
                  <w:vAlign w:val="center"/>
                </w:tcPr>
                <w:p w14:paraId="0ED885EB">
                  <w:pPr>
                    <w:jc w:val="center"/>
                    <w:rPr>
                      <w:rFonts w:ascii="Times New Roman" w:hAnsi="Times New Roman" w:cs="Times New Roman"/>
                      <w:color w:val="000000" w:themeColor="text1"/>
                      <w:sz w:val="21"/>
                      <w:szCs w:val="21"/>
                      <w14:textFill>
                        <w14:solidFill>
                          <w14:schemeClr w14:val="tx1"/>
                        </w14:solidFill>
                      </w14:textFill>
                    </w:rPr>
                  </w:pPr>
                </w:p>
              </w:tc>
            </w:tr>
            <w:tr w14:paraId="6B3C1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3F534154">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4E489D55">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液封罐</w:t>
                  </w:r>
                </w:p>
                <w:p w14:paraId="5480CF3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V-401</w:t>
                  </w:r>
                </w:p>
              </w:tc>
              <w:tc>
                <w:tcPr>
                  <w:tcW w:w="3479" w:type="dxa"/>
                  <w:tcBorders>
                    <w:top w:val="single" w:color="auto" w:sz="4" w:space="0"/>
                    <w:left w:val="single" w:color="auto" w:sz="4" w:space="0"/>
                    <w:right w:val="single" w:color="auto" w:sz="4" w:space="0"/>
                  </w:tcBorders>
                  <w:vAlign w:val="center"/>
                </w:tcPr>
                <w:p w14:paraId="2720682A">
                  <w:pPr>
                    <w:suppressAutoHyphens/>
                    <w:jc w:val="center"/>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外形尺寸</w:t>
                  </w:r>
                  <w:r>
                    <w:rPr>
                      <w:rFonts w:hint="eastAsia" w:ascii="Times New Roman" w:hAnsi="Times New Roman" w:cs="Times New Roman"/>
                      <w:color w:val="000000" w:themeColor="text1"/>
                      <w:sz w:val="21"/>
                      <w:szCs w:val="21"/>
                      <w:lang w:val="zh-CN"/>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Φ8</w:t>
                  </w:r>
                  <w:r>
                    <w:rPr>
                      <w:rFonts w:ascii="Times New Roman" w:hAnsi="Times New Roman" w:cs="Times New Roman"/>
                      <w:color w:val="000000" w:themeColor="text1"/>
                      <w:sz w:val="21"/>
                      <w:szCs w:val="21"/>
                      <w:lang w:val="zh-CN"/>
                      <w14:textFill>
                        <w14:solidFill>
                          <w14:schemeClr w14:val="tx1"/>
                        </w14:solidFill>
                      </w14:textFill>
                    </w:rPr>
                    <w:t>00×</w:t>
                  </w:r>
                  <w:r>
                    <w:rPr>
                      <w:rFonts w:ascii="Times New Roman" w:hAnsi="Times New Roman" w:cs="Times New Roman"/>
                      <w:color w:val="000000" w:themeColor="text1"/>
                      <w:sz w:val="21"/>
                      <w:szCs w:val="21"/>
                      <w14:textFill>
                        <w14:solidFill>
                          <w14:schemeClr w14:val="tx1"/>
                        </w14:solidFill>
                      </w14:textFill>
                    </w:rPr>
                    <w:t>8</w:t>
                  </w:r>
                  <w:r>
                    <w:rPr>
                      <w:rFonts w:ascii="Times New Roman" w:hAnsi="Times New Roman" w:cs="Times New Roman"/>
                      <w:color w:val="000000" w:themeColor="text1"/>
                      <w:sz w:val="21"/>
                      <w:szCs w:val="21"/>
                      <w:lang w:val="zh-CN"/>
                      <w14:textFill>
                        <w14:solidFill>
                          <w14:schemeClr w14:val="tx1"/>
                        </w14:solidFill>
                      </w14:textFill>
                    </w:rPr>
                    <w:t>00mm</w:t>
                  </w:r>
                </w:p>
                <w:p w14:paraId="7BDC2FB5">
                  <w:pPr>
                    <w:suppressAutoHyphens/>
                    <w:jc w:val="center"/>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容积</w:t>
                  </w:r>
                  <w:r>
                    <w:rPr>
                      <w:rFonts w:hint="eastAsia" w:ascii="Times New Roman" w:hAnsi="Times New Roman" w:cs="Times New Roman"/>
                      <w:color w:val="000000" w:themeColor="text1"/>
                      <w:sz w:val="21"/>
                      <w:szCs w:val="21"/>
                      <w:lang w:val="zh-CN"/>
                      <w14:textFill>
                        <w14:solidFill>
                          <w14:schemeClr w14:val="tx1"/>
                        </w14:solidFill>
                      </w14:textFill>
                    </w:rPr>
                    <w:t>：</w:t>
                  </w:r>
                  <w:r>
                    <w:rPr>
                      <w:rFonts w:ascii="Times New Roman" w:hAnsi="Times New Roman" w:cs="Times New Roman"/>
                      <w:color w:val="000000" w:themeColor="text1"/>
                      <w:sz w:val="21"/>
                      <w:szCs w:val="21"/>
                      <w:lang w:val="zh-CN"/>
                      <w14:textFill>
                        <w14:solidFill>
                          <w14:schemeClr w14:val="tx1"/>
                        </w14:solidFill>
                      </w14:textFill>
                    </w:rPr>
                    <w:t>V=</w:t>
                  </w:r>
                  <w:r>
                    <w:rPr>
                      <w:rFonts w:ascii="Times New Roman" w:hAnsi="Times New Roman" w:cs="Times New Roman"/>
                      <w:color w:val="000000" w:themeColor="text1"/>
                      <w:sz w:val="21"/>
                      <w:szCs w:val="21"/>
                      <w14:textFill>
                        <w14:solidFill>
                          <w14:schemeClr w14:val="tx1"/>
                        </w14:solidFill>
                      </w14:textFill>
                    </w:rPr>
                    <w:t>0.4</w:t>
                  </w:r>
                  <w:r>
                    <w:rPr>
                      <w:rFonts w:ascii="Times New Roman" w:hAnsi="Times New Roman" w:cs="Times New Roman"/>
                      <w:color w:val="000000" w:themeColor="text1"/>
                      <w:sz w:val="21"/>
                      <w:szCs w:val="21"/>
                      <w:lang w:val="zh-CN"/>
                      <w14:textFill>
                        <w14:solidFill>
                          <w14:schemeClr w14:val="tx1"/>
                        </w14:solidFill>
                      </w14:textFill>
                    </w:rPr>
                    <w:t>m³</w:t>
                  </w:r>
                </w:p>
                <w:p w14:paraId="5A9A3028">
                  <w:pPr>
                    <w:suppressAutoHyphens/>
                    <w:jc w:val="center"/>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工作温度：</w:t>
                  </w:r>
                  <w:r>
                    <w:rPr>
                      <w:rFonts w:ascii="Times New Roman" w:hAnsi="Times New Roman" w:cs="Times New Roman"/>
                      <w:color w:val="000000" w:themeColor="text1"/>
                      <w:sz w:val="21"/>
                      <w:szCs w:val="21"/>
                      <w14:textFill>
                        <w14:solidFill>
                          <w14:schemeClr w14:val="tx1"/>
                        </w14:solidFill>
                      </w14:textFill>
                    </w:rPr>
                    <w:t>40-50</w:t>
                  </w:r>
                  <w:r>
                    <w:rPr>
                      <w:rFonts w:ascii="Times New Roman" w:hAnsi="Times New Roman" w:cs="Times New Roman"/>
                      <w:color w:val="000000" w:themeColor="text1"/>
                      <w:sz w:val="21"/>
                      <w:szCs w:val="21"/>
                      <w:lang w:val="zh-CN"/>
                      <w14:textFill>
                        <w14:solidFill>
                          <w14:schemeClr w14:val="tx1"/>
                        </w14:solidFill>
                      </w14:textFill>
                    </w:rPr>
                    <w:t>℃</w:t>
                  </w:r>
                </w:p>
                <w:p w14:paraId="0186902B">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工作压力：-0.3kPa~2.5kPa</w:t>
                  </w:r>
                </w:p>
              </w:tc>
              <w:tc>
                <w:tcPr>
                  <w:tcW w:w="1174" w:type="dxa"/>
                  <w:tcBorders>
                    <w:top w:val="single" w:color="auto" w:sz="4" w:space="0"/>
                    <w:left w:val="single" w:color="auto" w:sz="4" w:space="0"/>
                    <w:right w:val="single" w:color="auto" w:sz="4" w:space="0"/>
                  </w:tcBorders>
                  <w:vAlign w:val="center"/>
                </w:tcPr>
                <w:p w14:paraId="317F42B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63" w:type="dxa"/>
                  <w:vMerge w:val="restart"/>
                  <w:tcBorders>
                    <w:top w:val="single" w:color="auto" w:sz="4" w:space="0"/>
                    <w:left w:val="single" w:color="auto" w:sz="4" w:space="0"/>
                    <w:right w:val="single" w:color="auto" w:sz="4" w:space="0"/>
                  </w:tcBorders>
                  <w:vAlign w:val="center"/>
                </w:tcPr>
                <w:p w14:paraId="6B80767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吸收发烟硫酸/98%硫酸储罐（TK-408）的呼吸废气和硫酸装卸臂（L-602）的废气</w:t>
                  </w:r>
                </w:p>
              </w:tc>
              <w:tc>
                <w:tcPr>
                  <w:tcW w:w="1092" w:type="dxa"/>
                  <w:vMerge w:val="restart"/>
                  <w:tcBorders>
                    <w:top w:val="single" w:color="auto" w:sz="4" w:space="0"/>
                    <w:left w:val="single" w:color="auto" w:sz="4" w:space="0"/>
                    <w:right w:val="single" w:color="auto" w:sz="4" w:space="0"/>
                  </w:tcBorders>
                  <w:vAlign w:val="center"/>
                </w:tcPr>
                <w:p w14:paraId="69F3532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4#罐区</w:t>
                  </w:r>
                  <w:r>
                    <w:rPr>
                      <w:rFonts w:ascii="Times New Roman" w:hAnsi="Times New Roman" w:cs="Times New Roman"/>
                      <w:color w:val="000000" w:themeColor="text1"/>
                      <w:sz w:val="21"/>
                      <w:szCs w:val="21"/>
                      <w14:textFill>
                        <w14:solidFill>
                          <w14:schemeClr w14:val="tx1"/>
                        </w14:solidFill>
                      </w14:textFill>
                    </w:rPr>
                    <w:t>东侧防火堤与泵棚之间。</w:t>
                  </w:r>
                </w:p>
              </w:tc>
            </w:tr>
            <w:tr w14:paraId="198B4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5EAE980C">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2DCE5D8F">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一级吸收塔</w:t>
                  </w:r>
                </w:p>
                <w:p w14:paraId="20443CD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C-401</w:t>
                  </w:r>
                </w:p>
              </w:tc>
              <w:tc>
                <w:tcPr>
                  <w:tcW w:w="3479" w:type="dxa"/>
                  <w:tcBorders>
                    <w:top w:val="single" w:color="auto" w:sz="4" w:space="0"/>
                    <w:left w:val="single" w:color="auto" w:sz="4" w:space="0"/>
                    <w:bottom w:val="single" w:color="auto" w:sz="4" w:space="0"/>
                    <w:right w:val="single" w:color="auto" w:sz="4" w:space="0"/>
                  </w:tcBorders>
                  <w:vAlign w:val="center"/>
                </w:tcPr>
                <w:p w14:paraId="12E8924D">
                  <w:pPr>
                    <w:suppressAutoHyphens/>
                    <w:jc w:val="center"/>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外形尺寸</w:t>
                  </w:r>
                  <w:r>
                    <w:rPr>
                      <w:rFonts w:hint="eastAsia" w:ascii="Times New Roman" w:hAnsi="Times New Roman" w:cs="Times New Roman"/>
                      <w:color w:val="000000" w:themeColor="text1"/>
                      <w:sz w:val="21"/>
                      <w:szCs w:val="21"/>
                      <w:lang w:val="zh-CN"/>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Φ12</w:t>
                  </w:r>
                  <w:r>
                    <w:rPr>
                      <w:rFonts w:ascii="Times New Roman" w:hAnsi="Times New Roman" w:cs="Times New Roman"/>
                      <w:color w:val="000000" w:themeColor="text1"/>
                      <w:sz w:val="21"/>
                      <w:szCs w:val="21"/>
                      <w:lang w:val="zh-CN"/>
                      <w14:textFill>
                        <w14:solidFill>
                          <w14:schemeClr w14:val="tx1"/>
                        </w14:solidFill>
                      </w14:textFill>
                    </w:rPr>
                    <w:t>00</w:t>
                  </w:r>
                  <w:r>
                    <w:rPr>
                      <w:rFonts w:ascii="Times New Roman" w:hAnsi="Times New Roman" w:cs="Times New Roman"/>
                      <w:color w:val="000000" w:themeColor="text1"/>
                      <w:sz w:val="21"/>
                      <w:szCs w:val="21"/>
                      <w14:textFill>
                        <w14:solidFill>
                          <w14:schemeClr w14:val="tx1"/>
                        </w14:solidFill>
                      </w14:textFill>
                    </w:rPr>
                    <w:t>/800</w:t>
                  </w:r>
                  <w:r>
                    <w:rPr>
                      <w:rFonts w:ascii="Times New Roman" w:hAnsi="Times New Roman" w:cs="Times New Roman"/>
                      <w:color w:val="000000" w:themeColor="text1"/>
                      <w:sz w:val="21"/>
                      <w:szCs w:val="21"/>
                      <w:lang w:val="zh-CN"/>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60</w:t>
                  </w:r>
                  <w:r>
                    <w:rPr>
                      <w:rFonts w:ascii="Times New Roman" w:hAnsi="Times New Roman" w:cs="Times New Roman"/>
                      <w:color w:val="000000" w:themeColor="text1"/>
                      <w:sz w:val="21"/>
                      <w:szCs w:val="21"/>
                      <w:lang w:val="zh-CN"/>
                      <w14:textFill>
                        <w14:solidFill>
                          <w14:schemeClr w14:val="tx1"/>
                        </w14:solidFill>
                      </w14:textFill>
                    </w:rPr>
                    <w:t>00mm</w:t>
                  </w:r>
                </w:p>
                <w:p w14:paraId="40AB7211">
                  <w:pPr>
                    <w:suppressAutoHyphens/>
                    <w:jc w:val="center"/>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工作温度：</w:t>
                  </w:r>
                  <w:r>
                    <w:rPr>
                      <w:rFonts w:ascii="Times New Roman" w:hAnsi="Times New Roman" w:cs="Times New Roman"/>
                      <w:color w:val="000000" w:themeColor="text1"/>
                      <w:sz w:val="21"/>
                      <w:szCs w:val="21"/>
                      <w14:textFill>
                        <w14:solidFill>
                          <w14:schemeClr w14:val="tx1"/>
                        </w14:solidFill>
                      </w14:textFill>
                    </w:rPr>
                    <w:t>40-50</w:t>
                  </w:r>
                  <w:r>
                    <w:rPr>
                      <w:rFonts w:ascii="Times New Roman" w:hAnsi="Times New Roman" w:cs="Times New Roman"/>
                      <w:color w:val="000000" w:themeColor="text1"/>
                      <w:sz w:val="21"/>
                      <w:szCs w:val="21"/>
                      <w:lang w:val="zh-CN"/>
                      <w14:textFill>
                        <w14:solidFill>
                          <w14:schemeClr w14:val="tx1"/>
                        </w14:solidFill>
                      </w14:textFill>
                    </w:rPr>
                    <w:t>℃</w:t>
                  </w:r>
                </w:p>
                <w:p w14:paraId="4A2A5DEB">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工作压力：</w:t>
                  </w:r>
                  <w:r>
                    <w:rPr>
                      <w:rFonts w:ascii="Times New Roman" w:hAnsi="Times New Roman" w:cs="Times New Roman"/>
                      <w:color w:val="000000" w:themeColor="text1"/>
                      <w:sz w:val="21"/>
                      <w:szCs w:val="21"/>
                      <w14:textFill>
                        <w14:solidFill>
                          <w14:schemeClr w14:val="tx1"/>
                        </w14:solidFill>
                      </w14:textFill>
                    </w:rPr>
                    <w:t>常压</w:t>
                  </w:r>
                </w:p>
              </w:tc>
              <w:tc>
                <w:tcPr>
                  <w:tcW w:w="1174" w:type="dxa"/>
                  <w:tcBorders>
                    <w:top w:val="single" w:color="auto" w:sz="4" w:space="0"/>
                    <w:left w:val="single" w:color="auto" w:sz="4" w:space="0"/>
                    <w:bottom w:val="single" w:color="auto" w:sz="4" w:space="0"/>
                    <w:right w:val="single" w:color="auto" w:sz="4" w:space="0"/>
                  </w:tcBorders>
                  <w:vAlign w:val="center"/>
                </w:tcPr>
                <w:p w14:paraId="550DBA3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63" w:type="dxa"/>
                  <w:vMerge w:val="continue"/>
                  <w:tcBorders>
                    <w:left w:val="single" w:color="auto" w:sz="4" w:space="0"/>
                    <w:right w:val="single" w:color="auto" w:sz="4" w:space="0"/>
                  </w:tcBorders>
                  <w:vAlign w:val="center"/>
                </w:tcPr>
                <w:p w14:paraId="162F68D8">
                  <w:pPr>
                    <w:jc w:val="center"/>
                    <w:rPr>
                      <w:rFonts w:ascii="Times New Roman" w:hAnsi="Times New Roman" w:cs="Times New Roman"/>
                      <w:color w:val="000000" w:themeColor="text1"/>
                      <w:sz w:val="21"/>
                      <w:szCs w:val="21"/>
                      <w14:textFill>
                        <w14:solidFill>
                          <w14:schemeClr w14:val="tx1"/>
                        </w14:solidFill>
                      </w14:textFill>
                    </w:rPr>
                  </w:pPr>
                </w:p>
              </w:tc>
              <w:tc>
                <w:tcPr>
                  <w:tcW w:w="1092" w:type="dxa"/>
                  <w:vMerge w:val="continue"/>
                  <w:tcBorders>
                    <w:left w:val="single" w:color="auto" w:sz="4" w:space="0"/>
                    <w:right w:val="single" w:color="auto" w:sz="4" w:space="0"/>
                  </w:tcBorders>
                  <w:vAlign w:val="center"/>
                </w:tcPr>
                <w:p w14:paraId="065BBFD4">
                  <w:pPr>
                    <w:jc w:val="center"/>
                    <w:rPr>
                      <w:rFonts w:ascii="Times New Roman" w:hAnsi="Times New Roman" w:cs="Times New Roman"/>
                      <w:color w:val="000000" w:themeColor="text1"/>
                      <w:sz w:val="21"/>
                      <w:szCs w:val="21"/>
                      <w14:textFill>
                        <w14:solidFill>
                          <w14:schemeClr w14:val="tx1"/>
                        </w14:solidFill>
                      </w14:textFill>
                    </w:rPr>
                  </w:pPr>
                </w:p>
              </w:tc>
            </w:tr>
            <w:tr w14:paraId="6757E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66BFDA1E">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065B677E">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二级吸收塔</w:t>
                  </w:r>
                </w:p>
                <w:p w14:paraId="068F5DC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C-402</w:t>
                  </w:r>
                </w:p>
              </w:tc>
              <w:tc>
                <w:tcPr>
                  <w:tcW w:w="3479" w:type="dxa"/>
                  <w:tcBorders>
                    <w:top w:val="single" w:color="auto" w:sz="4" w:space="0"/>
                    <w:left w:val="single" w:color="auto" w:sz="4" w:space="0"/>
                    <w:bottom w:val="single" w:color="auto" w:sz="4" w:space="0"/>
                    <w:right w:val="single" w:color="auto" w:sz="4" w:space="0"/>
                  </w:tcBorders>
                  <w:vAlign w:val="center"/>
                </w:tcPr>
                <w:p w14:paraId="4E74A713">
                  <w:pPr>
                    <w:suppressAutoHyphens/>
                    <w:jc w:val="center"/>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外形尺寸</w:t>
                  </w:r>
                  <w:r>
                    <w:rPr>
                      <w:rFonts w:hint="eastAsia" w:ascii="Times New Roman" w:hAnsi="Times New Roman" w:cs="Times New Roman"/>
                      <w:color w:val="000000" w:themeColor="text1"/>
                      <w:sz w:val="21"/>
                      <w:szCs w:val="21"/>
                      <w:lang w:val="zh-CN"/>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Φ12</w:t>
                  </w:r>
                  <w:r>
                    <w:rPr>
                      <w:rFonts w:ascii="Times New Roman" w:hAnsi="Times New Roman" w:cs="Times New Roman"/>
                      <w:color w:val="000000" w:themeColor="text1"/>
                      <w:sz w:val="21"/>
                      <w:szCs w:val="21"/>
                      <w:lang w:val="zh-CN"/>
                      <w14:textFill>
                        <w14:solidFill>
                          <w14:schemeClr w14:val="tx1"/>
                        </w14:solidFill>
                      </w14:textFill>
                    </w:rPr>
                    <w:t>00</w:t>
                  </w:r>
                  <w:r>
                    <w:rPr>
                      <w:rFonts w:ascii="Times New Roman" w:hAnsi="Times New Roman" w:cs="Times New Roman"/>
                      <w:color w:val="000000" w:themeColor="text1"/>
                      <w:sz w:val="21"/>
                      <w:szCs w:val="21"/>
                      <w14:textFill>
                        <w14:solidFill>
                          <w14:schemeClr w14:val="tx1"/>
                        </w14:solidFill>
                      </w14:textFill>
                    </w:rPr>
                    <w:t>/800</w:t>
                  </w:r>
                  <w:r>
                    <w:rPr>
                      <w:rFonts w:ascii="Times New Roman" w:hAnsi="Times New Roman" w:cs="Times New Roman"/>
                      <w:color w:val="000000" w:themeColor="text1"/>
                      <w:sz w:val="21"/>
                      <w:szCs w:val="21"/>
                      <w:lang w:val="zh-CN"/>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60</w:t>
                  </w:r>
                  <w:r>
                    <w:rPr>
                      <w:rFonts w:ascii="Times New Roman" w:hAnsi="Times New Roman" w:cs="Times New Roman"/>
                      <w:color w:val="000000" w:themeColor="text1"/>
                      <w:sz w:val="21"/>
                      <w:szCs w:val="21"/>
                      <w:lang w:val="zh-CN"/>
                      <w14:textFill>
                        <w14:solidFill>
                          <w14:schemeClr w14:val="tx1"/>
                        </w14:solidFill>
                      </w14:textFill>
                    </w:rPr>
                    <w:t>00mm</w:t>
                  </w:r>
                </w:p>
                <w:p w14:paraId="0763681E">
                  <w:pPr>
                    <w:suppressAutoHyphens/>
                    <w:jc w:val="center"/>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工作温度：</w:t>
                  </w:r>
                  <w:r>
                    <w:rPr>
                      <w:rFonts w:ascii="Times New Roman" w:hAnsi="Times New Roman" w:cs="Times New Roman"/>
                      <w:color w:val="000000" w:themeColor="text1"/>
                      <w:sz w:val="21"/>
                      <w:szCs w:val="21"/>
                      <w14:textFill>
                        <w14:solidFill>
                          <w14:schemeClr w14:val="tx1"/>
                        </w14:solidFill>
                      </w14:textFill>
                    </w:rPr>
                    <w:t>40-50</w:t>
                  </w:r>
                  <w:r>
                    <w:rPr>
                      <w:rFonts w:ascii="Times New Roman" w:hAnsi="Times New Roman" w:cs="Times New Roman"/>
                      <w:color w:val="000000" w:themeColor="text1"/>
                      <w:sz w:val="21"/>
                      <w:szCs w:val="21"/>
                      <w:lang w:val="zh-CN"/>
                      <w14:textFill>
                        <w14:solidFill>
                          <w14:schemeClr w14:val="tx1"/>
                        </w14:solidFill>
                      </w14:textFill>
                    </w:rPr>
                    <w:t>℃</w:t>
                  </w:r>
                </w:p>
                <w:p w14:paraId="1A78C20D">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工作压力：</w:t>
                  </w:r>
                  <w:r>
                    <w:rPr>
                      <w:rFonts w:hint="eastAsia" w:ascii="Times New Roman" w:hAnsi="Times New Roman" w:cs="Times New Roman"/>
                      <w:color w:val="000000" w:themeColor="text1"/>
                      <w:sz w:val="21"/>
                      <w:szCs w:val="21"/>
                      <w14:textFill>
                        <w14:solidFill>
                          <w14:schemeClr w14:val="tx1"/>
                        </w14:solidFill>
                      </w14:textFill>
                    </w:rPr>
                    <w:t>常压</w:t>
                  </w:r>
                </w:p>
              </w:tc>
              <w:tc>
                <w:tcPr>
                  <w:tcW w:w="1174" w:type="dxa"/>
                  <w:tcBorders>
                    <w:top w:val="single" w:color="auto" w:sz="4" w:space="0"/>
                    <w:left w:val="single" w:color="auto" w:sz="4" w:space="0"/>
                    <w:bottom w:val="single" w:color="auto" w:sz="4" w:space="0"/>
                    <w:right w:val="single" w:color="auto" w:sz="4" w:space="0"/>
                  </w:tcBorders>
                  <w:vAlign w:val="center"/>
                </w:tcPr>
                <w:p w14:paraId="15CBFBA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63" w:type="dxa"/>
                  <w:vMerge w:val="continue"/>
                  <w:tcBorders>
                    <w:left w:val="single" w:color="auto" w:sz="4" w:space="0"/>
                    <w:right w:val="single" w:color="auto" w:sz="4" w:space="0"/>
                  </w:tcBorders>
                  <w:vAlign w:val="center"/>
                </w:tcPr>
                <w:p w14:paraId="47C1265B">
                  <w:pPr>
                    <w:jc w:val="center"/>
                    <w:rPr>
                      <w:rFonts w:ascii="Times New Roman" w:hAnsi="Times New Roman" w:cs="Times New Roman"/>
                      <w:color w:val="000000" w:themeColor="text1"/>
                      <w:sz w:val="21"/>
                      <w:szCs w:val="21"/>
                      <w14:textFill>
                        <w14:solidFill>
                          <w14:schemeClr w14:val="tx1"/>
                        </w14:solidFill>
                      </w14:textFill>
                    </w:rPr>
                  </w:pPr>
                </w:p>
              </w:tc>
              <w:tc>
                <w:tcPr>
                  <w:tcW w:w="1092" w:type="dxa"/>
                  <w:vMerge w:val="continue"/>
                  <w:tcBorders>
                    <w:left w:val="single" w:color="auto" w:sz="4" w:space="0"/>
                    <w:right w:val="single" w:color="auto" w:sz="4" w:space="0"/>
                  </w:tcBorders>
                  <w:vAlign w:val="center"/>
                </w:tcPr>
                <w:p w14:paraId="4EEE97CD">
                  <w:pPr>
                    <w:jc w:val="center"/>
                    <w:rPr>
                      <w:rFonts w:ascii="Times New Roman" w:hAnsi="Times New Roman" w:cs="Times New Roman"/>
                      <w:color w:val="000000" w:themeColor="text1"/>
                      <w:sz w:val="21"/>
                      <w:szCs w:val="21"/>
                      <w14:textFill>
                        <w14:solidFill>
                          <w14:schemeClr w14:val="tx1"/>
                        </w14:solidFill>
                      </w14:textFill>
                    </w:rPr>
                  </w:pPr>
                </w:p>
              </w:tc>
            </w:tr>
            <w:tr w14:paraId="4095D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243F727C">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035947CF">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循环吸收泵</w:t>
                  </w:r>
                </w:p>
                <w:p w14:paraId="339E4B0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P-404A/B</w:t>
                  </w:r>
                </w:p>
              </w:tc>
              <w:tc>
                <w:tcPr>
                  <w:tcW w:w="3479" w:type="dxa"/>
                  <w:tcBorders>
                    <w:top w:val="single" w:color="auto" w:sz="4" w:space="0"/>
                    <w:left w:val="single" w:color="auto" w:sz="4" w:space="0"/>
                    <w:bottom w:val="single" w:color="auto" w:sz="4" w:space="0"/>
                    <w:right w:val="single" w:color="auto" w:sz="4" w:space="0"/>
                  </w:tcBorders>
                  <w:vAlign w:val="center"/>
                </w:tcPr>
                <w:p w14:paraId="445118F3">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r>
                    <w:rPr>
                      <w:rFonts w:hint="eastAsia" w:ascii="Times New Roman" w:hAnsi="Times New Roman" w:cs="Times New Roman"/>
                      <w:color w:val="000000" w:themeColor="text1"/>
                      <w:sz w:val="21"/>
                      <w:szCs w:val="21"/>
                      <w14:textFill>
                        <w14:solidFill>
                          <w14:schemeClr w14:val="tx1"/>
                        </w14:solidFill>
                      </w14:textFill>
                    </w:rPr>
                    <w:t>，</w:t>
                  </w:r>
                </w:p>
                <w:p w14:paraId="4B35D1C7">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流量:Q=20m³/h，</w:t>
                  </w:r>
                </w:p>
                <w:p w14:paraId="4117A0D9">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扬程</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 xml:space="preserve"> H=20m</w:t>
                  </w:r>
                </w:p>
              </w:tc>
              <w:tc>
                <w:tcPr>
                  <w:tcW w:w="1174" w:type="dxa"/>
                  <w:tcBorders>
                    <w:top w:val="single" w:color="auto" w:sz="4" w:space="0"/>
                    <w:left w:val="single" w:color="auto" w:sz="4" w:space="0"/>
                    <w:bottom w:val="single" w:color="auto" w:sz="4" w:space="0"/>
                    <w:right w:val="single" w:color="auto" w:sz="4" w:space="0"/>
                  </w:tcBorders>
                  <w:vAlign w:val="center"/>
                </w:tcPr>
                <w:p w14:paraId="44C3B1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963" w:type="dxa"/>
                  <w:vMerge w:val="continue"/>
                  <w:tcBorders>
                    <w:left w:val="single" w:color="auto" w:sz="4" w:space="0"/>
                    <w:right w:val="single" w:color="auto" w:sz="4" w:space="0"/>
                  </w:tcBorders>
                  <w:vAlign w:val="center"/>
                </w:tcPr>
                <w:p w14:paraId="675FDE76">
                  <w:pPr>
                    <w:jc w:val="center"/>
                    <w:rPr>
                      <w:rFonts w:ascii="Times New Roman" w:hAnsi="Times New Roman" w:cs="Times New Roman"/>
                      <w:color w:val="000000" w:themeColor="text1"/>
                      <w:sz w:val="21"/>
                      <w:szCs w:val="21"/>
                      <w14:textFill>
                        <w14:solidFill>
                          <w14:schemeClr w14:val="tx1"/>
                        </w14:solidFill>
                      </w14:textFill>
                    </w:rPr>
                  </w:pPr>
                </w:p>
              </w:tc>
              <w:tc>
                <w:tcPr>
                  <w:tcW w:w="1092" w:type="dxa"/>
                  <w:vMerge w:val="continue"/>
                  <w:tcBorders>
                    <w:left w:val="single" w:color="auto" w:sz="4" w:space="0"/>
                    <w:right w:val="single" w:color="auto" w:sz="4" w:space="0"/>
                  </w:tcBorders>
                  <w:vAlign w:val="center"/>
                </w:tcPr>
                <w:p w14:paraId="3ED88A68">
                  <w:pPr>
                    <w:jc w:val="center"/>
                    <w:rPr>
                      <w:rFonts w:ascii="Times New Roman" w:hAnsi="Times New Roman" w:cs="Times New Roman"/>
                      <w:color w:val="000000" w:themeColor="text1"/>
                      <w:sz w:val="21"/>
                      <w:szCs w:val="21"/>
                      <w14:textFill>
                        <w14:solidFill>
                          <w14:schemeClr w14:val="tx1"/>
                        </w14:solidFill>
                      </w14:textFill>
                    </w:rPr>
                  </w:pPr>
                </w:p>
              </w:tc>
            </w:tr>
            <w:tr w14:paraId="49285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3B156882">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553DD67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苯酚输送泵</w:t>
                  </w:r>
                </w:p>
                <w:p w14:paraId="46C41F3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P-405A/B</w:t>
                  </w:r>
                </w:p>
              </w:tc>
              <w:tc>
                <w:tcPr>
                  <w:tcW w:w="3479" w:type="dxa"/>
                  <w:tcBorders>
                    <w:top w:val="single" w:color="auto" w:sz="4" w:space="0"/>
                    <w:left w:val="single" w:color="auto" w:sz="4" w:space="0"/>
                    <w:bottom w:val="single" w:color="auto" w:sz="4" w:space="0"/>
                    <w:right w:val="single" w:color="auto" w:sz="4" w:space="0"/>
                  </w:tcBorders>
                  <w:vAlign w:val="center"/>
                </w:tcPr>
                <w:p w14:paraId="543C50CF">
                  <w:pPr>
                    <w:suppressAutoHyphens/>
                    <w:jc w:val="center"/>
                    <w:rPr>
                      <w:rFonts w:ascii="Times New Roman" w:hAnsi="Times New Roman" w:cs="Times New Roman"/>
                      <w:color w:val="000000" w:themeColor="text1"/>
                      <w:sz w:val="21"/>
                      <w:szCs w:val="21"/>
                      <w14:textFill>
                        <w14:solidFill>
                          <w14:schemeClr w14:val="tx1"/>
                        </w14:solidFill>
                      </w14:textFill>
                    </w:rPr>
                  </w:pPr>
                  <w:r>
                    <w:rPr>
                      <w:rFonts w:hint="eastAsia" w:ascii="Arial Narrow" w:hAnsi="Arial Narrow" w:cs="Arial"/>
                      <w:color w:val="000000" w:themeColor="text1"/>
                      <w:kern w:val="2"/>
                      <w:sz w:val="21"/>
                      <w:szCs w:val="21"/>
                      <w14:textFill>
                        <w14:solidFill>
                          <w14:schemeClr w14:val="tx1"/>
                        </w14:solidFill>
                      </w14:textFill>
                    </w:rPr>
                    <w:t>屏蔽泵</w:t>
                  </w:r>
                  <w:r>
                    <w:rPr>
                      <w:rFonts w:hint="eastAsia" w:ascii="Times New Roman" w:hAnsi="Times New Roman" w:cs="Times New Roman"/>
                      <w:color w:val="000000" w:themeColor="text1"/>
                      <w:sz w:val="21"/>
                      <w:szCs w:val="21"/>
                      <w14:textFill>
                        <w14:solidFill>
                          <w14:schemeClr w14:val="tx1"/>
                        </w14:solidFill>
                      </w14:textFill>
                    </w:rPr>
                    <w:t>，</w:t>
                  </w:r>
                </w:p>
                <w:p w14:paraId="57070345">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流量</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Q=</w:t>
                  </w:r>
                  <w:r>
                    <w:rPr>
                      <w:rFonts w:hint="eastAsia" w:ascii="Times New Roman" w:hAnsi="Times New Roman" w:cs="Times New Roman"/>
                      <w:color w:val="000000" w:themeColor="text1"/>
                      <w:sz w:val="21"/>
                      <w:szCs w:val="21"/>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0m³/h，</w:t>
                  </w:r>
                </w:p>
                <w:p w14:paraId="66E20F7C">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扬程</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H=</w:t>
                  </w:r>
                  <w:r>
                    <w:rPr>
                      <w:rFonts w:hint="eastAsia" w:ascii="Times New Roman" w:hAnsi="Times New Roman" w:cs="Times New Roman"/>
                      <w:color w:val="000000" w:themeColor="text1"/>
                      <w:sz w:val="21"/>
                      <w:szCs w:val="21"/>
                      <w14:textFill>
                        <w14:solidFill>
                          <w14:schemeClr w14:val="tx1"/>
                        </w14:solidFill>
                      </w14:textFill>
                    </w:rPr>
                    <w:t>11</w:t>
                  </w:r>
                  <w:r>
                    <w:rPr>
                      <w:rFonts w:ascii="Times New Roman" w:hAnsi="Times New Roman" w:cs="Times New Roman"/>
                      <w:color w:val="000000" w:themeColor="text1"/>
                      <w:sz w:val="21"/>
                      <w:szCs w:val="21"/>
                      <w14:textFill>
                        <w14:solidFill>
                          <w14:schemeClr w14:val="tx1"/>
                        </w14:solidFill>
                      </w14:textFill>
                    </w:rPr>
                    <w:t>0m</w:t>
                  </w:r>
                </w:p>
              </w:tc>
              <w:tc>
                <w:tcPr>
                  <w:tcW w:w="1174" w:type="dxa"/>
                  <w:tcBorders>
                    <w:top w:val="single" w:color="auto" w:sz="4" w:space="0"/>
                    <w:left w:val="single" w:color="auto" w:sz="4" w:space="0"/>
                    <w:bottom w:val="single" w:color="auto" w:sz="4" w:space="0"/>
                    <w:right w:val="single" w:color="auto" w:sz="4" w:space="0"/>
                  </w:tcBorders>
                  <w:vAlign w:val="center"/>
                </w:tcPr>
                <w:p w14:paraId="7158C8E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963" w:type="dxa"/>
                  <w:tcBorders>
                    <w:left w:val="single" w:color="auto" w:sz="4" w:space="0"/>
                    <w:right w:val="single" w:color="auto" w:sz="4" w:space="0"/>
                  </w:tcBorders>
                  <w:vAlign w:val="center"/>
                </w:tcPr>
                <w:p w14:paraId="43191E0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管道输送</w:t>
                  </w:r>
                </w:p>
              </w:tc>
              <w:tc>
                <w:tcPr>
                  <w:tcW w:w="1092" w:type="dxa"/>
                  <w:tcBorders>
                    <w:left w:val="single" w:color="auto" w:sz="4" w:space="0"/>
                    <w:right w:val="single" w:color="auto" w:sz="4" w:space="0"/>
                  </w:tcBorders>
                  <w:vAlign w:val="center"/>
                </w:tcPr>
                <w:p w14:paraId="5080E3A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1#罐区</w:t>
                  </w:r>
                </w:p>
                <w:p w14:paraId="6254285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泵棚</w:t>
                  </w:r>
                </w:p>
              </w:tc>
            </w:tr>
            <w:tr w14:paraId="77085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7448A850">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24EE41B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己内酰胺循环泵</w:t>
                  </w:r>
                </w:p>
                <w:p w14:paraId="4A1DA3E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P-406</w:t>
                  </w:r>
                </w:p>
              </w:tc>
              <w:tc>
                <w:tcPr>
                  <w:tcW w:w="3479" w:type="dxa"/>
                  <w:tcBorders>
                    <w:top w:val="single" w:color="auto" w:sz="4" w:space="0"/>
                    <w:left w:val="single" w:color="auto" w:sz="4" w:space="0"/>
                    <w:bottom w:val="single" w:color="auto" w:sz="4" w:space="0"/>
                    <w:right w:val="single" w:color="auto" w:sz="4" w:space="0"/>
                  </w:tcBorders>
                  <w:vAlign w:val="center"/>
                </w:tcPr>
                <w:p w14:paraId="7D9B4BC2">
                  <w:pPr>
                    <w:suppressAutoHyphens/>
                    <w:jc w:val="center"/>
                    <w:rPr>
                      <w:rFonts w:ascii="Times New Roman" w:hAnsi="Times New Roman" w:cs="Times New Roman"/>
                      <w:color w:val="000000" w:themeColor="text1"/>
                      <w:sz w:val="21"/>
                      <w:szCs w:val="21"/>
                      <w14:textFill>
                        <w14:solidFill>
                          <w14:schemeClr w14:val="tx1"/>
                        </w14:solidFill>
                      </w14:textFill>
                    </w:rPr>
                  </w:pPr>
                  <w:r>
                    <w:rPr>
                      <w:rFonts w:hint="eastAsia" w:ascii="Arial Narrow" w:hAnsi="Arial Narrow" w:cs="Arial"/>
                      <w:color w:val="000000" w:themeColor="text1"/>
                      <w:kern w:val="2"/>
                      <w:sz w:val="21"/>
                      <w:szCs w:val="21"/>
                      <w14:textFill>
                        <w14:solidFill>
                          <w14:schemeClr w14:val="tx1"/>
                        </w14:solidFill>
                      </w14:textFill>
                    </w:rPr>
                    <w:t>屏蔽泵</w:t>
                  </w:r>
                  <w:r>
                    <w:rPr>
                      <w:rFonts w:hint="eastAsia" w:ascii="Times New Roman" w:hAnsi="Times New Roman" w:cs="Times New Roman"/>
                      <w:color w:val="000000" w:themeColor="text1"/>
                      <w:sz w:val="21"/>
                      <w:szCs w:val="21"/>
                      <w14:textFill>
                        <w14:solidFill>
                          <w14:schemeClr w14:val="tx1"/>
                        </w14:solidFill>
                      </w14:textFill>
                    </w:rPr>
                    <w:t>，</w:t>
                  </w:r>
                </w:p>
                <w:p w14:paraId="3ED644D3">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流量:Q=</w:t>
                  </w:r>
                  <w:r>
                    <w:rPr>
                      <w:rFonts w:hint="eastAsia" w:ascii="Times New Roman" w:hAnsi="Times New Roman" w:cs="Times New Roman"/>
                      <w:color w:val="000000" w:themeColor="text1"/>
                      <w:sz w:val="21"/>
                      <w:szCs w:val="21"/>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0m³/h，</w:t>
                  </w:r>
                </w:p>
                <w:p w14:paraId="0FDC0E9E">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扬程: H=</w:t>
                  </w:r>
                  <w:r>
                    <w:rPr>
                      <w:rFonts w:hint="eastAsia" w:ascii="Times New Roman" w:hAnsi="Times New Roman" w:cs="Times New Roman"/>
                      <w:color w:val="000000" w:themeColor="text1"/>
                      <w:sz w:val="21"/>
                      <w:szCs w:val="21"/>
                      <w14:textFill>
                        <w14:solidFill>
                          <w14:schemeClr w14:val="tx1"/>
                        </w14:solidFill>
                      </w14:textFill>
                    </w:rPr>
                    <w:t>4</w:t>
                  </w:r>
                  <w:r>
                    <w:rPr>
                      <w:rFonts w:ascii="Times New Roman" w:hAnsi="Times New Roman" w:cs="Times New Roman"/>
                      <w:color w:val="000000" w:themeColor="text1"/>
                      <w:sz w:val="21"/>
                      <w:szCs w:val="21"/>
                      <w14:textFill>
                        <w14:solidFill>
                          <w14:schemeClr w14:val="tx1"/>
                        </w14:solidFill>
                      </w14:textFill>
                    </w:rPr>
                    <w:t>0m</w:t>
                  </w:r>
                </w:p>
              </w:tc>
              <w:tc>
                <w:tcPr>
                  <w:tcW w:w="1174" w:type="dxa"/>
                  <w:tcBorders>
                    <w:top w:val="single" w:color="auto" w:sz="4" w:space="0"/>
                    <w:left w:val="single" w:color="auto" w:sz="4" w:space="0"/>
                    <w:bottom w:val="single" w:color="auto" w:sz="4" w:space="0"/>
                    <w:right w:val="single" w:color="auto" w:sz="4" w:space="0"/>
                  </w:tcBorders>
                  <w:vAlign w:val="center"/>
                </w:tcPr>
                <w:p w14:paraId="3CD6D39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963" w:type="dxa"/>
                  <w:tcBorders>
                    <w:left w:val="single" w:color="auto" w:sz="4" w:space="0"/>
                    <w:right w:val="single" w:color="auto" w:sz="4" w:space="0"/>
                  </w:tcBorders>
                  <w:vAlign w:val="center"/>
                </w:tcPr>
                <w:p w14:paraId="6471BCB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循环</w:t>
                  </w:r>
                </w:p>
              </w:tc>
              <w:tc>
                <w:tcPr>
                  <w:tcW w:w="1092" w:type="dxa"/>
                  <w:vMerge w:val="restart"/>
                  <w:tcBorders>
                    <w:left w:val="single" w:color="auto" w:sz="4" w:space="0"/>
                    <w:right w:val="single" w:color="auto" w:sz="4" w:space="0"/>
                  </w:tcBorders>
                  <w:vAlign w:val="center"/>
                </w:tcPr>
                <w:p w14:paraId="5ED0E46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2#罐区</w:t>
                  </w:r>
                </w:p>
                <w:p w14:paraId="60E2912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泵棚</w:t>
                  </w:r>
                </w:p>
              </w:tc>
            </w:tr>
            <w:tr w14:paraId="30DD0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4EB53BF1">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4CF9778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己内酰胺装船泵</w:t>
                  </w:r>
                </w:p>
                <w:p w14:paraId="1918265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P-407A/B</w:t>
                  </w:r>
                </w:p>
              </w:tc>
              <w:tc>
                <w:tcPr>
                  <w:tcW w:w="3479" w:type="dxa"/>
                  <w:tcBorders>
                    <w:top w:val="single" w:color="auto" w:sz="4" w:space="0"/>
                    <w:left w:val="single" w:color="auto" w:sz="4" w:space="0"/>
                    <w:bottom w:val="single" w:color="auto" w:sz="4" w:space="0"/>
                    <w:right w:val="single" w:color="auto" w:sz="4" w:space="0"/>
                  </w:tcBorders>
                  <w:vAlign w:val="center"/>
                </w:tcPr>
                <w:p w14:paraId="7A17B1CF">
                  <w:pPr>
                    <w:suppressAutoHyphens/>
                    <w:jc w:val="center"/>
                    <w:rPr>
                      <w:rFonts w:ascii="Times New Roman" w:hAnsi="Times New Roman" w:cs="Times New Roman"/>
                      <w:color w:val="000000" w:themeColor="text1"/>
                      <w:sz w:val="21"/>
                      <w:szCs w:val="21"/>
                      <w14:textFill>
                        <w14:solidFill>
                          <w14:schemeClr w14:val="tx1"/>
                        </w14:solidFill>
                      </w14:textFill>
                    </w:rPr>
                  </w:pPr>
                  <w:r>
                    <w:rPr>
                      <w:rFonts w:hint="eastAsia" w:ascii="Arial Narrow" w:hAnsi="Arial Narrow" w:cs="Arial"/>
                      <w:color w:val="000000" w:themeColor="text1"/>
                      <w:kern w:val="2"/>
                      <w:sz w:val="21"/>
                      <w:szCs w:val="21"/>
                      <w14:textFill>
                        <w14:solidFill>
                          <w14:schemeClr w14:val="tx1"/>
                        </w14:solidFill>
                      </w14:textFill>
                    </w:rPr>
                    <w:t>屏蔽泵</w:t>
                  </w:r>
                  <w:r>
                    <w:rPr>
                      <w:rFonts w:hint="eastAsia" w:ascii="Times New Roman" w:hAnsi="Times New Roman" w:cs="Times New Roman"/>
                      <w:color w:val="000000" w:themeColor="text1"/>
                      <w:sz w:val="21"/>
                      <w:szCs w:val="21"/>
                      <w14:textFill>
                        <w14:solidFill>
                          <w14:schemeClr w14:val="tx1"/>
                        </w14:solidFill>
                      </w14:textFill>
                    </w:rPr>
                    <w:t>，</w:t>
                  </w:r>
                </w:p>
                <w:p w14:paraId="74000B08">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流量</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Q=2</w:t>
                  </w:r>
                  <w:r>
                    <w:rPr>
                      <w:rFonts w:hint="eastAsia" w:ascii="Times New Roman" w:hAnsi="Times New Roman" w:cs="Times New Roman"/>
                      <w:color w:val="000000" w:themeColor="text1"/>
                      <w:sz w:val="21"/>
                      <w:szCs w:val="21"/>
                      <w14:textFill>
                        <w14:solidFill>
                          <w14:schemeClr w14:val="tx1"/>
                        </w14:solidFill>
                      </w14:textFill>
                    </w:rPr>
                    <w:t>5</w:t>
                  </w:r>
                  <w:r>
                    <w:rPr>
                      <w:rFonts w:ascii="Times New Roman" w:hAnsi="Times New Roman" w:cs="Times New Roman"/>
                      <w:color w:val="000000" w:themeColor="text1"/>
                      <w:sz w:val="21"/>
                      <w:szCs w:val="21"/>
                      <w14:textFill>
                        <w14:solidFill>
                          <w14:schemeClr w14:val="tx1"/>
                        </w14:solidFill>
                      </w14:textFill>
                    </w:rPr>
                    <w:t>0m³/h，</w:t>
                  </w:r>
                </w:p>
                <w:p w14:paraId="0634AD49">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扬程</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H=</w:t>
                  </w:r>
                  <w:r>
                    <w:rPr>
                      <w:rFonts w:hint="eastAsia" w:ascii="Times New Roman" w:hAnsi="Times New Roman" w:cs="Times New Roman"/>
                      <w:color w:val="000000" w:themeColor="text1"/>
                      <w:sz w:val="21"/>
                      <w:szCs w:val="21"/>
                      <w14:textFill>
                        <w14:solidFill>
                          <w14:schemeClr w14:val="tx1"/>
                        </w14:solidFill>
                      </w14:textFill>
                    </w:rPr>
                    <w:t>65</w:t>
                  </w:r>
                  <w:r>
                    <w:rPr>
                      <w:rFonts w:ascii="Times New Roman" w:hAnsi="Times New Roman" w:cs="Times New Roman"/>
                      <w:color w:val="000000" w:themeColor="text1"/>
                      <w:sz w:val="21"/>
                      <w:szCs w:val="21"/>
                      <w14:textFill>
                        <w14:solidFill>
                          <w14:schemeClr w14:val="tx1"/>
                        </w14:solidFill>
                      </w14:textFill>
                    </w:rPr>
                    <w:t>m</w:t>
                  </w:r>
                </w:p>
              </w:tc>
              <w:tc>
                <w:tcPr>
                  <w:tcW w:w="1174" w:type="dxa"/>
                  <w:tcBorders>
                    <w:top w:val="single" w:color="auto" w:sz="4" w:space="0"/>
                    <w:left w:val="single" w:color="auto" w:sz="4" w:space="0"/>
                    <w:bottom w:val="single" w:color="auto" w:sz="4" w:space="0"/>
                    <w:right w:val="single" w:color="auto" w:sz="4" w:space="0"/>
                  </w:tcBorders>
                  <w:vAlign w:val="center"/>
                </w:tcPr>
                <w:p w14:paraId="7E040C8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963" w:type="dxa"/>
                  <w:tcBorders>
                    <w:left w:val="single" w:color="auto" w:sz="4" w:space="0"/>
                    <w:right w:val="single" w:color="auto" w:sz="4" w:space="0"/>
                  </w:tcBorders>
                  <w:vAlign w:val="center"/>
                </w:tcPr>
                <w:p w14:paraId="22DE018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装船</w:t>
                  </w:r>
                </w:p>
              </w:tc>
              <w:tc>
                <w:tcPr>
                  <w:tcW w:w="1092" w:type="dxa"/>
                  <w:vMerge w:val="continue"/>
                  <w:tcBorders>
                    <w:left w:val="single" w:color="auto" w:sz="4" w:space="0"/>
                    <w:right w:val="single" w:color="auto" w:sz="4" w:space="0"/>
                  </w:tcBorders>
                  <w:vAlign w:val="center"/>
                </w:tcPr>
                <w:p w14:paraId="76B0D74C">
                  <w:pPr>
                    <w:jc w:val="center"/>
                    <w:rPr>
                      <w:rFonts w:ascii="Times New Roman" w:hAnsi="Times New Roman" w:cs="Times New Roman"/>
                      <w:color w:val="000000" w:themeColor="text1"/>
                      <w:sz w:val="21"/>
                      <w:szCs w:val="21"/>
                      <w14:textFill>
                        <w14:solidFill>
                          <w14:schemeClr w14:val="tx1"/>
                        </w14:solidFill>
                      </w14:textFill>
                    </w:rPr>
                  </w:pPr>
                </w:p>
              </w:tc>
            </w:tr>
            <w:tr w14:paraId="3AF14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4F06BA1B">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5596A5D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热水泵</w:t>
                  </w:r>
                </w:p>
                <w:p w14:paraId="00C99A5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P-408A/B</w:t>
                  </w:r>
                </w:p>
              </w:tc>
              <w:tc>
                <w:tcPr>
                  <w:tcW w:w="3479" w:type="dxa"/>
                  <w:tcBorders>
                    <w:top w:val="single" w:color="auto" w:sz="4" w:space="0"/>
                    <w:left w:val="single" w:color="auto" w:sz="4" w:space="0"/>
                    <w:bottom w:val="single" w:color="auto" w:sz="4" w:space="0"/>
                    <w:right w:val="single" w:color="auto" w:sz="4" w:space="0"/>
                  </w:tcBorders>
                  <w:vAlign w:val="center"/>
                </w:tcPr>
                <w:p w14:paraId="71A0BB97">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r>
                    <w:rPr>
                      <w:rFonts w:hint="eastAsia" w:ascii="Times New Roman" w:hAnsi="Times New Roman" w:cs="Times New Roman"/>
                      <w:color w:val="000000" w:themeColor="text1"/>
                      <w:sz w:val="21"/>
                      <w:szCs w:val="21"/>
                      <w14:textFill>
                        <w14:solidFill>
                          <w14:schemeClr w14:val="tx1"/>
                        </w14:solidFill>
                      </w14:textFill>
                    </w:rPr>
                    <w:t>，</w:t>
                  </w:r>
                </w:p>
                <w:p w14:paraId="62D0F7CD">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流量:Q=</w:t>
                  </w:r>
                  <w:r>
                    <w:rPr>
                      <w:rFonts w:hint="eastAsia" w:ascii="Times New Roman" w:hAnsi="Times New Roman" w:cs="Times New Roman"/>
                      <w:color w:val="000000" w:themeColor="text1"/>
                      <w:sz w:val="21"/>
                      <w:szCs w:val="21"/>
                      <w14:textFill>
                        <w14:solidFill>
                          <w14:schemeClr w14:val="tx1"/>
                        </w14:solidFill>
                      </w14:textFill>
                    </w:rPr>
                    <w:t>30</w:t>
                  </w:r>
                  <w:r>
                    <w:rPr>
                      <w:rFonts w:ascii="Times New Roman" w:hAnsi="Times New Roman" w:cs="Times New Roman"/>
                      <w:color w:val="000000" w:themeColor="text1"/>
                      <w:sz w:val="21"/>
                      <w:szCs w:val="21"/>
                      <w14:textFill>
                        <w14:solidFill>
                          <w14:schemeClr w14:val="tx1"/>
                        </w14:solidFill>
                      </w14:textFill>
                    </w:rPr>
                    <w:t>0m³/h，</w:t>
                  </w:r>
                </w:p>
                <w:p w14:paraId="768E9615">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扬程: H=</w:t>
                  </w:r>
                  <w:r>
                    <w:rPr>
                      <w:rFonts w:hint="eastAsia" w:ascii="Times New Roman" w:hAnsi="Times New Roman" w:cs="Times New Roman"/>
                      <w:color w:val="000000" w:themeColor="text1"/>
                      <w:sz w:val="21"/>
                      <w:szCs w:val="21"/>
                      <w14:textFill>
                        <w14:solidFill>
                          <w14:schemeClr w14:val="tx1"/>
                        </w14:solidFill>
                      </w14:textFill>
                    </w:rPr>
                    <w:t>5</w:t>
                  </w:r>
                  <w:r>
                    <w:rPr>
                      <w:rFonts w:ascii="Times New Roman" w:hAnsi="Times New Roman" w:cs="Times New Roman"/>
                      <w:color w:val="000000" w:themeColor="text1"/>
                      <w:sz w:val="21"/>
                      <w:szCs w:val="21"/>
                      <w14:textFill>
                        <w14:solidFill>
                          <w14:schemeClr w14:val="tx1"/>
                        </w14:solidFill>
                      </w14:textFill>
                    </w:rPr>
                    <w:t>0m</w:t>
                  </w:r>
                </w:p>
              </w:tc>
              <w:tc>
                <w:tcPr>
                  <w:tcW w:w="1174" w:type="dxa"/>
                  <w:tcBorders>
                    <w:top w:val="single" w:color="auto" w:sz="4" w:space="0"/>
                    <w:left w:val="single" w:color="auto" w:sz="4" w:space="0"/>
                    <w:bottom w:val="single" w:color="auto" w:sz="4" w:space="0"/>
                    <w:right w:val="single" w:color="auto" w:sz="4" w:space="0"/>
                  </w:tcBorders>
                  <w:vAlign w:val="center"/>
                </w:tcPr>
                <w:p w14:paraId="0E51B24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963" w:type="dxa"/>
                  <w:tcBorders>
                    <w:left w:val="single" w:color="auto" w:sz="4" w:space="0"/>
                    <w:right w:val="single" w:color="auto" w:sz="4" w:space="0"/>
                  </w:tcBorders>
                  <w:vAlign w:val="center"/>
                </w:tcPr>
                <w:p w14:paraId="696199E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热水保温</w:t>
                  </w:r>
                </w:p>
              </w:tc>
              <w:tc>
                <w:tcPr>
                  <w:tcW w:w="1092" w:type="dxa"/>
                  <w:vMerge w:val="continue"/>
                  <w:tcBorders>
                    <w:left w:val="single" w:color="auto" w:sz="4" w:space="0"/>
                    <w:right w:val="single" w:color="auto" w:sz="4" w:space="0"/>
                  </w:tcBorders>
                  <w:vAlign w:val="center"/>
                </w:tcPr>
                <w:p w14:paraId="420D0FCD">
                  <w:pPr>
                    <w:jc w:val="center"/>
                    <w:rPr>
                      <w:rFonts w:ascii="Times New Roman" w:hAnsi="Times New Roman" w:cs="Times New Roman"/>
                      <w:color w:val="000000" w:themeColor="text1"/>
                      <w:sz w:val="21"/>
                      <w:szCs w:val="21"/>
                      <w14:textFill>
                        <w14:solidFill>
                          <w14:schemeClr w14:val="tx1"/>
                        </w14:solidFill>
                      </w14:textFill>
                    </w:rPr>
                  </w:pPr>
                </w:p>
              </w:tc>
            </w:tr>
            <w:tr w14:paraId="3944D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0D8E2720">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690D207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热水罐</w:t>
                  </w:r>
                </w:p>
              </w:tc>
              <w:tc>
                <w:tcPr>
                  <w:tcW w:w="3479" w:type="dxa"/>
                  <w:tcBorders>
                    <w:top w:val="single" w:color="auto" w:sz="4" w:space="0"/>
                    <w:left w:val="single" w:color="auto" w:sz="4" w:space="0"/>
                    <w:bottom w:val="single" w:color="auto" w:sz="4" w:space="0"/>
                    <w:right w:val="single" w:color="auto" w:sz="4" w:space="0"/>
                  </w:tcBorders>
                  <w:vAlign w:val="center"/>
                </w:tcPr>
                <w:p w14:paraId="730FA095">
                  <w:pPr>
                    <w:suppressAutoHyphens/>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Φ4m×H4.5m，容积V=60m</w:t>
                  </w:r>
                  <w:r>
                    <w:rPr>
                      <w:rFonts w:hint="eastAsia" w:ascii="Times New Roman" w:hAnsi="Times New Roman" w:cs="Times New Roman"/>
                      <w:color w:val="000000" w:themeColor="text1"/>
                      <w:sz w:val="21"/>
                      <w:szCs w:val="21"/>
                      <w:vertAlign w:val="superscript"/>
                      <w14:textFill>
                        <w14:solidFill>
                          <w14:schemeClr w14:val="tx1"/>
                        </w14:solidFill>
                      </w14:textFill>
                    </w:rPr>
                    <w:t>3</w:t>
                  </w:r>
                </w:p>
              </w:tc>
              <w:tc>
                <w:tcPr>
                  <w:tcW w:w="1174" w:type="dxa"/>
                  <w:tcBorders>
                    <w:top w:val="single" w:color="auto" w:sz="4" w:space="0"/>
                    <w:left w:val="single" w:color="auto" w:sz="4" w:space="0"/>
                    <w:bottom w:val="single" w:color="auto" w:sz="4" w:space="0"/>
                    <w:right w:val="single" w:color="auto" w:sz="4" w:space="0"/>
                  </w:tcBorders>
                  <w:vAlign w:val="center"/>
                </w:tcPr>
                <w:p w14:paraId="75EE160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963" w:type="dxa"/>
                  <w:tcBorders>
                    <w:left w:val="single" w:color="auto" w:sz="4" w:space="0"/>
                    <w:right w:val="single" w:color="auto" w:sz="4" w:space="0"/>
                  </w:tcBorders>
                  <w:vAlign w:val="center"/>
                </w:tcPr>
                <w:p w14:paraId="0199313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热水保温</w:t>
                  </w:r>
                </w:p>
              </w:tc>
              <w:tc>
                <w:tcPr>
                  <w:tcW w:w="1092" w:type="dxa"/>
                  <w:vMerge w:val="continue"/>
                  <w:tcBorders>
                    <w:left w:val="single" w:color="auto" w:sz="4" w:space="0"/>
                    <w:right w:val="single" w:color="auto" w:sz="4" w:space="0"/>
                  </w:tcBorders>
                  <w:vAlign w:val="center"/>
                </w:tcPr>
                <w:p w14:paraId="55714E11">
                  <w:pPr>
                    <w:jc w:val="center"/>
                    <w:rPr>
                      <w:rFonts w:ascii="Times New Roman" w:hAnsi="Times New Roman" w:cs="Times New Roman"/>
                      <w:color w:val="000000" w:themeColor="text1"/>
                      <w:sz w:val="21"/>
                      <w:szCs w:val="21"/>
                      <w14:textFill>
                        <w14:solidFill>
                          <w14:schemeClr w14:val="tx1"/>
                        </w14:solidFill>
                      </w14:textFill>
                    </w:rPr>
                  </w:pPr>
                </w:p>
              </w:tc>
            </w:tr>
            <w:tr w14:paraId="7D9F1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49552248">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20F16870">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液硫装卸臂L-601A/B</w:t>
                  </w:r>
                </w:p>
              </w:tc>
              <w:tc>
                <w:tcPr>
                  <w:tcW w:w="3479" w:type="dxa"/>
                  <w:tcBorders>
                    <w:top w:val="single" w:color="auto" w:sz="4" w:space="0"/>
                    <w:left w:val="single" w:color="auto" w:sz="4" w:space="0"/>
                    <w:bottom w:val="single" w:color="auto" w:sz="4" w:space="0"/>
                    <w:right w:val="single" w:color="auto" w:sz="4" w:space="0"/>
                  </w:tcBorders>
                  <w:vAlign w:val="center"/>
                </w:tcPr>
                <w:p w14:paraId="434AC108">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装车能力：60m³/h；</w:t>
                  </w:r>
                </w:p>
                <w:p w14:paraId="404F8796">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智能化装车系统。</w:t>
                  </w:r>
                </w:p>
              </w:tc>
              <w:tc>
                <w:tcPr>
                  <w:tcW w:w="1174" w:type="dxa"/>
                  <w:tcBorders>
                    <w:top w:val="single" w:color="auto" w:sz="4" w:space="0"/>
                    <w:left w:val="single" w:color="auto" w:sz="4" w:space="0"/>
                    <w:bottom w:val="single" w:color="auto" w:sz="4" w:space="0"/>
                    <w:right w:val="single" w:color="auto" w:sz="4" w:space="0"/>
                  </w:tcBorders>
                  <w:vAlign w:val="center"/>
                </w:tcPr>
                <w:p w14:paraId="1278F460">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963" w:type="dxa"/>
                  <w:tcBorders>
                    <w:left w:val="single" w:color="auto" w:sz="4" w:space="0"/>
                    <w:right w:val="single" w:color="auto" w:sz="4" w:space="0"/>
                  </w:tcBorders>
                  <w:vAlign w:val="center"/>
                </w:tcPr>
                <w:p w14:paraId="03165E7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装卸</w:t>
                  </w:r>
                </w:p>
              </w:tc>
              <w:tc>
                <w:tcPr>
                  <w:tcW w:w="1092" w:type="dxa"/>
                  <w:vMerge w:val="restart"/>
                  <w:tcBorders>
                    <w:left w:val="single" w:color="auto" w:sz="4" w:space="0"/>
                    <w:right w:val="single" w:color="auto" w:sz="4" w:space="0"/>
                  </w:tcBorders>
                  <w:vAlign w:val="center"/>
                </w:tcPr>
                <w:p w14:paraId="339A249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汽车装卸站</w:t>
                  </w:r>
                </w:p>
              </w:tc>
            </w:tr>
            <w:tr w14:paraId="5E116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3CC1E9F6">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5C939CC2">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硫酸装卸臂L-602</w:t>
                  </w:r>
                </w:p>
              </w:tc>
              <w:tc>
                <w:tcPr>
                  <w:tcW w:w="3479" w:type="dxa"/>
                  <w:tcBorders>
                    <w:top w:val="single" w:color="auto" w:sz="4" w:space="0"/>
                    <w:left w:val="single" w:color="auto" w:sz="4" w:space="0"/>
                    <w:bottom w:val="single" w:color="auto" w:sz="4" w:space="0"/>
                    <w:right w:val="single" w:color="auto" w:sz="4" w:space="0"/>
                  </w:tcBorders>
                  <w:vAlign w:val="center"/>
                </w:tcPr>
                <w:p w14:paraId="5828A0D3">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装车能力：50m³/h；</w:t>
                  </w:r>
                </w:p>
                <w:p w14:paraId="71267FC9">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智能化装车系统。</w:t>
                  </w:r>
                </w:p>
              </w:tc>
              <w:tc>
                <w:tcPr>
                  <w:tcW w:w="1174" w:type="dxa"/>
                  <w:tcBorders>
                    <w:top w:val="single" w:color="auto" w:sz="4" w:space="0"/>
                    <w:left w:val="single" w:color="auto" w:sz="4" w:space="0"/>
                    <w:bottom w:val="single" w:color="auto" w:sz="4" w:space="0"/>
                    <w:right w:val="single" w:color="auto" w:sz="4" w:space="0"/>
                  </w:tcBorders>
                  <w:vAlign w:val="center"/>
                </w:tcPr>
                <w:p w14:paraId="6269517D">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63" w:type="dxa"/>
                  <w:tcBorders>
                    <w:left w:val="single" w:color="auto" w:sz="4" w:space="0"/>
                    <w:right w:val="single" w:color="auto" w:sz="4" w:space="0"/>
                  </w:tcBorders>
                  <w:vAlign w:val="center"/>
                </w:tcPr>
                <w:p w14:paraId="6E6FC2D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装卸</w:t>
                  </w:r>
                </w:p>
              </w:tc>
              <w:tc>
                <w:tcPr>
                  <w:tcW w:w="1092" w:type="dxa"/>
                  <w:vMerge w:val="continue"/>
                  <w:tcBorders>
                    <w:left w:val="single" w:color="auto" w:sz="4" w:space="0"/>
                    <w:right w:val="single" w:color="auto" w:sz="4" w:space="0"/>
                  </w:tcBorders>
                  <w:vAlign w:val="center"/>
                </w:tcPr>
                <w:p w14:paraId="462B3944">
                  <w:pPr>
                    <w:jc w:val="center"/>
                    <w:rPr>
                      <w:rFonts w:ascii="Times New Roman" w:hAnsi="Times New Roman" w:cs="Times New Roman"/>
                      <w:color w:val="000000" w:themeColor="text1"/>
                      <w:sz w:val="21"/>
                      <w:szCs w:val="21"/>
                      <w14:textFill>
                        <w14:solidFill>
                          <w14:schemeClr w14:val="tx1"/>
                        </w14:solidFill>
                      </w14:textFill>
                    </w:rPr>
                  </w:pPr>
                </w:p>
              </w:tc>
            </w:tr>
            <w:tr w14:paraId="246F3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64E28613">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2D6AEF20">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液碱装卸臂L-603</w:t>
                  </w:r>
                </w:p>
              </w:tc>
              <w:tc>
                <w:tcPr>
                  <w:tcW w:w="3479" w:type="dxa"/>
                  <w:tcBorders>
                    <w:top w:val="single" w:color="auto" w:sz="4" w:space="0"/>
                    <w:left w:val="single" w:color="auto" w:sz="4" w:space="0"/>
                    <w:bottom w:val="single" w:color="auto" w:sz="4" w:space="0"/>
                    <w:right w:val="single" w:color="auto" w:sz="4" w:space="0"/>
                  </w:tcBorders>
                  <w:vAlign w:val="center"/>
                </w:tcPr>
                <w:p w14:paraId="5C093B91">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装车能力：50m³/h；</w:t>
                  </w:r>
                </w:p>
                <w:p w14:paraId="24C54E5C">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智能化装车系统。</w:t>
                  </w:r>
                </w:p>
              </w:tc>
              <w:tc>
                <w:tcPr>
                  <w:tcW w:w="1174" w:type="dxa"/>
                  <w:tcBorders>
                    <w:top w:val="single" w:color="auto" w:sz="4" w:space="0"/>
                    <w:left w:val="single" w:color="auto" w:sz="4" w:space="0"/>
                    <w:bottom w:val="single" w:color="auto" w:sz="4" w:space="0"/>
                    <w:right w:val="single" w:color="auto" w:sz="4" w:space="0"/>
                  </w:tcBorders>
                  <w:vAlign w:val="center"/>
                </w:tcPr>
                <w:p w14:paraId="75B6573A">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63" w:type="dxa"/>
                  <w:tcBorders>
                    <w:left w:val="single" w:color="auto" w:sz="4" w:space="0"/>
                    <w:right w:val="single" w:color="auto" w:sz="4" w:space="0"/>
                  </w:tcBorders>
                  <w:vAlign w:val="center"/>
                </w:tcPr>
                <w:p w14:paraId="580B1F0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装卸</w:t>
                  </w:r>
                </w:p>
              </w:tc>
              <w:tc>
                <w:tcPr>
                  <w:tcW w:w="1092" w:type="dxa"/>
                  <w:vMerge w:val="continue"/>
                  <w:tcBorders>
                    <w:left w:val="single" w:color="auto" w:sz="4" w:space="0"/>
                    <w:right w:val="single" w:color="auto" w:sz="4" w:space="0"/>
                  </w:tcBorders>
                  <w:vAlign w:val="center"/>
                </w:tcPr>
                <w:p w14:paraId="0573B5BD">
                  <w:pPr>
                    <w:jc w:val="center"/>
                    <w:rPr>
                      <w:rFonts w:ascii="Times New Roman" w:hAnsi="Times New Roman" w:cs="Times New Roman"/>
                      <w:color w:val="000000" w:themeColor="text1"/>
                      <w:sz w:val="21"/>
                      <w:szCs w:val="21"/>
                      <w14:textFill>
                        <w14:solidFill>
                          <w14:schemeClr w14:val="tx1"/>
                        </w14:solidFill>
                      </w14:textFill>
                    </w:rPr>
                  </w:pPr>
                </w:p>
              </w:tc>
            </w:tr>
            <w:tr w14:paraId="5E911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521" w:type="dxa"/>
                  <w:tcBorders>
                    <w:left w:val="single" w:color="auto" w:sz="4" w:space="0"/>
                    <w:right w:val="single" w:color="auto" w:sz="4" w:space="0"/>
                  </w:tcBorders>
                  <w:vAlign w:val="center"/>
                </w:tcPr>
                <w:p w14:paraId="592CBF08">
                  <w:pPr>
                    <w:pStyle w:val="200"/>
                    <w:numPr>
                      <w:ilvl w:val="0"/>
                      <w:numId w:val="13"/>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552" w:type="dxa"/>
                  <w:tcBorders>
                    <w:left w:val="single" w:color="auto" w:sz="4" w:space="0"/>
                    <w:right w:val="single" w:color="auto" w:sz="4" w:space="0"/>
                  </w:tcBorders>
                  <w:vAlign w:val="center"/>
                </w:tcPr>
                <w:p w14:paraId="68032028">
                  <w:pPr>
                    <w:suppressAutoHyphens/>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己内酰胺卸车泵</w:t>
                  </w:r>
                </w:p>
                <w:p w14:paraId="2229FD8E">
                  <w:pPr>
                    <w:suppressAutoHyphens/>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P-409A/B</w:t>
                  </w:r>
                </w:p>
              </w:tc>
              <w:tc>
                <w:tcPr>
                  <w:tcW w:w="3479" w:type="dxa"/>
                  <w:tcBorders>
                    <w:top w:val="single" w:color="auto" w:sz="4" w:space="0"/>
                    <w:left w:val="single" w:color="auto" w:sz="4" w:space="0"/>
                    <w:bottom w:val="single" w:color="auto" w:sz="4" w:space="0"/>
                    <w:right w:val="single" w:color="auto" w:sz="4" w:space="0"/>
                  </w:tcBorders>
                  <w:vAlign w:val="center"/>
                </w:tcPr>
                <w:p w14:paraId="732D4A5A">
                  <w:pPr>
                    <w:suppressAutoHyphens/>
                    <w:jc w:val="center"/>
                    <w:rPr>
                      <w:rFonts w:ascii="Times New Roman" w:hAnsi="Times New Roman" w:cs="Times New Roman"/>
                      <w:color w:val="000000" w:themeColor="text1"/>
                      <w:sz w:val="21"/>
                      <w:szCs w:val="21"/>
                      <w14:textFill>
                        <w14:solidFill>
                          <w14:schemeClr w14:val="tx1"/>
                        </w14:solidFill>
                      </w14:textFill>
                    </w:rPr>
                  </w:pPr>
                  <w:r>
                    <w:rPr>
                      <w:rFonts w:hint="eastAsia" w:ascii="Arial Narrow" w:hAnsi="Arial Narrow" w:cs="Arial"/>
                      <w:color w:val="000000" w:themeColor="text1"/>
                      <w:kern w:val="2"/>
                      <w:sz w:val="21"/>
                      <w:szCs w:val="21"/>
                      <w14:textFill>
                        <w14:solidFill>
                          <w14:schemeClr w14:val="tx1"/>
                        </w14:solidFill>
                      </w14:textFill>
                    </w:rPr>
                    <w:t>转子泵</w:t>
                  </w:r>
                  <w:r>
                    <w:rPr>
                      <w:rFonts w:hint="eastAsia" w:ascii="Times New Roman" w:hAnsi="Times New Roman" w:cs="Times New Roman"/>
                      <w:color w:val="000000" w:themeColor="text1"/>
                      <w:sz w:val="21"/>
                      <w:szCs w:val="21"/>
                      <w14:textFill>
                        <w14:solidFill>
                          <w14:schemeClr w14:val="tx1"/>
                        </w14:solidFill>
                      </w14:textFill>
                    </w:rPr>
                    <w:t>，</w:t>
                  </w:r>
                </w:p>
                <w:p w14:paraId="43F8C386">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流量:Q=</w:t>
                  </w:r>
                  <w:r>
                    <w:rPr>
                      <w:rFonts w:hint="eastAsia" w:ascii="Times New Roman" w:hAnsi="Times New Roman" w:cs="Times New Roman"/>
                      <w:color w:val="000000" w:themeColor="text1"/>
                      <w:sz w:val="21"/>
                      <w:szCs w:val="21"/>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0m³/h，</w:t>
                  </w:r>
                </w:p>
                <w:p w14:paraId="0DD47577">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扬程: H=</w:t>
                  </w:r>
                  <w:r>
                    <w:rPr>
                      <w:rFonts w:hint="eastAsia" w:ascii="Times New Roman" w:hAnsi="Times New Roman" w:cs="Times New Roman"/>
                      <w:color w:val="000000" w:themeColor="text1"/>
                      <w:sz w:val="21"/>
                      <w:szCs w:val="21"/>
                      <w14:textFill>
                        <w14:solidFill>
                          <w14:schemeClr w14:val="tx1"/>
                        </w14:solidFill>
                      </w14:textFill>
                    </w:rPr>
                    <w:t>5</w:t>
                  </w:r>
                  <w:r>
                    <w:rPr>
                      <w:rFonts w:ascii="Times New Roman" w:hAnsi="Times New Roman" w:cs="Times New Roman"/>
                      <w:color w:val="000000" w:themeColor="text1"/>
                      <w:sz w:val="21"/>
                      <w:szCs w:val="21"/>
                      <w14:textFill>
                        <w14:solidFill>
                          <w14:schemeClr w14:val="tx1"/>
                        </w14:solidFill>
                      </w14:textFill>
                    </w:rPr>
                    <w:t>0m</w:t>
                  </w:r>
                </w:p>
              </w:tc>
              <w:tc>
                <w:tcPr>
                  <w:tcW w:w="1174" w:type="dxa"/>
                  <w:tcBorders>
                    <w:top w:val="single" w:color="auto" w:sz="4" w:space="0"/>
                    <w:left w:val="single" w:color="auto" w:sz="4" w:space="0"/>
                    <w:bottom w:val="single" w:color="auto" w:sz="4" w:space="0"/>
                    <w:right w:val="single" w:color="auto" w:sz="4" w:space="0"/>
                  </w:tcBorders>
                  <w:vAlign w:val="center"/>
                </w:tcPr>
                <w:p w14:paraId="64A3DEE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963" w:type="dxa"/>
                  <w:tcBorders>
                    <w:left w:val="single" w:color="auto" w:sz="4" w:space="0"/>
                    <w:right w:val="single" w:color="auto" w:sz="4" w:space="0"/>
                  </w:tcBorders>
                  <w:vAlign w:val="center"/>
                </w:tcPr>
                <w:p w14:paraId="2C1BA5B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装卸</w:t>
                  </w:r>
                </w:p>
              </w:tc>
              <w:tc>
                <w:tcPr>
                  <w:tcW w:w="1092" w:type="dxa"/>
                  <w:vMerge w:val="continue"/>
                  <w:tcBorders>
                    <w:left w:val="single" w:color="auto" w:sz="4" w:space="0"/>
                    <w:right w:val="single" w:color="auto" w:sz="4" w:space="0"/>
                  </w:tcBorders>
                  <w:vAlign w:val="center"/>
                </w:tcPr>
                <w:p w14:paraId="5DA3AFB6">
                  <w:pPr>
                    <w:jc w:val="center"/>
                    <w:rPr>
                      <w:rFonts w:ascii="Times New Roman" w:hAnsi="Times New Roman" w:cs="Times New Roman"/>
                      <w:color w:val="000000" w:themeColor="text1"/>
                      <w:sz w:val="21"/>
                      <w:szCs w:val="21"/>
                      <w14:textFill>
                        <w14:solidFill>
                          <w14:schemeClr w14:val="tx1"/>
                        </w14:solidFill>
                      </w14:textFill>
                    </w:rPr>
                  </w:pPr>
                </w:p>
              </w:tc>
            </w:tr>
          </w:tbl>
          <w:p w14:paraId="7492DE70">
            <w:pPr>
              <w:numPr>
                <w:ilvl w:val="0"/>
                <w:numId w:val="12"/>
              </w:numPr>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劳动定员和工作制度</w:t>
            </w:r>
          </w:p>
          <w:p w14:paraId="64CFDBD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钦州港金谷港区金鼓江作业区14号泊位码头（一期工程）定员24人。本项目依托原有员工，不新增劳动定员。</w:t>
            </w:r>
            <w:r>
              <w:rPr>
                <w:rFonts w:ascii="Times New Roman" w:hAnsi="Times New Roman" w:cs="Times New Roman"/>
                <w:color w:val="000000" w:themeColor="text1"/>
                <w14:textFill>
                  <w14:solidFill>
                    <w14:schemeClr w14:val="tx1"/>
                  </w14:solidFill>
                </w14:textFill>
              </w:rPr>
              <w:t>员工在企业现有食堂就餐，不在厂内住宿。工作制度为年工作3</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0天，</w:t>
            </w:r>
            <w:r>
              <w:rPr>
                <w:rFonts w:hint="eastAsia" w:ascii="Times New Roman" w:hAnsi="Times New Roman" w:cs="Times New Roman"/>
                <w:color w:val="000000" w:themeColor="text1"/>
                <w14:textFill>
                  <w14:solidFill>
                    <w14:schemeClr w14:val="tx1"/>
                  </w14:solidFill>
                </w14:textFill>
              </w:rPr>
              <w:t>每天3班制</w:t>
            </w:r>
            <w:r>
              <w:rPr>
                <w:rFonts w:ascii="Times New Roman" w:hAnsi="Times New Roman" w:cs="Times New Roman"/>
                <w:color w:val="000000" w:themeColor="text1"/>
                <w14:textFill>
                  <w14:solidFill>
                    <w14:schemeClr w14:val="tx1"/>
                  </w14:solidFill>
                </w14:textFill>
              </w:rPr>
              <w:t>，每班8小时。</w:t>
            </w:r>
          </w:p>
          <w:p w14:paraId="4B70EDC9">
            <w:pPr>
              <w:numPr>
                <w:ilvl w:val="0"/>
                <w:numId w:val="12"/>
              </w:numPr>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hint="eastAsia" w:ascii="Times New Roman" w:hAnsi="Times New Roman" w:cs="Times New Roman"/>
                <w:b/>
                <w:color w:val="000000" w:themeColor="text1"/>
                <w14:textFill>
                  <w14:solidFill>
                    <w14:schemeClr w14:val="tx1"/>
                  </w14:solidFill>
                </w14:textFill>
              </w:rPr>
              <w:t>水平衡</w:t>
            </w:r>
          </w:p>
          <w:p w14:paraId="2ADB50AC">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（1）用水量</w:t>
            </w:r>
          </w:p>
          <w:p w14:paraId="6560BA63">
            <w:pPr>
              <w:spacing w:line="360" w:lineRule="auto"/>
              <w:ind w:firstLine="480" w:firstLineChars="200"/>
              <w:rPr>
                <w:rFonts w:ascii="Times New Roman" w:hAnsi="Times New Roman" w:cs="Times New Roman"/>
                <w:bCs/>
                <w:color w:val="0000FF"/>
              </w:rPr>
            </w:pPr>
            <w:r>
              <w:rPr>
                <w:rFonts w:hint="eastAsia" w:ascii="Times New Roman" w:hAnsi="Times New Roman" w:cs="Times New Roman"/>
                <w:bCs/>
                <w:color w:val="000000" w:themeColor="text1"/>
                <w14:textFill>
                  <w14:solidFill>
                    <w14:schemeClr w14:val="tx1"/>
                  </w14:solidFill>
                </w14:textFill>
              </w:rPr>
              <w:t>本项目用水主要为二级三氧化硫吸收塔和己内酰胺储罐废气水洗塔补水，总补水量为128.3m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/a，其中三氧化硫吸收塔补水量为18.0m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/a，己内酰胺水洗塔补水量为110.3m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/a。</w:t>
            </w:r>
          </w:p>
          <w:p w14:paraId="49710B88">
            <w:pPr>
              <w:numPr>
                <w:ilvl w:val="0"/>
                <w:numId w:val="14"/>
              </w:num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排水量</w:t>
            </w:r>
          </w:p>
          <w:p w14:paraId="71E6835B">
            <w:pPr>
              <w:spacing w:line="360" w:lineRule="auto"/>
              <w:ind w:firstLine="480" w:firstLineChars="200"/>
              <w:rPr>
                <w:rFonts w:ascii="Times New Roman" w:hAnsi="Times New Roman" w:cs="Times New Roman"/>
                <w:bCs/>
                <w:color w:val="FF0000"/>
                <w:u w:val="single"/>
              </w:rPr>
            </w:pPr>
            <w:r>
              <w:rPr>
                <w:rFonts w:hint="eastAsia" w:ascii="Times New Roman" w:hAnsi="Times New Roman" w:cs="Times New Roman"/>
                <w:bCs/>
                <w:color w:val="000000" w:themeColor="text1"/>
                <w14:textFill>
                  <w14:solidFill>
                    <w14:schemeClr w14:val="tx1"/>
                  </w14:solidFill>
                </w14:textFill>
              </w:rPr>
              <w:t>本项目排水主要为初期雨水，产生量为10357.7m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/a（计算详见第四章）。初期雨水均汇入初期雨水池，再泵送至广西恒逸</w:t>
            </w:r>
            <w:r>
              <w:rPr>
                <w:rFonts w:hint="eastAsia" w:ascii="Times New Roman" w:hAnsi="Times New Roman" w:cs="Times New Roman"/>
                <w:bCs/>
                <w:color w:val="000000" w:themeColor="text1"/>
                <w:lang w:eastAsia="zh-CN"/>
                <w14:textFill>
                  <w14:solidFill>
                    <w14:schemeClr w14:val="tx1"/>
                  </w14:solidFill>
                </w14:textFill>
              </w:rPr>
              <w:t>污水处理厂</w:t>
            </w:r>
            <w:r>
              <w:rPr>
                <w:rFonts w:hint="eastAsia" w:ascii="Times New Roman" w:hAnsi="Times New Roman" w:cs="Times New Roman"/>
                <w:bCs/>
                <w:color w:val="000000" w:themeColor="text1"/>
                <w14:textFill>
                  <w14:solidFill>
                    <w14:schemeClr w14:val="tx1"/>
                  </w14:solidFill>
                </w14:textFill>
              </w:rPr>
              <w:t>处理；己内酰胺吸收废水产生量为110.3m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/a，经泵送至恒逸</w:t>
            </w:r>
            <w:r>
              <w:rPr>
                <w:rFonts w:hint="eastAsia" w:ascii="Times New Roman" w:hAnsi="Times New Roman" w:cs="Times New Roman"/>
                <w:bCs/>
                <w:color w:val="000000" w:themeColor="text1"/>
                <w:lang w:eastAsia="zh-CN"/>
                <w14:textFill>
                  <w14:solidFill>
                    <w14:schemeClr w14:val="tx1"/>
                  </w14:solidFill>
                </w14:textFill>
              </w:rPr>
              <w:t>污水处理厂</w:t>
            </w:r>
            <w:r>
              <w:rPr>
                <w:rFonts w:hint="eastAsia" w:ascii="Times New Roman" w:hAnsi="Times New Roman" w:cs="Times New Roman"/>
                <w:bCs/>
                <w:color w:val="000000" w:themeColor="text1"/>
                <w14:textFill>
                  <w14:solidFill>
                    <w14:schemeClr w14:val="tx1"/>
                  </w14:solidFill>
                </w14:textFill>
              </w:rPr>
              <w:t>处理。</w:t>
            </w:r>
          </w:p>
          <w:p w14:paraId="4B403E8A">
            <w:pPr>
              <w:pStyle w:val="118"/>
              <w:ind w:firstLine="0" w:firstLineChars="0"/>
              <w:jc w:val="center"/>
              <w:rPr>
                <w:rFonts w:ascii="Times New Roman" w:hAnsi="Times New Roman" w:cs="Times New Roman"/>
                <w:color w:val="0000FF"/>
              </w:rPr>
            </w:pPr>
            <w:r>
              <w:rPr>
                <w:rFonts w:ascii="Times New Roman" w:hAnsi="Times New Roman" w:cs="Times New Roman"/>
                <w:color w:val="0000FF"/>
              </w:rPr>
              <w:object>
                <v:shape id="_x0000_i1025" o:spt="75" type="#_x0000_t75" style="height:128.15pt;width:413.05pt;" o:ole="t" filled="f" o:preferrelative="t" stroked="f" coordsize="21600,21600">
                  <v:path/>
                  <v:fill on="f" focussize="0,0"/>
                  <v:stroke on="f" joinstyle="miter"/>
                  <v:imagedata r:id="rId27" cropright="3824f" cropbottom="-1278f" o:title=""/>
                  <o:lock v:ext="edit" aspectratio="f"/>
                  <w10:wrap type="none"/>
                  <w10:anchorlock/>
                </v:shape>
                <o:OLEObject Type="Embed" ProgID="Visio.Drawing.11" ShapeID="_x0000_i1025" DrawAspect="Content" ObjectID="_1468075725" r:id="rId26">
                  <o:LockedField>false</o:LockedField>
                </o:OLEObject>
              </w:object>
            </w:r>
          </w:p>
          <w:p w14:paraId="650DEF05">
            <w:pPr>
              <w:spacing w:line="360" w:lineRule="auto"/>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图2-1 项目水平衡图</w:t>
            </w:r>
          </w:p>
          <w:p w14:paraId="117BA5B1">
            <w:pPr>
              <w:numPr>
                <w:ilvl w:val="0"/>
                <w:numId w:val="12"/>
              </w:numPr>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公用工程</w:t>
            </w:r>
          </w:p>
          <w:p w14:paraId="5545B51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（1）给水</w:t>
            </w:r>
          </w:p>
          <w:p w14:paraId="1081C55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本项目生活水、生产水均来自泊位工程片区已设计建设中的生活、生产直流水合用管网系统，消防水、泡沫混合液来自该片区已设计建设中的消防水站、泡沫站。</w:t>
            </w:r>
          </w:p>
          <w:p w14:paraId="7547DBA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①生活、生产直流水合用管网：水源来自钦州市石化产业园市政自来水管网，引入管的总管管径为DN200，供水压力0.30MPa。市政自来水进入界区内主管敷设在主管廊以及管墩上。</w:t>
            </w:r>
          </w:p>
          <w:p w14:paraId="0129BF73">
            <w:pPr>
              <w:spacing w:line="360" w:lineRule="auto"/>
              <w:ind w:firstLine="480" w:firstLineChars="200"/>
              <w:rPr>
                <w:rFonts w:ascii="Times New Roman" w:hAnsi="Times New Roman" w:cs="Times New Roman"/>
              </w:rPr>
            </w:pPr>
            <w:r>
              <w:rPr>
                <w:rFonts w:ascii="Times New Roman" w:hAnsi="Times New Roman" w:cs="Times New Roman"/>
                <w:color w:val="000000" w:themeColor="text1"/>
                <w14:textFill>
                  <w14:solidFill>
                    <w14:schemeClr w14:val="tx1"/>
                  </w14:solidFill>
                </w14:textFill>
              </w:rPr>
              <w:t>②消防水管网：</w:t>
            </w:r>
            <w:r>
              <w:rPr>
                <w:rFonts w:ascii="Times New Roman" w:hAnsi="Times New Roman" w:cs="Times New Roman"/>
              </w:rPr>
              <w:t>本项目消防水由逸海公司14号泊位工程片区内已设计建设中的消防水站配备消防水池(罐)及其稳高压消防给水管网提供，管网设计供水能力：Q=320L/s，P=1.60MPa，消防水池(罐)总有效容积6400m3，供水主管管径DN400。消防水管网独立并在14号泊位工程片区内形成环状布置。各罐组储运周围设有环形消防车通道,配备完善的水消防设施，包括室外消防水管网、室外消火栓等。</w:t>
            </w:r>
          </w:p>
          <w:p w14:paraId="09C6F03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③泡沫混合液管网：本项目泡沫混合液由逸海公司14号泊位工程片区内已设计建设中的消防水站（设置泡沫消防水泵）配备消防水池(罐)、泡沫站及其泡沫混合液管网提供，管网设计供水能力：Q=100L/s，P=1.80MPa，泡沫站设置平衡式泡沫比例混合器一套，抗溶性水成膜泡沫原液储罐两只（有效容积分别为15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和18 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）。低倍数泡沫混合液管网独立并在14号泊位工程罐组片区内形成环状布置，环状管网上设置泡沫消火栓。</w:t>
            </w:r>
          </w:p>
          <w:p w14:paraId="614A9D0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（2）排水</w:t>
            </w:r>
          </w:p>
          <w:p w14:paraId="5878B748">
            <w:pPr>
              <w:pStyle w:val="118"/>
              <w:rPr>
                <w:rFonts w:ascii="Times New Roman" w:hAnsi="Times New Roman" w:cs="Times New Roman"/>
                <w:color w:val="000000" w:themeColor="text1"/>
                <w:u w:val="single"/>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14号泊位工程片区内排水实行清污分流，设有低浓度生产废水系统、生活污水排水系统和雨水、清净下水排水系统三个排水系统。本项目排水均纳入（依托）工程片区现有的相应排水管网系统。</w:t>
            </w:r>
            <w:r>
              <w:rPr>
                <w:rFonts w:ascii="Times New Roman" w:hAnsi="Times New Roman"/>
                <w:color w:val="000000" w:themeColor="text1"/>
                <w14:textFill>
                  <w14:solidFill>
                    <w14:schemeClr w14:val="tx1"/>
                  </w14:solidFill>
                </w14:textFill>
              </w:rPr>
              <w:t>项目界区范围内各单元产生的生产废水、初期雨水先重力流排入废水管线末端附近的地下式初期雨水收集池，然后用废水泵提升输送至广西恒逸新材料有限公司建设的污水处理厂，处理达标后排放</w:t>
            </w:r>
            <w:r>
              <w:rPr>
                <w:rFonts w:ascii="Times New Roman" w:hAnsi="Times New Roman"/>
                <w:color w:val="000000" w:themeColor="text1"/>
                <w:kern w:val="2"/>
                <w14:textFill>
                  <w14:solidFill>
                    <w14:schemeClr w14:val="tx1"/>
                  </w14:solidFill>
                </w14:textFill>
              </w:rPr>
              <w:t>。</w:t>
            </w:r>
          </w:p>
          <w:p w14:paraId="0DDBC0D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（3）供电</w:t>
            </w:r>
          </w:p>
          <w:p w14:paraId="37AF6D5B">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14 号泊位后方陆域设置一座 14 号总变配电室，一回10kV专用电源引自港口变电站。总变配电室设置柴油发电机房，发电机房内安装一台1000kW/400V/230V  柴油发电机组作为后方陆域各生产装置及码头的一级、二级负荷备用电源。本项目依托园区总变配电室，本期新增2面配电柜，罐区、机泵、厂区道路照明等用电均由低压总配电室输出。</w:t>
            </w:r>
          </w:p>
          <w:p w14:paraId="58609B47">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（4）控制系统</w:t>
            </w:r>
          </w:p>
          <w:p w14:paraId="14E97AA3">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根据不同的安全联锁等级、监控要求设置集中监控系统包括分散型控制系统（DCS）、可燃和有毒气体检测报警系统（GDS）和安全联锁系统（SIS）等，构成完整的生产过程监控系统，实现对全厂生产单元的集中监控。</w:t>
            </w:r>
          </w:p>
          <w:p w14:paraId="45D26ACE">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1）DCS控制系统</w:t>
            </w:r>
          </w:p>
          <w:p w14:paraId="0531E43A">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拟采用DCS控制系统，拟在控制楼设置控制室、机柜室。各装置、公用工程及储运系统的DCS控制单元独立设置，保证各生产装置在正常生产和开、停工过程中互不干扰，减少不必要的停工。DCS控制系统可对全厂的设施进行监控，并在可燃气体、有毒气体的泄漏报警情况下，可通过RS485通讯至火灾报警系统进行报警。</w:t>
            </w:r>
          </w:p>
          <w:p w14:paraId="0FF4323C">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2）安全联锁系统（SIS）</w:t>
            </w:r>
          </w:p>
          <w:p w14:paraId="67D2C023">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本项目SIS系统，独立于DCS系统，负责完成工艺装置与安全相关的紧急停车和安全联锁保护，运行期间不受其他装置和控制系统运行的影响，在事故状态下实现装置自保功能。</w:t>
            </w:r>
          </w:p>
          <w:p w14:paraId="3151EC8F">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3）可燃和有毒气体检测报警系统（GDS）</w:t>
            </w:r>
          </w:p>
          <w:p w14:paraId="0A38ACFD">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可能泄漏或聚集可燃气体的地方，如罐区、装卸车台、泵棚、卸车点、管坑等，分别设置检测报警探头，报警信号单独配置GDS，非参与连锁保护的信号直接进入GDS系统，由人工进行控制；参与联锁保护的信号先进入SIS系统，在探测到一定浓度的可燃和有毒气体时，启动安全联锁保护，控制泄漏源，并可通过SIS通讯至 GDS。</w:t>
            </w:r>
          </w:p>
          <w:p w14:paraId="4E5010DD">
            <w:pPr>
              <w:snapToGrid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（5）氮气系统</w:t>
            </w:r>
          </w:p>
          <w:p w14:paraId="237726F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本项目所需氮气由工业园区供应，经由管道引入。</w:t>
            </w:r>
          </w:p>
          <w:p w14:paraId="5DB4CF55">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（6）消防系统</w:t>
            </w:r>
          </w:p>
          <w:p w14:paraId="6AECECA6">
            <w:pPr>
              <w:snapToGrid w:val="0"/>
              <w:spacing w:line="360" w:lineRule="auto"/>
              <w:ind w:firstLine="480" w:firstLineChars="200"/>
              <w:rPr>
                <w:rFonts w:ascii="Times New Roman" w:hAnsi="Times New Roman" w:cs="Times New Roman"/>
                <w:color w:val="FF0000"/>
                <w:highlight w:val="yellow"/>
              </w:rPr>
            </w:pPr>
            <w:r>
              <w:rPr>
                <w:rFonts w:hint="eastAsia" w:ascii="Times New Roman" w:hAnsi="Times New Roman" w:cs="Times New Roman"/>
                <w:color w:val="000000" w:themeColor="text1"/>
                <w14:textFill>
                  <w14:solidFill>
                    <w14:schemeClr w14:val="tx1"/>
                  </w14:solidFill>
                </w14:textFill>
              </w:rPr>
              <w:t>钦州港金谷港区金鼓江作业区14号泊位码头（一期工程）已在储罐区建成消防泵和消防水罐，消防水罐2座，每座水管储水量为3200m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；泵房内设柴油机消防水泵、消防稳压设备、压力式泡沫比例混合装置等，详见附图2和页前图。</w:t>
            </w:r>
            <w:r>
              <w:rPr>
                <w:rFonts w:ascii="Times New Roman" w:hAnsi="Times New Roman" w:cs="Times New Roman"/>
                <w:color w:val="000000" w:themeColor="text1"/>
                <w14:textFill>
                  <w14:solidFill>
                    <w14:schemeClr w14:val="tx1"/>
                  </w14:solidFill>
                </w14:textFill>
              </w:rPr>
              <w:t>消防给水系统能够满足消防水量和水压要求。</w:t>
            </w:r>
          </w:p>
          <w:p w14:paraId="1EB43C1F">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本次扩建项目液硫</w:t>
            </w:r>
            <w:r>
              <w:rPr>
                <w:rFonts w:ascii="Times New Roman" w:hAnsi="Times New Roman"/>
                <w:kern w:val="2"/>
                <w:lang w:bidi="ar"/>
              </w:rPr>
              <w:t>储罐</w:t>
            </w:r>
            <w:r>
              <w:rPr>
                <w:rFonts w:hint="eastAsia" w:ascii="Times New Roman" w:hAnsi="Times New Roman"/>
                <w:kern w:val="2"/>
                <w:lang w:bidi="ar"/>
              </w:rPr>
              <w:t>（TK-407）</w:t>
            </w:r>
            <w:r>
              <w:rPr>
                <w:rFonts w:ascii="Times New Roman" w:hAnsi="Times New Roman"/>
                <w:kern w:val="2"/>
                <w:lang w:bidi="ar"/>
              </w:rPr>
              <w:t>储存物料均为液硫，火灾危险类别为丙B类</w:t>
            </w:r>
            <w:r>
              <w:rPr>
                <w:rFonts w:hint="eastAsia" w:ascii="Times New Roman" w:hAnsi="Times New Roman"/>
                <w:kern w:val="2"/>
                <w:lang w:bidi="ar"/>
              </w:rPr>
              <w:t>，</w:t>
            </w:r>
            <w:r>
              <w:rPr>
                <w:rFonts w:ascii="Times New Roman" w:hAnsi="Times New Roman"/>
                <w:kern w:val="2"/>
                <w:lang w:bidi="ar"/>
              </w:rPr>
              <w:t>非水溶性可燃液体。</w:t>
            </w:r>
            <w:r>
              <w:rPr>
                <w:rFonts w:ascii="Times New Roman" w:hAnsi="Times New Roman"/>
                <w:kern w:val="24"/>
                <w:lang w:bidi="ar"/>
              </w:rPr>
              <w:t>根据《石油库设计规范》（GB50074-2014）</w:t>
            </w:r>
            <w:r>
              <w:rPr>
                <w:rFonts w:hint="eastAsia" w:ascii="Times New Roman" w:hAnsi="Times New Roman"/>
                <w:kern w:val="24"/>
                <w:lang w:bidi="ar"/>
              </w:rPr>
              <w:t>，</w:t>
            </w:r>
            <w:r>
              <w:rPr>
                <w:rFonts w:ascii="Times New Roman" w:hAnsi="Times New Roman"/>
                <w:kern w:val="24"/>
                <w:lang w:bidi="ar"/>
              </w:rPr>
              <w:t>新设计</w:t>
            </w:r>
            <w:r>
              <w:rPr>
                <w:rFonts w:hint="eastAsia" w:ascii="Times New Roman" w:hAnsi="Times New Roman"/>
                <w:kern w:val="24"/>
                <w:lang w:bidi="ar"/>
              </w:rPr>
              <w:t>液硫</w:t>
            </w:r>
            <w:r>
              <w:rPr>
                <w:rFonts w:ascii="Times New Roman" w:hAnsi="Times New Roman"/>
                <w:kern w:val="24"/>
                <w:lang w:bidi="ar"/>
              </w:rPr>
              <w:t>储罐</w:t>
            </w:r>
            <w:r>
              <w:rPr>
                <w:rFonts w:hint="eastAsia" w:ascii="Times New Roman" w:hAnsi="Times New Roman"/>
                <w:kern w:val="24"/>
                <w:lang w:bidi="ar"/>
              </w:rPr>
              <w:t>（TK-407）</w:t>
            </w:r>
            <w:r>
              <w:rPr>
                <w:rFonts w:ascii="Times New Roman" w:hAnsi="Times New Roman"/>
                <w:kern w:val="24"/>
                <w:lang w:bidi="ar"/>
              </w:rPr>
              <w:t>采用固定式消防冷却水系统</w:t>
            </w:r>
            <w:r>
              <w:rPr>
                <w:rFonts w:hint="eastAsia" w:ascii="Times New Roman" w:hAnsi="Times New Roman"/>
                <w:kern w:val="24"/>
                <w:lang w:bidi="ar"/>
              </w:rPr>
              <w:t>、</w:t>
            </w:r>
            <w:r>
              <w:rPr>
                <w:rFonts w:ascii="Times New Roman" w:hAnsi="Times New Roman"/>
                <w:kern w:val="24"/>
                <w:lang w:bidi="ar"/>
              </w:rPr>
              <w:t>固定式泡沫灭火系统</w:t>
            </w:r>
            <w:r>
              <w:rPr>
                <w:rFonts w:hint="eastAsia" w:ascii="Times New Roman" w:hAnsi="Times New Roman"/>
                <w:kern w:val="24"/>
                <w:lang w:bidi="ar"/>
              </w:rPr>
              <w:t>和</w:t>
            </w:r>
            <w:r>
              <w:rPr>
                <w:rFonts w:ascii="Times New Roman" w:hAnsi="Times New Roman"/>
                <w:kern w:val="24"/>
                <w:lang w:bidi="ar"/>
              </w:rPr>
              <w:t>罐区室外消防水消火栓系统</w:t>
            </w:r>
            <w:r>
              <w:rPr>
                <w:rFonts w:hint="eastAsia" w:ascii="Times New Roman" w:hAnsi="Times New Roman"/>
                <w:kern w:val="24"/>
                <w:lang w:bidi="ar"/>
              </w:rPr>
              <w:t>。本项目消防系统采用固定消防冷却水系统、固定消防泡沫灭火系统，并辅以移动式干粉灭火器。本项目所需消防水及</w:t>
            </w:r>
            <w:r>
              <w:rPr>
                <w:rFonts w:ascii="Times New Roman" w:hAnsi="Times New Roman"/>
                <w:kern w:val="24"/>
                <w:lang w:bidi="ar"/>
              </w:rPr>
              <w:t>消防泡沫原液</w:t>
            </w:r>
            <w:r>
              <w:rPr>
                <w:rFonts w:hint="eastAsia" w:ascii="Times New Roman" w:hAnsi="Times New Roman"/>
                <w:kern w:val="24"/>
                <w:lang w:bidi="ar"/>
              </w:rPr>
              <w:t>由</w:t>
            </w:r>
            <w:r>
              <w:rPr>
                <w:rFonts w:hint="eastAsia" w:ascii="Times New Roman" w:hAnsi="Times New Roman" w:cs="Times New Roman"/>
                <w:color w:val="000000" w:themeColor="text1"/>
                <w14:textFill>
                  <w14:solidFill>
                    <w14:schemeClr w14:val="tx1"/>
                  </w14:solidFill>
                </w14:textFill>
              </w:rPr>
              <w:t>钦州港金谷港区金鼓江作业区14号泊位码头（一期工程）已建消防系统提供，</w:t>
            </w:r>
            <w:r>
              <w:rPr>
                <w:rFonts w:ascii="Times New Roman" w:hAnsi="Times New Roman"/>
                <w:kern w:val="2"/>
                <w:lang w:bidi="ar"/>
              </w:rPr>
              <w:t>项目各单元消防水就近引自界区环状消防水管网</w:t>
            </w:r>
            <w:r>
              <w:rPr>
                <w:rFonts w:hint="eastAsia" w:ascii="Times New Roman" w:hAnsi="Times New Roman"/>
                <w:color w:val="000000" w:themeColor="text1"/>
                <w:kern w:val="2"/>
                <w:lang w:bidi="ar"/>
                <w14:textFill>
                  <w14:solidFill>
                    <w14:schemeClr w14:val="tx1"/>
                  </w14:solidFill>
                </w14:textFill>
              </w:rPr>
              <w:t>，各单元消防泡沫混合液就近引自界区环状消防泡沫混合液管网。</w:t>
            </w:r>
            <w:r>
              <w:rPr>
                <w:rFonts w:ascii="Times New Roman" w:hAnsi="Times New Roman" w:cs="Times New Roman"/>
                <w:color w:val="000000" w:themeColor="text1"/>
                <w14:textFill>
                  <w14:solidFill>
                    <w14:schemeClr w14:val="tx1"/>
                  </w14:solidFill>
                </w14:textFill>
              </w:rPr>
              <w:t>罐区、装卸车台及泵棚设有手动消防报警器，消防室（门卫、安全部）设专用电话。</w:t>
            </w:r>
          </w:p>
          <w:p w14:paraId="00271ECD">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2E2C6D98">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22A93B01">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3123AD7A">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1B8A2D01">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4D83A2DC">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2E923766">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7762167F">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4358F861">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287C54BB">
            <w:pPr>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p>
        </w:tc>
      </w:tr>
      <w:tr w14:paraId="3C77D1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vAlign w:val="center"/>
          </w:tcPr>
          <w:p w14:paraId="418D510F">
            <w:pPr>
              <w:pStyle w:val="81"/>
              <w:widowControl w:val="0"/>
              <w:autoSpaceDE w:val="0"/>
              <w:autoSpaceDN w:val="0"/>
              <w:adjustRightInd w:val="0"/>
              <w:snapToGrid w:val="0"/>
              <w:spacing w:before="0" w:beforeAutospacing="0" w:after="0" w:afterAutospacing="0" w:line="400" w:lineRule="exac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工艺流程和产排污环节</w:t>
            </w:r>
          </w:p>
        </w:tc>
        <w:tc>
          <w:tcPr>
            <w:tcW w:w="8987" w:type="dxa"/>
          </w:tcPr>
          <w:p w14:paraId="0B9B00D7">
            <w:pPr>
              <w:pStyle w:val="21"/>
              <w:spacing w:line="360" w:lineRule="auto"/>
              <w:ind w:left="0" w:firstLine="482" w:firstLineChars="200"/>
              <w:rPr>
                <w:rFonts w:ascii="Times New Roman" w:hAnsi="Times New Roman" w:cs="Times New Roman"/>
                <w:b/>
                <w:bCs/>
                <w:snapToGrid w:val="0"/>
                <w:color w:val="000000" w:themeColor="text1"/>
                <w:sz w:val="24"/>
                <w:lang w:bidi="zh-CN"/>
                <w14:textFill>
                  <w14:solidFill>
                    <w14:schemeClr w14:val="tx1"/>
                  </w14:solidFill>
                </w14:textFill>
              </w:rPr>
            </w:pPr>
            <w:r>
              <w:rPr>
                <w:rFonts w:ascii="Times New Roman" w:hAnsi="Times New Roman" w:cs="Times New Roman"/>
                <w:b/>
                <w:bCs/>
                <w:snapToGrid w:val="0"/>
                <w:color w:val="000000" w:themeColor="text1"/>
                <w:sz w:val="24"/>
                <w:lang w:bidi="zh-CN"/>
                <w14:textFill>
                  <w14:solidFill>
                    <w14:schemeClr w14:val="tx1"/>
                  </w14:solidFill>
                </w14:textFill>
              </w:rPr>
              <w:t>1、施工期工艺流程</w:t>
            </w:r>
          </w:p>
          <w:p w14:paraId="6E4ADF17">
            <w:pPr>
              <w:adjustRightInd w:val="0"/>
              <w:spacing w:line="360" w:lineRule="auto"/>
              <w:ind w:firstLine="470" w:firstLineChars="196"/>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施工期工艺流程图及产污节点见图2-2。</w:t>
            </w:r>
          </w:p>
          <w:p w14:paraId="5BCC77A8">
            <w:pPr>
              <w:pStyle w:val="21"/>
              <w:ind w:left="0"/>
              <w:jc w:val="center"/>
              <w:rPr>
                <w:rFonts w:ascii="Times New Roman" w:hAnsi="Times New Roman" w:cs="Times New Roman"/>
                <w:bCs/>
                <w:snapToGrid w:val="0"/>
                <w:color w:val="000000" w:themeColor="text1"/>
                <w:sz w:val="24"/>
                <w:lang w:bidi="zh-CN"/>
                <w14:textFill>
                  <w14:solidFill>
                    <w14:schemeClr w14:val="tx1"/>
                  </w14:solidFill>
                </w14:textFill>
              </w:rPr>
            </w:pPr>
            <w:r>
              <w:rPr>
                <w:rFonts w:ascii="Times New Roman" w:hAnsi="Times New Roman" w:cs="Times New Roman"/>
                <w:bCs/>
                <w:snapToGrid w:val="0"/>
                <w:color w:val="000000" w:themeColor="text1"/>
                <w:sz w:val="24"/>
                <w:lang w:bidi="zh-CN"/>
                <w14:textFill>
                  <w14:solidFill>
                    <w14:schemeClr w14:val="tx1"/>
                  </w14:solidFill>
                </w14:textFill>
              </w:rPr>
              <w:object>
                <v:shape id="_x0000_i1026" o:spt="75" type="#_x0000_t75" style="height:95.7pt;width:438.65pt;" o:ole="t" filled="f" o:preferrelative="t" stroked="f" coordsize="21600,21600">
                  <v:path/>
                  <v:fill on="f" focussize="0,0"/>
                  <v:stroke on="f" joinstyle="miter"/>
                  <v:imagedata r:id="rId29" o:title=""/>
                  <o:lock v:ext="edit" aspectratio="f"/>
                  <w10:wrap type="none"/>
                  <w10:anchorlock/>
                </v:shape>
                <o:OLEObject Type="Embed" ProgID="Visio.Drawing.11" ShapeID="_x0000_i1026" DrawAspect="Content" ObjectID="_1468075726" r:id="rId28">
                  <o:LockedField>false</o:LockedField>
                </o:OLEObject>
              </w:object>
            </w:r>
          </w:p>
          <w:p w14:paraId="5FB1D911">
            <w:pPr>
              <w:pStyle w:val="21"/>
              <w:ind w:left="0"/>
              <w:jc w:val="center"/>
              <w:rPr>
                <w:rFonts w:ascii="Times New Roman" w:hAnsi="Times New Roman" w:cs="Times New Roman"/>
                <w:b/>
                <w:snapToGrid w:val="0"/>
                <w:color w:val="000000" w:themeColor="text1"/>
                <w:sz w:val="24"/>
                <w:lang w:bidi="zh-CN"/>
                <w14:textFill>
                  <w14:solidFill>
                    <w14:schemeClr w14:val="tx1"/>
                  </w14:solidFill>
                </w14:textFill>
              </w:rPr>
            </w:pPr>
            <w:r>
              <w:rPr>
                <w:rFonts w:ascii="Times New Roman" w:hAnsi="Times New Roman" w:cs="Times New Roman"/>
                <w:b/>
                <w:snapToGrid w:val="0"/>
                <w:color w:val="000000" w:themeColor="text1"/>
                <w:sz w:val="24"/>
                <w:lang w:bidi="zh-CN"/>
                <w14:textFill>
                  <w14:solidFill>
                    <w14:schemeClr w14:val="tx1"/>
                  </w14:solidFill>
                </w14:textFill>
              </w:rPr>
              <w:t>图2-2 项目施工工艺流程及产污节点图</w:t>
            </w:r>
          </w:p>
          <w:p w14:paraId="5AB2B078">
            <w:pPr>
              <w:adjustRightInd w:val="0"/>
              <w:spacing w:line="360" w:lineRule="auto"/>
              <w:ind w:firstLine="470" w:firstLineChars="196"/>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项目施工期施工工序主要包括：基础施工、主体施工、设备安装等步骤，计划于202</w:t>
            </w: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年</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月开始施工，202</w:t>
            </w: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年</w:t>
            </w:r>
            <w:r>
              <w:rPr>
                <w:rFonts w:hint="eastAsia" w:ascii="Times New Roman" w:hAnsi="Times New Roman" w:cs="Times New Roman"/>
                <w:color w:val="000000" w:themeColor="text1"/>
                <w14:textFill>
                  <w14:solidFill>
                    <w14:schemeClr w14:val="tx1"/>
                  </w14:solidFill>
                </w14:textFill>
              </w:rPr>
              <w:t>12</w:t>
            </w:r>
            <w:r>
              <w:rPr>
                <w:rFonts w:ascii="Times New Roman" w:hAnsi="Times New Roman" w:cs="Times New Roman"/>
                <w:color w:val="000000" w:themeColor="text1"/>
                <w14:textFill>
                  <w14:solidFill>
                    <w14:schemeClr w14:val="tx1"/>
                  </w14:solidFill>
                </w14:textFill>
              </w:rPr>
              <w:t>月结束，施工期限为</w:t>
            </w:r>
            <w:r>
              <w:rPr>
                <w:rFonts w:hint="eastAsia"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t>个月。施工期间将产生扬尘、施工机械尾气、废水、噪声、固体废物等污染物。</w:t>
            </w:r>
            <w:r>
              <w:rPr>
                <w:rFonts w:hint="eastAsia" w:ascii="Times New Roman" w:hAnsi="Times New Roman" w:cs="Times New Roman"/>
                <w:color w:val="000000" w:themeColor="text1"/>
                <w14:textFill>
                  <w14:solidFill>
                    <w14:schemeClr w14:val="tx1"/>
                  </w14:solidFill>
                </w14:textFill>
              </w:rPr>
              <w:t>扫线介质主要为压缩空气、蒸汽、氮气、水等，扫线过程将产生废气、废水等。</w:t>
            </w:r>
            <w:r>
              <w:rPr>
                <w:rFonts w:ascii="Times New Roman" w:hAnsi="Times New Roman" w:cs="Times New Roman"/>
                <w:color w:val="000000" w:themeColor="text1"/>
                <w14:textFill>
                  <w14:solidFill>
                    <w14:schemeClr w14:val="tx1"/>
                  </w14:solidFill>
                </w14:textFill>
              </w:rPr>
              <w:t>现将各污染源分析如下：</w:t>
            </w:r>
          </w:p>
          <w:p w14:paraId="1A30B91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（1）废气：主要为施工阶段产生的扬尘、施工机械废气及汽车尾气</w:t>
            </w:r>
            <w:r>
              <w:rPr>
                <w:rFonts w:hint="eastAsia" w:ascii="Times New Roman" w:hAnsi="Times New Roman" w:cs="Times New Roman"/>
                <w:color w:val="000000" w:themeColor="text1"/>
                <w14:textFill>
                  <w14:solidFill>
                    <w14:schemeClr w14:val="tx1"/>
                  </w14:solidFill>
                </w14:textFill>
              </w:rPr>
              <w:t>、扫线废气</w:t>
            </w:r>
            <w:r>
              <w:rPr>
                <w:rFonts w:ascii="Times New Roman" w:hAnsi="Times New Roman" w:cs="Times New Roman"/>
                <w:color w:val="000000" w:themeColor="text1"/>
                <w14:textFill>
                  <w14:solidFill>
                    <w14:schemeClr w14:val="tx1"/>
                  </w14:solidFill>
                </w14:textFill>
              </w:rPr>
              <w:t>等。</w:t>
            </w:r>
          </w:p>
          <w:p w14:paraId="39FE786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（2）废水：主要施工人员生活污水</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施工废水</w:t>
            </w:r>
            <w:r>
              <w:rPr>
                <w:rFonts w:hint="eastAsia" w:ascii="Times New Roman" w:hAnsi="Times New Roman" w:cs="Times New Roman"/>
                <w:color w:val="000000" w:themeColor="text1"/>
                <w14:textFill>
                  <w14:solidFill>
                    <w14:schemeClr w14:val="tx1"/>
                  </w14:solidFill>
                </w14:textFill>
              </w:rPr>
              <w:t>和扫线废水</w:t>
            </w:r>
            <w:r>
              <w:rPr>
                <w:rFonts w:ascii="Times New Roman" w:hAnsi="Times New Roman" w:cs="Times New Roman"/>
                <w:color w:val="000000" w:themeColor="text1"/>
                <w14:textFill>
                  <w14:solidFill>
                    <w14:schemeClr w14:val="tx1"/>
                  </w14:solidFill>
                </w14:textFill>
              </w:rPr>
              <w:t>。</w:t>
            </w:r>
          </w:p>
          <w:p w14:paraId="79DF3E3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（3）噪声：主要为施工机械噪声</w:t>
            </w:r>
            <w:r>
              <w:rPr>
                <w:rFonts w:hint="eastAsia" w:ascii="Times New Roman" w:hAnsi="Times New Roman" w:cs="Times New Roman"/>
                <w:color w:val="000000" w:themeColor="text1"/>
                <w14:textFill>
                  <w14:solidFill>
                    <w14:schemeClr w14:val="tx1"/>
                  </w14:solidFill>
                </w14:textFill>
              </w:rPr>
              <w:t>、扫线噪声</w:t>
            </w:r>
            <w:r>
              <w:rPr>
                <w:rFonts w:ascii="Times New Roman" w:hAnsi="Times New Roman" w:cs="Times New Roman"/>
                <w:color w:val="000000" w:themeColor="text1"/>
                <w14:textFill>
                  <w14:solidFill>
                    <w14:schemeClr w14:val="tx1"/>
                  </w14:solidFill>
                </w14:textFill>
              </w:rPr>
              <w:t>。</w:t>
            </w:r>
          </w:p>
          <w:p w14:paraId="01B1FD60">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（4）固体废物：主要为建筑垃圾</w:t>
            </w:r>
            <w:r>
              <w:rPr>
                <w:rFonts w:hint="eastAsia" w:ascii="Times New Roman" w:hAnsi="Times New Roman" w:cs="Times New Roman"/>
                <w:color w:val="000000" w:themeColor="text1"/>
                <w14:textFill>
                  <w14:solidFill>
                    <w14:schemeClr w14:val="tx1"/>
                  </w14:solidFill>
                </w14:textFill>
              </w:rPr>
              <w:t>、废油漆及废油漆桶、扫线固体渣、</w:t>
            </w:r>
            <w:r>
              <w:rPr>
                <w:rFonts w:ascii="Times New Roman" w:hAnsi="Times New Roman" w:cs="Times New Roman"/>
                <w:color w:val="000000" w:themeColor="text1"/>
                <w14:textFill>
                  <w14:solidFill>
                    <w14:schemeClr w14:val="tx1"/>
                  </w14:solidFill>
                </w14:textFill>
              </w:rPr>
              <w:t>施工人员生活垃圾。</w:t>
            </w:r>
          </w:p>
        </w:tc>
      </w:tr>
      <w:tr w14:paraId="240411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98" w:hRule="atLeast"/>
          <w:jc w:val="center"/>
        </w:trPr>
        <w:tc>
          <w:tcPr>
            <w:tcW w:w="456" w:type="dxa"/>
            <w:vAlign w:val="center"/>
          </w:tcPr>
          <w:p w14:paraId="01D0EDA6">
            <w:pPr>
              <w:pStyle w:val="81"/>
              <w:adjustRightInd w:val="0"/>
              <w:snapToGrid w:val="0"/>
              <w:spacing w:before="0" w:beforeAutospacing="0" w:after="0" w:afterAutospacing="0"/>
              <w:jc w:val="center"/>
              <w:rPr>
                <w:rFonts w:ascii="Times New Roman" w:hAnsi="Times New Roman" w:cs="Times New Roman"/>
                <w:color w:val="FF0000"/>
                <w:sz w:val="21"/>
                <w:szCs w:val="21"/>
              </w:rPr>
            </w:pPr>
            <w:r>
              <w:rPr>
                <w:rFonts w:ascii="Times New Roman" w:hAnsi="Times New Roman" w:cs="Times New Roman"/>
                <w:color w:val="000000" w:themeColor="text1"/>
                <w:szCs w:val="21"/>
                <w14:textFill>
                  <w14:solidFill>
                    <w14:schemeClr w14:val="tx1"/>
                  </w14:solidFill>
                </w14:textFill>
              </w:rPr>
              <w:t>工艺流程和产排污环节</w:t>
            </w:r>
          </w:p>
        </w:tc>
        <w:tc>
          <w:tcPr>
            <w:tcW w:w="8987" w:type="dxa"/>
          </w:tcPr>
          <w:p w14:paraId="101CE4EE">
            <w:pPr>
              <w:pStyle w:val="21"/>
              <w:spacing w:line="360" w:lineRule="auto"/>
              <w:ind w:left="0" w:firstLine="482" w:firstLineChars="200"/>
              <w:rPr>
                <w:rFonts w:ascii="Times New Roman" w:hAnsi="Times New Roman" w:cs="Times New Roman"/>
                <w:b/>
                <w:bCs/>
                <w:snapToGrid w:val="0"/>
                <w:color w:val="000000" w:themeColor="text1"/>
                <w:sz w:val="24"/>
                <w:lang w:val="zh-CN" w:bidi="zh-CN"/>
                <w14:textFill>
                  <w14:solidFill>
                    <w14:schemeClr w14:val="tx1"/>
                  </w14:solidFill>
                </w14:textFill>
              </w:rPr>
            </w:pPr>
            <w:r>
              <w:rPr>
                <w:rFonts w:ascii="Times New Roman" w:hAnsi="Times New Roman" w:cs="Times New Roman"/>
                <w:b/>
                <w:bCs/>
                <w:snapToGrid w:val="0"/>
                <w:color w:val="000000" w:themeColor="text1"/>
                <w:sz w:val="24"/>
                <w:lang w:bidi="zh-CN"/>
                <w14:textFill>
                  <w14:solidFill>
                    <w14:schemeClr w14:val="tx1"/>
                  </w14:solidFill>
                </w14:textFill>
              </w:rPr>
              <w:t>2、营运期</w:t>
            </w:r>
            <w:r>
              <w:rPr>
                <w:rFonts w:ascii="Times New Roman" w:hAnsi="Times New Roman" w:cs="Times New Roman"/>
                <w:b/>
                <w:bCs/>
                <w:snapToGrid w:val="0"/>
                <w:color w:val="000000" w:themeColor="text1"/>
                <w:sz w:val="24"/>
                <w:lang w:val="zh-CN" w:bidi="zh-CN"/>
                <w14:textFill>
                  <w14:solidFill>
                    <w14:schemeClr w14:val="tx1"/>
                  </w14:solidFill>
                </w14:textFill>
              </w:rPr>
              <w:t>工艺流程</w:t>
            </w:r>
            <w:r>
              <w:rPr>
                <w:rFonts w:hint="eastAsia" w:ascii="Times New Roman" w:hAnsi="Times New Roman" w:cs="Times New Roman"/>
                <w:b/>
                <w:bCs/>
                <w:snapToGrid w:val="0"/>
                <w:color w:val="000000" w:themeColor="text1"/>
                <w:sz w:val="24"/>
                <w:lang w:val="zh-CN" w:bidi="zh-CN"/>
                <w14:textFill>
                  <w14:solidFill>
                    <w14:schemeClr w14:val="tx1"/>
                  </w14:solidFill>
                </w14:textFill>
              </w:rPr>
              <w:t>和产排污环节</w:t>
            </w:r>
          </w:p>
          <w:p w14:paraId="1A0A8716">
            <w:pPr>
              <w:pStyle w:val="21"/>
              <w:spacing w:line="360" w:lineRule="auto"/>
              <w:ind w:left="0" w:firstLine="482" w:firstLineChars="200"/>
              <w:rPr>
                <w:rFonts w:ascii="Times New Roman" w:hAnsi="Times New Roman" w:cs="Times New Roman"/>
                <w:b/>
                <w:bCs/>
                <w:snapToGrid w:val="0"/>
                <w:color w:val="000000" w:themeColor="text1"/>
                <w:sz w:val="24"/>
                <w:lang w:bidi="zh-CN"/>
                <w14:textFill>
                  <w14:solidFill>
                    <w14:schemeClr w14:val="tx1"/>
                  </w14:solidFill>
                </w14:textFill>
              </w:rPr>
            </w:pPr>
            <w:r>
              <w:rPr>
                <w:rFonts w:hint="eastAsia" w:ascii="Times New Roman" w:hAnsi="Times New Roman" w:cs="Times New Roman"/>
                <w:b/>
                <w:bCs/>
                <w:snapToGrid w:val="0"/>
                <w:color w:val="000000" w:themeColor="text1"/>
                <w:sz w:val="24"/>
                <w:lang w:val="zh-CN" w:bidi="zh-CN"/>
                <w14:textFill>
                  <w14:solidFill>
                    <w14:schemeClr w14:val="tx1"/>
                  </w14:solidFill>
                </w14:textFill>
              </w:rPr>
              <w:t>（</w:t>
            </w:r>
            <w:r>
              <w:rPr>
                <w:rFonts w:hint="eastAsia" w:ascii="Times New Roman" w:hAnsi="Times New Roman" w:cs="Times New Roman"/>
                <w:b/>
                <w:bCs/>
                <w:snapToGrid w:val="0"/>
                <w:color w:val="000000" w:themeColor="text1"/>
                <w:sz w:val="24"/>
                <w:lang w:bidi="zh-CN"/>
                <w14:textFill>
                  <w14:solidFill>
                    <w14:schemeClr w14:val="tx1"/>
                  </w14:solidFill>
                </w14:textFill>
              </w:rPr>
              <w:t>1</w:t>
            </w:r>
            <w:r>
              <w:rPr>
                <w:rFonts w:hint="eastAsia" w:ascii="Times New Roman" w:hAnsi="Times New Roman" w:cs="Times New Roman"/>
                <w:b/>
                <w:bCs/>
                <w:snapToGrid w:val="0"/>
                <w:color w:val="000000" w:themeColor="text1"/>
                <w:sz w:val="24"/>
                <w:lang w:val="zh-CN" w:bidi="zh-CN"/>
                <w14:textFill>
                  <w14:solidFill>
                    <w14:schemeClr w14:val="tx1"/>
                  </w14:solidFill>
                </w14:textFill>
              </w:rPr>
              <w:t>）</w:t>
            </w:r>
            <w:r>
              <w:rPr>
                <w:rFonts w:hint="eastAsia" w:ascii="Times New Roman" w:hAnsi="Times New Roman" w:cs="Times New Roman"/>
                <w:b/>
                <w:bCs/>
                <w:snapToGrid w:val="0"/>
                <w:color w:val="000000" w:themeColor="text1"/>
                <w:sz w:val="24"/>
                <w:lang w:bidi="zh-CN"/>
                <w14:textFill>
                  <w14:solidFill>
                    <w14:schemeClr w14:val="tx1"/>
                  </w14:solidFill>
                </w14:textFill>
              </w:rPr>
              <w:t>液硫、发烟硫酸/98%硫酸、液碱储运</w:t>
            </w:r>
          </w:p>
          <w:p w14:paraId="7F151964">
            <w:pPr>
              <w:pStyle w:val="21"/>
              <w:spacing w:line="360" w:lineRule="auto"/>
              <w:ind w:left="0" w:firstLine="480" w:firstLineChars="200"/>
              <w:rPr>
                <w:rFonts w:ascii="Times New Roman" w:hAnsi="Times New Roman" w:cs="Times New Roman"/>
                <w:snapToGrid w:val="0"/>
                <w:color w:val="000000" w:themeColor="text1"/>
                <w:sz w:val="24"/>
                <w:lang w:bidi="zh-CN"/>
                <w14:textFill>
                  <w14:solidFill>
                    <w14:schemeClr w14:val="tx1"/>
                  </w14:solidFill>
                </w14:textFill>
              </w:rPr>
            </w:pPr>
            <w:r>
              <w:rPr>
                <w:rFonts w:hint="eastAsia" w:ascii="Times New Roman" w:hAnsi="Times New Roman" w:cs="Times New Roman"/>
                <w:snapToGrid w:val="0"/>
                <w:color w:val="000000" w:themeColor="text1"/>
                <w:sz w:val="24"/>
                <w:lang w:bidi="zh-CN"/>
                <w14:textFill>
                  <w14:solidFill>
                    <w14:schemeClr w14:val="tx1"/>
                  </w14:solidFill>
                </w14:textFill>
              </w:rPr>
              <w:t>来自</w:t>
            </w:r>
            <w:r>
              <w:rPr>
                <w:rFonts w:hint="eastAsia" w:ascii="Times New Roman" w:hAnsi="Times New Roman" w:cs="Times New Roman"/>
                <w:snapToGrid w:val="0"/>
                <w:color w:val="000000" w:themeColor="text1"/>
                <w:sz w:val="24"/>
                <w:lang w:val="zh-CN" w:bidi="zh-CN"/>
                <w14:textFill>
                  <w14:solidFill>
                    <w14:schemeClr w14:val="tx1"/>
                  </w14:solidFill>
                </w14:textFill>
              </w:rPr>
              <w:t>14号泊位码头</w:t>
            </w:r>
            <w:r>
              <w:rPr>
                <w:rFonts w:hint="eastAsia" w:ascii="Times New Roman" w:hAnsi="Times New Roman" w:cs="Times New Roman"/>
                <w:snapToGrid w:val="0"/>
                <w:color w:val="000000" w:themeColor="text1"/>
                <w:sz w:val="24"/>
                <w:lang w:bidi="zh-CN"/>
                <w14:textFill>
                  <w14:solidFill>
                    <w14:schemeClr w14:val="tx1"/>
                  </w14:solidFill>
                </w14:textFill>
              </w:rPr>
              <w:t>船舶的液硫、发烟硫酸/98%硫酸、液碱，经码头装卸臂输送至罐区内储存，再通过汽车装卸区装入槽罐车外运。</w:t>
            </w:r>
          </w:p>
          <w:p w14:paraId="7E630DDC">
            <w:pPr>
              <w:pStyle w:val="21"/>
              <w:spacing w:line="360" w:lineRule="auto"/>
              <w:ind w:left="0"/>
              <w:jc w:val="center"/>
              <w:rPr>
                <w:rFonts w:ascii="Times New Roman" w:hAnsi="Times New Roman" w:cs="Times New Roman"/>
                <w:snapToGrid w:val="0"/>
                <w:color w:val="000000" w:themeColor="text1"/>
                <w:sz w:val="24"/>
                <w:lang w:val="zh-CN" w:bidi="zh-CN"/>
                <w14:textFill>
                  <w14:solidFill>
                    <w14:schemeClr w14:val="tx1"/>
                  </w14:solidFill>
                </w14:textFill>
              </w:rPr>
            </w:pPr>
            <w:r>
              <w:rPr>
                <w:rFonts w:hint="eastAsia" w:ascii="Times New Roman" w:hAnsi="Times New Roman" w:cs="Times New Roman"/>
                <w:snapToGrid w:val="0"/>
                <w:color w:val="000000" w:themeColor="text1"/>
                <w:sz w:val="24"/>
                <w:lang w:val="zh-CN" w:bidi="zh-CN"/>
                <w14:textFill>
                  <w14:solidFill>
                    <w14:schemeClr w14:val="tx1"/>
                  </w14:solidFill>
                </w14:textFill>
              </w:rPr>
              <w:object>
                <v:shape id="_x0000_i1027" o:spt="75" type="#_x0000_t75" style="height:95.7pt;width:438.65pt;" o:ole="t" filled="f" o:preferrelative="t" stroked="f" coordsize="21600,21600">
                  <v:path/>
                  <v:fill on="f" focussize="0,0"/>
                  <v:stroke on="f" joinstyle="miter"/>
                  <v:imagedata r:id="rId31" o:title=""/>
                  <o:lock v:ext="edit" aspectratio="f"/>
                  <w10:wrap type="none"/>
                  <w10:anchorlock/>
                </v:shape>
                <o:OLEObject Type="Embed" ProgID="Visio.Drawing.11" ShapeID="_x0000_i1027" DrawAspect="Content" ObjectID="_1468075727" r:id="rId30">
                  <o:LockedField>false</o:LockedField>
                </o:OLEObject>
              </w:object>
            </w:r>
          </w:p>
          <w:p w14:paraId="06DC71FB">
            <w:pPr>
              <w:pStyle w:val="21"/>
              <w:spacing w:line="360" w:lineRule="auto"/>
              <w:ind w:left="0"/>
              <w:jc w:val="center"/>
              <w:rPr>
                <w:rFonts w:ascii="Times New Roman" w:hAnsi="Times New Roman" w:cs="Times New Roman"/>
                <w:snapToGrid w:val="0"/>
                <w:color w:val="000000" w:themeColor="text1"/>
                <w:sz w:val="24"/>
                <w:lang w:val="zh-CN" w:bidi="zh-CN"/>
                <w14:textFill>
                  <w14:solidFill>
                    <w14:schemeClr w14:val="tx1"/>
                  </w14:solidFill>
                </w14:textFill>
              </w:rPr>
            </w:pPr>
            <w:r>
              <w:rPr>
                <w:rFonts w:hint="eastAsia" w:ascii="Times New Roman" w:hAnsi="Times New Roman" w:cs="Times New Roman"/>
                <w:b/>
                <w:bCs/>
                <w:snapToGrid w:val="0"/>
                <w:color w:val="000000" w:themeColor="text1"/>
                <w:sz w:val="24"/>
                <w:lang w:bidi="zh-CN"/>
                <w14:textFill>
                  <w14:solidFill>
                    <w14:schemeClr w14:val="tx1"/>
                  </w14:solidFill>
                </w14:textFill>
              </w:rPr>
              <w:t>图2-3 液硫、发烟硫酸/98%硫酸、液碱储运过程产污节点工艺流程图</w:t>
            </w:r>
          </w:p>
          <w:p w14:paraId="1D37A59D">
            <w:pPr>
              <w:pStyle w:val="21"/>
              <w:numPr>
                <w:ilvl w:val="0"/>
                <w:numId w:val="15"/>
              </w:numPr>
              <w:spacing w:line="360" w:lineRule="auto"/>
              <w:ind w:left="0" w:firstLine="482"/>
              <w:rPr>
                <w:rFonts w:ascii="Times New Roman" w:hAnsi="Times New Roman" w:cs="Times New Roman"/>
                <w:b/>
                <w:bCs/>
                <w:snapToGrid w:val="0"/>
                <w:color w:val="000000" w:themeColor="text1"/>
                <w:sz w:val="24"/>
                <w:lang w:bidi="zh-CN"/>
                <w14:textFill>
                  <w14:solidFill>
                    <w14:schemeClr w14:val="tx1"/>
                  </w14:solidFill>
                </w14:textFill>
              </w:rPr>
            </w:pPr>
            <w:r>
              <w:rPr>
                <w:rFonts w:hint="eastAsia" w:ascii="Times New Roman" w:hAnsi="Times New Roman" w:cs="Times New Roman"/>
                <w:b/>
                <w:bCs/>
                <w:snapToGrid w:val="0"/>
                <w:color w:val="000000" w:themeColor="text1"/>
                <w:sz w:val="24"/>
                <w:lang w:bidi="zh-CN"/>
                <w14:textFill>
                  <w14:solidFill>
                    <w14:schemeClr w14:val="tx1"/>
                  </w14:solidFill>
                </w14:textFill>
              </w:rPr>
              <w:t>苯酚储运</w:t>
            </w:r>
          </w:p>
          <w:p w14:paraId="651F292F">
            <w:pPr>
              <w:pStyle w:val="21"/>
              <w:spacing w:line="360" w:lineRule="auto"/>
              <w:ind w:left="0" w:firstLine="480" w:firstLineChars="200"/>
              <w:rPr>
                <w:rFonts w:ascii="Times New Roman" w:hAnsi="Times New Roman" w:cs="Times New Roman"/>
                <w:b/>
                <w:bCs/>
                <w:snapToGrid w:val="0"/>
                <w:color w:val="000000" w:themeColor="text1"/>
                <w:sz w:val="24"/>
                <w:lang w:bidi="zh-CN"/>
                <w14:textFill>
                  <w14:solidFill>
                    <w14:schemeClr w14:val="tx1"/>
                  </w14:solidFill>
                </w14:textFill>
              </w:rPr>
            </w:pPr>
            <w:r>
              <w:rPr>
                <w:rFonts w:hint="eastAsia" w:ascii="Times New Roman" w:hAnsi="Times New Roman" w:cs="Times New Roman"/>
                <w:snapToGrid w:val="0"/>
                <w:color w:val="000000" w:themeColor="text1"/>
                <w:sz w:val="24"/>
                <w:lang w:bidi="zh-CN"/>
                <w14:textFill>
                  <w14:solidFill>
                    <w14:schemeClr w14:val="tx1"/>
                  </w14:solidFill>
                </w14:textFill>
              </w:rPr>
              <w:t>来自</w:t>
            </w:r>
            <w:r>
              <w:rPr>
                <w:rFonts w:hint="eastAsia" w:ascii="Times New Roman" w:hAnsi="Times New Roman" w:cs="Times New Roman"/>
                <w:snapToGrid w:val="0"/>
                <w:color w:val="000000" w:themeColor="text1"/>
                <w:sz w:val="24"/>
                <w:lang w:val="zh-CN" w:bidi="zh-CN"/>
                <w14:textFill>
                  <w14:solidFill>
                    <w14:schemeClr w14:val="tx1"/>
                  </w14:solidFill>
                </w14:textFill>
              </w:rPr>
              <w:t>14号泊位码头</w:t>
            </w:r>
            <w:r>
              <w:rPr>
                <w:rFonts w:hint="eastAsia" w:ascii="Times New Roman" w:hAnsi="Times New Roman" w:cs="Times New Roman"/>
                <w:snapToGrid w:val="0"/>
                <w:color w:val="000000" w:themeColor="text1"/>
                <w:sz w:val="24"/>
                <w:lang w:bidi="zh-CN"/>
                <w14:textFill>
                  <w14:solidFill>
                    <w14:schemeClr w14:val="tx1"/>
                  </w14:solidFill>
                </w14:textFill>
              </w:rPr>
              <w:t>船舶的苯酚，经码头装卸臂输送至罐区内储存，再通过输送泵进入外部管廊。</w:t>
            </w:r>
          </w:p>
          <w:p w14:paraId="3F17C990">
            <w:pPr>
              <w:pStyle w:val="21"/>
              <w:spacing w:line="360" w:lineRule="auto"/>
              <w:ind w:left="0" w:firstLine="480" w:firstLineChars="200"/>
              <w:rPr>
                <w:rFonts w:ascii="Times New Roman" w:hAnsi="Times New Roman" w:cs="Times New Roman"/>
                <w:snapToGrid w:val="0"/>
                <w:color w:val="000000" w:themeColor="text1"/>
                <w:sz w:val="24"/>
                <w:lang w:bidi="zh-CN"/>
                <w14:textFill>
                  <w14:solidFill>
                    <w14:schemeClr w14:val="tx1"/>
                  </w14:solidFill>
                </w14:textFill>
              </w:rPr>
            </w:pPr>
          </w:p>
          <w:p w14:paraId="05412F5F">
            <w:pPr>
              <w:pStyle w:val="21"/>
              <w:spacing w:line="360" w:lineRule="auto"/>
              <w:ind w:left="0"/>
              <w:jc w:val="center"/>
              <w:rPr>
                <w:rFonts w:ascii="Times New Roman" w:hAnsi="Times New Roman" w:cs="Times New Roman"/>
                <w:snapToGrid w:val="0"/>
                <w:color w:val="000000" w:themeColor="text1"/>
                <w:sz w:val="24"/>
                <w:lang w:val="zh-CN" w:bidi="zh-CN"/>
                <w14:textFill>
                  <w14:solidFill>
                    <w14:schemeClr w14:val="tx1"/>
                  </w14:solidFill>
                </w14:textFill>
              </w:rPr>
            </w:pPr>
            <w:r>
              <w:rPr>
                <w:rFonts w:hint="eastAsia" w:ascii="Times New Roman" w:hAnsi="Times New Roman" w:cs="Times New Roman"/>
                <w:snapToGrid w:val="0"/>
                <w:color w:val="000000" w:themeColor="text1"/>
                <w:sz w:val="24"/>
                <w:lang w:val="zh-CN" w:bidi="zh-CN"/>
                <w14:textFill>
                  <w14:solidFill>
                    <w14:schemeClr w14:val="tx1"/>
                  </w14:solidFill>
                </w14:textFill>
              </w:rPr>
              <w:object>
                <v:shape id="_x0000_i1028" o:spt="75" type="#_x0000_t75" style="height:95.7pt;width:438.65pt;" o:ole="t" filled="f" o:preferrelative="t" stroked="f" coordsize="21600,21600">
                  <v:path/>
                  <v:fill on="f" focussize="0,0"/>
                  <v:stroke on="f" joinstyle="miter"/>
                  <v:imagedata r:id="rId33" o:title=""/>
                  <o:lock v:ext="edit" aspectratio="f"/>
                  <w10:wrap type="none"/>
                  <w10:anchorlock/>
                </v:shape>
                <o:OLEObject Type="Embed" ProgID="Visio.Drawing.11" ShapeID="_x0000_i1028" DrawAspect="Content" ObjectID="_1468075728" r:id="rId32">
                  <o:LockedField>false</o:LockedField>
                </o:OLEObject>
              </w:object>
            </w:r>
          </w:p>
          <w:p w14:paraId="0B90D5AB">
            <w:pPr>
              <w:pStyle w:val="21"/>
              <w:spacing w:line="360" w:lineRule="auto"/>
              <w:ind w:left="0"/>
              <w:jc w:val="center"/>
              <w:rPr>
                <w:rFonts w:ascii="Times New Roman" w:hAnsi="Times New Roman" w:cs="Times New Roman"/>
                <w:b/>
                <w:bCs/>
                <w:snapToGrid w:val="0"/>
                <w:color w:val="FF0000"/>
                <w:sz w:val="24"/>
                <w:lang w:bidi="zh-CN"/>
              </w:rPr>
            </w:pPr>
            <w:r>
              <w:rPr>
                <w:rFonts w:hint="eastAsia" w:ascii="Times New Roman" w:hAnsi="Times New Roman" w:cs="Times New Roman"/>
                <w:b/>
                <w:bCs/>
                <w:snapToGrid w:val="0"/>
                <w:color w:val="000000" w:themeColor="text1"/>
                <w:sz w:val="24"/>
                <w:lang w:bidi="zh-CN"/>
                <w14:textFill>
                  <w14:solidFill>
                    <w14:schemeClr w14:val="tx1"/>
                  </w14:solidFill>
                </w14:textFill>
              </w:rPr>
              <w:t>图2-3苯酚储运过程产污节点工艺流程图</w:t>
            </w:r>
          </w:p>
          <w:p w14:paraId="23549B39">
            <w:pPr>
              <w:pStyle w:val="21"/>
              <w:spacing w:line="360" w:lineRule="auto"/>
              <w:ind w:left="0" w:firstLine="482" w:firstLineChars="200"/>
              <w:rPr>
                <w:rFonts w:ascii="Times New Roman" w:hAnsi="Times New Roman" w:cs="Times New Roman"/>
                <w:b/>
                <w:bCs/>
                <w:snapToGrid w:val="0"/>
                <w:color w:val="000000" w:themeColor="text1"/>
                <w:sz w:val="24"/>
                <w:lang w:bidi="zh-CN"/>
                <w14:textFill>
                  <w14:solidFill>
                    <w14:schemeClr w14:val="tx1"/>
                  </w14:solidFill>
                </w14:textFill>
              </w:rPr>
            </w:pPr>
            <w:r>
              <w:rPr>
                <w:rFonts w:hint="eastAsia" w:ascii="Times New Roman" w:hAnsi="Times New Roman" w:cs="Times New Roman"/>
                <w:b/>
                <w:bCs/>
                <w:snapToGrid w:val="0"/>
                <w:color w:val="000000" w:themeColor="text1"/>
                <w:sz w:val="24"/>
                <w:lang w:bidi="zh-CN"/>
                <w14:textFill>
                  <w14:solidFill>
                    <w14:schemeClr w14:val="tx1"/>
                  </w14:solidFill>
                </w14:textFill>
              </w:rPr>
              <w:t>（3）己内酰胺储运</w:t>
            </w:r>
          </w:p>
          <w:p w14:paraId="77B64ABE">
            <w:pPr>
              <w:pStyle w:val="21"/>
              <w:spacing w:line="360" w:lineRule="auto"/>
              <w:ind w:left="0" w:firstLine="480" w:firstLineChars="200"/>
              <w:rPr>
                <w:rFonts w:ascii="Times New Roman" w:hAnsi="Times New Roman" w:cs="Times New Roman"/>
                <w:snapToGrid w:val="0"/>
                <w:color w:val="000000" w:themeColor="text1"/>
                <w:sz w:val="24"/>
                <w:lang w:bidi="zh-CN"/>
                <w14:textFill>
                  <w14:solidFill>
                    <w14:schemeClr w14:val="tx1"/>
                  </w14:solidFill>
                </w14:textFill>
              </w:rPr>
            </w:pPr>
            <w:r>
              <w:rPr>
                <w:rFonts w:hint="eastAsia" w:ascii="Times New Roman" w:hAnsi="Times New Roman" w:cs="Times New Roman"/>
                <w:snapToGrid w:val="0"/>
                <w:color w:val="000000" w:themeColor="text1"/>
                <w:sz w:val="24"/>
                <w:lang w:bidi="zh-CN"/>
                <w14:textFill>
                  <w14:solidFill>
                    <w14:schemeClr w14:val="tx1"/>
                  </w14:solidFill>
                </w14:textFill>
              </w:rPr>
              <w:t>来自后方陆域的己内酰胺经槽罐车运至厂区内，经卸车泵泵至罐区储存，再通过装船泵泵至码头装船外运。</w:t>
            </w:r>
          </w:p>
          <w:p w14:paraId="49411E09">
            <w:pPr>
              <w:pStyle w:val="21"/>
              <w:spacing w:line="360" w:lineRule="auto"/>
              <w:ind w:left="0"/>
              <w:rPr>
                <w:rFonts w:ascii="Times New Roman" w:hAnsi="Times New Roman" w:cs="Times New Roman"/>
                <w:snapToGrid w:val="0"/>
                <w:color w:val="000000" w:themeColor="text1"/>
                <w:sz w:val="24"/>
                <w:lang w:bidi="zh-CN"/>
                <w14:textFill>
                  <w14:solidFill>
                    <w14:schemeClr w14:val="tx1"/>
                  </w14:solidFill>
                </w14:textFill>
              </w:rPr>
            </w:pPr>
            <w:r>
              <w:rPr>
                <w:rFonts w:hint="eastAsia" w:ascii="Times New Roman" w:hAnsi="Times New Roman" w:cs="Times New Roman"/>
                <w:snapToGrid w:val="0"/>
                <w:color w:val="000000" w:themeColor="text1"/>
                <w:sz w:val="24"/>
                <w:lang w:val="zh-CN" w:bidi="zh-CN"/>
                <w14:textFill>
                  <w14:solidFill>
                    <w14:schemeClr w14:val="tx1"/>
                  </w14:solidFill>
                </w14:textFill>
              </w:rPr>
              <w:object>
                <v:shape id="_x0000_i1029" o:spt="75" type="#_x0000_t75" style="height:95.7pt;width:438.65pt;" o:ole="t" filled="f" o:preferrelative="t" stroked="f" coordsize="21600,21600">
                  <v:path/>
                  <v:fill on="f" focussize="0,0"/>
                  <v:stroke on="f" joinstyle="miter"/>
                  <v:imagedata r:id="rId35" o:title=""/>
                  <o:lock v:ext="edit" aspectratio="f"/>
                  <w10:wrap type="none"/>
                  <w10:anchorlock/>
                </v:shape>
                <o:OLEObject Type="Embed" ProgID="Visio.Drawing.11" ShapeID="_x0000_i1029" DrawAspect="Content" ObjectID="_1468075729" r:id="rId34">
                  <o:LockedField>false</o:LockedField>
                </o:OLEObject>
              </w:object>
            </w:r>
            <w:r>
              <w:rPr>
                <w:rFonts w:hint="eastAsia" w:ascii="Times New Roman" w:hAnsi="Times New Roman" w:cs="Times New Roman"/>
                <w:b/>
                <w:bCs/>
                <w:snapToGrid w:val="0"/>
                <w:color w:val="000000" w:themeColor="text1"/>
                <w:sz w:val="24"/>
                <w:lang w:bidi="zh-CN"/>
                <w14:textFill>
                  <w14:solidFill>
                    <w14:schemeClr w14:val="tx1"/>
                  </w14:solidFill>
                </w14:textFill>
              </w:rPr>
              <w:t>图2-3 己内酰胺储运过程产污节点工艺流程图</w:t>
            </w:r>
          </w:p>
          <w:p w14:paraId="3D805A4C">
            <w:pPr>
              <w:pStyle w:val="21"/>
              <w:spacing w:line="360" w:lineRule="auto"/>
              <w:ind w:left="0" w:firstLine="482" w:firstLineChars="200"/>
              <w:rPr>
                <w:rFonts w:ascii="Times New Roman" w:hAnsi="Times New Roman" w:cs="Times New Roman" w:eastAsiaTheme="minorEastAsia"/>
                <w:b/>
                <w:snapToGrid w:val="0"/>
                <w:color w:val="000000" w:themeColor="text1"/>
                <w:sz w:val="24"/>
                <w:szCs w:val="24"/>
                <w:lang w:bidi="zh-CN"/>
                <w14:textFill>
                  <w14:solidFill>
                    <w14:schemeClr w14:val="tx1"/>
                  </w14:solidFill>
                </w14:textFill>
              </w:rPr>
            </w:pPr>
            <w:r>
              <w:rPr>
                <w:rFonts w:ascii="Times New Roman" w:hAnsi="Times New Roman" w:cs="Times New Roman" w:eastAsiaTheme="minorEastAsia"/>
                <w:b/>
                <w:snapToGrid w:val="0"/>
                <w:color w:val="000000" w:themeColor="text1"/>
                <w:sz w:val="24"/>
                <w:szCs w:val="24"/>
                <w:lang w:bidi="zh-CN"/>
                <w14:textFill>
                  <w14:solidFill>
                    <w14:schemeClr w14:val="tx1"/>
                  </w14:solidFill>
                </w14:textFill>
              </w:rPr>
              <w:t>（</w:t>
            </w:r>
            <w:r>
              <w:rPr>
                <w:rFonts w:hint="eastAsia" w:ascii="Times New Roman" w:hAnsi="Times New Roman" w:cs="Times New Roman" w:eastAsiaTheme="minorEastAsia"/>
                <w:b/>
                <w:snapToGrid w:val="0"/>
                <w:color w:val="000000" w:themeColor="text1"/>
                <w:sz w:val="24"/>
                <w:szCs w:val="24"/>
                <w:lang w:bidi="zh-CN"/>
                <w14:textFill>
                  <w14:solidFill>
                    <w14:schemeClr w14:val="tx1"/>
                  </w14:solidFill>
                </w14:textFill>
              </w:rPr>
              <w:t>4</w:t>
            </w:r>
            <w:r>
              <w:rPr>
                <w:rFonts w:ascii="Times New Roman" w:hAnsi="Times New Roman" w:cs="Times New Roman" w:eastAsiaTheme="minorEastAsia"/>
                <w:b/>
                <w:snapToGrid w:val="0"/>
                <w:color w:val="000000" w:themeColor="text1"/>
                <w:sz w:val="24"/>
                <w:szCs w:val="24"/>
                <w:lang w:bidi="zh-CN"/>
                <w14:textFill>
                  <w14:solidFill>
                    <w14:schemeClr w14:val="tx1"/>
                  </w14:solidFill>
                </w14:textFill>
              </w:rPr>
              <w:t>）</w:t>
            </w:r>
            <w:r>
              <w:rPr>
                <w:rFonts w:ascii="Times New Roman" w:hAnsi="Times New Roman" w:cs="Times New Roman" w:eastAsiaTheme="minorEastAsia"/>
                <w:b/>
                <w:bCs/>
                <w:color w:val="000000" w:themeColor="text1"/>
                <w:sz w:val="24"/>
                <w:szCs w:val="24"/>
                <w14:textFill>
                  <w14:solidFill>
                    <w14:schemeClr w14:val="tx1"/>
                  </w14:solidFill>
                </w14:textFill>
              </w:rPr>
              <w:t>DN250油品输送管线、DN200苯管线作为苯乙烯输送管线</w:t>
            </w:r>
          </w:p>
          <w:p w14:paraId="0A73A948">
            <w:pPr>
              <w:pStyle w:val="21"/>
              <w:spacing w:line="360" w:lineRule="auto"/>
              <w:ind w:left="0" w:firstLine="480" w:firstLineChars="200"/>
              <w:rPr>
                <w:rFonts w:ascii="Times New Roman" w:hAnsi="Times New Roman" w:cs="Times New Roman"/>
                <w:b/>
                <w:bCs/>
                <w:snapToGrid w:val="0"/>
                <w:color w:val="000000" w:themeColor="text1"/>
                <w:sz w:val="24"/>
                <w:lang w:bidi="zh-CN"/>
                <w14:textFill>
                  <w14:solidFill>
                    <w14:schemeClr w14:val="tx1"/>
                  </w14:solidFill>
                </w14:textFill>
              </w:rPr>
            </w:pPr>
            <w:r>
              <w:rPr>
                <w:rFonts w:ascii="Times New Roman" w:hAnsi="Times New Roman" w:cs="Times New Roman" w:eastAsiaTheme="minorEastAsia"/>
                <w:snapToGrid w:val="0"/>
                <w:color w:val="000000" w:themeColor="text1"/>
                <w:sz w:val="24"/>
                <w:szCs w:val="24"/>
                <w:lang w:bidi="zh-CN"/>
                <w14:textFill>
                  <w14:solidFill>
                    <w14:schemeClr w14:val="tx1"/>
                  </w14:solidFill>
                </w14:textFill>
              </w:rPr>
              <w:t>本项目新建</w:t>
            </w:r>
            <w:r>
              <w:rPr>
                <w:rFonts w:hint="eastAsia" w:ascii="Times New Roman" w:hAnsi="Times New Roman" w:cs="Times New Roman" w:eastAsiaTheme="minorEastAsia"/>
                <w:snapToGrid w:val="0"/>
                <w:color w:val="000000" w:themeColor="text1"/>
                <w:sz w:val="24"/>
                <w:szCs w:val="24"/>
                <w:lang w:bidi="zh-CN"/>
                <w14:textFill>
                  <w14:solidFill>
                    <w14:schemeClr w14:val="tx1"/>
                  </w14:solidFill>
                </w14:textFill>
              </w:rPr>
              <w:t>1条</w:t>
            </w:r>
            <w:r>
              <w:rPr>
                <w:rFonts w:ascii="Times New Roman" w:hAnsi="Times New Roman" w:cs="Times New Roman" w:eastAsiaTheme="minorEastAsia"/>
                <w:bCs/>
                <w:color w:val="000000" w:themeColor="text1"/>
                <w:sz w:val="24"/>
                <w:szCs w:val="24"/>
                <w14:textFill>
                  <w14:solidFill>
                    <w14:schemeClr w14:val="tx1"/>
                  </w14:solidFill>
                </w14:textFill>
              </w:rPr>
              <w:t>DN250油品输送管线、改造</w:t>
            </w:r>
            <w:r>
              <w:rPr>
                <w:rFonts w:hint="eastAsia" w:ascii="Times New Roman" w:hAnsi="Times New Roman" w:cs="Times New Roman" w:eastAsiaTheme="minorEastAsia"/>
                <w:bCs/>
                <w:color w:val="000000" w:themeColor="text1"/>
                <w:sz w:val="24"/>
                <w:szCs w:val="24"/>
                <w14:textFill>
                  <w14:solidFill>
                    <w14:schemeClr w14:val="tx1"/>
                  </w14:solidFill>
                </w14:textFill>
              </w:rPr>
              <w:t>1条原有</w:t>
            </w:r>
            <w:r>
              <w:rPr>
                <w:rFonts w:ascii="Times New Roman" w:hAnsi="Times New Roman" w:cs="Times New Roman" w:eastAsiaTheme="minorEastAsia"/>
                <w:bCs/>
                <w:color w:val="000000" w:themeColor="text1"/>
                <w:sz w:val="24"/>
                <w:szCs w:val="24"/>
                <w14:textFill>
                  <w14:solidFill>
                    <w14:schemeClr w14:val="tx1"/>
                  </w14:solidFill>
                </w14:textFill>
              </w:rPr>
              <w:t>DN200苯管线作为苯乙烯输送管线为过境管线，</w:t>
            </w:r>
            <w:r>
              <w:rPr>
                <w:rFonts w:ascii="Times New Roman" w:hAnsi="Times New Roman" w:cs="Times New Roman" w:eastAsiaTheme="minorEastAsia"/>
                <w:snapToGrid w:val="0"/>
                <w:color w:val="000000" w:themeColor="text1"/>
                <w:sz w:val="24"/>
                <w:szCs w:val="24"/>
                <w:lang w:bidi="zh-CN"/>
                <w14:textFill>
                  <w14:solidFill>
                    <w14:schemeClr w14:val="tx1"/>
                  </w14:solidFill>
                </w14:textFill>
              </w:rPr>
              <w:t>不涉及泄漏点，环境影响很小。</w:t>
            </w:r>
          </w:p>
          <w:p w14:paraId="1AD87FD3">
            <w:pPr>
              <w:pStyle w:val="21"/>
              <w:spacing w:line="360" w:lineRule="auto"/>
              <w:jc w:val="both"/>
              <w:rPr>
                <w:rFonts w:ascii="Times New Roman" w:hAnsi="Times New Roman" w:cs="Times New Roman"/>
                <w:b/>
                <w:bCs/>
                <w:snapToGrid w:val="0"/>
                <w:color w:val="000000" w:themeColor="text1"/>
                <w:sz w:val="24"/>
                <w:lang w:bidi="zh-CN"/>
                <w14:textFill>
                  <w14:solidFill>
                    <w14:schemeClr w14:val="tx1"/>
                  </w14:solidFill>
                </w14:textFill>
              </w:rPr>
            </w:pPr>
            <w:r>
              <w:rPr>
                <w:rFonts w:hint="eastAsia" w:ascii="Times New Roman" w:hAnsi="Times New Roman" w:cs="Times New Roman"/>
                <w:b/>
                <w:bCs/>
                <w:snapToGrid w:val="0"/>
                <w:color w:val="000000" w:themeColor="text1"/>
                <w:sz w:val="24"/>
                <w:lang w:bidi="zh-CN"/>
                <w14:textFill>
                  <w14:solidFill>
                    <w14:schemeClr w14:val="tx1"/>
                  </w14:solidFill>
                </w14:textFill>
              </w:rPr>
              <w:t>（5）扫线工艺</w:t>
            </w:r>
          </w:p>
          <w:p w14:paraId="249A4179">
            <w:pPr>
              <w:pStyle w:val="21"/>
              <w:spacing w:line="360" w:lineRule="auto"/>
              <w:ind w:left="0" w:firstLine="480" w:firstLineChars="200"/>
              <w:jc w:val="both"/>
              <w:rPr>
                <w:rFonts w:ascii="Times New Roman" w:hAnsi="Times New Roman" w:cs="Times New Roman"/>
                <w:snapToGrid w:val="0"/>
                <w:color w:val="000000" w:themeColor="text1"/>
                <w:sz w:val="24"/>
                <w:lang w:bidi="zh-CN"/>
                <w14:textFill>
                  <w14:solidFill>
                    <w14:schemeClr w14:val="tx1"/>
                  </w14:solidFill>
                </w14:textFill>
              </w:rPr>
            </w:pPr>
            <w:r>
              <w:rPr>
                <w:rFonts w:hint="eastAsia" w:ascii="Times New Roman" w:hAnsi="Times New Roman" w:cs="Times New Roman"/>
                <w:snapToGrid w:val="0"/>
                <w:color w:val="000000" w:themeColor="text1"/>
                <w:sz w:val="24"/>
                <w:lang w:bidi="zh-CN"/>
                <w14:textFill>
                  <w14:solidFill>
                    <w14:schemeClr w14:val="tx1"/>
                  </w14:solidFill>
                </w14:textFill>
              </w:rPr>
              <w:t>本项目运营期不涉及扫线。</w:t>
            </w:r>
          </w:p>
          <w:p w14:paraId="492C7BE5">
            <w:pPr>
              <w:spacing w:line="360" w:lineRule="auto"/>
              <w:ind w:firstLine="482"/>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2、产污环节</w:t>
            </w:r>
          </w:p>
          <w:p w14:paraId="60BD110F">
            <w:pPr>
              <w:ind w:firstLine="482"/>
              <w:jc w:val="center"/>
              <w:rPr>
                <w:rFonts w:ascii="Times New Roman" w:hAnsi="Times New Roman" w:cs="Times New Roman"/>
                <w:b/>
                <w:color w:val="FF0000"/>
              </w:rPr>
            </w:pPr>
            <w:r>
              <w:rPr>
                <w:rFonts w:ascii="Times New Roman" w:hAnsi="Times New Roman" w:cs="Times New Roman"/>
                <w:b/>
                <w:color w:val="000000" w:themeColor="text1"/>
                <w14:textFill>
                  <w14:solidFill>
                    <w14:schemeClr w14:val="tx1"/>
                  </w14:solidFill>
                </w14:textFill>
              </w:rPr>
              <w:t>表2-</w:t>
            </w:r>
            <w:r>
              <w:rPr>
                <w:rFonts w:hint="eastAsia" w:ascii="Times New Roman" w:hAnsi="Times New Roman" w:cs="Times New Roman"/>
                <w:b/>
                <w:color w:val="000000" w:themeColor="text1"/>
                <w14:textFill>
                  <w14:solidFill>
                    <w14:schemeClr w14:val="tx1"/>
                  </w14:solidFill>
                </w14:textFill>
              </w:rPr>
              <w:t>7</w:t>
            </w:r>
            <w:r>
              <w:rPr>
                <w:rFonts w:ascii="Times New Roman" w:hAnsi="Times New Roman" w:cs="Times New Roman"/>
                <w:b/>
                <w:color w:val="000000" w:themeColor="text1"/>
                <w14:textFill>
                  <w14:solidFill>
                    <w14:schemeClr w14:val="tx1"/>
                  </w14:solidFill>
                </w14:textFill>
              </w:rPr>
              <w:t>建设项目主要产污环节和污染因子</w:t>
            </w:r>
          </w:p>
          <w:tbl>
            <w:tblPr>
              <w:tblStyle w:val="88"/>
              <w:tblW w:w="8702" w:type="dxa"/>
              <w:tblInd w:w="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614"/>
              <w:gridCol w:w="1001"/>
              <w:gridCol w:w="2480"/>
              <w:gridCol w:w="1772"/>
              <w:gridCol w:w="2835"/>
            </w:tblGrid>
            <w:tr w14:paraId="664D7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tcBorders>
                    <w:tl2br w:val="nil"/>
                    <w:tr2bl w:val="nil"/>
                  </w:tcBorders>
                  <w:vAlign w:val="center"/>
                </w:tcPr>
                <w:p w14:paraId="54CCB062">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时期</w:t>
                  </w:r>
                </w:p>
              </w:tc>
              <w:tc>
                <w:tcPr>
                  <w:tcW w:w="1001" w:type="dxa"/>
                  <w:tcBorders>
                    <w:tl2br w:val="nil"/>
                    <w:tr2bl w:val="nil"/>
                  </w:tcBorders>
                  <w:vAlign w:val="center"/>
                </w:tcPr>
                <w:p w14:paraId="4080376E">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w:t>
                  </w:r>
                </w:p>
              </w:tc>
              <w:tc>
                <w:tcPr>
                  <w:tcW w:w="2480" w:type="dxa"/>
                  <w:tcBorders>
                    <w:tl2br w:val="nil"/>
                    <w:tr2bl w:val="nil"/>
                  </w:tcBorders>
                  <w:vAlign w:val="center"/>
                </w:tcPr>
                <w:p w14:paraId="51B4B582">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产生环节</w:t>
                  </w:r>
                </w:p>
              </w:tc>
              <w:tc>
                <w:tcPr>
                  <w:tcW w:w="1772" w:type="dxa"/>
                  <w:tcBorders>
                    <w:tl2br w:val="nil"/>
                    <w:tr2bl w:val="nil"/>
                  </w:tcBorders>
                  <w:vAlign w:val="center"/>
                </w:tcPr>
                <w:p w14:paraId="7A17BF5F">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污染类型</w:t>
                  </w:r>
                </w:p>
              </w:tc>
              <w:tc>
                <w:tcPr>
                  <w:tcW w:w="2835" w:type="dxa"/>
                  <w:tcBorders>
                    <w:tl2br w:val="nil"/>
                    <w:tr2bl w:val="nil"/>
                  </w:tcBorders>
                  <w:vAlign w:val="center"/>
                </w:tcPr>
                <w:p w14:paraId="6B64BD24">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tc>
            </w:tr>
            <w:tr w14:paraId="31308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restart"/>
                  <w:tcBorders>
                    <w:tl2br w:val="nil"/>
                    <w:tr2bl w:val="nil"/>
                  </w:tcBorders>
                  <w:vAlign w:val="center"/>
                </w:tcPr>
                <w:p w14:paraId="1271ACCE">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施工期</w:t>
                  </w:r>
                </w:p>
              </w:tc>
              <w:tc>
                <w:tcPr>
                  <w:tcW w:w="1001" w:type="dxa"/>
                  <w:vMerge w:val="restart"/>
                  <w:tcBorders>
                    <w:tl2br w:val="nil"/>
                    <w:tr2bl w:val="nil"/>
                  </w:tcBorders>
                  <w:vAlign w:val="center"/>
                </w:tcPr>
                <w:p w14:paraId="7950E597">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w:t>
                  </w:r>
                </w:p>
              </w:tc>
              <w:tc>
                <w:tcPr>
                  <w:tcW w:w="2480" w:type="dxa"/>
                  <w:tcBorders>
                    <w:tl2br w:val="nil"/>
                    <w:tr2bl w:val="nil"/>
                  </w:tcBorders>
                  <w:vAlign w:val="center"/>
                </w:tcPr>
                <w:p w14:paraId="72E6870D">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基础施工、</w:t>
                  </w:r>
                  <w:r>
                    <w:rPr>
                      <w:rFonts w:hint="eastAsia" w:ascii="Times New Roman" w:hAnsi="Times New Roman" w:cs="Times New Roman"/>
                      <w:color w:val="000000" w:themeColor="text1"/>
                      <w:sz w:val="21"/>
                      <w:szCs w:val="21"/>
                      <w14:textFill>
                        <w14:solidFill>
                          <w14:schemeClr w14:val="tx1"/>
                        </w14:solidFill>
                      </w14:textFill>
                    </w:rPr>
                    <w:t>储罐、装卸站、泵棚、管廊</w:t>
                  </w:r>
                  <w:r>
                    <w:rPr>
                      <w:rFonts w:ascii="Times New Roman" w:hAnsi="Times New Roman" w:cs="Times New Roman"/>
                      <w:color w:val="000000" w:themeColor="text1"/>
                      <w:sz w:val="21"/>
                      <w:szCs w:val="21"/>
                      <w14:textFill>
                        <w14:solidFill>
                          <w14:schemeClr w14:val="tx1"/>
                        </w14:solidFill>
                      </w14:textFill>
                    </w:rPr>
                    <w:t>等工程施工</w:t>
                  </w:r>
                  <w:r>
                    <w:rPr>
                      <w:rFonts w:hint="eastAsia" w:ascii="Times New Roman" w:hAnsi="Times New Roman" w:cs="Times New Roman"/>
                      <w:color w:val="000000" w:themeColor="text1"/>
                      <w:sz w:val="21"/>
                      <w:szCs w:val="21"/>
                      <w14:textFill>
                        <w14:solidFill>
                          <w14:schemeClr w14:val="tx1"/>
                        </w14:solidFill>
                      </w14:textFill>
                    </w:rPr>
                    <w:t>、扫线</w:t>
                  </w:r>
                </w:p>
              </w:tc>
              <w:tc>
                <w:tcPr>
                  <w:tcW w:w="1772" w:type="dxa"/>
                  <w:tcBorders>
                    <w:tl2br w:val="nil"/>
                    <w:tr2bl w:val="nil"/>
                  </w:tcBorders>
                  <w:vAlign w:val="center"/>
                </w:tcPr>
                <w:p w14:paraId="703DDAE6">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粉尘</w:t>
                  </w:r>
                </w:p>
              </w:tc>
              <w:tc>
                <w:tcPr>
                  <w:tcW w:w="2835" w:type="dxa"/>
                  <w:tcBorders>
                    <w:tl2br w:val="nil"/>
                    <w:tr2bl w:val="nil"/>
                  </w:tcBorders>
                  <w:vAlign w:val="center"/>
                </w:tcPr>
                <w:p w14:paraId="2DD0580F">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颗粒物</w:t>
                  </w:r>
                </w:p>
              </w:tc>
            </w:tr>
            <w:tr w14:paraId="619A6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689F36DF">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1001" w:type="dxa"/>
                  <w:vMerge w:val="continue"/>
                  <w:tcBorders>
                    <w:tl2br w:val="nil"/>
                    <w:tr2bl w:val="nil"/>
                  </w:tcBorders>
                  <w:vAlign w:val="center"/>
                </w:tcPr>
                <w:p w14:paraId="4432686D">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480" w:type="dxa"/>
                  <w:tcBorders>
                    <w:tl2br w:val="nil"/>
                    <w:tr2bl w:val="nil"/>
                  </w:tcBorders>
                  <w:vAlign w:val="center"/>
                </w:tcPr>
                <w:p w14:paraId="6A5D80A4">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机械、汽车运输</w:t>
                  </w:r>
                </w:p>
              </w:tc>
              <w:tc>
                <w:tcPr>
                  <w:tcW w:w="1772" w:type="dxa"/>
                  <w:tcBorders>
                    <w:tl2br w:val="nil"/>
                    <w:tr2bl w:val="nil"/>
                  </w:tcBorders>
                  <w:vAlign w:val="center"/>
                </w:tcPr>
                <w:p w14:paraId="0274F8BD">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机械废气及汽车尾气</w:t>
                  </w:r>
                </w:p>
              </w:tc>
              <w:tc>
                <w:tcPr>
                  <w:tcW w:w="2835" w:type="dxa"/>
                  <w:tcBorders>
                    <w:tl2br w:val="nil"/>
                    <w:tr2bl w:val="nil"/>
                  </w:tcBorders>
                  <w:vAlign w:val="center"/>
                </w:tcPr>
                <w:p w14:paraId="48B81C43">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SO</w:t>
                  </w:r>
                  <w:r>
                    <w:rPr>
                      <w:rFonts w:ascii="Times New Roman" w:hAnsi="Times New Roman" w:cs="Times New Roman"/>
                      <w:color w:val="000000" w:themeColor="text1"/>
                      <w:sz w:val="21"/>
                      <w:szCs w:val="21"/>
                      <w:vertAlign w:val="subscript"/>
                      <w14:textFill>
                        <w14:solidFill>
                          <w14:schemeClr w14:val="tx1"/>
                        </w14:solidFill>
                      </w14:textFill>
                    </w:rPr>
                    <w:t>2</w:t>
                  </w:r>
                  <w:r>
                    <w:rPr>
                      <w:rFonts w:ascii="Times New Roman" w:hAnsi="Times New Roman" w:cs="Times New Roman"/>
                      <w:color w:val="000000" w:themeColor="text1"/>
                      <w:sz w:val="21"/>
                      <w:szCs w:val="21"/>
                      <w14:textFill>
                        <w14:solidFill>
                          <w14:schemeClr w14:val="tx1"/>
                        </w14:solidFill>
                      </w14:textFill>
                    </w:rPr>
                    <w:t>、NO</w:t>
                  </w:r>
                  <w:r>
                    <w:rPr>
                      <w:rFonts w:ascii="Times New Roman" w:hAnsi="Times New Roman" w:cs="Times New Roman"/>
                      <w:color w:val="000000" w:themeColor="text1"/>
                      <w:sz w:val="21"/>
                      <w:szCs w:val="21"/>
                      <w:vertAlign w:val="subscript"/>
                      <w14:textFill>
                        <w14:solidFill>
                          <w14:schemeClr w14:val="tx1"/>
                        </w14:solidFill>
                      </w14:textFill>
                    </w:rPr>
                    <w:t>2</w:t>
                  </w:r>
                  <w:r>
                    <w:rPr>
                      <w:rFonts w:ascii="Times New Roman" w:hAnsi="Times New Roman" w:cs="Times New Roman"/>
                      <w:color w:val="000000" w:themeColor="text1"/>
                      <w:sz w:val="21"/>
                      <w:szCs w:val="21"/>
                      <w14:textFill>
                        <w14:solidFill>
                          <w14:schemeClr w14:val="tx1"/>
                        </w14:solidFill>
                      </w14:textFill>
                    </w:rPr>
                    <w:t>、CO、烃类等</w:t>
                  </w:r>
                </w:p>
              </w:tc>
            </w:tr>
            <w:tr w14:paraId="0C8C9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1BE11FB2">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1001" w:type="dxa"/>
                  <w:vMerge w:val="restart"/>
                  <w:tcBorders>
                    <w:tl2br w:val="nil"/>
                    <w:tr2bl w:val="nil"/>
                  </w:tcBorders>
                  <w:vAlign w:val="center"/>
                </w:tcPr>
                <w:p w14:paraId="264DF0A6">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废水</w:t>
                  </w:r>
                </w:p>
              </w:tc>
              <w:tc>
                <w:tcPr>
                  <w:tcW w:w="2480" w:type="dxa"/>
                  <w:tcBorders>
                    <w:tl2br w:val="nil"/>
                    <w:tr2bl w:val="nil"/>
                  </w:tcBorders>
                  <w:vAlign w:val="center"/>
                </w:tcPr>
                <w:p w14:paraId="3C12137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施工人员生活</w:t>
                  </w:r>
                </w:p>
              </w:tc>
              <w:tc>
                <w:tcPr>
                  <w:tcW w:w="1772" w:type="dxa"/>
                  <w:tcBorders>
                    <w:tl2br w:val="nil"/>
                    <w:tr2bl w:val="nil"/>
                  </w:tcBorders>
                  <w:vAlign w:val="center"/>
                </w:tcPr>
                <w:p w14:paraId="2AA1EC88">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w:t>
                  </w:r>
                </w:p>
              </w:tc>
              <w:tc>
                <w:tcPr>
                  <w:tcW w:w="2835" w:type="dxa"/>
                  <w:tcBorders>
                    <w:tl2br w:val="nil"/>
                    <w:tr2bl w:val="nil"/>
                  </w:tcBorders>
                  <w:vAlign w:val="center"/>
                </w:tcPr>
                <w:p w14:paraId="44CF4AE4">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COD、BOD</w:t>
                  </w:r>
                  <w:r>
                    <w:rPr>
                      <w:rFonts w:ascii="Times New Roman" w:hAnsi="Times New Roman" w:cs="Times New Roman"/>
                      <w:color w:val="000000" w:themeColor="text1"/>
                      <w:sz w:val="21"/>
                      <w:szCs w:val="21"/>
                      <w:vertAlign w:val="subscript"/>
                      <w14:textFill>
                        <w14:solidFill>
                          <w14:schemeClr w14:val="tx1"/>
                        </w14:solidFill>
                      </w14:textFill>
                    </w:rPr>
                    <w:t>5</w:t>
                  </w:r>
                  <w:r>
                    <w:rPr>
                      <w:rFonts w:ascii="Times New Roman" w:hAnsi="Times New Roman" w:cs="Times New Roman"/>
                      <w:color w:val="000000" w:themeColor="text1"/>
                      <w:sz w:val="21"/>
                      <w:szCs w:val="21"/>
                      <w14:textFill>
                        <w14:solidFill>
                          <w14:schemeClr w14:val="tx1"/>
                        </w14:solidFill>
                      </w14:textFill>
                    </w:rPr>
                    <w:t>、NH</w:t>
                  </w:r>
                  <w:r>
                    <w:rPr>
                      <w:rFonts w:ascii="Times New Roman" w:hAnsi="Times New Roman" w:cs="Times New Roman"/>
                      <w:color w:val="000000" w:themeColor="text1"/>
                      <w:sz w:val="21"/>
                      <w:szCs w:val="21"/>
                      <w:vertAlign w:val="subscript"/>
                      <w14:textFill>
                        <w14:solidFill>
                          <w14:schemeClr w14:val="tx1"/>
                        </w14:solidFill>
                      </w14:textFill>
                    </w:rPr>
                    <w:t>4</w:t>
                  </w:r>
                  <w:r>
                    <w:rPr>
                      <w:rFonts w:ascii="Times New Roman" w:hAnsi="Times New Roman" w:cs="Times New Roman"/>
                      <w:color w:val="000000" w:themeColor="text1"/>
                      <w:sz w:val="21"/>
                      <w:szCs w:val="21"/>
                      <w14:textFill>
                        <w14:solidFill>
                          <w14:schemeClr w14:val="tx1"/>
                        </w14:solidFill>
                      </w14:textFill>
                    </w:rPr>
                    <w:t>-N、SS等</w:t>
                  </w:r>
                </w:p>
              </w:tc>
            </w:tr>
            <w:tr w14:paraId="7EB22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1B1A8C30">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1001" w:type="dxa"/>
                  <w:vMerge w:val="continue"/>
                  <w:tcBorders>
                    <w:tl2br w:val="nil"/>
                    <w:tr2bl w:val="nil"/>
                  </w:tcBorders>
                  <w:vAlign w:val="center"/>
                </w:tcPr>
                <w:p w14:paraId="1EC58679">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480" w:type="dxa"/>
                  <w:tcBorders>
                    <w:tl2br w:val="nil"/>
                    <w:tr2bl w:val="nil"/>
                  </w:tcBorders>
                  <w:vAlign w:val="center"/>
                </w:tcPr>
                <w:p w14:paraId="31BB782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施工过程</w:t>
                  </w:r>
                </w:p>
              </w:tc>
              <w:tc>
                <w:tcPr>
                  <w:tcW w:w="1772" w:type="dxa"/>
                  <w:tcBorders>
                    <w:tl2br w:val="nil"/>
                    <w:tr2bl w:val="nil"/>
                  </w:tcBorders>
                  <w:vAlign w:val="center"/>
                </w:tcPr>
                <w:p w14:paraId="19D1555C">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施工废水</w:t>
                  </w:r>
                </w:p>
              </w:tc>
              <w:tc>
                <w:tcPr>
                  <w:tcW w:w="2835" w:type="dxa"/>
                  <w:tcBorders>
                    <w:tl2br w:val="nil"/>
                    <w:tr2bl w:val="nil"/>
                  </w:tcBorders>
                  <w:vAlign w:val="center"/>
                </w:tcPr>
                <w:p w14:paraId="32A47FBA">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SS等</w:t>
                  </w:r>
                </w:p>
              </w:tc>
            </w:tr>
            <w:tr w14:paraId="69E5D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5D6603F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1001" w:type="dxa"/>
                  <w:tcBorders>
                    <w:tl2br w:val="nil"/>
                    <w:tr2bl w:val="nil"/>
                  </w:tcBorders>
                  <w:vAlign w:val="center"/>
                </w:tcPr>
                <w:p w14:paraId="05E3AE68">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噪声</w:t>
                  </w:r>
                </w:p>
              </w:tc>
              <w:tc>
                <w:tcPr>
                  <w:tcW w:w="2480" w:type="dxa"/>
                  <w:tcBorders>
                    <w:tl2br w:val="nil"/>
                    <w:tr2bl w:val="nil"/>
                  </w:tcBorders>
                  <w:vAlign w:val="center"/>
                </w:tcPr>
                <w:p w14:paraId="71D19168">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机械运行、汽车</w:t>
                  </w:r>
                </w:p>
              </w:tc>
              <w:tc>
                <w:tcPr>
                  <w:tcW w:w="1772" w:type="dxa"/>
                  <w:tcBorders>
                    <w:tl2br w:val="nil"/>
                    <w:tr2bl w:val="nil"/>
                  </w:tcBorders>
                  <w:vAlign w:val="center"/>
                </w:tcPr>
                <w:p w14:paraId="69818D83">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噪声</w:t>
                  </w:r>
                </w:p>
              </w:tc>
              <w:tc>
                <w:tcPr>
                  <w:tcW w:w="2835" w:type="dxa"/>
                  <w:tcBorders>
                    <w:tl2br w:val="nil"/>
                    <w:tr2bl w:val="nil"/>
                  </w:tcBorders>
                  <w:vAlign w:val="center"/>
                </w:tcPr>
                <w:p w14:paraId="15221FFF">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等效A声级</w:t>
                  </w:r>
                </w:p>
              </w:tc>
            </w:tr>
            <w:tr w14:paraId="4339F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0A0848C8">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1001" w:type="dxa"/>
                  <w:vMerge w:val="restart"/>
                  <w:tcBorders>
                    <w:tl2br w:val="nil"/>
                    <w:tr2bl w:val="nil"/>
                  </w:tcBorders>
                  <w:vAlign w:val="center"/>
                </w:tcPr>
                <w:p w14:paraId="3906479B">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固废</w:t>
                  </w:r>
                </w:p>
              </w:tc>
              <w:tc>
                <w:tcPr>
                  <w:tcW w:w="2480" w:type="dxa"/>
                  <w:tcBorders>
                    <w:tl2br w:val="nil"/>
                    <w:tr2bl w:val="nil"/>
                  </w:tcBorders>
                  <w:vAlign w:val="center"/>
                </w:tcPr>
                <w:p w14:paraId="470F08E4">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施工过程</w:t>
                  </w:r>
                </w:p>
              </w:tc>
              <w:tc>
                <w:tcPr>
                  <w:tcW w:w="1772" w:type="dxa"/>
                  <w:tcBorders>
                    <w:tl2br w:val="nil"/>
                    <w:tr2bl w:val="nil"/>
                  </w:tcBorders>
                  <w:vAlign w:val="center"/>
                </w:tcPr>
                <w:p w14:paraId="2554E1D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建筑垃圾</w:t>
                  </w:r>
                </w:p>
              </w:tc>
              <w:tc>
                <w:tcPr>
                  <w:tcW w:w="2835" w:type="dxa"/>
                  <w:tcBorders>
                    <w:tl2br w:val="nil"/>
                    <w:tr2bl w:val="nil"/>
                  </w:tcBorders>
                  <w:vAlign w:val="center"/>
                </w:tcPr>
                <w:p w14:paraId="1DA8FAD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建筑垃圾</w:t>
                  </w:r>
                </w:p>
              </w:tc>
            </w:tr>
            <w:tr w14:paraId="04395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14B518CE">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1001" w:type="dxa"/>
                  <w:vMerge w:val="continue"/>
                  <w:tcBorders>
                    <w:tl2br w:val="nil"/>
                    <w:tr2bl w:val="nil"/>
                  </w:tcBorders>
                  <w:vAlign w:val="center"/>
                </w:tcPr>
                <w:p w14:paraId="264874FD">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480" w:type="dxa"/>
                  <w:tcBorders>
                    <w:tl2br w:val="nil"/>
                    <w:tr2bl w:val="nil"/>
                  </w:tcBorders>
                  <w:vAlign w:val="center"/>
                </w:tcPr>
                <w:p w14:paraId="1A04A9BC">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设备表面防腐防锈防渗等过程</w:t>
                  </w:r>
                </w:p>
              </w:tc>
              <w:tc>
                <w:tcPr>
                  <w:tcW w:w="1772" w:type="dxa"/>
                  <w:tcBorders>
                    <w:tl2br w:val="nil"/>
                    <w:tr2bl w:val="nil"/>
                  </w:tcBorders>
                  <w:vAlign w:val="center"/>
                </w:tcPr>
                <w:p w14:paraId="4E0A6113">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废油漆</w:t>
                  </w:r>
                </w:p>
              </w:tc>
              <w:tc>
                <w:tcPr>
                  <w:tcW w:w="2835" w:type="dxa"/>
                  <w:tcBorders>
                    <w:tl2br w:val="nil"/>
                    <w:tr2bl w:val="nil"/>
                  </w:tcBorders>
                  <w:vAlign w:val="center"/>
                </w:tcPr>
                <w:p w14:paraId="42E4257E">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废油漆</w:t>
                  </w:r>
                </w:p>
              </w:tc>
            </w:tr>
            <w:tr w14:paraId="1B765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5A86F029">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1001" w:type="dxa"/>
                  <w:vMerge w:val="continue"/>
                  <w:tcBorders>
                    <w:tl2br w:val="nil"/>
                    <w:tr2bl w:val="nil"/>
                  </w:tcBorders>
                  <w:vAlign w:val="center"/>
                </w:tcPr>
                <w:p w14:paraId="6EF547A1">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480" w:type="dxa"/>
                  <w:tcBorders>
                    <w:tl2br w:val="nil"/>
                    <w:tr2bl w:val="nil"/>
                  </w:tcBorders>
                  <w:vAlign w:val="center"/>
                </w:tcPr>
                <w:p w14:paraId="5A086573">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施工人员生活</w:t>
                  </w:r>
                </w:p>
              </w:tc>
              <w:tc>
                <w:tcPr>
                  <w:tcW w:w="1772" w:type="dxa"/>
                  <w:tcBorders>
                    <w:tl2br w:val="nil"/>
                    <w:tr2bl w:val="nil"/>
                  </w:tcBorders>
                  <w:vAlign w:val="center"/>
                </w:tcPr>
                <w:p w14:paraId="0FF8EDD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生活垃圾</w:t>
                  </w:r>
                </w:p>
              </w:tc>
              <w:tc>
                <w:tcPr>
                  <w:tcW w:w="2835" w:type="dxa"/>
                  <w:tcBorders>
                    <w:tl2br w:val="nil"/>
                    <w:tr2bl w:val="nil"/>
                  </w:tcBorders>
                  <w:vAlign w:val="center"/>
                </w:tcPr>
                <w:p w14:paraId="7F70DC49">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生活垃圾</w:t>
                  </w:r>
                </w:p>
              </w:tc>
            </w:tr>
            <w:tr w14:paraId="2FA23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restart"/>
                  <w:tcBorders>
                    <w:tl2br w:val="nil"/>
                    <w:tr2bl w:val="nil"/>
                  </w:tcBorders>
                  <w:vAlign w:val="center"/>
                </w:tcPr>
                <w:p w14:paraId="4B6D72A4">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运营期</w:t>
                  </w:r>
                </w:p>
              </w:tc>
              <w:tc>
                <w:tcPr>
                  <w:tcW w:w="1001" w:type="dxa"/>
                  <w:vMerge w:val="restart"/>
                  <w:tcBorders>
                    <w:tl2br w:val="nil"/>
                    <w:tr2bl w:val="nil"/>
                  </w:tcBorders>
                  <w:vAlign w:val="center"/>
                </w:tcPr>
                <w:p w14:paraId="3FF52870">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w:t>
                  </w:r>
                </w:p>
              </w:tc>
              <w:tc>
                <w:tcPr>
                  <w:tcW w:w="2480" w:type="dxa"/>
                  <w:tcBorders>
                    <w:tl2br w:val="nil"/>
                    <w:tr2bl w:val="nil"/>
                  </w:tcBorders>
                  <w:vAlign w:val="center"/>
                </w:tcPr>
                <w:p w14:paraId="215838EF">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储罐呼吸废气</w:t>
                  </w:r>
                </w:p>
              </w:tc>
              <w:tc>
                <w:tcPr>
                  <w:tcW w:w="1772" w:type="dxa"/>
                  <w:vMerge w:val="restart"/>
                  <w:tcBorders>
                    <w:tl2br w:val="nil"/>
                    <w:tr2bl w:val="nil"/>
                  </w:tcBorders>
                  <w:vAlign w:val="center"/>
                </w:tcPr>
                <w:p w14:paraId="52DFC4DC">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硫粉尘、</w:t>
                  </w:r>
                  <w:r>
                    <w:rPr>
                      <w:rFonts w:ascii="Times New Roman" w:hAnsi="Times New Roman" w:cs="Times New Roman"/>
                      <w:color w:val="000000" w:themeColor="text1"/>
                      <w:sz w:val="21"/>
                      <w:szCs w:val="21"/>
                      <w14:textFill>
                        <w14:solidFill>
                          <w14:schemeClr w14:val="tx1"/>
                        </w14:solidFill>
                      </w14:textFill>
                    </w:rPr>
                    <w:t>酸雾</w:t>
                  </w:r>
                  <w:r>
                    <w:rPr>
                      <w:rFonts w:hint="eastAsia" w:ascii="Times New Roman" w:hAnsi="Times New Roman" w:cs="Times New Roman"/>
                      <w:color w:val="000000" w:themeColor="text1"/>
                      <w:sz w:val="21"/>
                      <w:szCs w:val="21"/>
                      <w14:textFill>
                        <w14:solidFill>
                          <w14:schemeClr w14:val="tx1"/>
                        </w14:solidFill>
                      </w14:textFill>
                    </w:rPr>
                    <w:t>、酚类、非甲烷总烃</w:t>
                  </w:r>
                  <w:r>
                    <w:rPr>
                      <w:rFonts w:ascii="Times New Roman" w:hAnsi="Times New Roman" w:cs="Times New Roman"/>
                      <w:color w:val="000000" w:themeColor="text1"/>
                      <w:sz w:val="21"/>
                      <w:szCs w:val="21"/>
                      <w14:textFill>
                        <w14:solidFill>
                          <w14:schemeClr w14:val="tx1"/>
                        </w14:solidFill>
                      </w14:textFill>
                    </w:rPr>
                    <w:t>等</w:t>
                  </w:r>
                </w:p>
              </w:tc>
              <w:tc>
                <w:tcPr>
                  <w:tcW w:w="2835" w:type="dxa"/>
                  <w:vMerge w:val="restart"/>
                  <w:tcBorders>
                    <w:tl2br w:val="nil"/>
                    <w:tr2bl w:val="nil"/>
                  </w:tcBorders>
                  <w:vAlign w:val="center"/>
                </w:tcPr>
                <w:p w14:paraId="10D1B818">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硫粉尘、硫酸雾、酚类、TVOC等</w:t>
                  </w:r>
                </w:p>
              </w:tc>
            </w:tr>
            <w:tr w14:paraId="1247E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71" w:hRule="atLeast"/>
              </w:trPr>
              <w:tc>
                <w:tcPr>
                  <w:tcW w:w="614" w:type="dxa"/>
                  <w:vMerge w:val="continue"/>
                  <w:tcBorders>
                    <w:tl2br w:val="nil"/>
                    <w:tr2bl w:val="nil"/>
                  </w:tcBorders>
                  <w:vAlign w:val="center"/>
                </w:tcPr>
                <w:p w14:paraId="2F92FC02">
                  <w:pPr>
                    <w:adjustRightInd w:val="0"/>
                    <w:snapToGrid w:val="0"/>
                    <w:ind w:left="77"/>
                    <w:jc w:val="center"/>
                    <w:rPr>
                      <w:rFonts w:ascii="Times New Roman" w:hAnsi="Times New Roman" w:cs="Times New Roman"/>
                      <w:color w:val="FF0000"/>
                      <w:sz w:val="21"/>
                      <w:szCs w:val="21"/>
                    </w:rPr>
                  </w:pPr>
                </w:p>
              </w:tc>
              <w:tc>
                <w:tcPr>
                  <w:tcW w:w="1001" w:type="dxa"/>
                  <w:vMerge w:val="continue"/>
                  <w:tcBorders>
                    <w:tl2br w:val="nil"/>
                    <w:tr2bl w:val="nil"/>
                  </w:tcBorders>
                  <w:vAlign w:val="center"/>
                </w:tcPr>
                <w:p w14:paraId="1367CC0E">
                  <w:pPr>
                    <w:adjustRightInd w:val="0"/>
                    <w:snapToGrid w:val="0"/>
                    <w:ind w:left="77"/>
                    <w:jc w:val="center"/>
                    <w:rPr>
                      <w:rFonts w:ascii="Times New Roman" w:hAnsi="Times New Roman" w:cs="Times New Roman"/>
                      <w:color w:val="FF0000"/>
                      <w:sz w:val="21"/>
                      <w:szCs w:val="21"/>
                    </w:rPr>
                  </w:pPr>
                </w:p>
              </w:tc>
              <w:tc>
                <w:tcPr>
                  <w:tcW w:w="2480" w:type="dxa"/>
                  <w:tcBorders>
                    <w:tl2br w:val="nil"/>
                    <w:tr2bl w:val="nil"/>
                  </w:tcBorders>
                  <w:vAlign w:val="center"/>
                </w:tcPr>
                <w:p w14:paraId="204C68E0">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装卸料废气</w:t>
                  </w:r>
                </w:p>
              </w:tc>
              <w:tc>
                <w:tcPr>
                  <w:tcW w:w="1772" w:type="dxa"/>
                  <w:vMerge w:val="continue"/>
                  <w:tcBorders>
                    <w:tl2br w:val="nil"/>
                    <w:tr2bl w:val="nil"/>
                  </w:tcBorders>
                  <w:vAlign w:val="center"/>
                </w:tcPr>
                <w:p w14:paraId="49C1F6D6">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835" w:type="dxa"/>
                  <w:vMerge w:val="continue"/>
                  <w:tcBorders>
                    <w:tl2br w:val="nil"/>
                    <w:tr2bl w:val="nil"/>
                  </w:tcBorders>
                  <w:vAlign w:val="center"/>
                </w:tcPr>
                <w:p w14:paraId="6F75EA2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r>
            <w:tr w14:paraId="5736B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3B4F708F">
                  <w:pPr>
                    <w:adjustRightInd w:val="0"/>
                    <w:snapToGrid w:val="0"/>
                    <w:ind w:left="77"/>
                    <w:jc w:val="center"/>
                    <w:rPr>
                      <w:rFonts w:ascii="Times New Roman" w:hAnsi="Times New Roman" w:cs="Times New Roman"/>
                      <w:color w:val="FF0000"/>
                      <w:sz w:val="21"/>
                      <w:szCs w:val="21"/>
                    </w:rPr>
                  </w:pPr>
                </w:p>
              </w:tc>
              <w:tc>
                <w:tcPr>
                  <w:tcW w:w="1001" w:type="dxa"/>
                  <w:vMerge w:val="continue"/>
                  <w:tcBorders>
                    <w:tl2br w:val="nil"/>
                    <w:tr2bl w:val="nil"/>
                  </w:tcBorders>
                  <w:vAlign w:val="center"/>
                </w:tcPr>
                <w:p w14:paraId="26D626D3">
                  <w:pPr>
                    <w:adjustRightInd w:val="0"/>
                    <w:snapToGrid w:val="0"/>
                    <w:ind w:left="77"/>
                    <w:jc w:val="center"/>
                    <w:rPr>
                      <w:rFonts w:ascii="Times New Roman" w:hAnsi="Times New Roman" w:cs="Times New Roman"/>
                      <w:color w:val="FF0000"/>
                      <w:sz w:val="21"/>
                      <w:szCs w:val="21"/>
                    </w:rPr>
                  </w:pPr>
                </w:p>
              </w:tc>
              <w:tc>
                <w:tcPr>
                  <w:tcW w:w="2480" w:type="dxa"/>
                  <w:tcBorders>
                    <w:tl2br w:val="nil"/>
                    <w:tr2bl w:val="nil"/>
                  </w:tcBorders>
                  <w:vAlign w:val="center"/>
                </w:tcPr>
                <w:p w14:paraId="7E278D61">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装置密封点挥发废气</w:t>
                  </w:r>
                </w:p>
              </w:tc>
              <w:tc>
                <w:tcPr>
                  <w:tcW w:w="1772" w:type="dxa"/>
                  <w:vMerge w:val="continue"/>
                  <w:tcBorders>
                    <w:tl2br w:val="nil"/>
                    <w:tr2bl w:val="nil"/>
                  </w:tcBorders>
                  <w:vAlign w:val="center"/>
                </w:tcPr>
                <w:p w14:paraId="20FD8BF3">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835" w:type="dxa"/>
                  <w:vMerge w:val="continue"/>
                  <w:tcBorders>
                    <w:tl2br w:val="nil"/>
                    <w:tr2bl w:val="nil"/>
                  </w:tcBorders>
                  <w:vAlign w:val="center"/>
                </w:tcPr>
                <w:p w14:paraId="56185C2C">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r>
            <w:tr w14:paraId="62AA2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138D988F">
                  <w:pPr>
                    <w:adjustRightInd w:val="0"/>
                    <w:snapToGrid w:val="0"/>
                    <w:ind w:left="77"/>
                    <w:jc w:val="center"/>
                    <w:rPr>
                      <w:rFonts w:ascii="Times New Roman" w:hAnsi="Times New Roman" w:cs="Times New Roman"/>
                      <w:color w:val="FF0000"/>
                      <w:sz w:val="21"/>
                      <w:szCs w:val="21"/>
                    </w:rPr>
                  </w:pPr>
                </w:p>
              </w:tc>
              <w:tc>
                <w:tcPr>
                  <w:tcW w:w="1001" w:type="dxa"/>
                  <w:vMerge w:val="restart"/>
                  <w:tcBorders>
                    <w:tl2br w:val="nil"/>
                    <w:tr2bl w:val="nil"/>
                  </w:tcBorders>
                  <w:vAlign w:val="center"/>
                </w:tcPr>
                <w:p w14:paraId="0F766C10">
                  <w:pPr>
                    <w:adjustRightInd w:val="0"/>
                    <w:snapToGrid w:val="0"/>
                    <w:ind w:left="77"/>
                    <w:jc w:val="center"/>
                    <w:rPr>
                      <w:rFonts w:ascii="Times New Roman" w:hAnsi="Times New Roman" w:cs="Times New Roman"/>
                      <w:color w:val="FF0000"/>
                      <w:sz w:val="21"/>
                      <w:szCs w:val="21"/>
                    </w:rPr>
                  </w:pPr>
                  <w:r>
                    <w:rPr>
                      <w:rFonts w:ascii="Times New Roman" w:hAnsi="Times New Roman" w:cs="Times New Roman"/>
                      <w:color w:val="000000" w:themeColor="text1"/>
                      <w:sz w:val="21"/>
                      <w:szCs w:val="21"/>
                      <w14:textFill>
                        <w14:solidFill>
                          <w14:schemeClr w14:val="tx1"/>
                        </w14:solidFill>
                      </w14:textFill>
                    </w:rPr>
                    <w:t>废水</w:t>
                  </w:r>
                </w:p>
              </w:tc>
              <w:tc>
                <w:tcPr>
                  <w:tcW w:w="2480" w:type="dxa"/>
                  <w:tcBorders>
                    <w:tl2br w:val="nil"/>
                    <w:tr2bl w:val="nil"/>
                  </w:tcBorders>
                  <w:shd w:val="clear" w:color="auto" w:fill="auto"/>
                  <w:vAlign w:val="center"/>
                </w:tcPr>
                <w:p w14:paraId="3F9381BF">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下雨</w:t>
                  </w:r>
                </w:p>
              </w:tc>
              <w:tc>
                <w:tcPr>
                  <w:tcW w:w="1772" w:type="dxa"/>
                  <w:tcBorders>
                    <w:tl2br w:val="nil"/>
                    <w:tr2bl w:val="nil"/>
                  </w:tcBorders>
                  <w:shd w:val="clear" w:color="auto" w:fill="auto"/>
                  <w:vAlign w:val="center"/>
                </w:tcPr>
                <w:p w14:paraId="1A151401">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初期雨水</w:t>
                  </w:r>
                </w:p>
              </w:tc>
              <w:tc>
                <w:tcPr>
                  <w:tcW w:w="2835" w:type="dxa"/>
                  <w:tcBorders>
                    <w:tl2br w:val="nil"/>
                    <w:tr2bl w:val="nil"/>
                  </w:tcBorders>
                  <w:shd w:val="clear" w:color="auto" w:fill="auto"/>
                  <w:vAlign w:val="center"/>
                </w:tcPr>
                <w:p w14:paraId="72757C7A">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pH、</w:t>
                  </w:r>
                  <w:r>
                    <w:rPr>
                      <w:rFonts w:ascii="Times New Roman" w:hAnsi="Times New Roman" w:cs="Times New Roman"/>
                      <w:color w:val="000000" w:themeColor="text1"/>
                      <w:sz w:val="21"/>
                      <w:szCs w:val="21"/>
                      <w14:textFill>
                        <w14:solidFill>
                          <w14:schemeClr w14:val="tx1"/>
                        </w14:solidFill>
                      </w14:textFill>
                    </w:rPr>
                    <w:t>COD</w:t>
                  </w:r>
                  <w:r>
                    <w:rPr>
                      <w:rFonts w:hint="eastAsia" w:ascii="Times New Roman" w:hAnsi="Times New Roman" w:cs="Times New Roman"/>
                      <w:color w:val="000000" w:themeColor="text1"/>
                      <w:sz w:val="21"/>
                      <w:szCs w:val="21"/>
                      <w14:textFill>
                        <w14:solidFill>
                          <w14:schemeClr w14:val="tx1"/>
                        </w14:solidFill>
                      </w14:textFill>
                    </w:rPr>
                    <w:t>、SS</w:t>
                  </w:r>
                </w:p>
              </w:tc>
            </w:tr>
            <w:tr w14:paraId="0ABEB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67525517">
                  <w:pPr>
                    <w:adjustRightInd w:val="0"/>
                    <w:snapToGrid w:val="0"/>
                    <w:ind w:left="77"/>
                    <w:jc w:val="center"/>
                    <w:rPr>
                      <w:rFonts w:ascii="Times New Roman" w:hAnsi="Times New Roman" w:cs="Times New Roman"/>
                      <w:color w:val="FF0000"/>
                      <w:sz w:val="21"/>
                      <w:szCs w:val="21"/>
                    </w:rPr>
                  </w:pPr>
                </w:p>
              </w:tc>
              <w:tc>
                <w:tcPr>
                  <w:tcW w:w="1001" w:type="dxa"/>
                  <w:vMerge w:val="continue"/>
                  <w:tcBorders>
                    <w:tl2br w:val="nil"/>
                    <w:tr2bl w:val="nil"/>
                  </w:tcBorders>
                  <w:vAlign w:val="center"/>
                </w:tcPr>
                <w:p w14:paraId="22F6B2F7">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480" w:type="dxa"/>
                  <w:tcBorders>
                    <w:tl2br w:val="nil"/>
                    <w:tr2bl w:val="nil"/>
                  </w:tcBorders>
                  <w:shd w:val="clear" w:color="auto" w:fill="auto"/>
                  <w:vAlign w:val="center"/>
                </w:tcPr>
                <w:p w14:paraId="430B4B93">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己内酰胺储罐废气水洗塔</w:t>
                  </w:r>
                </w:p>
              </w:tc>
              <w:tc>
                <w:tcPr>
                  <w:tcW w:w="1772" w:type="dxa"/>
                  <w:tcBorders>
                    <w:tl2br w:val="nil"/>
                    <w:tr2bl w:val="nil"/>
                  </w:tcBorders>
                  <w:shd w:val="clear" w:color="auto" w:fill="auto"/>
                  <w:vAlign w:val="center"/>
                </w:tcPr>
                <w:p w14:paraId="149639FD">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生产废水</w:t>
                  </w:r>
                </w:p>
              </w:tc>
              <w:tc>
                <w:tcPr>
                  <w:tcW w:w="2835" w:type="dxa"/>
                  <w:tcBorders>
                    <w:tl2br w:val="nil"/>
                    <w:tr2bl w:val="nil"/>
                  </w:tcBorders>
                  <w:shd w:val="clear" w:color="auto" w:fill="auto"/>
                  <w:vAlign w:val="center"/>
                </w:tcPr>
                <w:p w14:paraId="1A57012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pH、BOD</w:t>
                  </w:r>
                  <w:r>
                    <w:rPr>
                      <w:rFonts w:hint="eastAsia" w:ascii="Times New Roman" w:hAnsi="Times New Roman" w:cs="Times New Roman"/>
                      <w:color w:val="000000" w:themeColor="text1"/>
                      <w:sz w:val="21"/>
                      <w:szCs w:val="21"/>
                      <w:vertAlign w:val="subscript"/>
                      <w14:textFill>
                        <w14:solidFill>
                          <w14:schemeClr w14:val="tx1"/>
                        </w14:solidFill>
                      </w14:textFill>
                    </w:rPr>
                    <w:t>5</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COD</w:t>
                  </w:r>
                  <w:r>
                    <w:rPr>
                      <w:rFonts w:hint="eastAsia" w:ascii="Times New Roman" w:hAnsi="Times New Roman" w:cs="Times New Roman"/>
                      <w:color w:val="000000" w:themeColor="text1"/>
                      <w:sz w:val="21"/>
                      <w:szCs w:val="21"/>
                      <w14:textFill>
                        <w14:solidFill>
                          <w14:schemeClr w14:val="tx1"/>
                        </w14:solidFill>
                      </w14:textFill>
                    </w:rPr>
                    <w:t>、SS</w:t>
                  </w:r>
                </w:p>
              </w:tc>
            </w:tr>
            <w:tr w14:paraId="28A04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127AC67E">
                  <w:pPr>
                    <w:adjustRightInd w:val="0"/>
                    <w:snapToGrid w:val="0"/>
                    <w:ind w:left="77"/>
                    <w:jc w:val="center"/>
                    <w:rPr>
                      <w:rFonts w:ascii="Times New Roman" w:hAnsi="Times New Roman" w:cs="Times New Roman"/>
                      <w:color w:val="FF0000"/>
                      <w:sz w:val="21"/>
                      <w:szCs w:val="21"/>
                    </w:rPr>
                  </w:pPr>
                </w:p>
              </w:tc>
              <w:tc>
                <w:tcPr>
                  <w:tcW w:w="1001" w:type="dxa"/>
                  <w:tcBorders>
                    <w:tl2br w:val="nil"/>
                    <w:tr2bl w:val="nil"/>
                  </w:tcBorders>
                  <w:vAlign w:val="center"/>
                </w:tcPr>
                <w:p w14:paraId="2E503937">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噪声</w:t>
                  </w:r>
                </w:p>
              </w:tc>
              <w:tc>
                <w:tcPr>
                  <w:tcW w:w="2480" w:type="dxa"/>
                  <w:tcBorders>
                    <w:tl2br w:val="nil"/>
                    <w:tr2bl w:val="nil"/>
                  </w:tcBorders>
                  <w:vAlign w:val="center"/>
                </w:tcPr>
                <w:p w14:paraId="22A4F78E">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机泵等设备运行</w:t>
                  </w:r>
                </w:p>
              </w:tc>
              <w:tc>
                <w:tcPr>
                  <w:tcW w:w="1772" w:type="dxa"/>
                  <w:tcBorders>
                    <w:tl2br w:val="nil"/>
                    <w:tr2bl w:val="nil"/>
                  </w:tcBorders>
                  <w:vAlign w:val="center"/>
                </w:tcPr>
                <w:p w14:paraId="49E71CB9">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噪声</w:t>
                  </w:r>
                </w:p>
              </w:tc>
              <w:tc>
                <w:tcPr>
                  <w:tcW w:w="2835" w:type="dxa"/>
                  <w:tcBorders>
                    <w:tl2br w:val="nil"/>
                    <w:tr2bl w:val="nil"/>
                  </w:tcBorders>
                  <w:vAlign w:val="center"/>
                </w:tcPr>
                <w:p w14:paraId="33BE5DF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等效A声级</w:t>
                  </w:r>
                </w:p>
              </w:tc>
            </w:tr>
            <w:tr w14:paraId="185C2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7A1FAAF0">
                  <w:pPr>
                    <w:adjustRightInd w:val="0"/>
                    <w:snapToGrid w:val="0"/>
                    <w:ind w:left="77"/>
                    <w:jc w:val="center"/>
                    <w:rPr>
                      <w:rFonts w:ascii="Times New Roman" w:hAnsi="Times New Roman" w:cs="Times New Roman"/>
                      <w:color w:val="FF0000"/>
                      <w:sz w:val="21"/>
                      <w:szCs w:val="21"/>
                    </w:rPr>
                  </w:pPr>
                </w:p>
              </w:tc>
              <w:tc>
                <w:tcPr>
                  <w:tcW w:w="1001" w:type="dxa"/>
                  <w:vMerge w:val="restart"/>
                  <w:tcBorders>
                    <w:tl2br w:val="nil"/>
                    <w:tr2bl w:val="nil"/>
                  </w:tcBorders>
                  <w:vAlign w:val="center"/>
                </w:tcPr>
                <w:p w14:paraId="5563B8A0">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固体废物</w:t>
                  </w:r>
                </w:p>
              </w:tc>
              <w:tc>
                <w:tcPr>
                  <w:tcW w:w="2480" w:type="dxa"/>
                  <w:vMerge w:val="restart"/>
                  <w:tcBorders>
                    <w:tl2br w:val="nil"/>
                    <w:tr2bl w:val="nil"/>
                  </w:tcBorders>
                  <w:vAlign w:val="center"/>
                </w:tcPr>
                <w:p w14:paraId="65F587D1">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储罐清理</w:t>
                  </w:r>
                </w:p>
              </w:tc>
              <w:tc>
                <w:tcPr>
                  <w:tcW w:w="1772" w:type="dxa"/>
                  <w:tcBorders>
                    <w:tl2br w:val="nil"/>
                    <w:tr2bl w:val="nil"/>
                  </w:tcBorders>
                  <w:vAlign w:val="center"/>
                </w:tcPr>
                <w:p w14:paraId="56207383">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废酸</w:t>
                  </w:r>
                </w:p>
              </w:tc>
              <w:tc>
                <w:tcPr>
                  <w:tcW w:w="2835" w:type="dxa"/>
                  <w:tcBorders>
                    <w:tl2br w:val="nil"/>
                    <w:tr2bl w:val="nil"/>
                  </w:tcBorders>
                  <w:vAlign w:val="center"/>
                </w:tcPr>
                <w:p w14:paraId="7AC549D2">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r w14:paraId="2211B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34E4465A">
                  <w:pPr>
                    <w:adjustRightInd w:val="0"/>
                    <w:snapToGrid w:val="0"/>
                    <w:ind w:left="77"/>
                    <w:jc w:val="center"/>
                    <w:rPr>
                      <w:rFonts w:ascii="Times New Roman" w:hAnsi="Times New Roman" w:cs="Times New Roman"/>
                      <w:color w:val="FF0000"/>
                      <w:sz w:val="21"/>
                      <w:szCs w:val="21"/>
                    </w:rPr>
                  </w:pPr>
                </w:p>
              </w:tc>
              <w:tc>
                <w:tcPr>
                  <w:tcW w:w="1001" w:type="dxa"/>
                  <w:vMerge w:val="continue"/>
                  <w:tcBorders>
                    <w:tl2br w:val="nil"/>
                    <w:tr2bl w:val="nil"/>
                  </w:tcBorders>
                  <w:vAlign w:val="center"/>
                </w:tcPr>
                <w:p w14:paraId="749730AA">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480" w:type="dxa"/>
                  <w:vMerge w:val="continue"/>
                  <w:tcBorders>
                    <w:tl2br w:val="nil"/>
                    <w:tr2bl w:val="nil"/>
                  </w:tcBorders>
                  <w:vAlign w:val="center"/>
                </w:tcPr>
                <w:p w14:paraId="5F27C186">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1772" w:type="dxa"/>
                  <w:tcBorders>
                    <w:tl2br w:val="nil"/>
                    <w:tr2bl w:val="nil"/>
                  </w:tcBorders>
                  <w:vAlign w:val="center"/>
                </w:tcPr>
                <w:p w14:paraId="01CC528A">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废碱</w:t>
                  </w:r>
                </w:p>
              </w:tc>
              <w:tc>
                <w:tcPr>
                  <w:tcW w:w="2835" w:type="dxa"/>
                  <w:tcBorders>
                    <w:tl2br w:val="nil"/>
                    <w:tr2bl w:val="nil"/>
                  </w:tcBorders>
                  <w:vAlign w:val="center"/>
                </w:tcPr>
                <w:p w14:paraId="457EE342">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r w14:paraId="4EB4B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530CB11D">
                  <w:pPr>
                    <w:adjustRightInd w:val="0"/>
                    <w:snapToGrid w:val="0"/>
                    <w:ind w:left="77"/>
                    <w:jc w:val="center"/>
                    <w:rPr>
                      <w:rFonts w:ascii="Times New Roman" w:hAnsi="Times New Roman" w:cs="Times New Roman"/>
                      <w:color w:val="FF0000"/>
                      <w:sz w:val="21"/>
                      <w:szCs w:val="21"/>
                    </w:rPr>
                  </w:pPr>
                </w:p>
              </w:tc>
              <w:tc>
                <w:tcPr>
                  <w:tcW w:w="1001" w:type="dxa"/>
                  <w:vMerge w:val="continue"/>
                  <w:tcBorders>
                    <w:tl2br w:val="nil"/>
                    <w:tr2bl w:val="nil"/>
                  </w:tcBorders>
                  <w:vAlign w:val="center"/>
                </w:tcPr>
                <w:p w14:paraId="364AE33D">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480" w:type="dxa"/>
                  <w:tcBorders>
                    <w:tl2br w:val="nil"/>
                    <w:tr2bl w:val="nil"/>
                  </w:tcBorders>
                  <w:vAlign w:val="center"/>
                </w:tcPr>
                <w:p w14:paraId="08AF91C0">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工作过程</w:t>
                  </w:r>
                </w:p>
              </w:tc>
              <w:tc>
                <w:tcPr>
                  <w:tcW w:w="1772" w:type="dxa"/>
                  <w:tcBorders>
                    <w:tl2br w:val="nil"/>
                    <w:tr2bl w:val="nil"/>
                  </w:tcBorders>
                  <w:vAlign w:val="center"/>
                </w:tcPr>
                <w:p w14:paraId="23F0BB3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废抹布</w:t>
                  </w:r>
                  <w:r>
                    <w:rPr>
                      <w:rFonts w:hint="eastAsia" w:ascii="Times New Roman" w:hAnsi="Times New Roman" w:cs="Times New Roman"/>
                      <w:color w:val="000000" w:themeColor="text1"/>
                      <w:sz w:val="21"/>
                      <w:szCs w:val="21"/>
                      <w14:textFill>
                        <w14:solidFill>
                          <w14:schemeClr w14:val="tx1"/>
                        </w14:solidFill>
                      </w14:textFill>
                    </w:rPr>
                    <w:t>、废活性炭</w:t>
                  </w:r>
                </w:p>
              </w:tc>
              <w:tc>
                <w:tcPr>
                  <w:tcW w:w="2835" w:type="dxa"/>
                  <w:tcBorders>
                    <w:tl2br w:val="nil"/>
                    <w:tr2bl w:val="nil"/>
                  </w:tcBorders>
                  <w:vAlign w:val="center"/>
                </w:tcPr>
                <w:p w14:paraId="27AF8ED2">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57CBB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614" w:type="dxa"/>
                  <w:vMerge w:val="continue"/>
                  <w:tcBorders>
                    <w:tl2br w:val="nil"/>
                    <w:tr2bl w:val="nil"/>
                  </w:tcBorders>
                  <w:vAlign w:val="center"/>
                </w:tcPr>
                <w:p w14:paraId="1D5ACA6D">
                  <w:pPr>
                    <w:adjustRightInd w:val="0"/>
                    <w:snapToGrid w:val="0"/>
                    <w:ind w:left="77"/>
                    <w:jc w:val="center"/>
                    <w:rPr>
                      <w:rFonts w:ascii="Times New Roman" w:hAnsi="Times New Roman" w:cs="Times New Roman"/>
                      <w:color w:val="FF0000"/>
                      <w:sz w:val="21"/>
                      <w:szCs w:val="21"/>
                    </w:rPr>
                  </w:pPr>
                </w:p>
              </w:tc>
              <w:tc>
                <w:tcPr>
                  <w:tcW w:w="1001" w:type="dxa"/>
                  <w:vMerge w:val="continue"/>
                  <w:tcBorders>
                    <w:tl2br w:val="nil"/>
                    <w:tr2bl w:val="nil"/>
                  </w:tcBorders>
                  <w:vAlign w:val="center"/>
                </w:tcPr>
                <w:p w14:paraId="257D24A7">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p>
              </w:tc>
              <w:tc>
                <w:tcPr>
                  <w:tcW w:w="2480" w:type="dxa"/>
                  <w:tcBorders>
                    <w:tl2br w:val="nil"/>
                    <w:tr2bl w:val="nil"/>
                  </w:tcBorders>
                  <w:vAlign w:val="center"/>
                </w:tcPr>
                <w:p w14:paraId="49010C65">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员工办公生活</w:t>
                  </w:r>
                </w:p>
              </w:tc>
              <w:tc>
                <w:tcPr>
                  <w:tcW w:w="1772" w:type="dxa"/>
                  <w:tcBorders>
                    <w:tl2br w:val="nil"/>
                    <w:tr2bl w:val="nil"/>
                  </w:tcBorders>
                  <w:vAlign w:val="center"/>
                </w:tcPr>
                <w:p w14:paraId="1E2462A6">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生活垃圾</w:t>
                  </w:r>
                </w:p>
              </w:tc>
              <w:tc>
                <w:tcPr>
                  <w:tcW w:w="2835" w:type="dxa"/>
                  <w:tcBorders>
                    <w:tl2br w:val="nil"/>
                    <w:tr2bl w:val="nil"/>
                  </w:tcBorders>
                  <w:vAlign w:val="center"/>
                </w:tcPr>
                <w:p w14:paraId="3D7CCCCA">
                  <w:pPr>
                    <w:adjustRightInd w:val="0"/>
                    <w:snapToGrid w:val="0"/>
                    <w:ind w:left="77"/>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bl>
          <w:p w14:paraId="0C8ACCD2">
            <w:pPr>
              <w:autoSpaceDE w:val="0"/>
              <w:autoSpaceDN w:val="0"/>
              <w:spacing w:line="360" w:lineRule="auto"/>
              <w:ind w:firstLine="482"/>
              <w:jc w:val="center"/>
              <w:rPr>
                <w:rFonts w:ascii="Times New Roman" w:hAnsi="Times New Roman" w:cs="Times New Roman"/>
                <w:bCs/>
                <w:color w:val="FF0000"/>
                <w:szCs w:val="21"/>
              </w:rPr>
            </w:pPr>
          </w:p>
        </w:tc>
      </w:tr>
    </w:tbl>
    <w:p w14:paraId="36E729B3">
      <w:pPr>
        <w:pStyle w:val="81"/>
        <w:adjustRightInd w:val="0"/>
        <w:snapToGrid w:val="0"/>
        <w:spacing w:before="0" w:beforeAutospacing="0" w:after="0" w:afterAutospacing="0"/>
        <w:jc w:val="center"/>
        <w:rPr>
          <w:rFonts w:ascii="Times New Roman" w:hAnsi="Times New Roman" w:cs="Times New Roman"/>
          <w:bCs/>
          <w:color w:val="000000" w:themeColor="text1"/>
          <w:kern w:val="2"/>
          <w:szCs w:val="21"/>
          <w14:textFill>
            <w14:solidFill>
              <w14:schemeClr w14:val="tx1"/>
            </w14:solidFill>
          </w14:textFill>
        </w:rPr>
      </w:pPr>
      <w:r>
        <w:rPr>
          <w:rFonts w:ascii="Times New Roman" w:hAnsi="Times New Roman" w:cs="Times New Roman"/>
          <w:bCs/>
          <w:color w:val="000000" w:themeColor="text1"/>
          <w:kern w:val="2"/>
          <w:szCs w:val="21"/>
          <w14:textFill>
            <w14:solidFill>
              <w14:schemeClr w14:val="tx1"/>
            </w14:solidFill>
          </w14:textFill>
        </w:rPr>
        <w:br w:type="page"/>
      </w:r>
    </w:p>
    <w:tbl>
      <w:tblPr>
        <w:tblStyle w:val="88"/>
        <w:tblW w:w="944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987"/>
      </w:tblGrid>
      <w:tr w14:paraId="31793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90" w:hRule="atLeast"/>
          <w:jc w:val="center"/>
        </w:trPr>
        <w:tc>
          <w:tcPr>
            <w:tcW w:w="456" w:type="dxa"/>
            <w:vAlign w:val="center"/>
          </w:tcPr>
          <w:p w14:paraId="12D20439">
            <w:pPr>
              <w:pStyle w:val="81"/>
              <w:adjustRightInd w:val="0"/>
              <w:snapToGrid w:val="0"/>
              <w:spacing w:before="0" w:beforeAutospacing="0" w:after="0" w:afterAutospacing="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kern w:val="2"/>
                <w:szCs w:val="21"/>
                <w14:textFill>
                  <w14:solidFill>
                    <w14:schemeClr w14:val="tx1"/>
                  </w14:solidFill>
                </w14:textFill>
              </w:rPr>
              <w:t>与项目有关的原有环境污染问题</w:t>
            </w:r>
          </w:p>
        </w:tc>
        <w:tc>
          <w:tcPr>
            <w:tcW w:w="8987" w:type="dxa"/>
            <w:vAlign w:val="center"/>
          </w:tcPr>
          <w:p w14:paraId="230EA655">
            <w:pPr>
              <w:pStyle w:val="118"/>
              <w:ind w:firstLine="0" w:firstLineChars="0"/>
              <w:rPr>
                <w:rFonts w:ascii="Times New Roman" w:hAnsi="Times New Roman" w:cs="Times New Roman"/>
                <w:b/>
                <w:color w:val="000000" w:themeColor="text1"/>
                <w14:textFill>
                  <w14:solidFill>
                    <w14:schemeClr w14:val="tx1"/>
                  </w14:solidFill>
                </w14:textFill>
              </w:rPr>
            </w:pPr>
            <w:r>
              <w:rPr>
                <w:rFonts w:hint="eastAsia" w:ascii="Times New Roman" w:hAnsi="Times New Roman" w:cs="Times New Roman"/>
                <w:b/>
                <w:color w:val="000000" w:themeColor="text1"/>
                <w14:textFill>
                  <w14:solidFill>
                    <w14:schemeClr w14:val="tx1"/>
                  </w14:solidFill>
                </w14:textFill>
              </w:rPr>
              <w:t>1、现有14号泊位工程前期工作开展情况</w:t>
            </w:r>
          </w:p>
          <w:p w14:paraId="0A7B79B6">
            <w:pPr>
              <w:pStyle w:val="118"/>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2023年8月，</w:t>
            </w:r>
            <w:r>
              <w:rPr>
                <w:rFonts w:hint="eastAsia" w:ascii="Times New Roman" w:hAnsi="Times New Roman" w:cs="Times New Roman"/>
                <w:color w:val="000000" w:themeColor="text1"/>
                <w14:textFill>
                  <w14:solidFill>
                    <w14:schemeClr w14:val="tx1"/>
                  </w14:solidFill>
                </w14:textFill>
              </w:rPr>
              <w:t>广西自贸区逸海港务有限责任公司取得《</w:t>
            </w:r>
            <w:r>
              <w:rPr>
                <w:rFonts w:ascii="Times New Roman" w:hAnsi="Times New Roman" w:cs="Times New Roman"/>
                <w:color w:val="000000" w:themeColor="text1"/>
                <w14:textFill>
                  <w14:solidFill>
                    <w14:schemeClr w14:val="tx1"/>
                  </w14:solidFill>
                </w14:textFill>
              </w:rPr>
              <w:t>钦州市生态环境局</w:t>
            </w:r>
            <w:r>
              <w:rPr>
                <w:rFonts w:hint="eastAsia" w:ascii="Times New Roman" w:hAnsi="Times New Roman" w:cs="Times New Roman"/>
                <w:color w:val="000000" w:themeColor="text1"/>
                <w14:textFill>
                  <w14:solidFill>
                    <w14:schemeClr w14:val="tx1"/>
                  </w14:solidFill>
                </w14:textFill>
              </w:rPr>
              <w:t>关于</w:t>
            </w:r>
            <w:r>
              <w:rPr>
                <w:rFonts w:ascii="Times New Roman" w:hAnsi="Times New Roman" w:cs="Times New Roman"/>
                <w:color w:val="000000" w:themeColor="text1"/>
                <w14:textFill>
                  <w14:solidFill>
                    <w14:schemeClr w14:val="tx1"/>
                  </w14:solidFill>
                </w14:textFill>
              </w:rPr>
              <w:t>钦州港金谷港区金鼓江作业区14号、15号泊位工程（重大变动）环境影响报告书</w:t>
            </w:r>
            <w:r>
              <w:rPr>
                <w:rFonts w:hint="eastAsia" w:ascii="Times New Roman" w:hAnsi="Times New Roman" w:cs="Times New Roman"/>
                <w:color w:val="000000" w:themeColor="text1"/>
                <w14:textFill>
                  <w14:solidFill>
                    <w14:schemeClr w14:val="tx1"/>
                  </w14:solidFill>
                </w14:textFill>
              </w:rPr>
              <w:t>的批复》（</w:t>
            </w:r>
            <w:r>
              <w:rPr>
                <w:rFonts w:ascii="Times New Roman" w:hAnsi="Times New Roman" w:cs="Times New Roman"/>
                <w:color w:val="000000" w:themeColor="text1"/>
                <w14:textFill>
                  <w14:solidFill>
                    <w14:schemeClr w14:val="tx1"/>
                  </w14:solidFill>
                </w14:textFill>
              </w:rPr>
              <w:t>自贸钦审批环〔2023〕42号</w:t>
            </w:r>
            <w:r>
              <w:rPr>
                <w:rFonts w:hint="eastAsia" w:ascii="Times New Roman" w:hAnsi="Times New Roman" w:cs="Times New Roman"/>
                <w:color w:val="000000" w:themeColor="text1"/>
                <w14:textFill>
                  <w14:solidFill>
                    <w14:schemeClr w14:val="tx1"/>
                  </w14:solidFill>
                </w14:textFill>
              </w:rPr>
              <w:t>）。</w:t>
            </w:r>
          </w:p>
          <w:p w14:paraId="25793D71">
            <w:pPr>
              <w:pStyle w:val="118"/>
              <w:ind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根据环评及批复，14号泊位</w:t>
            </w:r>
            <w:r>
              <w:rPr>
                <w:rFonts w:hint="eastAsia" w:ascii="Times New Roman" w:hAnsi="Times New Roman" w:cs="Times New Roman"/>
                <w:color w:val="000000" w:themeColor="text1"/>
                <w:lang w:eastAsia="zh-CN"/>
                <w14:textFill>
                  <w14:solidFill>
                    <w14:schemeClr w14:val="tx1"/>
                  </w14:solidFill>
                </w14:textFill>
              </w:rPr>
              <w:t>工程</w:t>
            </w:r>
            <w:r>
              <w:rPr>
                <w:rFonts w:hint="eastAsia" w:ascii="Times New Roman" w:hAnsi="Times New Roman" w:cs="Times New Roman"/>
                <w:color w:val="000000" w:themeColor="text1"/>
                <w14:textFill>
                  <w14:solidFill>
                    <w14:schemeClr w14:val="tx1"/>
                  </w14:solidFill>
                </w14:textFill>
              </w:rPr>
              <w:t>为1个5万吨级液体散货泊位，码头岸线总长度为240m，设计吞吐量276万吨/年，设计年通过能力300万吨/年；货种包括乙二醇、对二甲苯、甲醇、苯、甲苯、粗苯、混二甲苯、叔丁醇、环己烷、环己酮、液氨11种化学品。目前建设了苯、环己酮、粗苯、液氨装卸。</w:t>
            </w:r>
          </w:p>
          <w:p w14:paraId="676DF692">
            <w:pPr>
              <w:pStyle w:val="118"/>
              <w:ind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陆域部分设置1座20000m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w:t>
            </w:r>
          </w:p>
          <w:p w14:paraId="464118DB">
            <w:pPr>
              <w:pStyle w:val="118"/>
              <w:ind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水工部分码头结构采用圆筒墩式平台+引桥方案，码头面高程为6.30m，前沿停泊地底高程-13.70m。前沿布置1个34m×51m作业平台和4个17m×17m的靠船墩（系缆墩）。作业平台与靠船墩（系缆墩）之间的栈桥净跨30.25m，宽6m。作业平台与后方陆域连接设1座引桥，长46m，宽15m。码头前沿停泊水域宽度为65m，底高程-13.7m，回旋水域底高程为-11.3m，回旋水域采用圆形布置，直径为330m。</w:t>
            </w:r>
          </w:p>
          <w:p w14:paraId="0505722A">
            <w:pPr>
              <w:pStyle w:val="118"/>
              <w:ind w:firstLine="0" w:firstLineChars="0"/>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2、</w:t>
            </w:r>
            <w:r>
              <w:rPr>
                <w:b/>
                <w:bCs/>
                <w:color w:val="000000" w:themeColor="text1"/>
                <w14:textFill>
                  <w14:solidFill>
                    <w14:schemeClr w14:val="tx1"/>
                  </w14:solidFill>
                </w14:textFill>
              </w:rPr>
              <w:t>环境影响回顾分析及环保措施落实情况</w:t>
            </w:r>
          </w:p>
          <w:p w14:paraId="52A59C87">
            <w:pPr>
              <w:autoSpaceDE w:val="0"/>
              <w:autoSpaceDN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根据《钦州港金谷港区金鼓江作业区14号、15号泊位（重大变动）工程环境影响报告书》可知，项目</w:t>
            </w:r>
            <w:r>
              <w:rPr>
                <w:rFonts w:hint="eastAsia" w:ascii="Times New Roman" w:hAnsi="Times New Roman" w:cs="Times New Roman"/>
                <w:color w:val="000000" w:themeColor="text1"/>
                <w:lang w:eastAsia="zh-CN"/>
                <w14:textFill>
                  <w14:solidFill>
                    <w14:schemeClr w14:val="tx1"/>
                  </w14:solidFill>
                </w14:textFill>
              </w:rPr>
              <w:t>由</w:t>
            </w:r>
            <w:r>
              <w:rPr>
                <w:rFonts w:ascii="Times New Roman" w:hAnsi="Times New Roman" w:cs="Times New Roman"/>
                <w:color w:val="000000" w:themeColor="text1"/>
                <w14:textFill>
                  <w14:solidFill>
                    <w14:schemeClr w14:val="tx1"/>
                  </w14:solidFill>
                </w14:textFill>
              </w:rPr>
              <w:t>码头及后方陆域组成。后期实行过程中，泊位、后方陆域均分开实施。</w:t>
            </w:r>
          </w:p>
          <w:p w14:paraId="1E20E81B">
            <w:pPr>
              <w:autoSpaceDE w:val="0"/>
              <w:autoSpaceDN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现有建设内容：14号泊位码头工程及装卸苯、环己酮、粗苯、液氨设备。对应14号泊位后方的罐区，仅建设了1座20000m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低温液氨储罐，配套建设公用、环保设施（包括管廊工程、BOG压缩机组、高架火炬、消防水罐及泵站、行政办公楼及配电室、应急物资库、危废暂存间、初期雨水池、事故应急池等）。以上内容为钦州港金谷港区金鼓江作业区14号泊位码头（一期工程）。</w:t>
            </w:r>
            <w:r>
              <w:rPr>
                <w:rFonts w:hint="eastAsia" w:ascii="Times New Roman" w:hAnsi="Times New Roman" w:cs="Times New Roman"/>
                <w:color w:val="000000" w:themeColor="text1"/>
                <w14:textFill>
                  <w14:solidFill>
                    <w14:schemeClr w14:val="tx1"/>
                  </w14:solidFill>
                </w14:textFill>
              </w:rPr>
              <w:t>一期工程</w:t>
            </w:r>
            <w:r>
              <w:rPr>
                <w:rFonts w:ascii="Times New Roman" w:hAnsi="Times New Roman" w:cs="Times New Roman"/>
                <w:color w:val="000000" w:themeColor="text1"/>
                <w14:textFill>
                  <w14:solidFill>
                    <w14:schemeClr w14:val="tx1"/>
                  </w14:solidFill>
                </w14:textFill>
              </w:rPr>
              <w:t>于2025年12月完成竣工环保验收。</w:t>
            </w:r>
          </w:p>
          <w:p w14:paraId="60991D7C">
            <w:pPr>
              <w:autoSpaceDE w:val="0"/>
              <w:autoSpaceDN w:val="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钦州港金谷港区金鼓江作业区14号、15号泊位（重大变动）工程环境影响报告书》，14#泊位废气处理设施为1套冷凝+催化燃烧油气回收装置，处理效率为95%。根据验收报告，项目产生的有组织废气经管道输送至接收单位广西恒逸新材料有限公司（广西恒逸新材料有限公司年产120万吨己内酰胺—聚酰胺产业一体化及配套工程项目）进行处理，工艺采用“RTO蓄热式焚烧炉”，排气筒高35m。根据广西恒逸新材料有限公司委托中国检验认证集团广西有限公司于2025年11月28日开展采样的RTO炉进、排气口监测数据，RTO炉进气口非甲烷总烃最大浓度为2470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，对应时期排气口非甲烷总烃浓度为86.4mg/m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，处理效率为95.96%</w:t>
            </w:r>
            <w:r>
              <w:rPr>
                <w:rFonts w:hint="eastAsia" w:ascii="Times New Roman" w:hAnsi="Times New Roman" w:cs="Times New Roman"/>
                <w:color w:val="000000" w:themeColor="text1"/>
                <w14:textFill>
                  <w14:solidFill>
                    <w14:schemeClr w14:val="tx1"/>
                  </w14:solidFill>
                </w14:textFill>
              </w:rPr>
              <w:t>，排气口废气达标排放。</w:t>
            </w:r>
          </w:p>
          <w:p w14:paraId="582E9567">
            <w:pPr>
              <w:pStyle w:val="118"/>
              <w:numPr>
                <w:ilvl w:val="0"/>
                <w:numId w:val="16"/>
              </w:numPr>
              <w:ind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现有水环境保护措施</w:t>
            </w:r>
          </w:p>
          <w:p w14:paraId="223BAAF6">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建设有雨、污分流制排水系统。生产期产生的废水主要为船舶生活污水及含油污水、生活污水、冲洗废水、初期雨水。</w:t>
            </w:r>
          </w:p>
          <w:p w14:paraId="127C754D">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到港船舶污水由资质单位接收处置；码头不设置污水处理设施，采取分区收集初期雨水方式，在码头泊位装卸区四周设置围堰（长宽高：29.5m×13.3m×0.2m，有效容积78m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），围堰内设置集污池（有效容积2m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收集初期雨水和地面冲洗废水后进入初期雨水池；码头区域废水通过污水泵与经化粪池处理后的陆域区生活污水，一起排入污水管后进入广西恒逸污水处理厂处理。降雨后期地面洁净雨水经阀门切换至雨水排水管网，排至海域。</w:t>
            </w:r>
          </w:p>
          <w:p w14:paraId="5F4FC974">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广西恒逸污水处理厂采用“分质预处理+生化处理+深度处理+中水回用”的污水处理工艺，部分出水回用至生产工艺，部分出水进行深海排放。</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5"/>
              <w:gridCol w:w="4386"/>
            </w:tblGrid>
            <w:tr w14:paraId="2589C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5" w:type="dxa"/>
                </w:tcPr>
                <w:p w14:paraId="1B9DC100">
                  <w:pPr>
                    <w:pStyle w:val="118"/>
                    <w:ind w:firstLine="0" w:firstLineChars="0"/>
                    <w:jc w:val="center"/>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639695" cy="1979930"/>
                        <wp:effectExtent l="0" t="0" r="8255"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6"/>
                                <a:stretch>
                                  <a:fillRect/>
                                </a:stretch>
                              </pic:blipFill>
                              <pic:spPr>
                                <a:xfrm>
                                  <a:off x="0" y="0"/>
                                  <a:ext cx="2639695" cy="1979930"/>
                                </a:xfrm>
                                <a:prstGeom prst="rect">
                                  <a:avLst/>
                                </a:prstGeom>
                                <a:noFill/>
                                <a:ln>
                                  <a:noFill/>
                                </a:ln>
                              </pic:spPr>
                            </pic:pic>
                          </a:graphicData>
                        </a:graphic>
                      </wp:inline>
                    </w:drawing>
                  </w:r>
                </w:p>
              </w:tc>
              <w:tc>
                <w:tcPr>
                  <w:tcW w:w="4386" w:type="dxa"/>
                </w:tcPr>
                <w:p w14:paraId="2907B139">
                  <w:pPr>
                    <w:pStyle w:val="118"/>
                    <w:ind w:firstLine="0" w:firstLineChars="0"/>
                    <w:jc w:val="center"/>
                    <w:rPr>
                      <w:rFonts w:ascii="Times New Roman" w:hAnsi="Times New Roman" w:cs="Times New Roman"/>
                      <w:color w:val="000000" w:themeColor="text1"/>
                      <w14:textFill>
                        <w14:solidFill>
                          <w14:schemeClr w14:val="tx1"/>
                        </w14:solidFill>
                      </w14:textFill>
                    </w:rPr>
                  </w:pPr>
                  <w:r>
                    <w:rPr>
                      <w:rFonts w:hint="eastAsia"/>
                      <w:color w:val="000000" w:themeColor="text1"/>
                      <w:sz w:val="21"/>
                      <w14:textFill>
                        <w14:solidFill>
                          <w14:schemeClr w14:val="tx1"/>
                        </w14:solidFill>
                      </w14:textFill>
                    </w:rPr>
                    <w:drawing>
                      <wp:inline distT="0" distB="0" distL="114300" distR="114300">
                        <wp:extent cx="2640330" cy="1979930"/>
                        <wp:effectExtent l="0" t="0" r="7620" b="1270"/>
                        <wp:docPr id="19" name="图片 19" descr="e43f1d0f78b354c14859f1d37da5cf27-550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43f1d0f78b354c14859f1d37da5cf27-5504375"/>
                                <pic:cNvPicPr>
                                  <a:picLocks noChangeAspect="1"/>
                                </pic:cNvPicPr>
                              </pic:nvPicPr>
                              <pic:blipFill>
                                <a:blip r:embed="rId37"/>
                                <a:stretch>
                                  <a:fillRect/>
                                </a:stretch>
                              </pic:blipFill>
                              <pic:spPr>
                                <a:xfrm>
                                  <a:off x="0" y="0"/>
                                  <a:ext cx="2640330" cy="1979930"/>
                                </a:xfrm>
                                <a:prstGeom prst="rect">
                                  <a:avLst/>
                                </a:prstGeom>
                              </pic:spPr>
                            </pic:pic>
                          </a:graphicData>
                        </a:graphic>
                      </wp:inline>
                    </w:drawing>
                  </w:r>
                </w:p>
              </w:tc>
            </w:tr>
          </w:tbl>
          <w:p w14:paraId="483722B2">
            <w:pPr>
              <w:pStyle w:val="118"/>
              <w:ind w:firstLine="0" w:firstLineChars="0"/>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图2-</w:t>
            </w:r>
            <w:r>
              <w:rPr>
                <w:rFonts w:hint="eastAsia" w:ascii="Times New Roman" w:hAnsi="Times New Roman" w:cs="Times New Roman"/>
                <w:b/>
                <w:bCs/>
                <w:color w:val="000000" w:themeColor="text1"/>
                <w14:textFill>
                  <w14:solidFill>
                    <w14:schemeClr w14:val="tx1"/>
                  </w14:solidFill>
                </w14:textFill>
              </w:rPr>
              <w:t>5</w:t>
            </w:r>
            <w:r>
              <w:rPr>
                <w:rFonts w:ascii="Times New Roman" w:hAnsi="Times New Roman" w:cs="Times New Roman"/>
                <w:b/>
                <w:bCs/>
                <w:color w:val="000000" w:themeColor="text1"/>
                <w14:textFill>
                  <w14:solidFill>
                    <w14:schemeClr w14:val="tx1"/>
                  </w14:solidFill>
                </w14:textFill>
              </w:rPr>
              <w:t xml:space="preserve"> 项目依托工程污水处理措施现场情况图</w:t>
            </w:r>
          </w:p>
          <w:p w14:paraId="167970D4">
            <w:pPr>
              <w:pStyle w:val="118"/>
              <w:numPr>
                <w:ilvl w:val="0"/>
                <w:numId w:val="16"/>
              </w:numPr>
              <w:ind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现有大气环境保护措施</w:t>
            </w:r>
          </w:p>
          <w:p w14:paraId="2D05AAF9">
            <w:pPr>
              <w:pStyle w:val="118"/>
              <w:ind w:firstLine="0"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 xml:space="preserve">    一期工程产生的有组织废气经管道输送至接收单位广西恒逸新材料有限公司（广西恒逸新材料有限公司年产120万吨己内酰胺—聚酰胺产业一体化及配套工程项目）进行处理，工艺采用“RTO蓄热式焚烧炉”，排气筒高35m。</w:t>
            </w:r>
          </w:p>
          <w:p w14:paraId="1F963090">
            <w:pPr>
              <w:pStyle w:val="118"/>
              <w:ind w:firstLine="0"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验收调查报告》：</w:t>
            </w:r>
          </w:p>
          <w:p w14:paraId="6CE04120">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《广西恒逸新材料有限公司年产120万吨己内酰胺—聚酰胺产业一体化及配套</w:t>
            </w:r>
            <w:r>
              <w:rPr>
                <w:rFonts w:ascii="Times New Roman" w:hAnsi="Times New Roman" w:cs="Times New Roman"/>
                <w:color w:val="000000" w:themeColor="text1"/>
                <w14:textFill>
                  <w14:solidFill>
                    <w14:schemeClr w14:val="tx1"/>
                  </w14:solidFill>
                </w14:textFill>
              </w:rPr>
              <w:t>工程项目（重大变动）环境影响报告书》及其于2025年6月12日获得钦州市生态环境局批复（中马园审批环〔2025〕9号），该项目对有机废气采用“RTO蓄热式焚烧炉”工艺进行处理，单台RTO炉废气处理能力增加至100000N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/h。经了解，该项目一期工程已开始运营，广西恒逸新材料有限公司已同意将本项目废气收集处理，本项目实际设置3台尾气输送风机、总风量2500Nm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/h。根据中国检验认证集团广西有限公司的《广西恒逸新材料有限公司2025年环境委托监测项目（RTO炉排气口DA016）》，RTO炉平均烟气流量为47821m³/h，剩余进风量52179m³/h。</w:t>
            </w:r>
          </w:p>
          <w:p w14:paraId="1EB74D2A">
            <w:pPr>
              <w:pStyle w:val="118"/>
              <w:ind w:firstLine="0" w:firstLineChars="0"/>
              <w:rPr>
                <w:rFonts w:ascii="Times New Roman" w:hAnsi="Times New Roman" w:cs="Times New Roman"/>
                <w:color w:val="000000" w:themeColor="text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5400040" cy="1245870"/>
                  <wp:effectExtent l="0" t="0" r="10160" b="1143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38"/>
                          <a:stretch>
                            <a:fillRect/>
                          </a:stretch>
                        </pic:blipFill>
                        <pic:spPr>
                          <a:xfrm>
                            <a:off x="0" y="0"/>
                            <a:ext cx="5400040" cy="1245870"/>
                          </a:xfrm>
                          <a:prstGeom prst="rect">
                            <a:avLst/>
                          </a:prstGeom>
                          <a:noFill/>
                          <a:ln>
                            <a:noFill/>
                          </a:ln>
                        </pic:spPr>
                      </pic:pic>
                    </a:graphicData>
                  </a:graphic>
                </wp:inline>
              </w:drawing>
            </w:r>
          </w:p>
          <w:p w14:paraId="776152DE">
            <w:pPr>
              <w:pStyle w:val="118"/>
              <w:ind w:firstLine="0" w:firstLineChars="0"/>
              <w:jc w:val="center"/>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图2-6 广西</w:t>
            </w:r>
            <w:r>
              <w:rPr>
                <w:rFonts w:ascii="Times New Roman" w:hAnsi="Times New Roman" w:cs="Times New Roman"/>
                <w:b/>
                <w:bCs/>
                <w:color w:val="000000" w:themeColor="text1"/>
                <w14:textFill>
                  <w14:solidFill>
                    <w14:schemeClr w14:val="tx1"/>
                  </w14:solidFill>
                </w14:textFill>
              </w:rPr>
              <w:t>恒逸</w:t>
            </w:r>
            <w:r>
              <w:rPr>
                <w:rFonts w:hint="eastAsia" w:ascii="Times New Roman" w:hAnsi="Times New Roman" w:cs="Times New Roman"/>
                <w:b/>
                <w:bCs/>
                <w:color w:val="000000" w:themeColor="text1"/>
                <w14:textFill>
                  <w14:solidFill>
                    <w14:schemeClr w14:val="tx1"/>
                  </w14:solidFill>
                </w14:textFill>
              </w:rPr>
              <w:t>公司现有RTO蓄热式焚烧炉工艺流程图</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5"/>
              <w:gridCol w:w="4386"/>
            </w:tblGrid>
            <w:tr w14:paraId="6F9DA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5" w:type="dxa"/>
                </w:tcPr>
                <w:p w14:paraId="4E0E596F">
                  <w:pPr>
                    <w:pStyle w:val="118"/>
                    <w:spacing w:line="240" w:lineRule="auto"/>
                    <w:ind w:firstLine="0" w:firstLineChars="0"/>
                    <w:jc w:val="center"/>
                    <w:rPr>
                      <w:rFonts w:ascii="Times New Roman" w:hAnsi="Times New Roman" w:cs="Times New Roman"/>
                      <w:color w:val="000000" w:themeColor="text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2639060" cy="1979930"/>
                        <wp:effectExtent l="0" t="0" r="8890" b="1270"/>
                        <wp:docPr id="25" name="图片 25" descr="5ab8e3c95b5ab5a06c8b5ec0d48f67fe-379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5ab8e3c95b5ab5a06c8b5ec0d48f67fe-3795740"/>
                                <pic:cNvPicPr>
                                  <a:picLocks noChangeAspect="1"/>
                                </pic:cNvPicPr>
                              </pic:nvPicPr>
                              <pic:blipFill>
                                <a:blip r:embed="rId39"/>
                                <a:stretch>
                                  <a:fillRect/>
                                </a:stretch>
                              </pic:blipFill>
                              <pic:spPr>
                                <a:xfrm>
                                  <a:off x="0" y="0"/>
                                  <a:ext cx="2639060" cy="1979930"/>
                                </a:xfrm>
                                <a:prstGeom prst="rect">
                                  <a:avLst/>
                                </a:prstGeom>
                              </pic:spPr>
                            </pic:pic>
                          </a:graphicData>
                        </a:graphic>
                      </wp:inline>
                    </w:drawing>
                  </w:r>
                </w:p>
              </w:tc>
              <w:tc>
                <w:tcPr>
                  <w:tcW w:w="4386" w:type="dxa"/>
                </w:tcPr>
                <w:p w14:paraId="534D47EA">
                  <w:pPr>
                    <w:pStyle w:val="118"/>
                    <w:spacing w:line="240" w:lineRule="auto"/>
                    <w:ind w:firstLine="0" w:firstLineChars="0"/>
                    <w:jc w:val="center"/>
                    <w:rPr>
                      <w:rFonts w:ascii="Times New Roman" w:hAnsi="Times New Roman" w:cs="Times New Roman"/>
                      <w:color w:val="000000" w:themeColor="text1"/>
                      <w14:textFill>
                        <w14:solidFill>
                          <w14:schemeClr w14:val="tx1"/>
                        </w14:solidFill>
                      </w14:textFill>
                    </w:rPr>
                  </w:pPr>
                  <w:r>
                    <w:rPr>
                      <w:rFonts w:hint="eastAsia"/>
                      <w:color w:val="000000" w:themeColor="text1"/>
                      <w:sz w:val="21"/>
                      <w:szCs w:val="21"/>
                      <w14:textFill>
                        <w14:solidFill>
                          <w14:schemeClr w14:val="tx1"/>
                        </w14:solidFill>
                      </w14:textFill>
                    </w:rPr>
                    <w:drawing>
                      <wp:inline distT="0" distB="0" distL="114300" distR="114300">
                        <wp:extent cx="2639060" cy="1979295"/>
                        <wp:effectExtent l="0" t="0" r="8890" b="1905"/>
                        <wp:docPr id="22" name="图片 22" descr="9e34384dead35c1ddaf9305ee29b13b3-381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9e34384dead35c1ddaf9305ee29b13b3-3812760"/>
                                <pic:cNvPicPr>
                                  <a:picLocks noChangeAspect="1"/>
                                </pic:cNvPicPr>
                              </pic:nvPicPr>
                              <pic:blipFill>
                                <a:blip r:embed="rId40"/>
                                <a:stretch>
                                  <a:fillRect/>
                                </a:stretch>
                              </pic:blipFill>
                              <pic:spPr>
                                <a:xfrm>
                                  <a:off x="0" y="0"/>
                                  <a:ext cx="2639060" cy="1979295"/>
                                </a:xfrm>
                                <a:prstGeom prst="rect">
                                  <a:avLst/>
                                </a:prstGeom>
                              </pic:spPr>
                            </pic:pic>
                          </a:graphicData>
                        </a:graphic>
                      </wp:inline>
                    </w:drawing>
                  </w:r>
                </w:p>
              </w:tc>
            </w:tr>
            <w:tr w14:paraId="60A07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5" w:type="dxa"/>
                </w:tcPr>
                <w:p w14:paraId="72C9B5EC">
                  <w:pPr>
                    <w:pStyle w:val="118"/>
                    <w:spacing w:line="240" w:lineRule="auto"/>
                    <w:ind w:firstLine="0" w:firstLineChars="0"/>
                    <w:jc w:val="center"/>
                    <w:rPr>
                      <w:rFonts w:ascii="Times New Roman" w:hAnsi="Times New Roman" w:cs="Times New Roman"/>
                      <w:color w:val="000000" w:themeColor="text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639060" cy="1978660"/>
                        <wp:effectExtent l="0" t="0" r="8890" b="2540"/>
                        <wp:docPr id="23" name="图片 23" descr="508e7ce6347612eb425fac4ef7a45227-377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08e7ce6347612eb425fac4ef7a45227-3772530"/>
                                <pic:cNvPicPr>
                                  <a:picLocks noChangeAspect="1"/>
                                </pic:cNvPicPr>
                              </pic:nvPicPr>
                              <pic:blipFill>
                                <a:blip r:embed="rId41"/>
                                <a:stretch>
                                  <a:fillRect/>
                                </a:stretch>
                              </pic:blipFill>
                              <pic:spPr>
                                <a:xfrm>
                                  <a:off x="0" y="0"/>
                                  <a:ext cx="2639060" cy="1978660"/>
                                </a:xfrm>
                                <a:prstGeom prst="rect">
                                  <a:avLst/>
                                </a:prstGeom>
                              </pic:spPr>
                            </pic:pic>
                          </a:graphicData>
                        </a:graphic>
                      </wp:inline>
                    </w:drawing>
                  </w:r>
                </w:p>
              </w:tc>
              <w:tc>
                <w:tcPr>
                  <w:tcW w:w="4386" w:type="dxa"/>
                </w:tcPr>
                <w:p w14:paraId="6FB5A787">
                  <w:pPr>
                    <w:pStyle w:val="118"/>
                    <w:spacing w:line="240" w:lineRule="auto"/>
                    <w:ind w:firstLine="0" w:firstLineChars="0"/>
                    <w:jc w:val="center"/>
                    <w:rPr>
                      <w:rFonts w:ascii="Times New Roman" w:hAnsi="Times New Roman" w:cs="Times New Roman"/>
                      <w:color w:val="000000" w:themeColor="text1"/>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2639060" cy="1978660"/>
                        <wp:effectExtent l="0" t="0" r="8890" b="2540"/>
                        <wp:docPr id="36" name="图片 36" descr="ba811625f9a932864f9d0691732e8ecb-333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a811625f9a932864f9d0691732e8ecb-3334439"/>
                                <pic:cNvPicPr>
                                  <a:picLocks noChangeAspect="1"/>
                                </pic:cNvPicPr>
                              </pic:nvPicPr>
                              <pic:blipFill>
                                <a:blip r:embed="rId42"/>
                                <a:stretch>
                                  <a:fillRect/>
                                </a:stretch>
                              </pic:blipFill>
                              <pic:spPr>
                                <a:xfrm>
                                  <a:off x="0" y="0"/>
                                  <a:ext cx="2639060" cy="1978660"/>
                                </a:xfrm>
                                <a:prstGeom prst="rect">
                                  <a:avLst/>
                                </a:prstGeom>
                              </pic:spPr>
                            </pic:pic>
                          </a:graphicData>
                        </a:graphic>
                      </wp:inline>
                    </w:drawing>
                  </w:r>
                </w:p>
              </w:tc>
            </w:tr>
          </w:tbl>
          <w:p w14:paraId="32B93711">
            <w:pPr>
              <w:pStyle w:val="118"/>
              <w:ind w:firstLine="0" w:firstLineChars="0"/>
              <w:jc w:val="center"/>
              <w:rPr>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图2-</w:t>
            </w:r>
            <w:r>
              <w:rPr>
                <w:rFonts w:hint="eastAsia" w:ascii="Times New Roman" w:hAnsi="Times New Roman" w:cs="Times New Roman"/>
                <w:b/>
                <w:bCs/>
                <w:color w:val="000000" w:themeColor="text1"/>
                <w:szCs w:val="21"/>
                <w14:textFill>
                  <w14:solidFill>
                    <w14:schemeClr w14:val="tx1"/>
                  </w14:solidFill>
                </w14:textFill>
              </w:rPr>
              <w:t>7</w:t>
            </w:r>
            <w:r>
              <w:rPr>
                <w:rFonts w:ascii="Times New Roman" w:hAnsi="Times New Roman" w:cs="Times New Roman"/>
                <w:b/>
                <w:bCs/>
                <w:color w:val="000000" w:themeColor="text1"/>
                <w:szCs w:val="21"/>
                <w14:textFill>
                  <w14:solidFill>
                    <w14:schemeClr w14:val="tx1"/>
                  </w14:solidFill>
                </w14:textFill>
              </w:rPr>
              <w:t xml:space="preserve">  一期工程现有废气处理措施现场情况图</w:t>
            </w:r>
          </w:p>
          <w:p w14:paraId="03354E64">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本项目运营过程中不产生挥发性有机物，不需依托广西恒逸新材料有限公司RTO处理系统。</w:t>
            </w:r>
          </w:p>
          <w:p w14:paraId="3E038D25">
            <w:pPr>
              <w:pStyle w:val="118"/>
              <w:numPr>
                <w:ilvl w:val="0"/>
                <w:numId w:val="16"/>
              </w:numPr>
              <w:ind w:firstLineChars="0"/>
              <w:rPr>
                <w:rFonts w:ascii="Times New Roman" w:hAnsi="Times New Roman" w:cs="Times New Roman"/>
                <w:color w:val="FF0000"/>
              </w:rPr>
            </w:pPr>
            <w:r>
              <w:rPr>
                <w:rFonts w:hint="eastAsia" w:ascii="Times New Roman" w:hAnsi="Times New Roman" w:cs="Times New Roman"/>
                <w:color w:val="000000" w:themeColor="text1"/>
                <w14:textFill>
                  <w14:solidFill>
                    <w14:schemeClr w14:val="tx1"/>
                  </w14:solidFill>
                </w14:textFill>
              </w:rPr>
              <w:t>现有固废环境保护措施</w:t>
            </w:r>
          </w:p>
          <w:p w14:paraId="57338C6E">
            <w:pPr>
              <w:pStyle w:val="118"/>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一期工程单独设置危废暂存间，并配套活性炭吸附装置，废气以无组织形式排放。</w:t>
            </w:r>
            <w:r>
              <w:rPr>
                <w:rFonts w:ascii="Times New Roman" w:hAnsi="Times New Roman" w:cs="Times New Roman"/>
                <w:color w:val="000000" w:themeColor="text1"/>
                <w14:textFill>
                  <w14:solidFill>
                    <w14:schemeClr w14:val="tx1"/>
                  </w14:solidFill>
                </w14:textFill>
              </w:rPr>
              <w:t>危废定期交由钦州时昌再生资源有限公司接收处置（危险废物经营许可证编号：GXQZ2024001）。钦州时昌再生资源有限公司经营资质包含HW08、HW49类危险废物，可妥善处理本项目产生的危险废物。</w:t>
            </w:r>
          </w:p>
          <w:p w14:paraId="054E4A46">
            <w:pPr>
              <w:pStyle w:val="118"/>
              <w:rPr>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w:t>
            </w:r>
            <w:r>
              <w:rPr>
                <w:rFonts w:hint="eastAsia" w:ascii="Times New Roman" w:hAnsi="Times New Roman" w:cs="Times New Roman"/>
                <w:color w:val="000000" w:themeColor="text1"/>
                <w:lang w:eastAsia="zh-CN"/>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产生的危险废物依托一期工程已建危废暂存间，可对危险废物进行妥善贮存，并定期委托资质单位进行清运处置。</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5"/>
              <w:gridCol w:w="4386"/>
            </w:tblGrid>
            <w:tr w14:paraId="01906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5" w:type="dxa"/>
                </w:tcPr>
                <w:p w14:paraId="444BBC91">
                  <w:pPr>
                    <w:pStyle w:val="118"/>
                    <w:spacing w:line="240" w:lineRule="auto"/>
                    <w:ind w:firstLine="0" w:firstLineChars="0"/>
                    <w:jc w:val="center"/>
                    <w:rPr>
                      <w:rFonts w:ascii="Times New Roman" w:hAnsi="Times New Roman" w:cs="Times New Roman"/>
                      <w:color w:val="FF0000"/>
                    </w:rPr>
                  </w:pPr>
                  <w:r>
                    <w:rPr>
                      <w:color w:val="000000" w:themeColor="text1"/>
                      <w:sz w:val="21"/>
                      <w:szCs w:val="21"/>
                      <w14:textFill>
                        <w14:solidFill>
                          <w14:schemeClr w14:val="tx1"/>
                        </w14:solidFill>
                      </w14:textFill>
                    </w:rPr>
                    <w:drawing>
                      <wp:inline distT="0" distB="0" distL="114300" distR="114300">
                        <wp:extent cx="2628265" cy="1971040"/>
                        <wp:effectExtent l="0" t="0" r="635" b="10160"/>
                        <wp:docPr id="37" name="图片 37" descr="IMG_20250915_10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50915_105646"/>
                                <pic:cNvPicPr>
                                  <a:picLocks noChangeAspect="1"/>
                                </pic:cNvPicPr>
                              </pic:nvPicPr>
                              <pic:blipFill>
                                <a:blip r:embed="rId43"/>
                                <a:stretch>
                                  <a:fillRect/>
                                </a:stretch>
                              </pic:blipFill>
                              <pic:spPr>
                                <a:xfrm>
                                  <a:off x="0" y="0"/>
                                  <a:ext cx="2628265" cy="1971040"/>
                                </a:xfrm>
                                <a:prstGeom prst="rect">
                                  <a:avLst/>
                                </a:prstGeom>
                              </pic:spPr>
                            </pic:pic>
                          </a:graphicData>
                        </a:graphic>
                      </wp:inline>
                    </w:drawing>
                  </w:r>
                </w:p>
              </w:tc>
              <w:tc>
                <w:tcPr>
                  <w:tcW w:w="4386" w:type="dxa"/>
                </w:tcPr>
                <w:p w14:paraId="148BB4AC">
                  <w:pPr>
                    <w:pStyle w:val="118"/>
                    <w:spacing w:line="240" w:lineRule="auto"/>
                    <w:ind w:firstLine="0" w:firstLineChars="0"/>
                    <w:jc w:val="center"/>
                    <w:rPr>
                      <w:rFonts w:ascii="Times New Roman" w:hAnsi="Times New Roman" w:cs="Times New Roman"/>
                      <w:color w:val="FF0000"/>
                    </w:rPr>
                  </w:pPr>
                  <w:r>
                    <w:rPr>
                      <w:color w:val="000000" w:themeColor="text1"/>
                      <w:sz w:val="21"/>
                      <w:szCs w:val="21"/>
                      <w14:textFill>
                        <w14:solidFill>
                          <w14:schemeClr w14:val="tx1"/>
                        </w14:solidFill>
                      </w14:textFill>
                    </w:rPr>
                    <w:drawing>
                      <wp:inline distT="0" distB="0" distL="114300" distR="114300">
                        <wp:extent cx="2639060" cy="1979295"/>
                        <wp:effectExtent l="0" t="0" r="8890" b="1905"/>
                        <wp:docPr id="56" name="图片 56" descr="IMG_20250915_10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50915_105600"/>
                                <pic:cNvPicPr>
                                  <a:picLocks noChangeAspect="1"/>
                                </pic:cNvPicPr>
                              </pic:nvPicPr>
                              <pic:blipFill>
                                <a:blip r:embed="rId44"/>
                                <a:stretch>
                                  <a:fillRect/>
                                </a:stretch>
                              </pic:blipFill>
                              <pic:spPr>
                                <a:xfrm>
                                  <a:off x="0" y="0"/>
                                  <a:ext cx="2639060" cy="1979295"/>
                                </a:xfrm>
                                <a:prstGeom prst="rect">
                                  <a:avLst/>
                                </a:prstGeom>
                              </pic:spPr>
                            </pic:pic>
                          </a:graphicData>
                        </a:graphic>
                      </wp:inline>
                    </w:drawing>
                  </w:r>
                </w:p>
              </w:tc>
            </w:tr>
          </w:tbl>
          <w:p w14:paraId="41B02CE8">
            <w:pPr>
              <w:overflowPunct w:val="0"/>
              <w:spacing w:after="160"/>
              <w:ind w:left="200"/>
              <w:jc w:val="center"/>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图2-</w:t>
            </w:r>
            <w:r>
              <w:rPr>
                <w:rFonts w:hint="eastAsia" w:ascii="Times New Roman" w:hAnsi="Times New Roman" w:cs="Times New Roman"/>
                <w:b/>
                <w:color w:val="000000" w:themeColor="text1"/>
                <w14:textFill>
                  <w14:solidFill>
                    <w14:schemeClr w14:val="tx1"/>
                  </w14:solidFill>
                </w14:textFill>
              </w:rPr>
              <w:t>8</w:t>
            </w:r>
            <w:r>
              <w:rPr>
                <w:rFonts w:ascii="Times New Roman" w:hAnsi="Times New Roman" w:cs="Times New Roman"/>
                <w:b/>
                <w:color w:val="000000" w:themeColor="text1"/>
                <w14:textFill>
                  <w14:solidFill>
                    <w14:schemeClr w14:val="tx1"/>
                  </w14:solidFill>
                </w14:textFill>
              </w:rPr>
              <w:t xml:space="preserve"> </w:t>
            </w:r>
            <w:r>
              <w:rPr>
                <w:rFonts w:hint="eastAsia" w:ascii="Times New Roman" w:hAnsi="Times New Roman" w:cs="Times New Roman"/>
                <w:b/>
                <w:color w:val="000000" w:themeColor="text1"/>
                <w14:textFill>
                  <w14:solidFill>
                    <w14:schemeClr w14:val="tx1"/>
                  </w14:solidFill>
                </w14:textFill>
              </w:rPr>
              <w:t>一期工程现有</w:t>
            </w:r>
            <w:r>
              <w:rPr>
                <w:rFonts w:ascii="Times New Roman" w:hAnsi="Times New Roman" w:cs="Times New Roman"/>
                <w:b/>
                <w:color w:val="000000" w:themeColor="text1"/>
                <w14:textFill>
                  <w14:solidFill>
                    <w14:schemeClr w14:val="tx1"/>
                  </w14:solidFill>
                </w14:textFill>
              </w:rPr>
              <w:t>危废暂存间及活性炭吸附装置情况</w:t>
            </w:r>
          </w:p>
          <w:p w14:paraId="58CE8D04">
            <w:pPr>
              <w:pStyle w:val="118"/>
              <w:ind w:firstLineChars="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3、现有项目存在的环境问题</w:t>
            </w:r>
          </w:p>
          <w:p w14:paraId="5FBFB51C">
            <w:pPr>
              <w:pStyle w:val="118"/>
              <w:ind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截止目前，钦州港金谷港区金鼓江作业区14号泊位码头（一期工程）已按</w:t>
            </w:r>
            <w:r>
              <w:rPr>
                <w:rFonts w:ascii="Times New Roman" w:hAnsi="Times New Roman" w:cs="Times New Roman"/>
                <w:color w:val="000000" w:themeColor="text1"/>
                <w14:textFill>
                  <w14:solidFill>
                    <w14:schemeClr w14:val="tx1"/>
                  </w14:solidFill>
                </w14:textFill>
              </w:rPr>
              <w:t>《钦州港金谷港区金鼓江作业区14号、15号泊位工程（重大变动）环境影响报告书》</w:t>
            </w:r>
            <w:r>
              <w:rPr>
                <w:rFonts w:hint="eastAsia" w:ascii="Times New Roman" w:hAnsi="Times New Roman" w:cs="Times New Roman"/>
                <w:color w:val="000000" w:themeColor="text1"/>
                <w14:textFill>
                  <w14:solidFill>
                    <w14:schemeClr w14:val="tx1"/>
                  </w14:solidFill>
                </w14:textFill>
              </w:rPr>
              <w:t>及其批复（</w:t>
            </w:r>
            <w:r>
              <w:rPr>
                <w:rFonts w:ascii="Times New Roman" w:hAnsi="Times New Roman" w:cs="Times New Roman"/>
                <w:color w:val="000000" w:themeColor="text1"/>
                <w14:textFill>
                  <w14:solidFill>
                    <w14:schemeClr w14:val="tx1"/>
                  </w14:solidFill>
                </w14:textFill>
              </w:rPr>
              <w:t>自贸钦审批环〔2023〕42号</w:t>
            </w:r>
            <w:r>
              <w:rPr>
                <w:rFonts w:hint="eastAsia" w:ascii="Times New Roman" w:hAnsi="Times New Roman" w:cs="Times New Roman"/>
                <w:color w:val="000000" w:themeColor="text1"/>
                <w14:textFill>
                  <w14:solidFill>
                    <w14:schemeClr w14:val="tx1"/>
                  </w14:solidFill>
                </w14:textFill>
              </w:rPr>
              <w:t>）要求落实了水环境、大气环境、固体废物等保护措施，一期工程运行过程中各项污染物均得到合理处置并达标排放。一期工程现存的环境问题主要有：①由于项目（水工部分）渔业资源补偿增殖放流实施方案尚未批复，同时（陆域部分）渔业资源补偿增殖放流实施方案尚未组织编制、上报，目前建设单位尚未开展渔业资源补偿增殖放流；②建设单位自2025年5月9日完成《广西自贸区逸海港务责任有限公司突发环境事件应急预案》备案至今，尚未按照应急预案要求组织开展应急演练；③建设单位目前尚未按环评及批复要求建设地下水跟踪监测井。</w:t>
            </w:r>
          </w:p>
          <w:p w14:paraId="73CDE92C">
            <w:pPr>
              <w:pStyle w:val="118"/>
              <w:ind w:firstLineChars="0"/>
              <w:rPr>
                <w:rFonts w:ascii="Times New Roman" w:hAnsi="Times New Roman" w:cs="Times New Roman"/>
                <w:color w:val="0000FF"/>
                <w:u w:val="single"/>
              </w:rPr>
            </w:pPr>
            <w:r>
              <w:rPr>
                <w:rFonts w:hint="eastAsia" w:ascii="Times New Roman" w:hAnsi="Times New Roman" w:cs="Times New Roman"/>
                <w:color w:val="000000" w:themeColor="text1"/>
                <w14:textFill>
                  <w14:solidFill>
                    <w14:schemeClr w14:val="tx1"/>
                  </w14:solidFill>
                </w14:textFill>
              </w:rPr>
              <w:t>整改措施：①建设单位应按</w:t>
            </w:r>
            <w:r>
              <w:rPr>
                <w:rFonts w:ascii="Times New Roman" w:hAnsi="Times New Roman" w:cs="Times New Roman"/>
                <w:color w:val="000000" w:themeColor="text1"/>
                <w14:textFill>
                  <w14:solidFill>
                    <w14:schemeClr w14:val="tx1"/>
                  </w14:solidFill>
                </w14:textFill>
              </w:rPr>
              <w:t>《钦州港金谷港区金鼓江作业区14号、15号泊位工程（重大变动）环境影响报告书》</w:t>
            </w:r>
            <w:r>
              <w:rPr>
                <w:rFonts w:hint="eastAsia" w:ascii="Times New Roman" w:hAnsi="Times New Roman" w:cs="Times New Roman"/>
                <w:color w:val="000000" w:themeColor="text1"/>
                <w14:textFill>
                  <w14:solidFill>
                    <w14:schemeClr w14:val="tx1"/>
                  </w14:solidFill>
                </w14:textFill>
              </w:rPr>
              <w:t>及其批复（</w:t>
            </w:r>
            <w:r>
              <w:rPr>
                <w:rFonts w:ascii="Times New Roman" w:hAnsi="Times New Roman" w:cs="Times New Roman"/>
                <w:color w:val="000000" w:themeColor="text1"/>
                <w14:textFill>
                  <w14:solidFill>
                    <w14:schemeClr w14:val="tx1"/>
                  </w14:solidFill>
                </w14:textFill>
              </w:rPr>
              <w:t>自贸钦审批环〔2023〕42号</w:t>
            </w:r>
            <w:r>
              <w:rPr>
                <w:rFonts w:hint="eastAsia" w:ascii="Times New Roman" w:hAnsi="Times New Roman" w:cs="Times New Roman"/>
                <w:color w:val="000000" w:themeColor="text1"/>
                <w14:textFill>
                  <w14:solidFill>
                    <w14:schemeClr w14:val="tx1"/>
                  </w14:solidFill>
                </w14:textFill>
              </w:rPr>
              <w:t>）要求尽快开展渔业补偿增殖放流实施方案编制、上报，并落实增殖放流措施；②按《广西自贸区逸海港务责任有限公司突发环境事件应急预案》定期组织开展应急演练；③在项目投入使用前，按环评及批复要求落实地下水跟踪监测井。</w:t>
            </w:r>
          </w:p>
          <w:p w14:paraId="66F8B31F">
            <w:pPr>
              <w:pStyle w:val="118"/>
              <w:ind w:firstLineChars="0"/>
              <w:rPr>
                <w:rFonts w:ascii="Times New Roman" w:hAnsi="Times New Roman" w:cs="Times New Roman"/>
                <w:bCs/>
                <w:color w:val="FF0000"/>
                <w:u w:val="single"/>
              </w:rPr>
            </w:pPr>
          </w:p>
          <w:p w14:paraId="5F768F6F">
            <w:pPr>
              <w:pStyle w:val="118"/>
              <w:rPr>
                <w:rFonts w:ascii="Times New Roman" w:hAnsi="Times New Roman" w:cs="Times New Roman"/>
                <w:color w:val="000000" w:themeColor="text1"/>
                <w14:textFill>
                  <w14:solidFill>
                    <w14:schemeClr w14:val="tx1"/>
                  </w14:solidFill>
                </w14:textFill>
              </w:rPr>
            </w:pPr>
          </w:p>
        </w:tc>
      </w:tr>
    </w:tbl>
    <w:p w14:paraId="3DCE6925">
      <w:pPr>
        <w:pStyle w:val="81"/>
        <w:ind w:firstLine="720"/>
        <w:jc w:val="center"/>
        <w:rPr>
          <w:rFonts w:ascii="Times New Roman" w:hAnsi="Times New Roman" w:cs="Times New Roman"/>
          <w:snapToGrid w:val="0"/>
          <w:color w:val="FF0000"/>
          <w:sz w:val="36"/>
          <w:szCs w:val="36"/>
        </w:rPr>
        <w:sectPr>
          <w:pgSz w:w="11906" w:h="16838"/>
          <w:pgMar w:top="1213" w:right="1304" w:bottom="1208" w:left="1304" w:header="851" w:footer="851" w:gutter="0"/>
          <w:cols w:space="720" w:num="1"/>
          <w:docGrid w:linePitch="326" w:charSpace="0"/>
        </w:sectPr>
      </w:pPr>
    </w:p>
    <w:p w14:paraId="1AD1C147">
      <w:pPr>
        <w:pStyle w:val="81"/>
        <w:spacing w:before="0" w:beforeAutospacing="0" w:after="0" w:afterAutospacing="0" w:line="360" w:lineRule="auto"/>
        <w:jc w:val="center"/>
        <w:outlineLvl w:val="0"/>
        <w:rPr>
          <w:rFonts w:ascii="Times New Roman" w:hAnsi="Times New Roman" w:cs="Times New Roman"/>
          <w:b/>
          <w:bCs/>
          <w:snapToGrid w:val="0"/>
          <w:color w:val="FF0000"/>
          <w:sz w:val="30"/>
          <w:szCs w:val="30"/>
        </w:rPr>
      </w:pPr>
      <w:bookmarkStart w:id="13" w:name="_Toc146041488"/>
      <w:bookmarkStart w:id="14" w:name="_Toc144375211"/>
      <w:r>
        <w:rPr>
          <w:rFonts w:ascii="Times New Roman" w:hAnsi="Times New Roman" w:cs="Times New Roman"/>
          <w:b/>
          <w:bCs/>
          <w:snapToGrid w:val="0"/>
          <w:color w:val="000000" w:themeColor="text1"/>
          <w:sz w:val="30"/>
          <w:szCs w:val="30"/>
          <w14:textFill>
            <w14:solidFill>
              <w14:schemeClr w14:val="tx1"/>
            </w14:solidFill>
          </w14:textFill>
        </w:rPr>
        <w:t>三、区域环境质量现状、环境保护目标及评价标准</w:t>
      </w:r>
      <w:bookmarkEnd w:id="13"/>
      <w:bookmarkEnd w:id="14"/>
    </w:p>
    <w:tbl>
      <w:tblPr>
        <w:tblStyle w:val="88"/>
        <w:tblW w:w="943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3"/>
        <w:gridCol w:w="9021"/>
      </w:tblGrid>
      <w:tr w14:paraId="5B96E4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3" w:type="dxa"/>
            <w:vAlign w:val="center"/>
          </w:tcPr>
          <w:p w14:paraId="61B07220">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区域</w:t>
            </w:r>
          </w:p>
          <w:p w14:paraId="2BEC56D4">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环境</w:t>
            </w:r>
          </w:p>
          <w:p w14:paraId="63890DE5">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质量</w:t>
            </w:r>
          </w:p>
          <w:p w14:paraId="7D148ACA">
            <w:pPr>
              <w:adjustRightInd w:val="0"/>
              <w:snapToGrid w:val="0"/>
              <w:jc w:val="center"/>
              <w:rPr>
                <w:rFonts w:ascii="Times New Roman" w:hAnsi="Times New Roman" w:cs="Times New Roman"/>
                <w:color w:val="FF0000"/>
                <w:szCs w:val="21"/>
              </w:rPr>
            </w:pPr>
            <w:r>
              <w:rPr>
                <w:rFonts w:ascii="Times New Roman" w:hAnsi="Times New Roman" w:cs="Times New Roman"/>
                <w:color w:val="000000" w:themeColor="text1"/>
                <w:szCs w:val="21"/>
                <w14:textFill>
                  <w14:solidFill>
                    <w14:schemeClr w14:val="tx1"/>
                  </w14:solidFill>
                </w14:textFill>
              </w:rPr>
              <w:t>现状</w:t>
            </w:r>
          </w:p>
        </w:tc>
        <w:tc>
          <w:tcPr>
            <w:tcW w:w="9021" w:type="dxa"/>
            <w:vAlign w:val="center"/>
          </w:tcPr>
          <w:p w14:paraId="3D77B95D">
            <w:pPr>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1、环境空气环境质量现状</w:t>
            </w:r>
          </w:p>
          <w:p w14:paraId="58121B78">
            <w:pPr>
              <w:tabs>
                <w:tab w:val="left" w:pos="3225"/>
              </w:tabs>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（1）达标区判定</w:t>
            </w:r>
          </w:p>
          <w:p w14:paraId="2D989EBE">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项目位于中国（广西）自由贸易试验区钦州港片区</w:t>
            </w:r>
            <w:r>
              <w:rPr>
                <w:rFonts w:hint="eastAsia" w:ascii="Times New Roman" w:hAnsi="Times New Roman" w:cs="Times New Roman"/>
                <w:color w:val="000000" w:themeColor="text1"/>
                <w14:textFill>
                  <w14:solidFill>
                    <w14:schemeClr w14:val="tx1"/>
                  </w14:solidFill>
                </w14:textFill>
              </w:rPr>
              <w:t>金谷港区金鼓江作业区</w:t>
            </w:r>
            <w:r>
              <w:rPr>
                <w:rFonts w:ascii="Times New Roman" w:hAnsi="Times New Roman" w:cs="Times New Roman"/>
                <w:color w:val="000000" w:themeColor="text1"/>
                <w14:textFill>
                  <w14:solidFill>
                    <w14:schemeClr w14:val="tx1"/>
                  </w14:solidFill>
                </w14:textFill>
              </w:rPr>
              <w:t>，项目所在区域环境空气质量功能区划为二类区，执行《环境空气质量标准》(GB3095-20</w:t>
            </w:r>
            <w:r>
              <w:rPr>
                <w:rFonts w:hint="eastAsia" w:ascii="Times New Roman" w:hAnsi="Times New Roman" w:cs="Times New Roman"/>
                <w:color w:val="000000" w:themeColor="text1"/>
                <w14:textFill>
                  <w14:solidFill>
                    <w14:schemeClr w14:val="tx1"/>
                  </w14:solidFill>
                </w14:textFill>
              </w:rPr>
              <w:t>26</w:t>
            </w:r>
            <w:r>
              <w:rPr>
                <w:rFonts w:ascii="Times New Roman" w:hAnsi="Times New Roman" w:cs="Times New Roman"/>
                <w:color w:val="000000" w:themeColor="text1"/>
                <w14:textFill>
                  <w14:solidFill>
                    <w14:schemeClr w14:val="tx1"/>
                  </w14:solidFill>
                </w14:textFill>
              </w:rPr>
              <w:t>)二级标准。</w:t>
            </w:r>
          </w:p>
          <w:p w14:paraId="3806BFD9">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根据广西壮族自治区生态环境厅网站202</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年1月</w:t>
            </w:r>
            <w:r>
              <w:rPr>
                <w:rFonts w:hint="eastAsia" w:ascii="Times New Roman" w:hAnsi="Times New Roman" w:cs="Times New Roman"/>
                <w:color w:val="000000" w:themeColor="text1"/>
                <w14:textFill>
                  <w14:solidFill>
                    <w14:schemeClr w14:val="tx1"/>
                  </w14:solidFill>
                </w14:textFill>
              </w:rPr>
              <w:t>21</w:t>
            </w:r>
            <w:r>
              <w:rPr>
                <w:rFonts w:ascii="Times New Roman" w:hAnsi="Times New Roman" w:cs="Times New Roman"/>
                <w:color w:val="000000" w:themeColor="text1"/>
                <w14:textFill>
                  <w14:solidFill>
                    <w14:schemeClr w14:val="tx1"/>
                  </w14:solidFill>
                </w14:textFill>
              </w:rPr>
              <w:t>日发布《自治区生态环境厅关于通报202</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年设区城市及各县（市、区）环境空气质量的函》（桂环函〔202</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66</w:t>
            </w:r>
            <w:r>
              <w:rPr>
                <w:rFonts w:ascii="Times New Roman" w:hAnsi="Times New Roman" w:cs="Times New Roman"/>
                <w:color w:val="000000" w:themeColor="text1"/>
                <w14:textFill>
                  <w14:solidFill>
                    <w14:schemeClr w14:val="tx1"/>
                  </w14:solidFill>
                </w14:textFill>
              </w:rPr>
              <w:t>号），钦州市202</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年空气质量综合指数为3.0</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，钦州市202</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年SO</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、NO</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、PM</w:t>
            </w:r>
            <w:r>
              <w:rPr>
                <w:rFonts w:ascii="Times New Roman" w:hAnsi="Times New Roman" w:cs="Times New Roman"/>
                <w:color w:val="000000" w:themeColor="text1"/>
                <w:vertAlign w:val="subscript"/>
                <w14:textFill>
                  <w14:solidFill>
                    <w14:schemeClr w14:val="tx1"/>
                  </w14:solidFill>
                </w14:textFill>
              </w:rPr>
              <w:t>10</w:t>
            </w:r>
            <w:r>
              <w:rPr>
                <w:rFonts w:ascii="Times New Roman" w:hAnsi="Times New Roman" w:cs="Times New Roman"/>
                <w:color w:val="000000" w:themeColor="text1"/>
                <w14:textFill>
                  <w14:solidFill>
                    <w14:schemeClr w14:val="tx1"/>
                  </w14:solidFill>
                </w14:textFill>
              </w:rPr>
              <w:t>、PM</w:t>
            </w:r>
            <w:r>
              <w:rPr>
                <w:rFonts w:ascii="Times New Roman" w:hAnsi="Times New Roman" w:cs="Times New Roman"/>
                <w:color w:val="000000" w:themeColor="text1"/>
                <w:vertAlign w:val="subscript"/>
                <w14:textFill>
                  <w14:solidFill>
                    <w14:schemeClr w14:val="tx1"/>
                  </w14:solidFill>
                </w14:textFill>
              </w:rPr>
              <w:t>2.5</w:t>
            </w:r>
            <w:r>
              <w:rPr>
                <w:rFonts w:ascii="Times New Roman" w:hAnsi="Times New Roman" w:cs="Times New Roman"/>
                <w:color w:val="000000" w:themeColor="text1"/>
                <w14:textFill>
                  <w14:solidFill>
                    <w14:schemeClr w14:val="tx1"/>
                  </w14:solidFill>
                </w14:textFill>
              </w:rPr>
              <w:t>、CO、O</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的环境空气质量状况见表3-1。</w:t>
            </w:r>
          </w:p>
          <w:p w14:paraId="17CAADA0">
            <w:pPr>
              <w:pStyle w:val="87"/>
              <w:spacing w:after="0"/>
              <w:ind w:left="0" w:leftChars="0" w:firstLine="0" w:firstLineChars="0"/>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表 3-1  202</w:t>
            </w:r>
            <w:r>
              <w:rPr>
                <w:rFonts w:hint="eastAsia" w:ascii="Times New Roman" w:hAnsi="Times New Roman" w:cs="Times New Roman"/>
                <w:b/>
                <w:color w:val="000000" w:themeColor="text1"/>
                <w14:textFill>
                  <w14:solidFill>
                    <w14:schemeClr w14:val="tx1"/>
                  </w14:solidFill>
                </w14:textFill>
              </w:rPr>
              <w:t>4</w:t>
            </w:r>
            <w:r>
              <w:rPr>
                <w:rFonts w:ascii="Times New Roman" w:hAnsi="Times New Roman" w:cs="Times New Roman"/>
                <w:b/>
                <w:color w:val="000000" w:themeColor="text1"/>
                <w14:textFill>
                  <w14:solidFill>
                    <w14:schemeClr w14:val="tx1"/>
                  </w14:solidFill>
                </w14:textFill>
              </w:rPr>
              <w:t>年钦州市环境空气质量监测结果表</w:t>
            </w:r>
          </w:p>
          <w:tbl>
            <w:tblPr>
              <w:tblStyle w:val="88"/>
              <w:tblW w:w="85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45"/>
              <w:gridCol w:w="990"/>
              <w:gridCol w:w="1746"/>
              <w:gridCol w:w="998"/>
              <w:gridCol w:w="1012"/>
              <w:gridCol w:w="1077"/>
              <w:gridCol w:w="934"/>
              <w:gridCol w:w="987"/>
            </w:tblGrid>
            <w:tr w14:paraId="148CD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45" w:type="dxa"/>
                  <w:vAlign w:val="center"/>
                </w:tcPr>
                <w:p w14:paraId="69C7BCF3">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点位</w:t>
                  </w:r>
                </w:p>
              </w:tc>
              <w:tc>
                <w:tcPr>
                  <w:tcW w:w="990" w:type="dxa"/>
                  <w:vAlign w:val="center"/>
                </w:tcPr>
                <w:p w14:paraId="5432A87B">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污染物</w:t>
                  </w:r>
                </w:p>
              </w:tc>
              <w:tc>
                <w:tcPr>
                  <w:tcW w:w="1746" w:type="dxa"/>
                  <w:vAlign w:val="center"/>
                </w:tcPr>
                <w:p w14:paraId="2D64D9E2">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年评价指标</w:t>
                  </w:r>
                </w:p>
              </w:tc>
              <w:tc>
                <w:tcPr>
                  <w:tcW w:w="998" w:type="dxa"/>
                  <w:vAlign w:val="center"/>
                </w:tcPr>
                <w:p w14:paraId="00CA7FFB">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现状浓度（μg/m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szCs w:val="21"/>
                      <w14:textFill>
                        <w14:solidFill>
                          <w14:schemeClr w14:val="tx1"/>
                        </w14:solidFill>
                      </w14:textFill>
                    </w:rPr>
                    <w:t>））</w:t>
                  </w:r>
                </w:p>
              </w:tc>
              <w:tc>
                <w:tcPr>
                  <w:tcW w:w="1012" w:type="dxa"/>
                  <w:vAlign w:val="center"/>
                </w:tcPr>
                <w:p w14:paraId="030790B1">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评价标准（μg/m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szCs w:val="21"/>
                      <w14:textFill>
                        <w14:solidFill>
                          <w14:schemeClr w14:val="tx1"/>
                        </w14:solidFill>
                      </w14:textFill>
                    </w:rPr>
                    <w:t>）</w:t>
                  </w:r>
                </w:p>
              </w:tc>
              <w:tc>
                <w:tcPr>
                  <w:tcW w:w="1077" w:type="dxa"/>
                  <w:vAlign w:val="center"/>
                </w:tcPr>
                <w:p w14:paraId="68DEC7B9">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最大浓度占标率（%）</w:t>
                  </w:r>
                </w:p>
              </w:tc>
              <w:tc>
                <w:tcPr>
                  <w:tcW w:w="934" w:type="dxa"/>
                  <w:vAlign w:val="center"/>
                </w:tcPr>
                <w:p w14:paraId="66D4F567">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超标频率（%）</w:t>
                  </w:r>
                </w:p>
              </w:tc>
              <w:tc>
                <w:tcPr>
                  <w:tcW w:w="987" w:type="dxa"/>
                  <w:vAlign w:val="center"/>
                </w:tcPr>
                <w:p w14:paraId="02C725AE">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达标情况</w:t>
                  </w:r>
                </w:p>
              </w:tc>
            </w:tr>
            <w:tr w14:paraId="1E333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45" w:type="dxa"/>
                  <w:vMerge w:val="restart"/>
                  <w:vAlign w:val="center"/>
                </w:tcPr>
                <w:p w14:paraId="46485B67">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钦州市</w:t>
                  </w:r>
                </w:p>
              </w:tc>
              <w:tc>
                <w:tcPr>
                  <w:tcW w:w="990" w:type="dxa"/>
                  <w:vAlign w:val="center"/>
                </w:tcPr>
                <w:p w14:paraId="6E6C806E">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PM</w:t>
                  </w:r>
                  <w:r>
                    <w:rPr>
                      <w:rFonts w:ascii="Times New Roman" w:hAnsi="Times New Roman" w:cs="Times New Roman"/>
                      <w:color w:val="000000" w:themeColor="text1"/>
                      <w:szCs w:val="21"/>
                      <w:vertAlign w:val="subscript"/>
                      <w14:textFill>
                        <w14:solidFill>
                          <w14:schemeClr w14:val="tx1"/>
                        </w14:solidFill>
                      </w14:textFill>
                    </w:rPr>
                    <w:t>2.5</w:t>
                  </w:r>
                </w:p>
              </w:tc>
              <w:tc>
                <w:tcPr>
                  <w:tcW w:w="1746" w:type="dxa"/>
                  <w:vAlign w:val="center"/>
                </w:tcPr>
                <w:p w14:paraId="7DFF2A6E">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年平均质量浓度</w:t>
                  </w:r>
                </w:p>
              </w:tc>
              <w:tc>
                <w:tcPr>
                  <w:tcW w:w="998" w:type="dxa"/>
                  <w:vAlign w:val="center"/>
                </w:tcPr>
                <w:p w14:paraId="10EB1D45">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24.</w:t>
                  </w:r>
                  <w:r>
                    <w:rPr>
                      <w:rFonts w:hint="eastAsia" w:ascii="Times New Roman" w:hAnsi="Times New Roman" w:cs="Times New Roman"/>
                      <w:color w:val="000000" w:themeColor="text1"/>
                      <w:szCs w:val="21"/>
                      <w14:textFill>
                        <w14:solidFill>
                          <w14:schemeClr w14:val="tx1"/>
                        </w14:solidFill>
                      </w14:textFill>
                    </w:rPr>
                    <w:t>6</w:t>
                  </w:r>
                </w:p>
              </w:tc>
              <w:tc>
                <w:tcPr>
                  <w:tcW w:w="1012" w:type="dxa"/>
                  <w:vAlign w:val="center"/>
                </w:tcPr>
                <w:p w14:paraId="17CAB9A0">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35</w:t>
                  </w:r>
                </w:p>
              </w:tc>
              <w:tc>
                <w:tcPr>
                  <w:tcW w:w="1077" w:type="dxa"/>
                  <w:vAlign w:val="center"/>
                </w:tcPr>
                <w:p w14:paraId="60F79CEB">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70.3</w:t>
                  </w:r>
                </w:p>
              </w:tc>
              <w:tc>
                <w:tcPr>
                  <w:tcW w:w="934" w:type="dxa"/>
                  <w:vAlign w:val="center"/>
                </w:tcPr>
                <w:p w14:paraId="5299F6C3">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w:t>
                  </w:r>
                </w:p>
              </w:tc>
              <w:tc>
                <w:tcPr>
                  <w:tcW w:w="987" w:type="dxa"/>
                  <w:vAlign w:val="center"/>
                </w:tcPr>
                <w:p w14:paraId="18E8533B">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达标</w:t>
                  </w:r>
                </w:p>
              </w:tc>
            </w:tr>
            <w:tr w14:paraId="146DB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45" w:type="dxa"/>
                  <w:vMerge w:val="continue"/>
                  <w:vAlign w:val="center"/>
                </w:tcPr>
                <w:p w14:paraId="31A2C035">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p>
              </w:tc>
              <w:tc>
                <w:tcPr>
                  <w:tcW w:w="990" w:type="dxa"/>
                  <w:vAlign w:val="center"/>
                </w:tcPr>
                <w:p w14:paraId="027AF6CA">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PM</w:t>
                  </w:r>
                  <w:r>
                    <w:rPr>
                      <w:rFonts w:ascii="Times New Roman" w:hAnsi="Times New Roman" w:cs="Times New Roman"/>
                      <w:color w:val="000000" w:themeColor="text1"/>
                      <w:szCs w:val="21"/>
                      <w:vertAlign w:val="subscript"/>
                      <w14:textFill>
                        <w14:solidFill>
                          <w14:schemeClr w14:val="tx1"/>
                        </w14:solidFill>
                      </w14:textFill>
                    </w:rPr>
                    <w:t>10</w:t>
                  </w:r>
                </w:p>
              </w:tc>
              <w:tc>
                <w:tcPr>
                  <w:tcW w:w="1746" w:type="dxa"/>
                  <w:vAlign w:val="center"/>
                </w:tcPr>
                <w:p w14:paraId="0021D7A5">
                  <w:pPr>
                    <w:pStyle w:val="145"/>
                    <w:spacing w:beforeLines="0" w:afterLines="0" w:line="240" w:lineRule="auto"/>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年平均质量浓度</w:t>
                  </w:r>
                </w:p>
              </w:tc>
              <w:tc>
                <w:tcPr>
                  <w:tcW w:w="998" w:type="dxa"/>
                  <w:vAlign w:val="center"/>
                </w:tcPr>
                <w:p w14:paraId="3D94C7A6">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4</w:t>
                  </w:r>
                  <w:r>
                    <w:rPr>
                      <w:rFonts w:hint="eastAsia" w:ascii="Times New Roman" w:hAnsi="Times New Roman" w:cs="Times New Roman"/>
                      <w:color w:val="000000" w:themeColor="text1"/>
                      <w:szCs w:val="21"/>
                      <w14:textFill>
                        <w14:solidFill>
                          <w14:schemeClr w14:val="tx1"/>
                        </w14:solidFill>
                      </w14:textFill>
                    </w:rPr>
                    <w:t>7</w:t>
                  </w:r>
                </w:p>
              </w:tc>
              <w:tc>
                <w:tcPr>
                  <w:tcW w:w="1012" w:type="dxa"/>
                  <w:vAlign w:val="center"/>
                </w:tcPr>
                <w:p w14:paraId="73AC6620">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70</w:t>
                  </w:r>
                </w:p>
              </w:tc>
              <w:tc>
                <w:tcPr>
                  <w:tcW w:w="1077" w:type="dxa"/>
                  <w:vAlign w:val="center"/>
                </w:tcPr>
                <w:p w14:paraId="58F9AC3F">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67.1</w:t>
                  </w:r>
                </w:p>
              </w:tc>
              <w:tc>
                <w:tcPr>
                  <w:tcW w:w="934" w:type="dxa"/>
                  <w:vAlign w:val="center"/>
                </w:tcPr>
                <w:p w14:paraId="1F3809A3">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w:t>
                  </w:r>
                </w:p>
              </w:tc>
              <w:tc>
                <w:tcPr>
                  <w:tcW w:w="987" w:type="dxa"/>
                  <w:vAlign w:val="center"/>
                </w:tcPr>
                <w:p w14:paraId="25721F36">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达标</w:t>
                  </w:r>
                </w:p>
              </w:tc>
            </w:tr>
            <w:tr w14:paraId="58E0E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45" w:type="dxa"/>
                  <w:vMerge w:val="continue"/>
                  <w:vAlign w:val="center"/>
                </w:tcPr>
                <w:p w14:paraId="5966B1C1">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p>
              </w:tc>
              <w:tc>
                <w:tcPr>
                  <w:tcW w:w="990" w:type="dxa"/>
                  <w:vAlign w:val="center"/>
                </w:tcPr>
                <w:p w14:paraId="3B1BA0A1">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SO</w:t>
                  </w:r>
                  <w:r>
                    <w:rPr>
                      <w:rFonts w:ascii="Times New Roman" w:hAnsi="Times New Roman" w:cs="Times New Roman"/>
                      <w:color w:val="000000" w:themeColor="text1"/>
                      <w:szCs w:val="21"/>
                      <w:vertAlign w:val="subscript"/>
                      <w14:textFill>
                        <w14:solidFill>
                          <w14:schemeClr w14:val="tx1"/>
                        </w14:solidFill>
                      </w14:textFill>
                    </w:rPr>
                    <w:t>2</w:t>
                  </w:r>
                </w:p>
              </w:tc>
              <w:tc>
                <w:tcPr>
                  <w:tcW w:w="1746" w:type="dxa"/>
                  <w:vAlign w:val="center"/>
                </w:tcPr>
                <w:p w14:paraId="6CD9EE4E">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年平均质量浓度</w:t>
                  </w:r>
                </w:p>
              </w:tc>
              <w:tc>
                <w:tcPr>
                  <w:tcW w:w="998" w:type="dxa"/>
                  <w:vAlign w:val="center"/>
                </w:tcPr>
                <w:p w14:paraId="088D755D">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8</w:t>
                  </w:r>
                </w:p>
              </w:tc>
              <w:tc>
                <w:tcPr>
                  <w:tcW w:w="1012" w:type="dxa"/>
                  <w:vAlign w:val="center"/>
                </w:tcPr>
                <w:p w14:paraId="10C09EE2">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60</w:t>
                  </w:r>
                </w:p>
              </w:tc>
              <w:tc>
                <w:tcPr>
                  <w:tcW w:w="1077" w:type="dxa"/>
                  <w:vAlign w:val="center"/>
                </w:tcPr>
                <w:p w14:paraId="63AC4865">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13.3</w:t>
                  </w:r>
                </w:p>
              </w:tc>
              <w:tc>
                <w:tcPr>
                  <w:tcW w:w="934" w:type="dxa"/>
                  <w:vAlign w:val="center"/>
                </w:tcPr>
                <w:p w14:paraId="6719A468">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w:t>
                  </w:r>
                </w:p>
              </w:tc>
              <w:tc>
                <w:tcPr>
                  <w:tcW w:w="987" w:type="dxa"/>
                  <w:vAlign w:val="center"/>
                </w:tcPr>
                <w:p w14:paraId="7FA59F2E">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达标</w:t>
                  </w:r>
                </w:p>
              </w:tc>
            </w:tr>
            <w:tr w14:paraId="50FD5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45" w:type="dxa"/>
                  <w:vMerge w:val="continue"/>
                  <w:vAlign w:val="center"/>
                </w:tcPr>
                <w:p w14:paraId="77FC3994">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p>
              </w:tc>
              <w:tc>
                <w:tcPr>
                  <w:tcW w:w="990" w:type="dxa"/>
                  <w:vAlign w:val="center"/>
                </w:tcPr>
                <w:p w14:paraId="71FE037D">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NO</w:t>
                  </w:r>
                  <w:r>
                    <w:rPr>
                      <w:rFonts w:ascii="Times New Roman" w:hAnsi="Times New Roman" w:cs="Times New Roman"/>
                      <w:color w:val="000000" w:themeColor="text1"/>
                      <w:szCs w:val="21"/>
                      <w:vertAlign w:val="subscript"/>
                      <w14:textFill>
                        <w14:solidFill>
                          <w14:schemeClr w14:val="tx1"/>
                        </w14:solidFill>
                      </w14:textFill>
                    </w:rPr>
                    <w:t>2</w:t>
                  </w:r>
                </w:p>
              </w:tc>
              <w:tc>
                <w:tcPr>
                  <w:tcW w:w="1746" w:type="dxa"/>
                  <w:vAlign w:val="center"/>
                </w:tcPr>
                <w:p w14:paraId="4F825E14">
                  <w:pPr>
                    <w:pStyle w:val="145"/>
                    <w:spacing w:beforeLines="0" w:afterLines="0" w:line="240" w:lineRule="auto"/>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年平均质量浓度</w:t>
                  </w:r>
                </w:p>
              </w:tc>
              <w:tc>
                <w:tcPr>
                  <w:tcW w:w="998" w:type="dxa"/>
                  <w:vAlign w:val="center"/>
                </w:tcPr>
                <w:p w14:paraId="12598DF3">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w:t>
                  </w:r>
                  <w:r>
                    <w:rPr>
                      <w:rFonts w:hint="eastAsia" w:ascii="Times New Roman" w:hAnsi="Times New Roman" w:cs="Times New Roman"/>
                      <w:color w:val="000000" w:themeColor="text1"/>
                      <w:szCs w:val="21"/>
                      <w14:textFill>
                        <w14:solidFill>
                          <w14:schemeClr w14:val="tx1"/>
                        </w14:solidFill>
                      </w14:textFill>
                    </w:rPr>
                    <w:t>9</w:t>
                  </w:r>
                </w:p>
              </w:tc>
              <w:tc>
                <w:tcPr>
                  <w:tcW w:w="1012" w:type="dxa"/>
                  <w:vAlign w:val="center"/>
                </w:tcPr>
                <w:p w14:paraId="482762DF">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40</w:t>
                  </w:r>
                </w:p>
              </w:tc>
              <w:tc>
                <w:tcPr>
                  <w:tcW w:w="1077" w:type="dxa"/>
                  <w:vAlign w:val="center"/>
                </w:tcPr>
                <w:p w14:paraId="0C09D70A">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47.5</w:t>
                  </w:r>
                </w:p>
              </w:tc>
              <w:tc>
                <w:tcPr>
                  <w:tcW w:w="934" w:type="dxa"/>
                  <w:vAlign w:val="center"/>
                </w:tcPr>
                <w:p w14:paraId="6685884F">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w:t>
                  </w:r>
                </w:p>
              </w:tc>
              <w:tc>
                <w:tcPr>
                  <w:tcW w:w="987" w:type="dxa"/>
                  <w:vAlign w:val="center"/>
                </w:tcPr>
                <w:p w14:paraId="39988144">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达标</w:t>
                  </w:r>
                </w:p>
              </w:tc>
            </w:tr>
            <w:tr w14:paraId="17A3A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45" w:type="dxa"/>
                  <w:vMerge w:val="continue"/>
                  <w:vAlign w:val="center"/>
                </w:tcPr>
                <w:p w14:paraId="70584E4B">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p>
              </w:tc>
              <w:tc>
                <w:tcPr>
                  <w:tcW w:w="990" w:type="dxa"/>
                  <w:vAlign w:val="center"/>
                </w:tcPr>
                <w:p w14:paraId="441ECEB7">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CO</w:t>
                  </w:r>
                </w:p>
              </w:tc>
              <w:tc>
                <w:tcPr>
                  <w:tcW w:w="1746" w:type="dxa"/>
                  <w:vAlign w:val="center"/>
                </w:tcPr>
                <w:p w14:paraId="6F4F8EF2">
                  <w:pPr>
                    <w:pStyle w:val="145"/>
                    <w:spacing w:beforeLines="0" w:afterLines="0" w:line="240" w:lineRule="auto"/>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24小时平均第95位百分位数</w:t>
                  </w:r>
                </w:p>
              </w:tc>
              <w:tc>
                <w:tcPr>
                  <w:tcW w:w="998" w:type="dxa"/>
                  <w:vAlign w:val="center"/>
                </w:tcPr>
                <w:p w14:paraId="73A7E539">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1100</w:t>
                  </w:r>
                </w:p>
              </w:tc>
              <w:tc>
                <w:tcPr>
                  <w:tcW w:w="1012" w:type="dxa"/>
                  <w:vAlign w:val="center"/>
                </w:tcPr>
                <w:p w14:paraId="4A29E731">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4000</w:t>
                  </w:r>
                </w:p>
              </w:tc>
              <w:tc>
                <w:tcPr>
                  <w:tcW w:w="1077" w:type="dxa"/>
                  <w:vAlign w:val="center"/>
                </w:tcPr>
                <w:p w14:paraId="5B43597E">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27.5</w:t>
                  </w:r>
                </w:p>
              </w:tc>
              <w:tc>
                <w:tcPr>
                  <w:tcW w:w="934" w:type="dxa"/>
                  <w:vAlign w:val="center"/>
                </w:tcPr>
                <w:p w14:paraId="0F83625E">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w:t>
                  </w:r>
                </w:p>
              </w:tc>
              <w:tc>
                <w:tcPr>
                  <w:tcW w:w="987" w:type="dxa"/>
                  <w:vAlign w:val="center"/>
                </w:tcPr>
                <w:p w14:paraId="2B9A4ECC">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达标</w:t>
                  </w:r>
                </w:p>
              </w:tc>
            </w:tr>
            <w:tr w14:paraId="3BC55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45" w:type="dxa"/>
                  <w:vMerge w:val="continue"/>
                  <w:vAlign w:val="center"/>
                </w:tcPr>
                <w:p w14:paraId="6A0DB588">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p>
              </w:tc>
              <w:tc>
                <w:tcPr>
                  <w:tcW w:w="990" w:type="dxa"/>
                  <w:vAlign w:val="center"/>
                </w:tcPr>
                <w:p w14:paraId="5C8BFCE3">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O</w:t>
                  </w:r>
                  <w:r>
                    <w:rPr>
                      <w:rFonts w:ascii="Times New Roman" w:hAnsi="Times New Roman" w:cs="Times New Roman"/>
                      <w:color w:val="000000" w:themeColor="text1"/>
                      <w:szCs w:val="21"/>
                      <w:vertAlign w:val="subscript"/>
                      <w14:textFill>
                        <w14:solidFill>
                          <w14:schemeClr w14:val="tx1"/>
                        </w14:solidFill>
                      </w14:textFill>
                    </w:rPr>
                    <w:t>3</w:t>
                  </w:r>
                </w:p>
              </w:tc>
              <w:tc>
                <w:tcPr>
                  <w:tcW w:w="1746" w:type="dxa"/>
                  <w:vAlign w:val="center"/>
                </w:tcPr>
                <w:p w14:paraId="0D579C95">
                  <w:pPr>
                    <w:pStyle w:val="145"/>
                    <w:spacing w:beforeLines="0" w:afterLines="0" w:line="240" w:lineRule="auto"/>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日最大8h第90百分位数</w:t>
                  </w:r>
                </w:p>
              </w:tc>
              <w:tc>
                <w:tcPr>
                  <w:tcW w:w="998" w:type="dxa"/>
                  <w:vAlign w:val="center"/>
                </w:tcPr>
                <w:p w14:paraId="073EECAA">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125</w:t>
                  </w:r>
                </w:p>
              </w:tc>
              <w:tc>
                <w:tcPr>
                  <w:tcW w:w="1012" w:type="dxa"/>
                  <w:vAlign w:val="center"/>
                </w:tcPr>
                <w:p w14:paraId="05ABEDA1">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160</w:t>
                  </w:r>
                </w:p>
              </w:tc>
              <w:tc>
                <w:tcPr>
                  <w:tcW w:w="1077" w:type="dxa"/>
                  <w:vAlign w:val="center"/>
                </w:tcPr>
                <w:p w14:paraId="703B959C">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78.1</w:t>
                  </w:r>
                </w:p>
              </w:tc>
              <w:tc>
                <w:tcPr>
                  <w:tcW w:w="934" w:type="dxa"/>
                  <w:vAlign w:val="center"/>
                </w:tcPr>
                <w:p w14:paraId="1842E208">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0</w:t>
                  </w:r>
                </w:p>
              </w:tc>
              <w:tc>
                <w:tcPr>
                  <w:tcW w:w="987" w:type="dxa"/>
                  <w:vAlign w:val="center"/>
                </w:tcPr>
                <w:p w14:paraId="725F132E">
                  <w:pPr>
                    <w:pStyle w:val="145"/>
                    <w:spacing w:beforeLines="0" w:afterLines="0" w:line="240"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达标</w:t>
                  </w:r>
                </w:p>
              </w:tc>
            </w:tr>
          </w:tbl>
          <w:p w14:paraId="003272B5">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由表3-1可知，202</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年钦州市SO</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、NO</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、PM</w:t>
            </w:r>
            <w:r>
              <w:rPr>
                <w:rFonts w:ascii="Times New Roman" w:hAnsi="Times New Roman" w:cs="Times New Roman"/>
                <w:color w:val="000000" w:themeColor="text1"/>
                <w:vertAlign w:val="subscript"/>
                <w14:textFill>
                  <w14:solidFill>
                    <w14:schemeClr w14:val="tx1"/>
                  </w14:solidFill>
                </w14:textFill>
              </w:rPr>
              <w:t>10</w:t>
            </w:r>
            <w:r>
              <w:rPr>
                <w:rFonts w:ascii="Times New Roman" w:hAnsi="Times New Roman" w:cs="Times New Roman"/>
                <w:color w:val="000000" w:themeColor="text1"/>
                <w14:textFill>
                  <w14:solidFill>
                    <w14:schemeClr w14:val="tx1"/>
                  </w14:solidFill>
                </w14:textFill>
              </w:rPr>
              <w:t>、PM</w:t>
            </w:r>
            <w:r>
              <w:rPr>
                <w:rFonts w:ascii="Times New Roman" w:hAnsi="Times New Roman" w:cs="Times New Roman"/>
                <w:color w:val="000000" w:themeColor="text1"/>
                <w:vertAlign w:val="subscript"/>
                <w14:textFill>
                  <w14:solidFill>
                    <w14:schemeClr w14:val="tx1"/>
                  </w14:solidFill>
                </w14:textFill>
              </w:rPr>
              <w:t>2.5</w:t>
            </w:r>
            <w:r>
              <w:rPr>
                <w:rFonts w:ascii="Times New Roman" w:hAnsi="Times New Roman" w:cs="Times New Roman"/>
                <w:color w:val="000000" w:themeColor="text1"/>
                <w14:textFill>
                  <w14:solidFill>
                    <w14:schemeClr w14:val="tx1"/>
                  </w14:solidFill>
                </w14:textFill>
              </w:rPr>
              <w:t>年平均质量浓度均达到《环境空气质量标准》（GB3095-</w:t>
            </w:r>
            <w:r>
              <w:rPr>
                <w:rFonts w:hint="eastAsia" w:ascii="Times New Roman" w:hAnsi="Times New Roman" w:cs="Times New Roman"/>
                <w:color w:val="000000" w:themeColor="text1"/>
                <w14:textFill>
                  <w14:solidFill>
                    <w14:schemeClr w14:val="tx1"/>
                  </w14:solidFill>
                </w14:textFill>
              </w:rPr>
              <w:t>2026</w:t>
            </w:r>
            <w:r>
              <w:rPr>
                <w:rFonts w:ascii="Times New Roman" w:hAnsi="Times New Roman" w:cs="Times New Roman"/>
                <w:color w:val="000000" w:themeColor="text1"/>
                <w14:textFill>
                  <w14:solidFill>
                    <w14:schemeClr w14:val="tx1"/>
                  </w14:solidFill>
                </w14:textFill>
              </w:rPr>
              <w:t>）二级标准要求；CO 24小时平均第95百分位数、O</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日最大8小时平均第90百分位数浓度均达到《环境空气质量标准》（GB3095-20</w:t>
            </w:r>
            <w:r>
              <w:rPr>
                <w:rFonts w:hint="eastAsia" w:ascii="Times New Roman" w:hAnsi="Times New Roman" w:cs="Times New Roman"/>
                <w:color w:val="000000" w:themeColor="text1"/>
                <w14:textFill>
                  <w14:solidFill>
                    <w14:schemeClr w14:val="tx1"/>
                  </w14:solidFill>
                </w14:textFill>
              </w:rPr>
              <w:t>26</w:t>
            </w:r>
            <w:r>
              <w:rPr>
                <w:rFonts w:ascii="Times New Roman" w:hAnsi="Times New Roman" w:cs="Times New Roman"/>
                <w:color w:val="000000" w:themeColor="text1"/>
                <w14:textFill>
                  <w14:solidFill>
                    <w14:schemeClr w14:val="tx1"/>
                  </w14:solidFill>
                </w14:textFill>
              </w:rPr>
              <w:t>）二级标准要求。根据判定，项目所在区域为达标区，区域环境空气质量良好。</w:t>
            </w:r>
          </w:p>
          <w:p w14:paraId="4D99F0C9">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（2）其他特征污染物</w:t>
            </w:r>
          </w:p>
          <w:p w14:paraId="0CE6F18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为进一步了解项目所在区域特征因子硫酸雾</w:t>
            </w:r>
            <w:r>
              <w:rPr>
                <w:rFonts w:hint="eastAsia" w:ascii="Times New Roman" w:hAnsi="Times New Roman" w:cs="Times New Roman"/>
                <w:color w:val="000000" w:themeColor="text1"/>
                <w14:textFill>
                  <w14:solidFill>
                    <w14:schemeClr w14:val="tx1"/>
                  </w14:solidFill>
                </w14:textFill>
              </w:rPr>
              <w:t>、TVOC、NMHC</w:t>
            </w:r>
            <w:r>
              <w:rPr>
                <w:rFonts w:ascii="Times New Roman" w:hAnsi="Times New Roman" w:cs="Times New Roman"/>
                <w:color w:val="000000" w:themeColor="text1"/>
                <w14:textFill>
                  <w14:solidFill>
                    <w14:schemeClr w14:val="tx1"/>
                  </w14:solidFill>
                </w14:textFill>
              </w:rPr>
              <w:t>的环境现状浓度，</w:t>
            </w:r>
            <w:r>
              <w:rPr>
                <w:rFonts w:ascii="Times New Roman" w:hAnsi="Times New Roman" w:eastAsia="新宋体" w:cs="Times New Roman"/>
                <w:color w:val="000000" w:themeColor="text1"/>
                <w14:textFill>
                  <w14:solidFill>
                    <w14:schemeClr w14:val="tx1"/>
                  </w14:solidFill>
                </w14:textFill>
              </w:rPr>
              <w:t>根据《建设项目环境影响报告表编制技术指南（污染影响类）（试行）》，“排放国家、地方环境空气质量标准中有标准限值要求的特征污染物时，引用建设项目周边5千米范围内近3年的现有监测数据”。</w:t>
            </w:r>
            <w:r>
              <w:rPr>
                <w:rFonts w:hint="eastAsia" w:ascii="Times New Roman" w:hAnsi="Times New Roman" w:eastAsia="新宋体" w:cs="Times New Roman"/>
                <w:color w:val="000000" w:themeColor="text1"/>
                <w14:textFill>
                  <w14:solidFill>
                    <w14:schemeClr w14:val="tx1"/>
                  </w14:solidFill>
                </w14:textFill>
              </w:rPr>
              <w:t>本评价引用</w:t>
            </w:r>
            <w:r>
              <w:rPr>
                <w:rFonts w:ascii="Times New Roman" w:hAnsi="Times New Roman" w:cs="Times New Roman"/>
                <w:color w:val="000000" w:themeColor="text1"/>
                <w14:textFill>
                  <w14:solidFill>
                    <w14:schemeClr w14:val="tx1"/>
                  </w14:solidFill>
                </w14:textFill>
              </w:rPr>
              <w:t>广西恒沁检测科技有限公司</w:t>
            </w:r>
            <w:r>
              <w:rPr>
                <w:rFonts w:hint="eastAsia" w:ascii="Times New Roman" w:hAnsi="Times New Roman" w:cs="Times New Roman"/>
                <w:color w:val="000000" w:themeColor="text1"/>
                <w14:textFill>
                  <w14:solidFill>
                    <w14:schemeClr w14:val="tx1"/>
                  </w14:solidFill>
                </w14:textFill>
              </w:rPr>
              <w:t>的《北部湾港钦州港域金谷港区金鼓江作业区14号泊位扩建工程项目现状检测报告》和《广西新天德能源有限公司30万吨/年醇基新材料一体化项目现状检测报告》，其中项目区域的</w:t>
            </w:r>
            <w:r>
              <w:rPr>
                <w:rFonts w:ascii="Times New Roman" w:hAnsi="Times New Roman" w:cs="Times New Roman"/>
                <w:color w:val="000000" w:themeColor="text1"/>
                <w14:textFill>
                  <w14:solidFill>
                    <w14:schemeClr w14:val="tx1"/>
                  </w14:solidFill>
                </w14:textFill>
              </w:rPr>
              <w:t>硫酸雾</w:t>
            </w:r>
            <w:r>
              <w:rPr>
                <w:rFonts w:hint="eastAsia" w:ascii="Times New Roman" w:hAnsi="Times New Roman" w:cs="Times New Roman"/>
                <w:color w:val="000000" w:themeColor="text1"/>
                <w14:textFill>
                  <w14:solidFill>
                    <w14:schemeClr w14:val="tx1"/>
                  </w14:solidFill>
                </w14:textFill>
              </w:rPr>
              <w:t>、TVOC、NMHC的监测数据</w:t>
            </w:r>
            <w:r>
              <w:rPr>
                <w:rFonts w:ascii="Times New Roman" w:hAnsi="Times New Roman" w:cs="Times New Roman"/>
                <w:color w:val="000000" w:themeColor="text1"/>
                <w14:textFill>
                  <w14:solidFill>
                    <w14:schemeClr w14:val="tx1"/>
                  </w14:solidFill>
                </w14:textFill>
              </w:rPr>
              <w:t>如下：</w:t>
            </w:r>
          </w:p>
          <w:p w14:paraId="0BAF695C">
            <w:pPr>
              <w:pStyle w:val="200"/>
              <w:widowControl w:val="0"/>
              <w:numPr>
                <w:ilvl w:val="0"/>
                <w:numId w:val="17"/>
              </w:numPr>
              <w:spacing w:line="360" w:lineRule="auto"/>
              <w:ind w:firstLineChars="0"/>
              <w:jc w:val="both"/>
              <w:rPr>
                <w:rFonts w:ascii="Times New Roman" w:hAnsi="Times New Roman" w:cs="Times New Roman"/>
                <w:b/>
                <w:bCs/>
                <w:color w:val="000000" w:themeColor="text1"/>
                <w:lang w:val="zh-CN"/>
                <w14:textFill>
                  <w14:solidFill>
                    <w14:schemeClr w14:val="tx1"/>
                  </w14:solidFill>
                </w14:textFill>
              </w:rPr>
            </w:pPr>
            <w:r>
              <w:rPr>
                <w:rFonts w:ascii="Times New Roman" w:hAnsi="Times New Roman" w:cs="Times New Roman"/>
                <w:b/>
                <w:bCs/>
                <w:color w:val="000000" w:themeColor="text1"/>
                <w:lang w:val="zh-CN"/>
                <w14:textFill>
                  <w14:solidFill>
                    <w14:schemeClr w14:val="tx1"/>
                  </w14:solidFill>
                </w14:textFill>
              </w:rPr>
              <w:t>测点位布设</w:t>
            </w:r>
          </w:p>
          <w:p w14:paraId="57F84D02">
            <w:pPr>
              <w:spacing w:line="360" w:lineRule="auto"/>
              <w:ind w:firstLine="480" w:firstLineChars="200"/>
              <w:rPr>
                <w:rFonts w:ascii="Times New Roman" w:hAnsi="Times New Roman" w:eastAsia="新宋体" w:cs="Times New Roman"/>
                <w:color w:val="000000" w:themeColor="text1"/>
                <w14:textFill>
                  <w14:solidFill>
                    <w14:schemeClr w14:val="tx1"/>
                  </w14:solidFill>
                </w14:textFill>
              </w:rPr>
            </w:pPr>
            <w:r>
              <w:rPr>
                <w:rFonts w:ascii="Times New Roman" w:hAnsi="Times New Roman" w:eastAsia="新宋体" w:cs="Times New Roman"/>
                <w:color w:val="000000" w:themeColor="text1"/>
                <w:lang w:val="zh-CN"/>
                <w14:textFill>
                  <w14:solidFill>
                    <w14:schemeClr w14:val="tx1"/>
                  </w14:solidFill>
                </w14:textFill>
              </w:rPr>
              <w:t>根据项目的特点、区域大气污染状况、功能布局及周围环境敏感点的分布情况，结合地形和污染气象等自然因素，</w:t>
            </w:r>
            <w:r>
              <w:rPr>
                <w:rFonts w:ascii="Times New Roman" w:hAnsi="Times New Roman" w:eastAsia="新宋体" w:cs="Times New Roman"/>
                <w:color w:val="000000" w:themeColor="text1"/>
                <w14:textFill>
                  <w14:solidFill>
                    <w14:schemeClr w14:val="tx1"/>
                  </w14:solidFill>
                </w14:textFill>
              </w:rPr>
              <w:t>本项目在</w:t>
            </w:r>
            <w:r>
              <w:rPr>
                <w:rFonts w:hint="eastAsia" w:ascii="Times New Roman" w:hAnsi="Times New Roman" w:eastAsia="新宋体" w:cs="Times New Roman"/>
                <w:color w:val="000000" w:themeColor="text1"/>
                <w14:textFill>
                  <w14:solidFill>
                    <w14:schemeClr w14:val="tx1"/>
                  </w14:solidFill>
                </w14:textFill>
              </w:rPr>
              <w:t>码头前沿</w:t>
            </w:r>
            <w:r>
              <w:rPr>
                <w:rFonts w:ascii="Times New Roman" w:hAnsi="Times New Roman" w:eastAsia="新宋体" w:cs="Times New Roman"/>
                <w:color w:val="000000" w:themeColor="text1"/>
                <w14:textFill>
                  <w14:solidFill>
                    <w14:schemeClr w14:val="tx1"/>
                  </w14:solidFill>
                </w14:textFill>
              </w:rPr>
              <w:t>设置1个点位补充监测</w:t>
            </w:r>
            <w:r>
              <w:rPr>
                <w:rFonts w:ascii="Times New Roman" w:hAnsi="Times New Roman" w:cs="Times New Roman"/>
                <w:color w:val="000000" w:themeColor="text1"/>
                <w14:textFill>
                  <w14:solidFill>
                    <w14:schemeClr w14:val="tx1"/>
                  </w14:solidFill>
                </w14:textFill>
              </w:rPr>
              <w:t>硫酸雾</w:t>
            </w:r>
            <w:r>
              <w:rPr>
                <w:rFonts w:hint="eastAsia" w:ascii="Times New Roman" w:hAnsi="Times New Roman" w:cs="Times New Roman"/>
                <w:color w:val="000000" w:themeColor="text1"/>
                <w14:textFill>
                  <w14:solidFill>
                    <w14:schemeClr w14:val="tx1"/>
                  </w14:solidFill>
                </w14:textFill>
              </w:rPr>
              <w:t>、NMHC</w:t>
            </w:r>
            <w:r>
              <w:rPr>
                <w:rFonts w:ascii="Times New Roman" w:hAnsi="Times New Roman" w:eastAsia="新宋体" w:cs="Times New Roman"/>
                <w:color w:val="000000" w:themeColor="text1"/>
                <w14:textFill>
                  <w14:solidFill>
                    <w14:schemeClr w14:val="tx1"/>
                  </w14:solidFill>
                </w14:textFill>
              </w:rPr>
              <w:t>的环境质量现状。监测点位基本情况见下表。</w:t>
            </w:r>
          </w:p>
          <w:p w14:paraId="6DC5233D">
            <w:pPr>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表3-2  监测点位一览表</w:t>
            </w:r>
          </w:p>
          <w:tbl>
            <w:tblPr>
              <w:tblStyle w:val="88"/>
              <w:tblW w:w="87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950"/>
              <w:gridCol w:w="1334"/>
              <w:gridCol w:w="1279"/>
              <w:gridCol w:w="1683"/>
              <w:gridCol w:w="1626"/>
              <w:gridCol w:w="849"/>
              <w:gridCol w:w="1045"/>
            </w:tblGrid>
            <w:tr w14:paraId="1C03B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3" w:hRule="atLeast"/>
                <w:jc w:val="center"/>
              </w:trPr>
              <w:tc>
                <w:tcPr>
                  <w:tcW w:w="950" w:type="dxa"/>
                  <w:vMerge w:val="restart"/>
                  <w:vAlign w:val="center"/>
                </w:tcPr>
                <w:p w14:paraId="3F63C8E4">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监测点</w:t>
                  </w:r>
                </w:p>
                <w:p w14:paraId="085A99D6">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名称</w:t>
                  </w:r>
                </w:p>
              </w:tc>
              <w:tc>
                <w:tcPr>
                  <w:tcW w:w="2613" w:type="dxa"/>
                  <w:gridSpan w:val="2"/>
                  <w:vAlign w:val="center"/>
                </w:tcPr>
                <w:p w14:paraId="400BE809">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监测点坐标</w:t>
                  </w:r>
                </w:p>
              </w:tc>
              <w:tc>
                <w:tcPr>
                  <w:tcW w:w="1683" w:type="dxa"/>
                  <w:vMerge w:val="restart"/>
                  <w:vAlign w:val="center"/>
                </w:tcPr>
                <w:p w14:paraId="3725574C">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监测因子</w:t>
                  </w:r>
                </w:p>
              </w:tc>
              <w:tc>
                <w:tcPr>
                  <w:tcW w:w="1626" w:type="dxa"/>
                  <w:vMerge w:val="restart"/>
                  <w:vAlign w:val="center"/>
                </w:tcPr>
                <w:p w14:paraId="575F7B08">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监测时段</w:t>
                  </w:r>
                </w:p>
              </w:tc>
              <w:tc>
                <w:tcPr>
                  <w:tcW w:w="849" w:type="dxa"/>
                  <w:vMerge w:val="restart"/>
                  <w:vAlign w:val="center"/>
                </w:tcPr>
                <w:p w14:paraId="00F45817">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相对厂界方位</w:t>
                  </w:r>
                </w:p>
              </w:tc>
              <w:tc>
                <w:tcPr>
                  <w:tcW w:w="1045" w:type="dxa"/>
                  <w:vMerge w:val="restart"/>
                  <w:vAlign w:val="center"/>
                </w:tcPr>
                <w:p w14:paraId="3796D78C">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相对厂界距离/m</w:t>
                  </w:r>
                </w:p>
              </w:tc>
            </w:tr>
            <w:tr w14:paraId="615B8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34" w:hRule="atLeast"/>
                <w:jc w:val="center"/>
              </w:trPr>
              <w:tc>
                <w:tcPr>
                  <w:tcW w:w="950" w:type="dxa"/>
                  <w:vMerge w:val="continue"/>
                  <w:vAlign w:val="center"/>
                </w:tcPr>
                <w:p w14:paraId="6D0393F2">
                  <w:pPr>
                    <w:jc w:val="center"/>
                    <w:rPr>
                      <w:rFonts w:ascii="Times New Roman" w:hAnsi="Times New Roman" w:cs="Times New Roman"/>
                      <w:color w:val="000000" w:themeColor="text1"/>
                      <w:sz w:val="21"/>
                      <w14:textFill>
                        <w14:solidFill>
                          <w14:schemeClr w14:val="tx1"/>
                        </w14:solidFill>
                      </w14:textFill>
                    </w:rPr>
                  </w:pPr>
                </w:p>
              </w:tc>
              <w:tc>
                <w:tcPr>
                  <w:tcW w:w="1334" w:type="dxa"/>
                  <w:vAlign w:val="center"/>
                </w:tcPr>
                <w:p w14:paraId="52E7B737">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经度</w:t>
                  </w:r>
                </w:p>
              </w:tc>
              <w:tc>
                <w:tcPr>
                  <w:tcW w:w="1279" w:type="dxa"/>
                  <w:vAlign w:val="center"/>
                </w:tcPr>
                <w:p w14:paraId="2D3A6B36">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纬度</w:t>
                  </w:r>
                </w:p>
              </w:tc>
              <w:tc>
                <w:tcPr>
                  <w:tcW w:w="1683" w:type="dxa"/>
                  <w:vMerge w:val="continue"/>
                  <w:vAlign w:val="center"/>
                </w:tcPr>
                <w:p w14:paraId="70F0A357">
                  <w:pPr>
                    <w:jc w:val="center"/>
                    <w:rPr>
                      <w:rFonts w:ascii="Times New Roman" w:hAnsi="Times New Roman" w:cs="Times New Roman"/>
                      <w:color w:val="000000" w:themeColor="text1"/>
                      <w:sz w:val="21"/>
                      <w14:textFill>
                        <w14:solidFill>
                          <w14:schemeClr w14:val="tx1"/>
                        </w14:solidFill>
                      </w14:textFill>
                    </w:rPr>
                  </w:pPr>
                </w:p>
              </w:tc>
              <w:tc>
                <w:tcPr>
                  <w:tcW w:w="1626" w:type="dxa"/>
                  <w:vMerge w:val="continue"/>
                  <w:vAlign w:val="center"/>
                </w:tcPr>
                <w:p w14:paraId="422CB8B5">
                  <w:pPr>
                    <w:jc w:val="center"/>
                    <w:rPr>
                      <w:rFonts w:ascii="Times New Roman" w:hAnsi="Times New Roman" w:cs="Times New Roman"/>
                      <w:color w:val="000000" w:themeColor="text1"/>
                      <w:sz w:val="21"/>
                      <w14:textFill>
                        <w14:solidFill>
                          <w14:schemeClr w14:val="tx1"/>
                        </w14:solidFill>
                      </w14:textFill>
                    </w:rPr>
                  </w:pPr>
                </w:p>
              </w:tc>
              <w:tc>
                <w:tcPr>
                  <w:tcW w:w="849" w:type="dxa"/>
                  <w:vMerge w:val="continue"/>
                  <w:vAlign w:val="center"/>
                </w:tcPr>
                <w:p w14:paraId="2A4B8C29">
                  <w:pPr>
                    <w:jc w:val="center"/>
                    <w:rPr>
                      <w:rFonts w:ascii="Times New Roman" w:hAnsi="Times New Roman" w:cs="Times New Roman"/>
                      <w:color w:val="000000" w:themeColor="text1"/>
                      <w:sz w:val="21"/>
                      <w14:textFill>
                        <w14:solidFill>
                          <w14:schemeClr w14:val="tx1"/>
                        </w14:solidFill>
                      </w14:textFill>
                    </w:rPr>
                  </w:pPr>
                </w:p>
              </w:tc>
              <w:tc>
                <w:tcPr>
                  <w:tcW w:w="1045" w:type="dxa"/>
                  <w:vMerge w:val="continue"/>
                  <w:vAlign w:val="center"/>
                </w:tcPr>
                <w:p w14:paraId="60145582">
                  <w:pPr>
                    <w:jc w:val="center"/>
                    <w:rPr>
                      <w:rFonts w:ascii="Times New Roman" w:hAnsi="Times New Roman" w:cs="Times New Roman"/>
                      <w:color w:val="000000" w:themeColor="text1"/>
                      <w:sz w:val="21"/>
                      <w14:textFill>
                        <w14:solidFill>
                          <w14:schemeClr w14:val="tx1"/>
                        </w14:solidFill>
                      </w14:textFill>
                    </w:rPr>
                  </w:pPr>
                </w:p>
              </w:tc>
            </w:tr>
            <w:tr w14:paraId="2F876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451" w:hRule="atLeast"/>
                <w:jc w:val="center"/>
              </w:trPr>
              <w:tc>
                <w:tcPr>
                  <w:tcW w:w="950" w:type="dxa"/>
                  <w:vAlign w:val="center"/>
                </w:tcPr>
                <w:p w14:paraId="56EC7698">
                  <w:pPr>
                    <w:jc w:val="center"/>
                    <w:rPr>
                      <w:rFonts w:ascii="Times New Roman" w:hAnsi="Times New Roman" w:cs="Times New Roman"/>
                      <w:color w:val="000000" w:themeColor="text1"/>
                      <w:sz w:val="21"/>
                      <w14:textFill>
                        <w14:solidFill>
                          <w14:schemeClr w14:val="tx1"/>
                        </w14:solidFill>
                      </w14:textFill>
                    </w:rPr>
                  </w:pPr>
                </w:p>
              </w:tc>
              <w:tc>
                <w:tcPr>
                  <w:tcW w:w="1334" w:type="dxa"/>
                  <w:vAlign w:val="center"/>
                </w:tcPr>
                <w:p w14:paraId="19BA13F8">
                  <w:pPr>
                    <w:jc w:val="center"/>
                    <w:rPr>
                      <w:rFonts w:ascii="Times New Roman" w:hAnsi="Times New Roman" w:cs="Times New Roman"/>
                      <w:color w:val="000000" w:themeColor="text1"/>
                      <w:sz w:val="21"/>
                      <w:szCs w:val="21"/>
                      <w14:textFill>
                        <w14:solidFill>
                          <w14:schemeClr w14:val="tx1"/>
                        </w14:solidFill>
                      </w14:textFill>
                    </w:rPr>
                  </w:pPr>
                </w:p>
              </w:tc>
              <w:tc>
                <w:tcPr>
                  <w:tcW w:w="1279" w:type="dxa"/>
                  <w:vAlign w:val="center"/>
                </w:tcPr>
                <w:p w14:paraId="1C2802AF">
                  <w:pPr>
                    <w:jc w:val="center"/>
                    <w:rPr>
                      <w:rFonts w:ascii="Times New Roman" w:hAnsi="Times New Roman" w:cs="Times New Roman"/>
                      <w:color w:val="000000" w:themeColor="text1"/>
                      <w:sz w:val="21"/>
                      <w:szCs w:val="21"/>
                      <w14:textFill>
                        <w14:solidFill>
                          <w14:schemeClr w14:val="tx1"/>
                        </w14:solidFill>
                      </w14:textFill>
                    </w:rPr>
                  </w:pPr>
                </w:p>
              </w:tc>
              <w:tc>
                <w:tcPr>
                  <w:tcW w:w="1683" w:type="dxa"/>
                  <w:vAlign w:val="center"/>
                </w:tcPr>
                <w:p w14:paraId="6F5E961C">
                  <w:pPr>
                    <w:jc w:val="center"/>
                    <w:rPr>
                      <w:rFonts w:ascii="Times New Roman" w:hAnsi="Times New Roman" w:cs="Times New Roman"/>
                      <w:color w:val="000000" w:themeColor="text1"/>
                      <w:sz w:val="21"/>
                      <w14:textFill>
                        <w14:solidFill>
                          <w14:schemeClr w14:val="tx1"/>
                        </w14:solidFill>
                      </w14:textFill>
                    </w:rPr>
                  </w:pPr>
                </w:p>
              </w:tc>
              <w:tc>
                <w:tcPr>
                  <w:tcW w:w="1626" w:type="dxa"/>
                  <w:vAlign w:val="center"/>
                </w:tcPr>
                <w:p w14:paraId="26767702">
                  <w:pPr>
                    <w:jc w:val="center"/>
                    <w:rPr>
                      <w:rFonts w:ascii="Times New Roman" w:hAnsi="Times New Roman" w:cs="Times New Roman"/>
                      <w:color w:val="000000" w:themeColor="text1"/>
                      <w:sz w:val="21"/>
                      <w14:textFill>
                        <w14:solidFill>
                          <w14:schemeClr w14:val="tx1"/>
                        </w14:solidFill>
                      </w14:textFill>
                    </w:rPr>
                  </w:pPr>
                </w:p>
              </w:tc>
              <w:tc>
                <w:tcPr>
                  <w:tcW w:w="849" w:type="dxa"/>
                  <w:vAlign w:val="center"/>
                </w:tcPr>
                <w:p w14:paraId="1F7F28C9">
                  <w:pPr>
                    <w:jc w:val="center"/>
                    <w:rPr>
                      <w:rFonts w:ascii="Times New Roman" w:hAnsi="Times New Roman" w:cs="Times New Roman"/>
                      <w:color w:val="000000" w:themeColor="text1"/>
                      <w:sz w:val="21"/>
                      <w14:textFill>
                        <w14:solidFill>
                          <w14:schemeClr w14:val="tx1"/>
                        </w14:solidFill>
                      </w14:textFill>
                    </w:rPr>
                  </w:pPr>
                </w:p>
              </w:tc>
              <w:tc>
                <w:tcPr>
                  <w:tcW w:w="1045" w:type="dxa"/>
                  <w:vAlign w:val="center"/>
                </w:tcPr>
                <w:p w14:paraId="1AFC4A1D">
                  <w:pPr>
                    <w:jc w:val="center"/>
                    <w:rPr>
                      <w:rFonts w:ascii="Times New Roman" w:hAnsi="Times New Roman" w:cs="Times New Roman"/>
                      <w:color w:val="000000" w:themeColor="text1"/>
                      <w:sz w:val="21"/>
                      <w14:textFill>
                        <w14:solidFill>
                          <w14:schemeClr w14:val="tx1"/>
                        </w14:solidFill>
                      </w14:textFill>
                    </w:rPr>
                  </w:pPr>
                </w:p>
              </w:tc>
            </w:tr>
            <w:tr w14:paraId="1DCCC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451" w:hRule="atLeast"/>
                <w:jc w:val="center"/>
              </w:trPr>
              <w:tc>
                <w:tcPr>
                  <w:tcW w:w="950" w:type="dxa"/>
                  <w:vAlign w:val="center"/>
                </w:tcPr>
                <w:p w14:paraId="23E18040">
                  <w:pPr>
                    <w:jc w:val="center"/>
                    <w:rPr>
                      <w:rFonts w:ascii="Times New Roman" w:hAnsi="Times New Roman" w:cs="Times New Roman"/>
                      <w:color w:val="000000" w:themeColor="text1"/>
                      <w:sz w:val="21"/>
                      <w14:textFill>
                        <w14:solidFill>
                          <w14:schemeClr w14:val="tx1"/>
                        </w14:solidFill>
                      </w14:textFill>
                    </w:rPr>
                  </w:pPr>
                </w:p>
              </w:tc>
              <w:tc>
                <w:tcPr>
                  <w:tcW w:w="1334" w:type="dxa"/>
                  <w:vAlign w:val="center"/>
                </w:tcPr>
                <w:p w14:paraId="02132E05">
                  <w:pPr>
                    <w:jc w:val="center"/>
                    <w:rPr>
                      <w:rFonts w:ascii="Times New Roman" w:hAnsi="Times New Roman" w:cs="Times New Roman"/>
                      <w:color w:val="000000" w:themeColor="text1"/>
                      <w:sz w:val="21"/>
                      <w14:textFill>
                        <w14:solidFill>
                          <w14:schemeClr w14:val="tx1"/>
                        </w14:solidFill>
                      </w14:textFill>
                    </w:rPr>
                  </w:pPr>
                </w:p>
              </w:tc>
              <w:tc>
                <w:tcPr>
                  <w:tcW w:w="1279" w:type="dxa"/>
                  <w:vAlign w:val="center"/>
                </w:tcPr>
                <w:p w14:paraId="5166A88B">
                  <w:pPr>
                    <w:jc w:val="center"/>
                    <w:rPr>
                      <w:rFonts w:ascii="Times New Roman" w:hAnsi="Times New Roman" w:cs="Times New Roman"/>
                      <w:color w:val="000000" w:themeColor="text1"/>
                      <w:sz w:val="21"/>
                      <w14:textFill>
                        <w14:solidFill>
                          <w14:schemeClr w14:val="tx1"/>
                        </w14:solidFill>
                      </w14:textFill>
                    </w:rPr>
                  </w:pPr>
                </w:p>
              </w:tc>
              <w:tc>
                <w:tcPr>
                  <w:tcW w:w="1683" w:type="dxa"/>
                  <w:vAlign w:val="center"/>
                </w:tcPr>
                <w:p w14:paraId="627AE61F">
                  <w:pPr>
                    <w:jc w:val="center"/>
                    <w:rPr>
                      <w:rFonts w:ascii="Times New Roman" w:hAnsi="Times New Roman" w:cs="Times New Roman"/>
                      <w:color w:val="000000" w:themeColor="text1"/>
                      <w:sz w:val="21"/>
                      <w14:textFill>
                        <w14:solidFill>
                          <w14:schemeClr w14:val="tx1"/>
                        </w14:solidFill>
                      </w14:textFill>
                    </w:rPr>
                  </w:pPr>
                </w:p>
              </w:tc>
              <w:tc>
                <w:tcPr>
                  <w:tcW w:w="1626" w:type="dxa"/>
                  <w:vAlign w:val="center"/>
                </w:tcPr>
                <w:p w14:paraId="18653717">
                  <w:pPr>
                    <w:jc w:val="center"/>
                    <w:rPr>
                      <w:rFonts w:ascii="Times New Roman" w:hAnsi="Times New Roman" w:cs="Times New Roman"/>
                      <w:color w:val="000000" w:themeColor="text1"/>
                      <w:sz w:val="21"/>
                      <w14:textFill>
                        <w14:solidFill>
                          <w14:schemeClr w14:val="tx1"/>
                        </w14:solidFill>
                      </w14:textFill>
                    </w:rPr>
                  </w:pPr>
                </w:p>
              </w:tc>
              <w:tc>
                <w:tcPr>
                  <w:tcW w:w="849" w:type="dxa"/>
                  <w:vAlign w:val="center"/>
                </w:tcPr>
                <w:p w14:paraId="4559B65A">
                  <w:pPr>
                    <w:jc w:val="center"/>
                    <w:rPr>
                      <w:rFonts w:ascii="Times New Roman" w:hAnsi="Times New Roman" w:cs="Times New Roman"/>
                      <w:color w:val="000000" w:themeColor="text1"/>
                      <w:sz w:val="21"/>
                      <w14:textFill>
                        <w14:solidFill>
                          <w14:schemeClr w14:val="tx1"/>
                        </w14:solidFill>
                      </w14:textFill>
                    </w:rPr>
                  </w:pPr>
                </w:p>
              </w:tc>
              <w:tc>
                <w:tcPr>
                  <w:tcW w:w="1045" w:type="dxa"/>
                  <w:vAlign w:val="center"/>
                </w:tcPr>
                <w:p w14:paraId="050DFD21">
                  <w:pPr>
                    <w:jc w:val="center"/>
                    <w:rPr>
                      <w:rFonts w:ascii="Times New Roman" w:hAnsi="Times New Roman" w:cs="Times New Roman"/>
                      <w:color w:val="000000" w:themeColor="text1"/>
                      <w:sz w:val="21"/>
                      <w14:textFill>
                        <w14:solidFill>
                          <w14:schemeClr w14:val="tx1"/>
                        </w14:solidFill>
                      </w14:textFill>
                    </w:rPr>
                  </w:pPr>
                </w:p>
              </w:tc>
            </w:tr>
          </w:tbl>
          <w:p w14:paraId="540D5625">
            <w:pPr>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hint="eastAsia"/>
                <w:b/>
                <w:bCs/>
                <w:color w:val="000000" w:themeColor="text1"/>
                <w:lang w:val="zh-CN"/>
                <w14:textFill>
                  <w14:solidFill>
                    <w14:schemeClr w14:val="tx1"/>
                  </w14:solidFill>
                </w14:textFill>
              </w:rPr>
              <w:t>②</w:t>
            </w:r>
            <w:r>
              <w:rPr>
                <w:rFonts w:ascii="Times New Roman" w:hAnsi="Times New Roman" w:cs="Times New Roman"/>
                <w:b/>
                <w:bCs/>
                <w:color w:val="000000" w:themeColor="text1"/>
                <w14:textFill>
                  <w14:solidFill>
                    <w14:schemeClr w14:val="tx1"/>
                  </w14:solidFill>
                </w14:textFill>
              </w:rPr>
              <w:t>监测结果</w:t>
            </w:r>
          </w:p>
          <w:p w14:paraId="35F4AF05">
            <w:pPr>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表3-3 环境质量现状监测结果</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1" w:type="dxa"/>
                <w:bottom w:w="0" w:type="dxa"/>
                <w:right w:w="11" w:type="dxa"/>
              </w:tblCellMar>
            </w:tblPr>
            <w:tblGrid>
              <w:gridCol w:w="933"/>
              <w:gridCol w:w="1429"/>
              <w:gridCol w:w="1148"/>
              <w:gridCol w:w="1236"/>
              <w:gridCol w:w="1236"/>
              <w:gridCol w:w="1236"/>
              <w:gridCol w:w="713"/>
              <w:gridCol w:w="854"/>
            </w:tblGrid>
            <w:tr w14:paraId="5579D00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1" w:type="dxa"/>
                  <w:bottom w:w="0" w:type="dxa"/>
                  <w:right w:w="11" w:type="dxa"/>
                </w:tblCellMar>
              </w:tblPrEx>
              <w:trPr>
                <w:trHeight w:val="340" w:hRule="atLeast"/>
              </w:trPr>
              <w:tc>
                <w:tcPr>
                  <w:tcW w:w="927" w:type="dxa"/>
                  <w:vMerge w:val="restart"/>
                  <w:tcBorders>
                    <w:top w:val="single" w:color="auto" w:sz="8" w:space="0"/>
                    <w:left w:val="single" w:color="auto" w:sz="8" w:space="0"/>
                    <w:bottom w:val="single" w:color="auto" w:sz="8" w:space="0"/>
                    <w:right w:val="single" w:color="auto" w:sz="8" w:space="0"/>
                  </w:tcBorders>
                  <w:vAlign w:val="center"/>
                </w:tcPr>
                <w:p w14:paraId="34F035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监测点位</w:t>
                  </w:r>
                </w:p>
              </w:tc>
              <w:tc>
                <w:tcPr>
                  <w:tcW w:w="1419" w:type="dxa"/>
                  <w:vMerge w:val="restart"/>
                  <w:tcBorders>
                    <w:top w:val="single" w:color="auto" w:sz="8" w:space="0"/>
                    <w:left w:val="single" w:color="auto" w:sz="8" w:space="0"/>
                    <w:bottom w:val="single" w:color="auto" w:sz="8" w:space="0"/>
                    <w:right w:val="single" w:color="auto" w:sz="8" w:space="0"/>
                  </w:tcBorders>
                  <w:vAlign w:val="center"/>
                </w:tcPr>
                <w:p w14:paraId="25DE64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tc>
              <w:tc>
                <w:tcPr>
                  <w:tcW w:w="1140" w:type="dxa"/>
                  <w:vMerge w:val="restart"/>
                  <w:tcBorders>
                    <w:top w:val="single" w:color="auto" w:sz="8" w:space="0"/>
                    <w:left w:val="single" w:color="auto" w:sz="8" w:space="0"/>
                    <w:bottom w:val="single" w:color="auto" w:sz="8" w:space="0"/>
                    <w:right w:val="single" w:color="auto" w:sz="8" w:space="0"/>
                  </w:tcBorders>
                  <w:vAlign w:val="center"/>
                </w:tcPr>
                <w:p w14:paraId="259369B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平均时间</w:t>
                  </w:r>
                </w:p>
              </w:tc>
              <w:tc>
                <w:tcPr>
                  <w:tcW w:w="1227" w:type="dxa"/>
                  <w:vMerge w:val="restart"/>
                  <w:tcBorders>
                    <w:top w:val="single" w:color="auto" w:sz="8" w:space="0"/>
                    <w:left w:val="single" w:color="auto" w:sz="8" w:space="0"/>
                    <w:bottom w:val="single" w:color="auto" w:sz="8" w:space="0"/>
                    <w:right w:val="single" w:color="auto" w:sz="8" w:space="0"/>
                  </w:tcBorders>
                  <w:vAlign w:val="center"/>
                </w:tcPr>
                <w:p w14:paraId="4E758D7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标准限值</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μg/m</w:t>
                  </w:r>
                  <w:r>
                    <w:rPr>
                      <w:rFonts w:ascii="Times New Roman" w:hAnsi="Times New Roman" w:cs="Times New Roman"/>
                      <w:color w:val="000000" w:themeColor="text1"/>
                      <w:sz w:val="21"/>
                      <w:szCs w:val="21"/>
                      <w:vertAlign w:val="superscript"/>
                      <w14:textFill>
                        <w14:solidFill>
                          <w14:schemeClr w14:val="tx1"/>
                        </w14:solidFill>
                      </w14:textFill>
                    </w:rPr>
                    <w:t>3</w:t>
                  </w:r>
                  <w:r>
                    <w:rPr>
                      <w:rFonts w:hint="eastAsia" w:ascii="Times New Roman" w:hAnsi="Times New Roman" w:cs="Times New Roman"/>
                      <w:color w:val="000000" w:themeColor="text1"/>
                      <w:sz w:val="21"/>
                      <w:szCs w:val="21"/>
                      <w14:textFill>
                        <w14:solidFill>
                          <w14:schemeClr w14:val="tx1"/>
                        </w14:solidFill>
                      </w14:textFill>
                    </w:rPr>
                    <w:t>）</w:t>
                  </w:r>
                </w:p>
              </w:tc>
              <w:tc>
                <w:tcPr>
                  <w:tcW w:w="1227" w:type="dxa"/>
                  <w:vMerge w:val="restart"/>
                  <w:tcBorders>
                    <w:top w:val="single" w:color="auto" w:sz="8" w:space="0"/>
                    <w:left w:val="single" w:color="auto" w:sz="8" w:space="0"/>
                    <w:bottom w:val="single" w:color="auto" w:sz="8" w:space="0"/>
                    <w:right w:val="single" w:color="auto" w:sz="8" w:space="0"/>
                  </w:tcBorders>
                  <w:vAlign w:val="center"/>
                </w:tcPr>
                <w:p w14:paraId="37A0F06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监测浓度</w:t>
                  </w:r>
                </w:p>
                <w:p w14:paraId="0661B21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μg/m</w:t>
                  </w:r>
                  <w:r>
                    <w:rPr>
                      <w:rFonts w:ascii="Times New Roman" w:hAnsi="Times New Roman" w:cs="Times New Roman"/>
                      <w:color w:val="000000" w:themeColor="text1"/>
                      <w:sz w:val="21"/>
                      <w:szCs w:val="21"/>
                      <w:vertAlign w:val="superscript"/>
                      <w14:textFill>
                        <w14:solidFill>
                          <w14:schemeClr w14:val="tx1"/>
                        </w14:solidFill>
                      </w14:textFill>
                    </w:rPr>
                    <w:t>3</w:t>
                  </w:r>
                  <w:r>
                    <w:rPr>
                      <w:rFonts w:hint="eastAsia" w:ascii="Times New Roman" w:hAnsi="Times New Roman" w:cs="Times New Roman"/>
                      <w:color w:val="000000" w:themeColor="text1"/>
                      <w:sz w:val="21"/>
                      <w:szCs w:val="21"/>
                      <w14:textFill>
                        <w14:solidFill>
                          <w14:schemeClr w14:val="tx1"/>
                        </w14:solidFill>
                      </w14:textFill>
                    </w:rPr>
                    <w:t>）</w:t>
                  </w:r>
                </w:p>
              </w:tc>
              <w:tc>
                <w:tcPr>
                  <w:tcW w:w="1227" w:type="dxa"/>
                  <w:vMerge w:val="restart"/>
                  <w:tcBorders>
                    <w:top w:val="single" w:color="auto" w:sz="8" w:space="0"/>
                    <w:left w:val="single" w:color="auto" w:sz="8" w:space="0"/>
                    <w:bottom w:val="single" w:color="auto" w:sz="8" w:space="0"/>
                    <w:right w:val="single" w:color="auto" w:sz="8" w:space="0"/>
                  </w:tcBorders>
                  <w:vAlign w:val="center"/>
                </w:tcPr>
                <w:p w14:paraId="2772D43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最大浓度</w:t>
                  </w:r>
                </w:p>
                <w:p w14:paraId="6505646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占标率%</w:t>
                  </w:r>
                </w:p>
              </w:tc>
              <w:tc>
                <w:tcPr>
                  <w:tcW w:w="708" w:type="dxa"/>
                  <w:vMerge w:val="restart"/>
                  <w:tcBorders>
                    <w:top w:val="single" w:color="auto" w:sz="8" w:space="0"/>
                    <w:left w:val="single" w:color="auto" w:sz="8" w:space="0"/>
                    <w:bottom w:val="single" w:color="auto" w:sz="8" w:space="0"/>
                    <w:right w:val="single" w:color="auto" w:sz="8" w:space="0"/>
                  </w:tcBorders>
                  <w:vAlign w:val="center"/>
                </w:tcPr>
                <w:p w14:paraId="54B81B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超标率%</w:t>
                  </w:r>
                </w:p>
              </w:tc>
              <w:tc>
                <w:tcPr>
                  <w:tcW w:w="848" w:type="dxa"/>
                  <w:vMerge w:val="restart"/>
                  <w:tcBorders>
                    <w:top w:val="single" w:color="auto" w:sz="8" w:space="0"/>
                    <w:left w:val="single" w:color="auto" w:sz="8" w:space="0"/>
                    <w:bottom w:val="single" w:color="auto" w:sz="8" w:space="0"/>
                    <w:right w:val="single" w:color="auto" w:sz="8" w:space="0"/>
                  </w:tcBorders>
                  <w:vAlign w:val="center"/>
                </w:tcPr>
                <w:p w14:paraId="2C2B930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达标</w:t>
                  </w:r>
                </w:p>
                <w:p w14:paraId="22D701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情况</w:t>
                  </w:r>
                </w:p>
              </w:tc>
            </w:tr>
            <w:tr w14:paraId="7B77C85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1" w:type="dxa"/>
                  <w:bottom w:w="0" w:type="dxa"/>
                  <w:right w:w="11" w:type="dxa"/>
                </w:tblCellMar>
              </w:tblPrEx>
              <w:trPr>
                <w:trHeight w:val="340" w:hRule="atLeast"/>
              </w:trPr>
              <w:tc>
                <w:tcPr>
                  <w:tcW w:w="927" w:type="dxa"/>
                  <w:vMerge w:val="continue"/>
                  <w:tcBorders>
                    <w:top w:val="single" w:color="auto" w:sz="8" w:space="0"/>
                    <w:left w:val="single" w:color="auto" w:sz="8" w:space="0"/>
                    <w:bottom w:val="single" w:color="auto" w:sz="8" w:space="0"/>
                    <w:right w:val="single" w:color="auto" w:sz="8" w:space="0"/>
                  </w:tcBorders>
                  <w:vAlign w:val="center"/>
                </w:tcPr>
                <w:p w14:paraId="74911F06">
                  <w:pPr>
                    <w:jc w:val="center"/>
                    <w:rPr>
                      <w:rFonts w:ascii="Times New Roman" w:hAnsi="Times New Roman" w:cs="Times New Roman"/>
                      <w:color w:val="000000" w:themeColor="text1"/>
                      <w:sz w:val="21"/>
                      <w:szCs w:val="21"/>
                      <w14:textFill>
                        <w14:solidFill>
                          <w14:schemeClr w14:val="tx1"/>
                        </w14:solidFill>
                      </w14:textFill>
                    </w:rPr>
                  </w:pPr>
                </w:p>
              </w:tc>
              <w:tc>
                <w:tcPr>
                  <w:tcW w:w="1419" w:type="dxa"/>
                  <w:vMerge w:val="continue"/>
                  <w:tcBorders>
                    <w:top w:val="single" w:color="auto" w:sz="8" w:space="0"/>
                    <w:left w:val="single" w:color="auto" w:sz="8" w:space="0"/>
                    <w:bottom w:val="single" w:color="auto" w:sz="8" w:space="0"/>
                    <w:right w:val="single" w:color="auto" w:sz="8" w:space="0"/>
                  </w:tcBorders>
                  <w:vAlign w:val="center"/>
                </w:tcPr>
                <w:p w14:paraId="45CC8696">
                  <w:pPr>
                    <w:jc w:val="center"/>
                    <w:rPr>
                      <w:rFonts w:ascii="Times New Roman" w:hAnsi="Times New Roman" w:cs="Times New Roman"/>
                      <w:color w:val="000000" w:themeColor="text1"/>
                      <w:sz w:val="21"/>
                      <w:szCs w:val="21"/>
                      <w14:textFill>
                        <w14:solidFill>
                          <w14:schemeClr w14:val="tx1"/>
                        </w14:solidFill>
                      </w14:textFill>
                    </w:rPr>
                  </w:pPr>
                </w:p>
              </w:tc>
              <w:tc>
                <w:tcPr>
                  <w:tcW w:w="1140" w:type="dxa"/>
                  <w:vMerge w:val="continue"/>
                  <w:tcBorders>
                    <w:top w:val="single" w:color="auto" w:sz="8" w:space="0"/>
                    <w:left w:val="single" w:color="auto" w:sz="8" w:space="0"/>
                    <w:bottom w:val="single" w:color="auto" w:sz="8" w:space="0"/>
                    <w:right w:val="single" w:color="auto" w:sz="8" w:space="0"/>
                  </w:tcBorders>
                  <w:vAlign w:val="center"/>
                </w:tcPr>
                <w:p w14:paraId="50DA5459">
                  <w:pPr>
                    <w:jc w:val="center"/>
                    <w:rPr>
                      <w:rFonts w:ascii="Times New Roman" w:hAnsi="Times New Roman" w:cs="Times New Roman"/>
                      <w:color w:val="000000" w:themeColor="text1"/>
                      <w:sz w:val="21"/>
                      <w:szCs w:val="21"/>
                      <w14:textFill>
                        <w14:solidFill>
                          <w14:schemeClr w14:val="tx1"/>
                        </w14:solidFill>
                      </w14:textFill>
                    </w:rPr>
                  </w:pPr>
                </w:p>
              </w:tc>
              <w:tc>
                <w:tcPr>
                  <w:tcW w:w="1227" w:type="dxa"/>
                  <w:vMerge w:val="continue"/>
                  <w:tcBorders>
                    <w:top w:val="single" w:color="auto" w:sz="8" w:space="0"/>
                    <w:left w:val="single" w:color="auto" w:sz="8" w:space="0"/>
                    <w:bottom w:val="single" w:color="auto" w:sz="8" w:space="0"/>
                    <w:right w:val="single" w:color="auto" w:sz="8" w:space="0"/>
                  </w:tcBorders>
                  <w:vAlign w:val="center"/>
                </w:tcPr>
                <w:p w14:paraId="6A46BB46">
                  <w:pPr>
                    <w:jc w:val="center"/>
                    <w:rPr>
                      <w:rFonts w:ascii="Times New Roman" w:hAnsi="Times New Roman" w:cs="Times New Roman"/>
                      <w:color w:val="000000" w:themeColor="text1"/>
                      <w:sz w:val="21"/>
                      <w:szCs w:val="21"/>
                      <w14:textFill>
                        <w14:solidFill>
                          <w14:schemeClr w14:val="tx1"/>
                        </w14:solidFill>
                      </w14:textFill>
                    </w:rPr>
                  </w:pPr>
                </w:p>
              </w:tc>
              <w:tc>
                <w:tcPr>
                  <w:tcW w:w="1227" w:type="dxa"/>
                  <w:vMerge w:val="continue"/>
                  <w:tcBorders>
                    <w:top w:val="single" w:color="auto" w:sz="8" w:space="0"/>
                    <w:left w:val="single" w:color="auto" w:sz="8" w:space="0"/>
                    <w:bottom w:val="single" w:color="auto" w:sz="8" w:space="0"/>
                    <w:right w:val="single" w:color="auto" w:sz="8" w:space="0"/>
                  </w:tcBorders>
                  <w:vAlign w:val="center"/>
                </w:tcPr>
                <w:p w14:paraId="234A56B6">
                  <w:pPr>
                    <w:jc w:val="center"/>
                    <w:rPr>
                      <w:rFonts w:ascii="Times New Roman" w:hAnsi="Times New Roman" w:cs="Times New Roman"/>
                      <w:color w:val="000000" w:themeColor="text1"/>
                      <w:sz w:val="21"/>
                      <w:szCs w:val="21"/>
                      <w14:textFill>
                        <w14:solidFill>
                          <w14:schemeClr w14:val="tx1"/>
                        </w14:solidFill>
                      </w14:textFill>
                    </w:rPr>
                  </w:pPr>
                </w:p>
              </w:tc>
              <w:tc>
                <w:tcPr>
                  <w:tcW w:w="1227" w:type="dxa"/>
                  <w:vMerge w:val="continue"/>
                  <w:tcBorders>
                    <w:top w:val="single" w:color="auto" w:sz="8" w:space="0"/>
                    <w:left w:val="single" w:color="auto" w:sz="8" w:space="0"/>
                    <w:bottom w:val="single" w:color="auto" w:sz="8" w:space="0"/>
                    <w:right w:val="single" w:color="auto" w:sz="8" w:space="0"/>
                  </w:tcBorders>
                  <w:vAlign w:val="center"/>
                </w:tcPr>
                <w:p w14:paraId="074C7A54">
                  <w:pPr>
                    <w:jc w:val="center"/>
                    <w:rPr>
                      <w:rFonts w:ascii="Times New Roman" w:hAnsi="Times New Roman" w:cs="Times New Roman"/>
                      <w:color w:val="000000" w:themeColor="text1"/>
                      <w:sz w:val="21"/>
                      <w:szCs w:val="21"/>
                      <w14:textFill>
                        <w14:solidFill>
                          <w14:schemeClr w14:val="tx1"/>
                        </w14:solidFill>
                      </w14:textFill>
                    </w:rPr>
                  </w:pPr>
                </w:p>
              </w:tc>
              <w:tc>
                <w:tcPr>
                  <w:tcW w:w="708" w:type="dxa"/>
                  <w:vMerge w:val="continue"/>
                  <w:tcBorders>
                    <w:top w:val="single" w:color="auto" w:sz="8" w:space="0"/>
                    <w:left w:val="single" w:color="auto" w:sz="8" w:space="0"/>
                    <w:bottom w:val="single" w:color="auto" w:sz="8" w:space="0"/>
                    <w:right w:val="single" w:color="auto" w:sz="8" w:space="0"/>
                  </w:tcBorders>
                  <w:vAlign w:val="center"/>
                </w:tcPr>
                <w:p w14:paraId="489DF523">
                  <w:pPr>
                    <w:jc w:val="center"/>
                    <w:rPr>
                      <w:rFonts w:ascii="Times New Roman" w:hAnsi="Times New Roman" w:cs="Times New Roman"/>
                      <w:color w:val="000000" w:themeColor="text1"/>
                      <w:sz w:val="21"/>
                      <w:szCs w:val="21"/>
                      <w14:textFill>
                        <w14:solidFill>
                          <w14:schemeClr w14:val="tx1"/>
                        </w14:solidFill>
                      </w14:textFill>
                    </w:rPr>
                  </w:pPr>
                </w:p>
              </w:tc>
              <w:tc>
                <w:tcPr>
                  <w:tcW w:w="848" w:type="dxa"/>
                  <w:vMerge w:val="continue"/>
                  <w:tcBorders>
                    <w:top w:val="single" w:color="auto" w:sz="8" w:space="0"/>
                    <w:left w:val="single" w:color="auto" w:sz="8" w:space="0"/>
                    <w:bottom w:val="single" w:color="auto" w:sz="8" w:space="0"/>
                    <w:right w:val="single" w:color="auto" w:sz="8" w:space="0"/>
                  </w:tcBorders>
                  <w:vAlign w:val="center"/>
                </w:tcPr>
                <w:p w14:paraId="412A162A">
                  <w:pPr>
                    <w:jc w:val="center"/>
                    <w:rPr>
                      <w:rFonts w:ascii="Times New Roman" w:hAnsi="Times New Roman" w:cs="Times New Roman"/>
                      <w:color w:val="000000" w:themeColor="text1"/>
                      <w:sz w:val="21"/>
                      <w:szCs w:val="21"/>
                      <w14:textFill>
                        <w14:solidFill>
                          <w14:schemeClr w14:val="tx1"/>
                        </w14:solidFill>
                      </w14:textFill>
                    </w:rPr>
                  </w:pPr>
                </w:p>
              </w:tc>
            </w:tr>
            <w:tr w14:paraId="419B7F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1" w:type="dxa"/>
                  <w:bottom w:w="0" w:type="dxa"/>
                  <w:right w:w="11" w:type="dxa"/>
                </w:tblCellMar>
              </w:tblPrEx>
              <w:trPr>
                <w:trHeight w:val="340" w:hRule="atLeast"/>
              </w:trPr>
              <w:tc>
                <w:tcPr>
                  <w:tcW w:w="927" w:type="dxa"/>
                  <w:vMerge w:val="restart"/>
                  <w:tcBorders>
                    <w:top w:val="single" w:color="auto" w:sz="8" w:space="0"/>
                    <w:left w:val="single" w:color="auto" w:sz="8" w:space="0"/>
                    <w:right w:val="single" w:color="auto" w:sz="8" w:space="0"/>
                  </w:tcBorders>
                  <w:vAlign w:val="center"/>
                </w:tcPr>
                <w:p w14:paraId="498DD2F5">
                  <w:pPr>
                    <w:jc w:val="center"/>
                    <w:rPr>
                      <w:rFonts w:ascii="Times New Roman" w:hAnsi="Times New Roman" w:cs="Times New Roman"/>
                      <w:color w:val="000000" w:themeColor="text1"/>
                      <w:sz w:val="21"/>
                      <w:szCs w:val="21"/>
                      <w14:textFill>
                        <w14:solidFill>
                          <w14:schemeClr w14:val="tx1"/>
                        </w14:solidFill>
                      </w14:textFill>
                    </w:rPr>
                  </w:pPr>
                </w:p>
              </w:tc>
              <w:tc>
                <w:tcPr>
                  <w:tcW w:w="1419" w:type="dxa"/>
                  <w:tcBorders>
                    <w:top w:val="single" w:color="auto" w:sz="8" w:space="0"/>
                    <w:left w:val="single" w:color="auto" w:sz="8" w:space="0"/>
                    <w:bottom w:val="single" w:color="auto" w:sz="8" w:space="0"/>
                    <w:right w:val="single" w:color="auto" w:sz="8" w:space="0"/>
                  </w:tcBorders>
                  <w:vAlign w:val="center"/>
                </w:tcPr>
                <w:p w14:paraId="0EEFD58D">
                  <w:pPr>
                    <w:jc w:val="center"/>
                    <w:rPr>
                      <w:rFonts w:ascii="Times New Roman" w:hAnsi="Times New Roman" w:cs="Times New Roman"/>
                      <w:color w:val="000000" w:themeColor="text1"/>
                      <w:sz w:val="21"/>
                      <w:szCs w:val="21"/>
                      <w14:textFill>
                        <w14:solidFill>
                          <w14:schemeClr w14:val="tx1"/>
                        </w14:solidFill>
                      </w14:textFill>
                    </w:rPr>
                  </w:pPr>
                </w:p>
              </w:tc>
              <w:tc>
                <w:tcPr>
                  <w:tcW w:w="1140" w:type="dxa"/>
                  <w:tcBorders>
                    <w:top w:val="single" w:color="auto" w:sz="8" w:space="0"/>
                    <w:left w:val="single" w:color="auto" w:sz="8" w:space="0"/>
                    <w:bottom w:val="single" w:color="auto" w:sz="8" w:space="0"/>
                    <w:right w:val="single" w:color="auto" w:sz="8" w:space="0"/>
                  </w:tcBorders>
                  <w:vAlign w:val="center"/>
                </w:tcPr>
                <w:p w14:paraId="5505F9F2">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48B047A4">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364A8BDD">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664182F0">
                  <w:pPr>
                    <w:jc w:val="center"/>
                    <w:rPr>
                      <w:rFonts w:ascii="Times New Roman" w:hAnsi="Times New Roman" w:cs="Times New Roman"/>
                      <w:color w:val="000000" w:themeColor="text1"/>
                      <w:sz w:val="21"/>
                      <w:szCs w:val="21"/>
                      <w14:textFill>
                        <w14:solidFill>
                          <w14:schemeClr w14:val="tx1"/>
                        </w14:solidFill>
                      </w14:textFill>
                    </w:rPr>
                  </w:pPr>
                </w:p>
              </w:tc>
              <w:tc>
                <w:tcPr>
                  <w:tcW w:w="708" w:type="dxa"/>
                  <w:tcBorders>
                    <w:top w:val="single" w:color="auto" w:sz="8" w:space="0"/>
                    <w:left w:val="single" w:color="auto" w:sz="8" w:space="0"/>
                    <w:bottom w:val="single" w:color="auto" w:sz="8" w:space="0"/>
                    <w:right w:val="single" w:color="auto" w:sz="8" w:space="0"/>
                  </w:tcBorders>
                  <w:vAlign w:val="center"/>
                </w:tcPr>
                <w:p w14:paraId="5D641383">
                  <w:pPr>
                    <w:jc w:val="center"/>
                    <w:rPr>
                      <w:rFonts w:ascii="Times New Roman" w:hAnsi="Times New Roman" w:cs="Times New Roman"/>
                      <w:color w:val="000000" w:themeColor="text1"/>
                      <w:sz w:val="21"/>
                      <w:szCs w:val="21"/>
                      <w14:textFill>
                        <w14:solidFill>
                          <w14:schemeClr w14:val="tx1"/>
                        </w14:solidFill>
                      </w14:textFill>
                    </w:rPr>
                  </w:pPr>
                </w:p>
              </w:tc>
              <w:tc>
                <w:tcPr>
                  <w:tcW w:w="848" w:type="dxa"/>
                  <w:tcBorders>
                    <w:top w:val="single" w:color="auto" w:sz="8" w:space="0"/>
                    <w:left w:val="single" w:color="auto" w:sz="8" w:space="0"/>
                    <w:bottom w:val="single" w:color="auto" w:sz="8" w:space="0"/>
                    <w:right w:val="single" w:color="auto" w:sz="8" w:space="0"/>
                  </w:tcBorders>
                  <w:vAlign w:val="center"/>
                </w:tcPr>
                <w:p w14:paraId="2AB81217">
                  <w:pPr>
                    <w:jc w:val="center"/>
                    <w:rPr>
                      <w:rFonts w:ascii="Times New Roman" w:hAnsi="Times New Roman" w:cs="Times New Roman"/>
                      <w:color w:val="000000" w:themeColor="text1"/>
                      <w:sz w:val="21"/>
                      <w:szCs w:val="21"/>
                      <w14:textFill>
                        <w14:solidFill>
                          <w14:schemeClr w14:val="tx1"/>
                        </w14:solidFill>
                      </w14:textFill>
                    </w:rPr>
                  </w:pPr>
                </w:p>
              </w:tc>
            </w:tr>
            <w:tr w14:paraId="02BDD94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1" w:type="dxa"/>
                  <w:bottom w:w="0" w:type="dxa"/>
                  <w:right w:w="11" w:type="dxa"/>
                </w:tblCellMar>
              </w:tblPrEx>
              <w:trPr>
                <w:trHeight w:val="340" w:hRule="atLeast"/>
              </w:trPr>
              <w:tc>
                <w:tcPr>
                  <w:tcW w:w="927" w:type="dxa"/>
                  <w:vMerge w:val="continue"/>
                  <w:tcBorders>
                    <w:left w:val="single" w:color="auto" w:sz="8" w:space="0"/>
                    <w:right w:val="single" w:color="auto" w:sz="8" w:space="0"/>
                  </w:tcBorders>
                  <w:vAlign w:val="center"/>
                </w:tcPr>
                <w:p w14:paraId="5AEFFBB8">
                  <w:pPr>
                    <w:jc w:val="center"/>
                    <w:rPr>
                      <w:rFonts w:ascii="Times New Roman" w:hAnsi="Times New Roman" w:cs="Times New Roman"/>
                      <w:color w:val="000000" w:themeColor="text1"/>
                      <w:sz w:val="21"/>
                      <w:szCs w:val="21"/>
                      <w14:textFill>
                        <w14:solidFill>
                          <w14:schemeClr w14:val="tx1"/>
                        </w14:solidFill>
                      </w14:textFill>
                    </w:rPr>
                  </w:pPr>
                </w:p>
              </w:tc>
              <w:tc>
                <w:tcPr>
                  <w:tcW w:w="1419" w:type="dxa"/>
                  <w:tcBorders>
                    <w:top w:val="single" w:color="auto" w:sz="8" w:space="0"/>
                    <w:left w:val="single" w:color="auto" w:sz="8" w:space="0"/>
                    <w:bottom w:val="single" w:color="auto" w:sz="8" w:space="0"/>
                    <w:right w:val="single" w:color="auto" w:sz="8" w:space="0"/>
                  </w:tcBorders>
                  <w:vAlign w:val="center"/>
                </w:tcPr>
                <w:p w14:paraId="3EE198F9">
                  <w:pPr>
                    <w:jc w:val="center"/>
                    <w:rPr>
                      <w:rFonts w:ascii="Times New Roman" w:hAnsi="Times New Roman" w:cs="Times New Roman"/>
                      <w:color w:val="000000" w:themeColor="text1"/>
                      <w:sz w:val="21"/>
                      <w:szCs w:val="21"/>
                      <w14:textFill>
                        <w14:solidFill>
                          <w14:schemeClr w14:val="tx1"/>
                        </w14:solidFill>
                      </w14:textFill>
                    </w:rPr>
                  </w:pPr>
                </w:p>
              </w:tc>
              <w:tc>
                <w:tcPr>
                  <w:tcW w:w="1140" w:type="dxa"/>
                  <w:tcBorders>
                    <w:top w:val="single" w:color="auto" w:sz="8" w:space="0"/>
                    <w:left w:val="single" w:color="auto" w:sz="8" w:space="0"/>
                    <w:bottom w:val="single" w:color="auto" w:sz="8" w:space="0"/>
                    <w:right w:val="single" w:color="auto" w:sz="8" w:space="0"/>
                  </w:tcBorders>
                  <w:vAlign w:val="center"/>
                </w:tcPr>
                <w:p w14:paraId="58D54570">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6E88C1F6">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644E7A51">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6C4BDB52">
                  <w:pPr>
                    <w:jc w:val="center"/>
                    <w:rPr>
                      <w:rFonts w:ascii="Times New Roman" w:hAnsi="Times New Roman" w:cs="Times New Roman"/>
                      <w:color w:val="000000" w:themeColor="text1"/>
                      <w:sz w:val="21"/>
                      <w:szCs w:val="21"/>
                      <w14:textFill>
                        <w14:solidFill>
                          <w14:schemeClr w14:val="tx1"/>
                        </w14:solidFill>
                      </w14:textFill>
                    </w:rPr>
                  </w:pPr>
                </w:p>
              </w:tc>
              <w:tc>
                <w:tcPr>
                  <w:tcW w:w="708" w:type="dxa"/>
                  <w:tcBorders>
                    <w:top w:val="single" w:color="auto" w:sz="8" w:space="0"/>
                    <w:left w:val="single" w:color="auto" w:sz="8" w:space="0"/>
                    <w:bottom w:val="single" w:color="auto" w:sz="8" w:space="0"/>
                    <w:right w:val="single" w:color="auto" w:sz="8" w:space="0"/>
                  </w:tcBorders>
                  <w:vAlign w:val="center"/>
                </w:tcPr>
                <w:p w14:paraId="031DB979">
                  <w:pPr>
                    <w:jc w:val="center"/>
                    <w:rPr>
                      <w:rFonts w:ascii="Times New Roman" w:hAnsi="Times New Roman" w:cs="Times New Roman"/>
                      <w:color w:val="000000" w:themeColor="text1"/>
                      <w:sz w:val="21"/>
                      <w:szCs w:val="21"/>
                      <w14:textFill>
                        <w14:solidFill>
                          <w14:schemeClr w14:val="tx1"/>
                        </w14:solidFill>
                      </w14:textFill>
                    </w:rPr>
                  </w:pPr>
                </w:p>
              </w:tc>
              <w:tc>
                <w:tcPr>
                  <w:tcW w:w="848" w:type="dxa"/>
                  <w:tcBorders>
                    <w:top w:val="single" w:color="auto" w:sz="8" w:space="0"/>
                    <w:left w:val="single" w:color="auto" w:sz="8" w:space="0"/>
                    <w:bottom w:val="single" w:color="auto" w:sz="8" w:space="0"/>
                    <w:right w:val="single" w:color="auto" w:sz="8" w:space="0"/>
                  </w:tcBorders>
                  <w:vAlign w:val="center"/>
                </w:tcPr>
                <w:p w14:paraId="715D6B55">
                  <w:pPr>
                    <w:jc w:val="center"/>
                    <w:rPr>
                      <w:rFonts w:ascii="Times New Roman" w:hAnsi="Times New Roman" w:cs="Times New Roman"/>
                      <w:color w:val="000000" w:themeColor="text1"/>
                      <w:sz w:val="21"/>
                      <w:szCs w:val="21"/>
                      <w14:textFill>
                        <w14:solidFill>
                          <w14:schemeClr w14:val="tx1"/>
                        </w14:solidFill>
                      </w14:textFill>
                    </w:rPr>
                  </w:pPr>
                </w:p>
              </w:tc>
            </w:tr>
            <w:tr w14:paraId="3C82EB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1" w:type="dxa"/>
                  <w:bottom w:w="0" w:type="dxa"/>
                  <w:right w:w="11" w:type="dxa"/>
                </w:tblCellMar>
              </w:tblPrEx>
              <w:trPr>
                <w:trHeight w:val="340" w:hRule="atLeast"/>
              </w:trPr>
              <w:tc>
                <w:tcPr>
                  <w:tcW w:w="927" w:type="dxa"/>
                  <w:vMerge w:val="restart"/>
                  <w:tcBorders>
                    <w:left w:val="single" w:color="auto" w:sz="8" w:space="0"/>
                    <w:right w:val="single" w:color="auto" w:sz="8" w:space="0"/>
                  </w:tcBorders>
                  <w:vAlign w:val="center"/>
                </w:tcPr>
                <w:p w14:paraId="6CFD0CFD">
                  <w:pPr>
                    <w:jc w:val="center"/>
                    <w:rPr>
                      <w:rFonts w:ascii="Times New Roman" w:hAnsi="Times New Roman" w:cs="Times New Roman"/>
                      <w:color w:val="000000" w:themeColor="text1"/>
                      <w:sz w:val="21"/>
                      <w:szCs w:val="21"/>
                      <w14:textFill>
                        <w14:solidFill>
                          <w14:schemeClr w14:val="tx1"/>
                        </w14:solidFill>
                      </w14:textFill>
                    </w:rPr>
                  </w:pPr>
                </w:p>
              </w:tc>
              <w:tc>
                <w:tcPr>
                  <w:tcW w:w="1419" w:type="dxa"/>
                  <w:tcBorders>
                    <w:top w:val="single" w:color="auto" w:sz="8" w:space="0"/>
                    <w:left w:val="single" w:color="auto" w:sz="8" w:space="0"/>
                    <w:bottom w:val="single" w:color="auto" w:sz="8" w:space="0"/>
                    <w:right w:val="single" w:color="auto" w:sz="8" w:space="0"/>
                  </w:tcBorders>
                  <w:vAlign w:val="center"/>
                </w:tcPr>
                <w:p w14:paraId="4903346C">
                  <w:pPr>
                    <w:jc w:val="center"/>
                    <w:rPr>
                      <w:rFonts w:ascii="Times New Roman" w:hAnsi="Times New Roman" w:cs="Times New Roman"/>
                      <w:color w:val="000000" w:themeColor="text1"/>
                      <w:sz w:val="21"/>
                      <w:szCs w:val="21"/>
                      <w14:textFill>
                        <w14:solidFill>
                          <w14:schemeClr w14:val="tx1"/>
                        </w14:solidFill>
                      </w14:textFill>
                    </w:rPr>
                  </w:pPr>
                </w:p>
              </w:tc>
              <w:tc>
                <w:tcPr>
                  <w:tcW w:w="1140" w:type="dxa"/>
                  <w:tcBorders>
                    <w:top w:val="single" w:color="auto" w:sz="8" w:space="0"/>
                    <w:left w:val="single" w:color="auto" w:sz="8" w:space="0"/>
                    <w:bottom w:val="single" w:color="auto" w:sz="8" w:space="0"/>
                    <w:right w:val="single" w:color="auto" w:sz="8" w:space="0"/>
                  </w:tcBorders>
                  <w:vAlign w:val="center"/>
                </w:tcPr>
                <w:p w14:paraId="1884C2FB">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75C10E04">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59FC823B">
                  <w:pPr>
                    <w:pStyle w:val="146"/>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16FF32C3">
                  <w:pPr>
                    <w:pStyle w:val="146"/>
                    <w:jc w:val="center"/>
                    <w:rPr>
                      <w:rFonts w:ascii="Times New Roman" w:hAnsi="Times New Roman" w:cs="Times New Roman"/>
                      <w:color w:val="000000" w:themeColor="text1"/>
                      <w:sz w:val="21"/>
                      <w:szCs w:val="21"/>
                      <w14:textFill>
                        <w14:solidFill>
                          <w14:schemeClr w14:val="tx1"/>
                        </w14:solidFill>
                      </w14:textFill>
                    </w:rPr>
                  </w:pPr>
                </w:p>
              </w:tc>
              <w:tc>
                <w:tcPr>
                  <w:tcW w:w="708" w:type="dxa"/>
                  <w:tcBorders>
                    <w:top w:val="single" w:color="auto" w:sz="8" w:space="0"/>
                    <w:left w:val="single" w:color="auto" w:sz="8" w:space="0"/>
                    <w:bottom w:val="single" w:color="auto" w:sz="8" w:space="0"/>
                    <w:right w:val="single" w:color="auto" w:sz="8" w:space="0"/>
                  </w:tcBorders>
                  <w:vAlign w:val="center"/>
                </w:tcPr>
                <w:p w14:paraId="294DB6C8">
                  <w:pPr>
                    <w:widowControl w:val="0"/>
                    <w:jc w:val="center"/>
                    <w:rPr>
                      <w:rFonts w:ascii="Times New Roman" w:hAnsi="Times New Roman" w:cs="Times New Roman"/>
                      <w:color w:val="000000" w:themeColor="text1"/>
                      <w:sz w:val="21"/>
                      <w:szCs w:val="21"/>
                      <w14:textFill>
                        <w14:solidFill>
                          <w14:schemeClr w14:val="tx1"/>
                        </w14:solidFill>
                      </w14:textFill>
                    </w:rPr>
                  </w:pPr>
                </w:p>
              </w:tc>
              <w:tc>
                <w:tcPr>
                  <w:tcW w:w="848" w:type="dxa"/>
                  <w:tcBorders>
                    <w:top w:val="single" w:color="auto" w:sz="8" w:space="0"/>
                    <w:left w:val="single" w:color="auto" w:sz="8" w:space="0"/>
                    <w:bottom w:val="single" w:color="auto" w:sz="8" w:space="0"/>
                    <w:right w:val="single" w:color="auto" w:sz="8" w:space="0"/>
                  </w:tcBorders>
                  <w:vAlign w:val="center"/>
                </w:tcPr>
                <w:p w14:paraId="1D72BDE8">
                  <w:pPr>
                    <w:widowControl w:val="0"/>
                    <w:jc w:val="center"/>
                    <w:rPr>
                      <w:rFonts w:ascii="Times New Roman" w:hAnsi="Times New Roman" w:cs="Times New Roman"/>
                      <w:color w:val="000000" w:themeColor="text1"/>
                      <w:sz w:val="21"/>
                      <w:szCs w:val="21"/>
                      <w14:textFill>
                        <w14:solidFill>
                          <w14:schemeClr w14:val="tx1"/>
                        </w14:solidFill>
                      </w14:textFill>
                    </w:rPr>
                  </w:pPr>
                </w:p>
              </w:tc>
            </w:tr>
            <w:tr w14:paraId="15AD9E0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1" w:type="dxa"/>
                  <w:bottom w:w="0" w:type="dxa"/>
                  <w:right w:w="11" w:type="dxa"/>
                </w:tblCellMar>
              </w:tblPrEx>
              <w:trPr>
                <w:trHeight w:val="340" w:hRule="atLeast"/>
              </w:trPr>
              <w:tc>
                <w:tcPr>
                  <w:tcW w:w="927" w:type="dxa"/>
                  <w:vMerge w:val="continue"/>
                  <w:tcBorders>
                    <w:left w:val="single" w:color="auto" w:sz="8" w:space="0"/>
                    <w:right w:val="single" w:color="auto" w:sz="8" w:space="0"/>
                  </w:tcBorders>
                  <w:vAlign w:val="center"/>
                </w:tcPr>
                <w:p w14:paraId="175B23F7">
                  <w:pPr>
                    <w:jc w:val="center"/>
                    <w:rPr>
                      <w:rFonts w:ascii="Times New Roman" w:hAnsi="Times New Roman" w:cs="Times New Roman"/>
                      <w:color w:val="000000" w:themeColor="text1"/>
                      <w:sz w:val="21"/>
                      <w:szCs w:val="21"/>
                      <w14:textFill>
                        <w14:solidFill>
                          <w14:schemeClr w14:val="tx1"/>
                        </w14:solidFill>
                      </w14:textFill>
                    </w:rPr>
                  </w:pPr>
                </w:p>
              </w:tc>
              <w:tc>
                <w:tcPr>
                  <w:tcW w:w="1419" w:type="dxa"/>
                  <w:tcBorders>
                    <w:top w:val="single" w:color="auto" w:sz="8" w:space="0"/>
                    <w:left w:val="single" w:color="auto" w:sz="8" w:space="0"/>
                    <w:bottom w:val="single" w:color="auto" w:sz="8" w:space="0"/>
                    <w:right w:val="single" w:color="auto" w:sz="8" w:space="0"/>
                  </w:tcBorders>
                  <w:vAlign w:val="center"/>
                </w:tcPr>
                <w:p w14:paraId="001AB018">
                  <w:pPr>
                    <w:jc w:val="center"/>
                    <w:rPr>
                      <w:rFonts w:ascii="Times New Roman" w:hAnsi="Times New Roman" w:cs="Times New Roman"/>
                      <w:color w:val="000000" w:themeColor="text1"/>
                      <w:sz w:val="21"/>
                      <w:szCs w:val="21"/>
                      <w14:textFill>
                        <w14:solidFill>
                          <w14:schemeClr w14:val="tx1"/>
                        </w14:solidFill>
                      </w14:textFill>
                    </w:rPr>
                  </w:pPr>
                </w:p>
              </w:tc>
              <w:tc>
                <w:tcPr>
                  <w:tcW w:w="1140" w:type="dxa"/>
                  <w:tcBorders>
                    <w:top w:val="single" w:color="auto" w:sz="8" w:space="0"/>
                    <w:left w:val="single" w:color="auto" w:sz="8" w:space="0"/>
                    <w:bottom w:val="single" w:color="auto" w:sz="8" w:space="0"/>
                    <w:right w:val="single" w:color="auto" w:sz="8" w:space="0"/>
                  </w:tcBorders>
                  <w:vAlign w:val="center"/>
                </w:tcPr>
                <w:p w14:paraId="4562E2D1">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323961F2">
                  <w:pPr>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1BA35565">
                  <w:pPr>
                    <w:pStyle w:val="146"/>
                    <w:jc w:val="center"/>
                    <w:rPr>
                      <w:rFonts w:ascii="Times New Roman" w:hAnsi="Times New Roman" w:cs="Times New Roman"/>
                      <w:color w:val="000000" w:themeColor="text1"/>
                      <w:sz w:val="21"/>
                      <w:szCs w:val="21"/>
                      <w14:textFill>
                        <w14:solidFill>
                          <w14:schemeClr w14:val="tx1"/>
                        </w14:solidFill>
                      </w14:textFill>
                    </w:rPr>
                  </w:pPr>
                </w:p>
              </w:tc>
              <w:tc>
                <w:tcPr>
                  <w:tcW w:w="1227" w:type="dxa"/>
                  <w:tcBorders>
                    <w:top w:val="single" w:color="auto" w:sz="8" w:space="0"/>
                    <w:left w:val="single" w:color="auto" w:sz="8" w:space="0"/>
                    <w:bottom w:val="single" w:color="auto" w:sz="8" w:space="0"/>
                    <w:right w:val="single" w:color="auto" w:sz="8" w:space="0"/>
                  </w:tcBorders>
                  <w:vAlign w:val="center"/>
                </w:tcPr>
                <w:p w14:paraId="1295553E">
                  <w:pPr>
                    <w:pStyle w:val="146"/>
                    <w:jc w:val="center"/>
                    <w:rPr>
                      <w:rFonts w:ascii="Times New Roman" w:hAnsi="Times New Roman" w:cs="Times New Roman"/>
                      <w:color w:val="000000" w:themeColor="text1"/>
                      <w:sz w:val="21"/>
                      <w:szCs w:val="21"/>
                      <w14:textFill>
                        <w14:solidFill>
                          <w14:schemeClr w14:val="tx1"/>
                        </w14:solidFill>
                      </w14:textFill>
                    </w:rPr>
                  </w:pPr>
                </w:p>
              </w:tc>
              <w:tc>
                <w:tcPr>
                  <w:tcW w:w="708" w:type="dxa"/>
                  <w:tcBorders>
                    <w:top w:val="single" w:color="auto" w:sz="8" w:space="0"/>
                    <w:left w:val="single" w:color="auto" w:sz="8" w:space="0"/>
                    <w:bottom w:val="single" w:color="auto" w:sz="8" w:space="0"/>
                    <w:right w:val="single" w:color="auto" w:sz="8" w:space="0"/>
                  </w:tcBorders>
                  <w:vAlign w:val="center"/>
                </w:tcPr>
                <w:p w14:paraId="25A64790">
                  <w:pPr>
                    <w:widowControl w:val="0"/>
                    <w:jc w:val="center"/>
                    <w:rPr>
                      <w:rFonts w:ascii="Times New Roman" w:hAnsi="Times New Roman" w:cs="Times New Roman"/>
                      <w:color w:val="000000" w:themeColor="text1"/>
                      <w:sz w:val="21"/>
                      <w:szCs w:val="21"/>
                      <w14:textFill>
                        <w14:solidFill>
                          <w14:schemeClr w14:val="tx1"/>
                        </w14:solidFill>
                      </w14:textFill>
                    </w:rPr>
                  </w:pPr>
                </w:p>
              </w:tc>
              <w:tc>
                <w:tcPr>
                  <w:tcW w:w="848" w:type="dxa"/>
                  <w:tcBorders>
                    <w:top w:val="single" w:color="auto" w:sz="8" w:space="0"/>
                    <w:left w:val="single" w:color="auto" w:sz="8" w:space="0"/>
                    <w:bottom w:val="single" w:color="auto" w:sz="8" w:space="0"/>
                    <w:right w:val="single" w:color="auto" w:sz="8" w:space="0"/>
                  </w:tcBorders>
                  <w:vAlign w:val="center"/>
                </w:tcPr>
                <w:p w14:paraId="4771FEC9">
                  <w:pPr>
                    <w:widowControl w:val="0"/>
                    <w:jc w:val="center"/>
                    <w:rPr>
                      <w:rFonts w:ascii="Times New Roman" w:hAnsi="Times New Roman" w:cs="Times New Roman"/>
                      <w:color w:val="000000" w:themeColor="text1"/>
                      <w:sz w:val="21"/>
                      <w:szCs w:val="21"/>
                      <w14:textFill>
                        <w14:solidFill>
                          <w14:schemeClr w14:val="tx1"/>
                        </w14:solidFill>
                      </w14:textFill>
                    </w:rPr>
                  </w:pPr>
                </w:p>
              </w:tc>
            </w:tr>
          </w:tbl>
          <w:p w14:paraId="7B5941A0">
            <w:pPr>
              <w:adjustRightInd w:val="0"/>
              <w:snapToGrid w:val="0"/>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由上表可知，项目所在区域的监测因子硫酸</w:t>
            </w:r>
            <w:r>
              <w:rPr>
                <w:rFonts w:hint="eastAsia" w:ascii="Times New Roman" w:hAnsi="Times New Roman" w:cs="Times New Roman"/>
                <w:color w:val="000000" w:themeColor="text1"/>
                <w14:textFill>
                  <w14:solidFill>
                    <w14:schemeClr w14:val="tx1"/>
                  </w14:solidFill>
                </w14:textFill>
              </w:rPr>
              <w:t>雾、TVOC</w:t>
            </w:r>
            <w:r>
              <w:rPr>
                <w:rFonts w:ascii="Times New Roman" w:hAnsi="Times New Roman" w:cs="Times New Roman"/>
                <w:color w:val="000000" w:themeColor="text1"/>
                <w14:textFill>
                  <w14:solidFill>
                    <w14:schemeClr w14:val="tx1"/>
                  </w14:solidFill>
                </w14:textFill>
              </w:rPr>
              <w:t>可满足《环境影响评价技术导则 大气环境》（HJ2.2-2018）中附录D的标准要求</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非甲烷总烃的1h平均浓度达到《大气污染物综合排放标准详解》中标准要求</w:t>
            </w:r>
            <w:r>
              <w:rPr>
                <w:rFonts w:hint="eastAsia" w:ascii="Times New Roman" w:hAnsi="Times New Roman" w:cs="Times New Roman"/>
                <w:color w:val="000000" w:themeColor="text1"/>
                <w14:textFill>
                  <w14:solidFill>
                    <w14:schemeClr w14:val="tx1"/>
                  </w14:solidFill>
                </w14:textFill>
              </w:rPr>
              <w:t>。</w:t>
            </w:r>
          </w:p>
          <w:p w14:paraId="4E07D91A">
            <w:pPr>
              <w:autoSpaceDE w:val="0"/>
              <w:autoSpaceDN w:val="0"/>
              <w:adjustRightInd w:val="0"/>
              <w:snapToGrid w:val="0"/>
              <w:spacing w:line="360" w:lineRule="auto"/>
              <w:ind w:firstLine="482" w:firstLineChars="200"/>
              <w:rPr>
                <w:rFonts w:ascii="Times New Roman" w:hAnsi="Times New Roman" w:cs="Times New Roman"/>
                <w:b/>
                <w:bCs/>
                <w:lang w:val="zh-CN"/>
              </w:rPr>
            </w:pPr>
            <w:r>
              <w:rPr>
                <w:rFonts w:ascii="Times New Roman" w:hAnsi="Times New Roman" w:cs="Times New Roman"/>
                <w:b/>
                <w:bCs/>
                <w:lang w:val="zh-CN"/>
              </w:rPr>
              <w:t>2、地表水环境质量现状</w:t>
            </w:r>
          </w:p>
          <w:p w14:paraId="1948C3F2">
            <w:pPr>
              <w:autoSpaceDE w:val="0"/>
              <w:autoSpaceDN w:val="0"/>
              <w:adjustRightInd w:val="0"/>
              <w:snapToGrid w:val="0"/>
              <w:spacing w:line="360" w:lineRule="auto"/>
              <w:ind w:firstLine="480" w:firstLineChars="200"/>
              <w:rPr>
                <w:rFonts w:ascii="Times New Roman" w:hAnsi="Times New Roman" w:cs="Times New Roman"/>
                <w:color w:val="000000" w:themeColor="text1"/>
                <w:lang w:val="zh-CN"/>
                <w14:textFill>
                  <w14:solidFill>
                    <w14:schemeClr w14:val="tx1"/>
                  </w14:solidFill>
                </w14:textFill>
              </w:rPr>
            </w:pPr>
            <w:r>
              <w:rPr>
                <w:rFonts w:hint="eastAsia" w:ascii="Times New Roman" w:hAnsi="Times New Roman" w:cs="Times New Roman"/>
              </w:rPr>
              <w:t>本项目位于</w:t>
            </w:r>
            <w:r>
              <w:rPr>
                <w:rFonts w:ascii="Times New Roman" w:hAnsi="Times New Roman" w:cs="Times New Roman"/>
                <w:color w:val="000000" w:themeColor="text1"/>
                <w14:textFill>
                  <w14:solidFill>
                    <w14:schemeClr w14:val="tx1"/>
                  </w14:solidFill>
                </w14:textFill>
              </w:rPr>
              <w:t>钦州港</w:t>
            </w:r>
            <w:r>
              <w:rPr>
                <w:rFonts w:hint="eastAsia" w:ascii="Times New Roman" w:hAnsi="Times New Roman" w:cs="Times New Roman"/>
                <w:color w:val="000000" w:themeColor="text1"/>
                <w14:textFill>
                  <w14:solidFill>
                    <w14:schemeClr w14:val="tx1"/>
                  </w14:solidFill>
                </w14:textFill>
              </w:rPr>
              <w:t>金谷港区金鼓江作业区。</w:t>
            </w:r>
            <w:r>
              <w:rPr>
                <w:rFonts w:ascii="Times New Roman" w:hAnsi="Times New Roman" w:cs="Times New Roman"/>
                <w:lang w:val="zh-CN"/>
              </w:rPr>
              <w:t>根据《广西壮族自治区近岸海域环境功能区划调整方案》，钦州港金鼓江污水深海排放区主导功能为港口、工业、生活排污用海，属于第四类近岸海域环境功能区。</w:t>
            </w:r>
            <w:r>
              <w:rPr>
                <w:rFonts w:ascii="Times New Roman" w:hAnsi="Times New Roman" w:cs="Times New Roman"/>
                <w:color w:val="000000" w:themeColor="text1"/>
                <w:lang w:val="zh-CN"/>
                <w14:textFill>
                  <w14:solidFill>
                    <w14:schemeClr w14:val="tx1"/>
                  </w14:solidFill>
                </w14:textFill>
              </w:rPr>
              <w:t>根据《广西壮族自治区近岸海域环境功能区划调整方案》（桂环发[2023]9号），项目周边海域为钦州港果子山港口区（代码：GX055D</w:t>
            </w:r>
            <w:r>
              <w:rPr>
                <w:rFonts w:hint="eastAsia"/>
                <w:color w:val="000000" w:themeColor="text1"/>
                <w:lang w:val="zh-CN"/>
                <w14:textFill>
                  <w14:solidFill>
                    <w14:schemeClr w14:val="tx1"/>
                  </w14:solidFill>
                </w14:textFill>
              </w:rPr>
              <w:t>Ⅳ</w:t>
            </w:r>
            <w:r>
              <w:rPr>
                <w:rFonts w:ascii="Times New Roman" w:hAnsi="Times New Roman" w:cs="Times New Roman"/>
                <w:color w:val="000000" w:themeColor="text1"/>
                <w:lang w:val="zh-CN"/>
                <w14:textFill>
                  <w14:solidFill>
                    <w14:schemeClr w14:val="tx1"/>
                  </w14:solidFill>
                </w14:textFill>
              </w:rPr>
              <w:t>），主导功能为港口和工业用海，水质保护目标为第四类。</w:t>
            </w:r>
          </w:p>
          <w:p w14:paraId="11B2333F">
            <w:pPr>
              <w:autoSpaceDE w:val="0"/>
              <w:autoSpaceDN w:val="0"/>
              <w:adjustRightInd w:val="0"/>
              <w:snapToGrid w:val="0"/>
              <w:spacing w:line="360" w:lineRule="auto"/>
              <w:ind w:firstLine="480" w:firstLineChars="200"/>
              <w:rPr>
                <w:rFonts w:ascii="Times New Roman" w:hAnsi="Times New Roman" w:cs="Times New Roman"/>
                <w:color w:val="FF0000"/>
                <w:lang w:val="zh-CN"/>
              </w:rPr>
            </w:pPr>
            <w:r>
              <w:rPr>
                <w:rFonts w:ascii="Times New Roman" w:hAnsi="Times New Roman" w:cs="Times New Roman"/>
                <w:color w:val="000000" w:themeColor="text1"/>
                <w:lang w:val="zh-CN"/>
                <w14:textFill>
                  <w14:solidFill>
                    <w14:schemeClr w14:val="tx1"/>
                  </w14:solidFill>
                </w14:textFill>
              </w:rPr>
              <w:t>根据</w:t>
            </w:r>
            <w:r>
              <w:rPr>
                <w:rFonts w:hint="eastAsia" w:ascii="Times New Roman" w:hAnsi="Times New Roman" w:cs="Times New Roman"/>
                <w:color w:val="000000" w:themeColor="text1"/>
                <w:lang w:val="zh-CN"/>
                <w14:textFill>
                  <w14:solidFill>
                    <w14:schemeClr w14:val="tx1"/>
                  </w14:solidFill>
                </w14:textFill>
              </w:rPr>
              <w:t>《2024年广西壮族自治区生态环境状况公报》，2024年，全区近岸海域海水水质状况总体“优”。40个监测点位中，优良（一、二类）水质面积比例为92.9%，优于国家考核目标（92.7%）要求，比2023年下降1.6个百分点。</w:t>
            </w:r>
            <w:r>
              <w:rPr>
                <w:rFonts w:ascii="Times New Roman" w:hAnsi="Times New Roman" w:cs="Times New Roman"/>
                <w:color w:val="000000" w:themeColor="text1"/>
                <w:lang w:val="zh-CN"/>
                <w14:textFill>
                  <w14:solidFill>
                    <w14:schemeClr w14:val="tx1"/>
                  </w14:solidFill>
                </w14:textFill>
              </w:rPr>
              <w:t>钦州港果子山</w:t>
            </w:r>
            <w:r>
              <w:rPr>
                <w:rFonts w:ascii="Times New Roman" w:hAnsi="Times New Roman" w:cs="Times New Roman"/>
                <w:lang w:val="zh-CN"/>
              </w:rPr>
              <w:t>港口区和钦州港金鼓江污水深海排放区海水环境质量良好，能满足第四类海水水质标准。</w:t>
            </w:r>
          </w:p>
          <w:p w14:paraId="1766FF52">
            <w:pPr>
              <w:spacing w:line="360" w:lineRule="auto"/>
              <w:ind w:firstLine="482" w:firstLineChars="200"/>
              <w:rPr>
                <w:rFonts w:ascii="Times New Roman" w:hAnsi="Times New Roman" w:cs="Times New Roman"/>
                <w:b/>
                <w:szCs w:val="22"/>
              </w:rPr>
            </w:pPr>
            <w:r>
              <w:rPr>
                <w:rFonts w:ascii="Times New Roman" w:hAnsi="Times New Roman" w:cs="Times New Roman"/>
                <w:b/>
                <w:szCs w:val="22"/>
              </w:rPr>
              <w:t>3、声环境质量现状</w:t>
            </w:r>
          </w:p>
          <w:p w14:paraId="3468D862">
            <w:pPr>
              <w:spacing w:line="360" w:lineRule="auto"/>
              <w:ind w:firstLine="480"/>
              <w:rPr>
                <w:rFonts w:ascii="Times New Roman" w:hAnsi="Times New Roman" w:cs="Times New Roman"/>
                <w:bCs/>
              </w:rPr>
            </w:pPr>
            <w:r>
              <w:rPr>
                <w:rFonts w:ascii="Times New Roman" w:hAnsi="Times New Roman" w:cs="Times New Roman"/>
              </w:rPr>
              <w:t>项目位于</w:t>
            </w:r>
            <w:r>
              <w:rPr>
                <w:rFonts w:ascii="Times New Roman" w:hAnsi="Times New Roman" w:cs="Times New Roman"/>
                <w:bCs/>
              </w:rPr>
              <w:t>中国（广西）自由贸易试验区钦州港片区</w:t>
            </w:r>
            <w:r>
              <w:rPr>
                <w:rFonts w:hint="eastAsia" w:ascii="Times New Roman" w:hAnsi="Times New Roman" w:cs="Times New Roman"/>
                <w:bCs/>
              </w:rPr>
              <w:t>金谷港区金鼓江作业区</w:t>
            </w:r>
            <w:r>
              <w:rPr>
                <w:rFonts w:ascii="Times New Roman" w:hAnsi="Times New Roman" w:cs="Times New Roman"/>
                <w:bCs/>
              </w:rPr>
              <w:t>，根据《关于印发钦州市城市声环境功能区划方案（2018－2023年）的通知》（钦政办规7号），项目所在地属于声环境3类区</w:t>
            </w:r>
            <w:r>
              <w:rPr>
                <w:rFonts w:hint="eastAsia" w:ascii="Times New Roman" w:hAnsi="Times New Roman" w:cs="Times New Roman"/>
                <w:bCs/>
              </w:rPr>
              <w:t>，</w:t>
            </w:r>
            <w:r>
              <w:rPr>
                <w:rFonts w:ascii="Times New Roman" w:hAnsi="Times New Roman" w:cs="Times New Roman"/>
                <w:bCs/>
              </w:rPr>
              <w:t>执行《声环境质量标准》（GB3096-2008）中的3类标准。根据《建设项目环境影响报告表编制技术指南（污染影响类）（试行）》：厂界外周边 50米范围内存在声环境保护目标的建设项目，应监测保护目标声环境质量现状并评价达标情况。项目属于新建项目，根据现场踏勘，项目周边50m范围内无声环境敏感目标</w:t>
            </w:r>
            <w:r>
              <w:rPr>
                <w:rFonts w:hint="eastAsia" w:ascii="Times New Roman" w:hAnsi="Times New Roman" w:cs="Times New Roman"/>
                <w:bCs/>
              </w:rPr>
              <w:t>，无需开展声环境现状监测。</w:t>
            </w:r>
          </w:p>
          <w:p w14:paraId="1FD2351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bCs/>
              </w:rPr>
              <w:t>根为了解项目所</w:t>
            </w:r>
            <w:r>
              <w:rPr>
                <w:rFonts w:hint="eastAsia" w:ascii="Times New Roman" w:hAnsi="Times New Roman" w:cs="Times New Roman"/>
                <w:bCs/>
                <w:color w:val="000000" w:themeColor="text1"/>
                <w14:textFill>
                  <w14:solidFill>
                    <w14:schemeClr w14:val="tx1"/>
                  </w14:solidFill>
                </w14:textFill>
              </w:rPr>
              <w:t>在区域的声环境情况，本评价引用</w:t>
            </w:r>
            <w:r>
              <w:rPr>
                <w:rFonts w:hint="eastAsia" w:ascii="Times New Roman" w:hAnsi="Times New Roman" w:cs="Times New Roman"/>
                <w:color w:val="000000" w:themeColor="text1"/>
                <w14:textFill>
                  <w14:solidFill>
                    <w14:schemeClr w14:val="tx1"/>
                  </w14:solidFill>
                </w14:textFill>
              </w:rPr>
              <w:t>广西恒沁检测科技有限公司2025年12月12日出具的《北部湾港钦州港域金谷港区金鼓江作业区14号泊位扩建工程项目》，</w:t>
            </w:r>
            <w:r>
              <w:rPr>
                <w:rFonts w:ascii="Times New Roman" w:hAnsi="Times New Roman" w:cs="Times New Roman"/>
                <w:color w:val="000000" w:themeColor="text1"/>
                <w14:textFill>
                  <w14:solidFill>
                    <w14:schemeClr w14:val="tx1"/>
                  </w14:solidFill>
                </w14:textFill>
              </w:rPr>
              <w:t>202</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年1</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月</w:t>
            </w:r>
            <w:r>
              <w:rPr>
                <w:rFonts w:hint="eastAsia" w:ascii="Times New Roman" w:hAnsi="Times New Roman" w:cs="Times New Roman"/>
                <w:color w:val="000000" w:themeColor="text1"/>
                <w14:textFill>
                  <w14:solidFill>
                    <w14:schemeClr w14:val="tx1"/>
                  </w14:solidFill>
                </w14:textFill>
              </w:rPr>
              <w:t>27~28</w:t>
            </w:r>
            <w:r>
              <w:rPr>
                <w:rFonts w:ascii="Times New Roman" w:hAnsi="Times New Roman" w:cs="Times New Roman"/>
                <w:color w:val="000000" w:themeColor="text1"/>
                <w14:textFill>
                  <w14:solidFill>
                    <w14:schemeClr w14:val="tx1"/>
                  </w14:solidFill>
                </w14:textFill>
              </w:rPr>
              <w:t>日对公司</w:t>
            </w:r>
            <w:r>
              <w:rPr>
                <w:rFonts w:hint="eastAsia" w:ascii="Times New Roman" w:hAnsi="Times New Roman" w:cs="Times New Roman"/>
                <w:color w:val="000000" w:themeColor="text1"/>
                <w14:textFill>
                  <w14:solidFill>
                    <w14:schemeClr w14:val="tx1"/>
                  </w14:solidFill>
                </w14:textFill>
              </w:rPr>
              <w:t>14号泊位码头</w:t>
            </w:r>
            <w:r>
              <w:rPr>
                <w:rFonts w:ascii="Times New Roman" w:hAnsi="Times New Roman" w:cs="Times New Roman"/>
                <w:color w:val="000000" w:themeColor="text1"/>
                <w14:textFill>
                  <w14:solidFill>
                    <w14:schemeClr w14:val="tx1"/>
                  </w14:solidFill>
                </w14:textFill>
              </w:rPr>
              <w:t>四面厂界的噪声检测。监测结果如下表：</w:t>
            </w:r>
          </w:p>
          <w:p w14:paraId="179EF3CF">
            <w:pPr>
              <w:ind w:firstLine="482"/>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表3-</w:t>
            </w:r>
            <w:r>
              <w:rPr>
                <w:rFonts w:hint="eastAsia" w:ascii="Times New Roman" w:hAnsi="Times New Roman" w:cs="Times New Roman"/>
                <w:b/>
                <w:bCs/>
                <w:color w:val="000000" w:themeColor="text1"/>
                <w14:textFill>
                  <w14:solidFill>
                    <w14:schemeClr w14:val="tx1"/>
                  </w14:solidFill>
                </w14:textFill>
              </w:rPr>
              <w:t>4  14号泊位码头四至厂界</w:t>
            </w:r>
            <w:r>
              <w:rPr>
                <w:rFonts w:ascii="Times New Roman" w:hAnsi="Times New Roman" w:cs="Times New Roman"/>
                <w:b/>
                <w:bCs/>
                <w:color w:val="000000" w:themeColor="text1"/>
                <w14:textFill>
                  <w14:solidFill>
                    <w14:schemeClr w14:val="tx1"/>
                  </w14:solidFill>
                </w14:textFill>
              </w:rPr>
              <w:t>噪声监测结果一览表单位：dB(A)</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6"/>
              <w:gridCol w:w="1415"/>
              <w:gridCol w:w="1688"/>
              <w:gridCol w:w="1688"/>
              <w:gridCol w:w="1688"/>
              <w:gridCol w:w="1690"/>
            </w:tblGrid>
            <w:tr w14:paraId="04DBB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6" w:type="dxa"/>
                  <w:vMerge w:val="restart"/>
                  <w:vAlign w:val="center"/>
                </w:tcPr>
                <w:p w14:paraId="4326AEB1">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415" w:type="dxa"/>
                  <w:vMerge w:val="restart"/>
                  <w:vAlign w:val="center"/>
                </w:tcPr>
                <w:p w14:paraId="0B659707">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监测点位</w:t>
                  </w:r>
                </w:p>
              </w:tc>
              <w:tc>
                <w:tcPr>
                  <w:tcW w:w="3376" w:type="dxa"/>
                  <w:gridSpan w:val="2"/>
                  <w:vAlign w:val="center"/>
                </w:tcPr>
                <w:p w14:paraId="72DA5CD2">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2025.11.27</w:t>
                  </w:r>
                </w:p>
              </w:tc>
              <w:tc>
                <w:tcPr>
                  <w:tcW w:w="3378" w:type="dxa"/>
                  <w:gridSpan w:val="2"/>
                  <w:vAlign w:val="center"/>
                </w:tcPr>
                <w:p w14:paraId="0BB875F8">
                  <w:pPr>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2025.11.28</w:t>
                  </w:r>
                </w:p>
              </w:tc>
            </w:tr>
            <w:tr w14:paraId="43817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6" w:type="dxa"/>
                  <w:vMerge w:val="continue"/>
                  <w:vAlign w:val="center"/>
                </w:tcPr>
                <w:p w14:paraId="45D5C1C0">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415" w:type="dxa"/>
                  <w:vMerge w:val="continue"/>
                  <w:vAlign w:val="center"/>
                </w:tcPr>
                <w:p w14:paraId="585ED5D0">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07A2D904">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昼间</w:t>
                  </w:r>
                </w:p>
              </w:tc>
              <w:tc>
                <w:tcPr>
                  <w:tcW w:w="1688" w:type="dxa"/>
                  <w:vAlign w:val="center"/>
                </w:tcPr>
                <w:p w14:paraId="02A9F6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夜间</w:t>
                  </w:r>
                </w:p>
              </w:tc>
              <w:tc>
                <w:tcPr>
                  <w:tcW w:w="1688" w:type="dxa"/>
                  <w:vAlign w:val="center"/>
                </w:tcPr>
                <w:p w14:paraId="174269B5">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昼间</w:t>
                  </w:r>
                </w:p>
              </w:tc>
              <w:tc>
                <w:tcPr>
                  <w:tcW w:w="1690" w:type="dxa"/>
                  <w:vAlign w:val="center"/>
                </w:tcPr>
                <w:p w14:paraId="283E266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夜间</w:t>
                  </w:r>
                </w:p>
              </w:tc>
            </w:tr>
            <w:tr w14:paraId="08F4F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6" w:type="dxa"/>
                  <w:vAlign w:val="center"/>
                </w:tcPr>
                <w:p w14:paraId="3BA5B322">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415" w:type="dxa"/>
                  <w:vAlign w:val="center"/>
                </w:tcPr>
                <w:p w14:paraId="4B8C15BF">
                  <w:pPr>
                    <w:pStyle w:val="21"/>
                    <w:ind w:left="0"/>
                    <w:jc w:val="center"/>
                    <w:rPr>
                      <w:rFonts w:ascii="Times New Roman" w:hAnsi="Times New Roman" w:cs="Times New Roman"/>
                      <w:color w:val="000000" w:themeColor="text1"/>
                      <w:sz w:val="21"/>
                      <w14:textFill>
                        <w14:solidFill>
                          <w14:schemeClr w14:val="tx1"/>
                        </w14:solidFill>
                      </w14:textFill>
                    </w:rPr>
                  </w:pPr>
                </w:p>
              </w:tc>
              <w:tc>
                <w:tcPr>
                  <w:tcW w:w="1688" w:type="dxa"/>
                  <w:vAlign w:val="center"/>
                </w:tcPr>
                <w:p w14:paraId="159EA4BF">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5406C442">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0B6C414E">
                  <w:pPr>
                    <w:jc w:val="center"/>
                    <w:rPr>
                      <w:rFonts w:ascii="Times New Roman" w:hAnsi="Times New Roman" w:cs="Times New Roman"/>
                      <w:color w:val="000000" w:themeColor="text1"/>
                      <w:sz w:val="21"/>
                      <w:szCs w:val="21"/>
                      <w14:textFill>
                        <w14:solidFill>
                          <w14:schemeClr w14:val="tx1"/>
                        </w14:solidFill>
                      </w14:textFill>
                    </w:rPr>
                  </w:pPr>
                </w:p>
              </w:tc>
              <w:tc>
                <w:tcPr>
                  <w:tcW w:w="1690" w:type="dxa"/>
                  <w:vAlign w:val="center"/>
                </w:tcPr>
                <w:p w14:paraId="038DAE0E">
                  <w:pPr>
                    <w:jc w:val="center"/>
                    <w:rPr>
                      <w:rFonts w:ascii="Times New Roman" w:hAnsi="Times New Roman" w:cs="Times New Roman"/>
                      <w:color w:val="000000" w:themeColor="text1"/>
                      <w:sz w:val="21"/>
                      <w:szCs w:val="21"/>
                      <w14:textFill>
                        <w14:solidFill>
                          <w14:schemeClr w14:val="tx1"/>
                        </w14:solidFill>
                      </w14:textFill>
                    </w:rPr>
                  </w:pPr>
                </w:p>
              </w:tc>
            </w:tr>
            <w:tr w14:paraId="6B2A1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6" w:type="dxa"/>
                  <w:vAlign w:val="center"/>
                </w:tcPr>
                <w:p w14:paraId="5BFE4023">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415" w:type="dxa"/>
                  <w:vAlign w:val="center"/>
                </w:tcPr>
                <w:p w14:paraId="016181AB">
                  <w:pPr>
                    <w:pStyle w:val="21"/>
                    <w:ind w:left="0"/>
                    <w:jc w:val="center"/>
                    <w:rPr>
                      <w:rFonts w:ascii="Times New Roman" w:hAnsi="Times New Roman" w:cs="Times New Roman"/>
                      <w:color w:val="000000" w:themeColor="text1"/>
                      <w:sz w:val="21"/>
                      <w14:textFill>
                        <w14:solidFill>
                          <w14:schemeClr w14:val="tx1"/>
                        </w14:solidFill>
                      </w14:textFill>
                    </w:rPr>
                  </w:pPr>
                </w:p>
              </w:tc>
              <w:tc>
                <w:tcPr>
                  <w:tcW w:w="1688" w:type="dxa"/>
                  <w:vAlign w:val="center"/>
                </w:tcPr>
                <w:p w14:paraId="7A145138">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47188329">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10763A53">
                  <w:pPr>
                    <w:jc w:val="center"/>
                    <w:rPr>
                      <w:rFonts w:ascii="Times New Roman" w:hAnsi="Times New Roman" w:cs="Times New Roman"/>
                      <w:color w:val="000000" w:themeColor="text1"/>
                      <w:sz w:val="21"/>
                      <w:szCs w:val="21"/>
                      <w14:textFill>
                        <w14:solidFill>
                          <w14:schemeClr w14:val="tx1"/>
                        </w14:solidFill>
                      </w14:textFill>
                    </w:rPr>
                  </w:pPr>
                </w:p>
              </w:tc>
              <w:tc>
                <w:tcPr>
                  <w:tcW w:w="1690" w:type="dxa"/>
                  <w:vAlign w:val="center"/>
                </w:tcPr>
                <w:p w14:paraId="0720FBFB">
                  <w:pPr>
                    <w:jc w:val="center"/>
                    <w:rPr>
                      <w:rFonts w:ascii="Times New Roman" w:hAnsi="Times New Roman" w:cs="Times New Roman"/>
                      <w:color w:val="000000" w:themeColor="text1"/>
                      <w:sz w:val="21"/>
                      <w:szCs w:val="21"/>
                      <w14:textFill>
                        <w14:solidFill>
                          <w14:schemeClr w14:val="tx1"/>
                        </w14:solidFill>
                      </w14:textFill>
                    </w:rPr>
                  </w:pPr>
                </w:p>
              </w:tc>
            </w:tr>
            <w:tr w14:paraId="232C8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6" w:type="dxa"/>
                  <w:vAlign w:val="center"/>
                </w:tcPr>
                <w:p w14:paraId="606EA21D">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415" w:type="dxa"/>
                  <w:vAlign w:val="center"/>
                </w:tcPr>
                <w:p w14:paraId="71285E6E">
                  <w:pPr>
                    <w:pStyle w:val="21"/>
                    <w:ind w:left="0"/>
                    <w:jc w:val="center"/>
                    <w:rPr>
                      <w:rFonts w:ascii="Times New Roman" w:hAnsi="Times New Roman" w:cs="Times New Roman"/>
                      <w:color w:val="000000" w:themeColor="text1"/>
                      <w:sz w:val="21"/>
                      <w14:textFill>
                        <w14:solidFill>
                          <w14:schemeClr w14:val="tx1"/>
                        </w14:solidFill>
                      </w14:textFill>
                    </w:rPr>
                  </w:pPr>
                </w:p>
              </w:tc>
              <w:tc>
                <w:tcPr>
                  <w:tcW w:w="1688" w:type="dxa"/>
                  <w:vAlign w:val="center"/>
                </w:tcPr>
                <w:p w14:paraId="3A3E721D">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10FB384D">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105E5F0F">
                  <w:pPr>
                    <w:jc w:val="center"/>
                    <w:rPr>
                      <w:rFonts w:ascii="Times New Roman" w:hAnsi="Times New Roman" w:cs="Times New Roman"/>
                      <w:color w:val="000000" w:themeColor="text1"/>
                      <w:sz w:val="21"/>
                      <w:szCs w:val="21"/>
                      <w14:textFill>
                        <w14:solidFill>
                          <w14:schemeClr w14:val="tx1"/>
                        </w14:solidFill>
                      </w14:textFill>
                    </w:rPr>
                  </w:pPr>
                </w:p>
              </w:tc>
              <w:tc>
                <w:tcPr>
                  <w:tcW w:w="1690" w:type="dxa"/>
                  <w:vAlign w:val="center"/>
                </w:tcPr>
                <w:p w14:paraId="128D6BC8">
                  <w:pPr>
                    <w:jc w:val="center"/>
                    <w:rPr>
                      <w:rFonts w:ascii="Times New Roman" w:hAnsi="Times New Roman" w:cs="Times New Roman"/>
                      <w:color w:val="000000" w:themeColor="text1"/>
                      <w:sz w:val="21"/>
                      <w:szCs w:val="21"/>
                      <w14:textFill>
                        <w14:solidFill>
                          <w14:schemeClr w14:val="tx1"/>
                        </w14:solidFill>
                      </w14:textFill>
                    </w:rPr>
                  </w:pPr>
                </w:p>
              </w:tc>
            </w:tr>
            <w:tr w14:paraId="3F9AA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6" w:type="dxa"/>
                  <w:vAlign w:val="center"/>
                </w:tcPr>
                <w:p w14:paraId="6C6ABD70">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415" w:type="dxa"/>
                  <w:vAlign w:val="center"/>
                </w:tcPr>
                <w:p w14:paraId="2BA9375E">
                  <w:pPr>
                    <w:pStyle w:val="21"/>
                    <w:ind w:left="0"/>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2C80EBB9">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7449F8E0">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663FDA31">
                  <w:pPr>
                    <w:jc w:val="center"/>
                    <w:rPr>
                      <w:rFonts w:ascii="Times New Roman" w:hAnsi="Times New Roman" w:cs="Times New Roman"/>
                      <w:color w:val="000000" w:themeColor="text1"/>
                      <w:sz w:val="21"/>
                      <w:szCs w:val="21"/>
                      <w14:textFill>
                        <w14:solidFill>
                          <w14:schemeClr w14:val="tx1"/>
                        </w14:solidFill>
                      </w14:textFill>
                    </w:rPr>
                  </w:pPr>
                </w:p>
              </w:tc>
              <w:tc>
                <w:tcPr>
                  <w:tcW w:w="1690" w:type="dxa"/>
                  <w:vAlign w:val="center"/>
                </w:tcPr>
                <w:p w14:paraId="3B56F46C">
                  <w:pPr>
                    <w:jc w:val="center"/>
                    <w:rPr>
                      <w:rFonts w:ascii="Times New Roman" w:hAnsi="Times New Roman" w:cs="Times New Roman"/>
                      <w:color w:val="000000" w:themeColor="text1"/>
                      <w:sz w:val="21"/>
                      <w:szCs w:val="21"/>
                      <w14:textFill>
                        <w14:solidFill>
                          <w14:schemeClr w14:val="tx1"/>
                        </w14:solidFill>
                      </w14:textFill>
                    </w:rPr>
                  </w:pPr>
                </w:p>
              </w:tc>
            </w:tr>
            <w:tr w14:paraId="7D1D8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41" w:type="dxa"/>
                  <w:gridSpan w:val="2"/>
                  <w:vAlign w:val="center"/>
                </w:tcPr>
                <w:p w14:paraId="0FF8975A">
                  <w:pPr>
                    <w:pStyle w:val="21"/>
                    <w:ind w:left="0"/>
                    <w:jc w:val="center"/>
                    <w:rPr>
                      <w:rFonts w:ascii="Times New Roman" w:hAnsi="Times New Roman" w:cs="Times New Roman"/>
                      <w:color w:val="000000" w:themeColor="text1"/>
                      <w:sz w:val="21"/>
                      <w14:textFill>
                        <w14:solidFill>
                          <w14:schemeClr w14:val="tx1"/>
                        </w14:solidFill>
                      </w14:textFill>
                    </w:rPr>
                  </w:pPr>
                </w:p>
              </w:tc>
              <w:tc>
                <w:tcPr>
                  <w:tcW w:w="1688" w:type="dxa"/>
                  <w:vAlign w:val="center"/>
                </w:tcPr>
                <w:p w14:paraId="10B74607">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66FFBB78">
                  <w:pPr>
                    <w:jc w:val="center"/>
                    <w:rPr>
                      <w:rFonts w:ascii="Times New Roman" w:hAnsi="Times New Roman" w:cs="Times New Roman"/>
                      <w:color w:val="000000" w:themeColor="text1"/>
                      <w:sz w:val="21"/>
                      <w:szCs w:val="21"/>
                      <w14:textFill>
                        <w14:solidFill>
                          <w14:schemeClr w14:val="tx1"/>
                        </w14:solidFill>
                      </w14:textFill>
                    </w:rPr>
                  </w:pPr>
                </w:p>
              </w:tc>
              <w:tc>
                <w:tcPr>
                  <w:tcW w:w="1688" w:type="dxa"/>
                  <w:vAlign w:val="center"/>
                </w:tcPr>
                <w:p w14:paraId="078C8BCB">
                  <w:pPr>
                    <w:jc w:val="center"/>
                    <w:rPr>
                      <w:rFonts w:ascii="Times New Roman" w:hAnsi="Times New Roman" w:cs="Times New Roman"/>
                      <w:color w:val="000000" w:themeColor="text1"/>
                      <w:sz w:val="21"/>
                      <w:szCs w:val="21"/>
                      <w14:textFill>
                        <w14:solidFill>
                          <w14:schemeClr w14:val="tx1"/>
                        </w14:solidFill>
                      </w14:textFill>
                    </w:rPr>
                  </w:pPr>
                </w:p>
              </w:tc>
              <w:tc>
                <w:tcPr>
                  <w:tcW w:w="1690" w:type="dxa"/>
                  <w:vAlign w:val="center"/>
                </w:tcPr>
                <w:p w14:paraId="340EFC2E">
                  <w:pPr>
                    <w:jc w:val="center"/>
                    <w:rPr>
                      <w:rFonts w:ascii="Times New Roman" w:hAnsi="Times New Roman" w:cs="Times New Roman"/>
                      <w:color w:val="000000" w:themeColor="text1"/>
                      <w:sz w:val="21"/>
                      <w:szCs w:val="21"/>
                      <w14:textFill>
                        <w14:solidFill>
                          <w14:schemeClr w14:val="tx1"/>
                        </w14:solidFill>
                      </w14:textFill>
                    </w:rPr>
                  </w:pPr>
                </w:p>
              </w:tc>
            </w:tr>
          </w:tbl>
          <w:p w14:paraId="6F17666D">
            <w:pPr>
              <w:spacing w:line="360" w:lineRule="auto"/>
              <w:ind w:firstLine="480"/>
              <w:rPr>
                <w:rFonts w:ascii="Times New Roman" w:hAnsi="Times New Roman" w:cs="Times New Roman"/>
                <w:bCs/>
                <w:color w:val="FF0000"/>
              </w:rPr>
            </w:pPr>
            <w:r>
              <w:rPr>
                <w:rFonts w:ascii="Times New Roman" w:hAnsi="Times New Roman" w:cs="Times New Roman"/>
                <w:bCs/>
                <w:color w:val="000000" w:themeColor="text1"/>
                <w14:textFill>
                  <w14:solidFill>
                    <w14:schemeClr w14:val="tx1"/>
                  </w14:solidFill>
                </w14:textFill>
              </w:rPr>
              <w:t>根据监测结果，</w:t>
            </w:r>
            <w:r>
              <w:rPr>
                <w:rFonts w:hint="eastAsia" w:ascii="Times New Roman" w:hAnsi="Times New Roman" w:cs="Times New Roman"/>
                <w:bCs/>
                <w:color w:val="000000" w:themeColor="text1"/>
                <w14:textFill>
                  <w14:solidFill>
                    <w14:schemeClr w14:val="tx1"/>
                  </w14:solidFill>
                </w14:textFill>
              </w:rPr>
              <w:t>项目所在区域</w:t>
            </w:r>
            <w:r>
              <w:rPr>
                <w:rFonts w:ascii="Times New Roman" w:hAnsi="Times New Roman" w:cs="Times New Roman"/>
                <w:bCs/>
                <w:color w:val="000000" w:themeColor="text1"/>
                <w14:textFill>
                  <w14:solidFill>
                    <w14:schemeClr w14:val="tx1"/>
                  </w14:solidFill>
                </w14:textFill>
              </w:rPr>
              <w:t>噪声均能达到《声环境质量标准》（GB3096-2008）3类标准要求。</w:t>
            </w:r>
          </w:p>
          <w:p w14:paraId="5883F264">
            <w:pPr>
              <w:spacing w:line="360" w:lineRule="auto"/>
              <w:ind w:firstLine="482" w:firstLineChars="200"/>
              <w:rPr>
                <w:rFonts w:ascii="Times New Roman" w:hAnsi="Times New Roman" w:cs="Times New Roman"/>
                <w:b/>
              </w:rPr>
            </w:pPr>
            <w:r>
              <w:rPr>
                <w:rFonts w:ascii="Times New Roman" w:hAnsi="Times New Roman" w:cs="Times New Roman"/>
                <w:b/>
              </w:rPr>
              <w:t>4、生态环境质量现状</w:t>
            </w:r>
          </w:p>
          <w:p w14:paraId="06C5E9C7">
            <w:pPr>
              <w:spacing w:line="360" w:lineRule="auto"/>
              <w:ind w:firstLine="480" w:firstLineChars="200"/>
              <w:rPr>
                <w:rFonts w:ascii="Times New Roman" w:hAnsi="Times New Roman" w:cs="Times New Roman"/>
              </w:rPr>
            </w:pPr>
            <w:r>
              <w:rPr>
                <w:rFonts w:ascii="Times New Roman" w:hAnsi="Times New Roman" w:cs="Times New Roman"/>
              </w:rPr>
              <w:t>项目用地为已建成的填海造地，项目所在区域已经</w:t>
            </w:r>
            <w:r>
              <w:rPr>
                <w:rFonts w:ascii="Times New Roman" w:hAnsi="Times New Roman" w:cs="Times New Roman"/>
                <w:color w:val="000000" w:themeColor="text1"/>
                <w14:textFill>
                  <w14:solidFill>
                    <w14:schemeClr w14:val="tx1"/>
                  </w14:solidFill>
                </w14:textFill>
              </w:rPr>
              <w:t>过开发，周边主要为码头、钦州湾海域，周边海域为钦州港果子山港口区（</w:t>
            </w:r>
            <w:r>
              <w:rPr>
                <w:rFonts w:ascii="Times New Roman" w:hAnsi="Times New Roman" w:cs="Times New Roman"/>
              </w:rPr>
              <w:t>代码：GX055D</w:t>
            </w:r>
            <w:r>
              <w:rPr>
                <w:rFonts w:hint="eastAsia"/>
              </w:rPr>
              <w:t>Ⅳ</w:t>
            </w:r>
            <w:r>
              <w:rPr>
                <w:rFonts w:ascii="Times New Roman" w:hAnsi="Times New Roman" w:cs="Times New Roman"/>
              </w:rPr>
              <w:t>），主导功能为港口和工业用海。</w:t>
            </w:r>
            <w:r>
              <w:rPr>
                <w:rFonts w:hint="eastAsia" w:ascii="Times New Roman" w:hAnsi="Times New Roman" w:cs="Times New Roman"/>
              </w:rPr>
              <w:t>钦州湾主要有钦江、茅岭江注入，生物饵料和营养盐丰富，水温、盐度适中，水质较为洁净，适宜于海洋生物的生长和繁殖，生物种类繁多，资源丰富。据调查2017年海洋生物现状调查，近岸海域浮游植物有36种，浮游动物42种，潮间带生物68种，底栖生物50种，鱼类35种，海区初级生产力相对较高。</w:t>
            </w:r>
          </w:p>
          <w:p w14:paraId="3A321C55">
            <w:pPr>
              <w:spacing w:line="360" w:lineRule="auto"/>
              <w:ind w:firstLine="480" w:firstLineChars="200"/>
              <w:rPr>
                <w:rFonts w:ascii="Times New Roman" w:hAnsi="Times New Roman" w:cs="Times New Roman"/>
              </w:rPr>
            </w:pPr>
            <w:r>
              <w:rPr>
                <w:rFonts w:hint="eastAsia" w:ascii="Times New Roman" w:hAnsi="Times New Roman" w:cs="Times New Roman"/>
              </w:rPr>
              <w:t>据调查，钦州市20m水深以内的浅海有虾类35种，蟹类191种，贝类178种，头足类17种，鱼类326种。其中主要捕捞的鱼类有二长棘鲷、圆腹鲱、棕斑兔头鱼、短吻鱼、斑点马鲛、丽叶参、斑鲚、宝刀鱼、鲐鱼、真鲷、白姑鱼、金钱鱼等20余种主要经济鱼类；虾类有须赤虾、刀额新对虾、长中鹰爪虾、日本对虾、长毛对虾、墨吉对虾等10多种经济虾类；还有火枪乌贼、拟目乌贼等3种头足类。此外，近江蛎、文蛤毛蚶、方格星虫、锯缘青蟹和江蓠等主要浅海滩涂经济生物分布广泛，资源最大。钦州市浅海鱼类资源量估计为4200t/a，可捕捞量约为2100t/a。</w:t>
            </w:r>
          </w:p>
          <w:p w14:paraId="61436ADD">
            <w:pPr>
              <w:spacing w:line="360" w:lineRule="auto"/>
              <w:ind w:firstLine="480" w:firstLineChars="200"/>
              <w:rPr>
                <w:rFonts w:ascii="Times New Roman" w:hAnsi="Times New Roman" w:cs="Times New Roman"/>
              </w:rPr>
            </w:pPr>
            <w:r>
              <w:rPr>
                <w:rFonts w:hint="eastAsia" w:ascii="Times New Roman" w:hAnsi="Times New Roman" w:cs="Times New Roman"/>
              </w:rPr>
              <w:t>钦州湾沿海有大小岛屿337个，这些岛屿较为集中连片地分布在茅尾海出海口的亚公山至鹰岭一带，由于海岸滩涂土壤肥沃，盐度适中，比较适宜红树林生长，各岛屿岸边广泛生长着红树林，有红树科的木榄、秋茄；大蕺科的海漆；紫金牛科的桐花树；马鞭草科的白骨壤等。</w:t>
            </w:r>
          </w:p>
          <w:p w14:paraId="57349E99">
            <w:pPr>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5、地下水、土壤环境质量现状</w:t>
            </w:r>
          </w:p>
          <w:p w14:paraId="185126B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（1）地下水</w:t>
            </w:r>
          </w:p>
          <w:p w14:paraId="0546DF8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根据《建设项目环境影响报告表编制技术指南（污染影响类）（试行）》，</w:t>
            </w:r>
            <w:r>
              <w:rPr>
                <w:rFonts w:hint="eastAsia" w:ascii="Times New Roman" w:hAnsi="Times New Roman" w:cs="Times New Roman"/>
                <w:color w:val="000000" w:themeColor="text1"/>
                <w14:textFill>
                  <w14:solidFill>
                    <w14:schemeClr w14:val="tx1"/>
                  </w14:solidFill>
                </w14:textFill>
              </w:rPr>
              <w:t>土壤</w:t>
            </w:r>
            <w:r>
              <w:rPr>
                <w:rFonts w:ascii="Times New Roman" w:hAnsi="Times New Roman" w:cs="Times New Roman"/>
                <w:color w:val="000000" w:themeColor="text1"/>
                <w14:textFill>
                  <w14:solidFill>
                    <w14:schemeClr w14:val="tx1"/>
                  </w14:solidFill>
                </w14:textFill>
              </w:rPr>
              <w:t>环境原则上不开展环境质量现状调查，建设项目存在土壤环境污染途径的，应结合污染源、保护目标分布情况开展现状调查以留作背景值。</w:t>
            </w:r>
            <w:r>
              <w:rPr>
                <w:rFonts w:hint="eastAsia" w:ascii="Times New Roman" w:hAnsi="Times New Roman" w:cs="Times New Roman"/>
                <w:color w:val="000000" w:themeColor="text1"/>
                <w:lang w:eastAsia="zh-CN"/>
                <w14:textFill>
                  <w14:solidFill>
                    <w14:schemeClr w14:val="tx1"/>
                  </w14:solidFill>
                </w14:textFill>
              </w:rPr>
              <w:t>根据</w:t>
            </w:r>
            <w:r>
              <w:rPr>
                <w:rFonts w:hint="eastAsia" w:ascii="Times New Roman" w:hAnsi="Times New Roman" w:cs="Times New Roman"/>
                <w:color w:val="000000" w:themeColor="text1"/>
                <w14:textFill>
                  <w14:solidFill>
                    <w14:schemeClr w14:val="tx1"/>
                  </w14:solidFill>
                </w14:textFill>
              </w:rPr>
              <w:t>广西恒沁检测科技有限公司2025年12月12日出具的《北部湾港钦州港域金谷港区金鼓江作业区14号泊位扩建工程项目现状检测报告》（报告编号：HQHJ25112138），项目所在区域地下水环境现状中，</w:t>
            </w:r>
            <w:r>
              <w:rPr>
                <w:rFonts w:ascii="Times New Roman" w:hAnsi="Times New Roman" w:cs="Times New Roman"/>
                <w:color w:val="000000" w:themeColor="text1"/>
                <w14:textFill>
                  <w14:solidFill>
                    <w14:schemeClr w14:val="tx1"/>
                  </w14:solidFill>
                </w14:textFill>
              </w:rPr>
              <w:t>pH、总硬度、溶解性总固体、SO</w:t>
            </w:r>
            <w:r>
              <w:rPr>
                <w:rFonts w:ascii="Times New Roman" w:hAnsi="Times New Roman" w:cs="Times New Roman"/>
                <w:color w:val="000000" w:themeColor="text1"/>
                <w:vertAlign w:val="subscript"/>
                <w14:textFill>
                  <w14:solidFill>
                    <w14:schemeClr w14:val="tx1"/>
                  </w14:solidFill>
                </w14:textFill>
              </w:rPr>
              <w:t>4</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、Cl</w:t>
            </w:r>
            <w:r>
              <w:rPr>
                <w:rFonts w:ascii="Times New Roman" w:hAnsi="Times New Roman" w:cs="Times New Roman"/>
                <w:color w:val="000000" w:themeColor="text1"/>
                <w:vertAlign w:val="superscript"/>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、挥发酚、高锰酸盐指数（以O2计）、氨氮、硫化物、NO</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vertAlign w:val="superscript"/>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、NO</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vertAlign w:val="superscript"/>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、氰化物、砷、汞、铅、铬（六价）、镉、苯乙烯</w:t>
            </w:r>
            <w:r>
              <w:rPr>
                <w:rFonts w:hint="eastAsia" w:ascii="Times New Roman" w:hAnsi="Times New Roman" w:cs="Times New Roman"/>
                <w:color w:val="000000" w:themeColor="text1"/>
                <w14:textFill>
                  <w14:solidFill>
                    <w14:schemeClr w14:val="tx1"/>
                  </w14:solidFill>
                </w14:textFill>
              </w:rPr>
              <w:t>等监测指标均能满足《地下水质量标准》（GB/T14848-2017）Ⅲ类标准要求。</w:t>
            </w:r>
          </w:p>
          <w:p w14:paraId="52E01FE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（2）土壤</w:t>
            </w:r>
          </w:p>
          <w:p w14:paraId="71A144C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影响报告表编制技术指南（污染影响类）（试行）》，土壤环境原则上不开展环境质量现状调查，建设项目存在土壤环境污染途径的，应结合污染源、保护目标分布情况开展现状调查以留作背景值。</w:t>
            </w:r>
            <w:r>
              <w:rPr>
                <w:rFonts w:hint="eastAsia" w:ascii="Times New Roman" w:hAnsi="Times New Roman" w:cs="Times New Roman"/>
                <w:color w:val="000000" w:themeColor="text1"/>
                <w14:textFill>
                  <w14:solidFill>
                    <w14:schemeClr w14:val="tx1"/>
                  </w14:solidFill>
                </w14:textFill>
              </w:rPr>
              <w:t>根据广西恒沁检测科技有限公司2025年12月12日出具的《北部湾港钦州港域金谷港区金鼓江作业区14号泊位扩建工程项目现状检测报告》（报告编号：HQHJ25112138），项目所在区域土壤现状各指标均满足《土壤环境质量建设用地土壤污染风险管控标准（试行）》（GB36600-2018）中第二类用地筛选值限制要求。</w:t>
            </w:r>
          </w:p>
          <w:p w14:paraId="0C985165">
            <w:pPr>
              <w:spacing w:line="360" w:lineRule="auto"/>
              <w:ind w:firstLine="480" w:firstLineChars="200"/>
              <w:rPr>
                <w:rFonts w:ascii="Times New Roman" w:hAnsi="Times New Roman" w:cs="Times New Roman"/>
                <w:color w:val="FF0000"/>
              </w:rPr>
            </w:pPr>
          </w:p>
        </w:tc>
      </w:tr>
      <w:tr w14:paraId="1EA297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413" w:type="dxa"/>
            <w:vAlign w:val="center"/>
          </w:tcPr>
          <w:p w14:paraId="4FB37A79">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环境</w:t>
            </w:r>
          </w:p>
          <w:p w14:paraId="7382E607">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保护</w:t>
            </w:r>
          </w:p>
          <w:p w14:paraId="5FBF6448">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目标</w:t>
            </w:r>
          </w:p>
        </w:tc>
        <w:tc>
          <w:tcPr>
            <w:tcW w:w="9021" w:type="dxa"/>
            <w:vAlign w:val="center"/>
          </w:tcPr>
          <w:p w14:paraId="672B60D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1、环境空气保护目标</w:t>
            </w:r>
          </w:p>
          <w:p w14:paraId="391F814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本项目厂界外500m范围内无环境空气保护目标。</w:t>
            </w:r>
          </w:p>
          <w:p w14:paraId="5A313A75">
            <w:pPr>
              <w:spacing w:line="360" w:lineRule="auto"/>
              <w:ind w:firstLine="480" w:firstLineChars="200"/>
              <w:rPr>
                <w:rFonts w:ascii="Times New Roman" w:hAnsi="Times New Roman" w:cs="Times New Roman"/>
                <w:color w:val="000000" w:themeColor="text1"/>
                <w:szCs w:val="20"/>
                <w14:textFill>
                  <w14:solidFill>
                    <w14:schemeClr w14:val="tx1"/>
                  </w14:solidFill>
                </w14:textFill>
              </w:rPr>
            </w:pPr>
            <w:r>
              <w:rPr>
                <w:rFonts w:ascii="Times New Roman" w:hAnsi="Times New Roman" w:cs="Times New Roman"/>
                <w:color w:val="000000" w:themeColor="text1"/>
                <w:szCs w:val="20"/>
                <w14:textFill>
                  <w14:solidFill>
                    <w14:schemeClr w14:val="tx1"/>
                  </w14:solidFill>
                </w14:textFill>
              </w:rPr>
              <w:t>2、声环境保护目标</w:t>
            </w:r>
          </w:p>
          <w:p w14:paraId="143A67AA">
            <w:pPr>
              <w:spacing w:line="360" w:lineRule="auto"/>
              <w:ind w:firstLine="480" w:firstLineChars="200"/>
              <w:rPr>
                <w:rFonts w:ascii="Times New Roman" w:hAnsi="Times New Roman" w:cs="Times New Roman"/>
                <w:color w:val="000000" w:themeColor="text1"/>
                <w:szCs w:val="20"/>
                <w14:textFill>
                  <w14:solidFill>
                    <w14:schemeClr w14:val="tx1"/>
                  </w14:solidFill>
                </w14:textFill>
              </w:rPr>
            </w:pPr>
            <w:r>
              <w:rPr>
                <w:rFonts w:ascii="Times New Roman" w:hAnsi="Times New Roman" w:cs="Times New Roman"/>
                <w:color w:val="000000" w:themeColor="text1"/>
                <w:szCs w:val="20"/>
                <w14:textFill>
                  <w14:solidFill>
                    <w14:schemeClr w14:val="tx1"/>
                  </w14:solidFill>
                </w14:textFill>
              </w:rPr>
              <w:t>项目周边厂界50m范围内无声环境保护目标。</w:t>
            </w:r>
          </w:p>
          <w:p w14:paraId="401FA09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3、地下水环境保护目标</w:t>
            </w:r>
          </w:p>
          <w:p w14:paraId="5DE04D3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项目周边500m范围内无地下水集中式饮用水水源保护和热水、矿泉水、温泉等特殊地下水资源。</w:t>
            </w:r>
          </w:p>
          <w:p w14:paraId="23CA61C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4、生态环境保护目标</w:t>
            </w:r>
          </w:p>
          <w:p w14:paraId="33AEE0F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位于工业园区内，项目周边300m范围内无生态环境保护目标</w:t>
            </w:r>
            <w:r>
              <w:rPr>
                <w:rFonts w:ascii="Times New Roman" w:hAnsi="Times New Roman" w:cs="Times New Roman"/>
                <w:color w:val="000000" w:themeColor="text1"/>
                <w14:textFill>
                  <w14:solidFill>
                    <w14:schemeClr w14:val="tx1"/>
                  </w14:solidFill>
                </w14:textFill>
              </w:rPr>
              <w:t>。</w:t>
            </w:r>
          </w:p>
        </w:tc>
      </w:tr>
      <w:tr w14:paraId="527221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413" w:type="dxa"/>
            <w:tcMar>
              <w:left w:w="28" w:type="dxa"/>
              <w:right w:w="28" w:type="dxa"/>
            </w:tcMar>
            <w:vAlign w:val="center"/>
          </w:tcPr>
          <w:p w14:paraId="7A72AC6F">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污染</w:t>
            </w:r>
          </w:p>
          <w:p w14:paraId="378C864F">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物排</w:t>
            </w:r>
          </w:p>
          <w:p w14:paraId="63893D3B">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放控</w:t>
            </w:r>
          </w:p>
          <w:p w14:paraId="78395F10">
            <w:pPr>
              <w:adjustRightInd w:val="0"/>
              <w:snapToGrid w:val="0"/>
              <w:jc w:val="center"/>
              <w:rPr>
                <w:rFonts w:ascii="Times New Roman" w:hAnsi="Times New Roman" w:cs="Times New Roman"/>
                <w:color w:val="FF0000"/>
                <w:szCs w:val="21"/>
              </w:rPr>
            </w:pPr>
            <w:r>
              <w:rPr>
                <w:rFonts w:ascii="Times New Roman" w:hAnsi="Times New Roman" w:cs="Times New Roman"/>
                <w:color w:val="000000" w:themeColor="text1"/>
                <w:szCs w:val="21"/>
                <w14:textFill>
                  <w14:solidFill>
                    <w14:schemeClr w14:val="tx1"/>
                  </w14:solidFill>
                </w14:textFill>
              </w:rPr>
              <w:t>制</w:t>
            </w:r>
            <w:r>
              <w:rPr>
                <w:rFonts w:hint="eastAsia" w:ascii="Times New Roman" w:hAnsi="Times New Roman" w:cs="Times New Roman"/>
                <w:color w:val="000000" w:themeColor="text1"/>
                <w:szCs w:val="21"/>
                <w14:textFill>
                  <w14:solidFill>
                    <w14:schemeClr w14:val="tx1"/>
                  </w14:solidFill>
                </w14:textFill>
              </w:rPr>
              <w:t>标准</w:t>
            </w:r>
          </w:p>
          <w:p w14:paraId="7DD66DFA">
            <w:pPr>
              <w:adjustRightInd w:val="0"/>
              <w:snapToGrid w:val="0"/>
              <w:ind w:firstLine="420"/>
              <w:jc w:val="center"/>
              <w:rPr>
                <w:rFonts w:ascii="Times New Roman" w:hAnsi="Times New Roman" w:cs="Times New Roman"/>
                <w:color w:val="FF0000"/>
                <w:szCs w:val="21"/>
              </w:rPr>
            </w:pPr>
            <w:r>
              <w:rPr>
                <w:rFonts w:ascii="Times New Roman" w:hAnsi="Times New Roman" w:cs="Times New Roman"/>
                <w:color w:val="FF0000"/>
                <w:szCs w:val="21"/>
              </w:rPr>
              <w:t>准</w:t>
            </w:r>
          </w:p>
        </w:tc>
        <w:tc>
          <w:tcPr>
            <w:tcW w:w="9021" w:type="dxa"/>
            <w:vAlign w:val="center"/>
          </w:tcPr>
          <w:p w14:paraId="3B31FFA5">
            <w:pPr>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1、废气</w:t>
            </w:r>
          </w:p>
          <w:p w14:paraId="4051571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（1）施工期</w:t>
            </w:r>
          </w:p>
          <w:p w14:paraId="1A2115A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施工期施工产生的扬尘排放执行《大气污染物综合排放标准》（GB16297-1996）表2中的无组织排放监控浓度限值（1.0mg/m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3E86862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（2）营运期</w:t>
            </w:r>
          </w:p>
          <w:p w14:paraId="6D63086B">
            <w:pPr>
              <w:adjustRightInd w:val="0"/>
              <w:snapToGrid w:val="0"/>
              <w:spacing w:line="360" w:lineRule="auto"/>
              <w:ind w:firstLine="480" w:firstLineChars="200"/>
              <w:textAlignment w:val="baseline"/>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①有组织废气</w:t>
            </w:r>
          </w:p>
          <w:p w14:paraId="5D62F4DE">
            <w:pPr>
              <w:adjustRightInd w:val="0"/>
              <w:snapToGrid w:val="0"/>
              <w:spacing w:line="360" w:lineRule="auto"/>
              <w:ind w:firstLine="480" w:firstLineChars="200"/>
              <w:textAlignment w:val="baseline"/>
              <w:rPr>
                <w:rFonts w:ascii="Times New Roman" w:hAnsi="Times New Roman" w:cs="Times New Roman"/>
                <w:bCs/>
                <w:color w:val="FF0000"/>
              </w:rPr>
            </w:pPr>
            <w:r>
              <w:rPr>
                <w:rFonts w:ascii="Times New Roman" w:hAnsi="Times New Roman" w:cs="Times New Roman"/>
                <w:bCs/>
                <w:color w:val="000000" w:themeColor="text1"/>
                <w14:textFill>
                  <w14:solidFill>
                    <w14:schemeClr w14:val="tx1"/>
                  </w14:solidFill>
                </w14:textFill>
              </w:rPr>
              <w:t>液硫储罐呼吸、液硫装车过程中，</w:t>
            </w:r>
            <w:r>
              <w:rPr>
                <w:rFonts w:hint="eastAsia" w:ascii="Times New Roman" w:hAnsi="Times New Roman" w:cs="Times New Roman"/>
                <w:bCs/>
                <w:color w:val="000000" w:themeColor="text1"/>
                <w14:textFill>
                  <w14:solidFill>
                    <w14:schemeClr w14:val="tx1"/>
                  </w14:solidFill>
                </w14:textFill>
              </w:rPr>
              <w:t>主要污染物为升华硫（颗粒物），</w:t>
            </w:r>
            <w:r>
              <w:rPr>
                <w:rFonts w:ascii="Times New Roman" w:hAnsi="Times New Roman" w:cs="Times New Roman"/>
                <w:bCs/>
                <w:color w:val="000000" w:themeColor="text1"/>
                <w14:textFill>
                  <w14:solidFill>
                    <w14:schemeClr w14:val="tx1"/>
                  </w14:solidFill>
                </w14:textFill>
              </w:rPr>
              <w:t>经升华硫回收装置处理后，</w:t>
            </w:r>
            <w:r>
              <w:rPr>
                <w:rFonts w:hint="eastAsia" w:ascii="Times New Roman" w:hAnsi="Times New Roman" w:cs="Times New Roman"/>
                <w:bCs/>
                <w:color w:val="000000" w:themeColor="text1"/>
                <w14:textFill>
                  <w14:solidFill>
                    <w14:schemeClr w14:val="tx1"/>
                  </w14:solidFill>
                </w14:textFill>
              </w:rPr>
              <w:t>经罐顶排气口（DA001，H=15m）</w:t>
            </w:r>
            <w:r>
              <w:rPr>
                <w:rFonts w:ascii="Times New Roman" w:hAnsi="Times New Roman" w:cs="Times New Roman"/>
                <w:bCs/>
                <w:color w:val="000000" w:themeColor="text1"/>
                <w14:textFill>
                  <w14:solidFill>
                    <w14:schemeClr w14:val="tx1"/>
                  </w14:solidFill>
                </w14:textFill>
              </w:rPr>
              <w:t>排放。发烟硫酸/98%硫酸储罐在呼吸、装车过程中，主要污染物为硫酸雾，经二级三氧化硫吸收塔处理后</w:t>
            </w:r>
            <w:r>
              <w:rPr>
                <w:rFonts w:hint="eastAsia" w:ascii="Times New Roman" w:hAnsi="Times New Roman" w:cs="Times New Roman"/>
                <w:bCs/>
                <w:color w:val="000000" w:themeColor="text1"/>
                <w14:textFill>
                  <w14:solidFill>
                    <w14:schemeClr w14:val="tx1"/>
                  </w14:solidFill>
                </w14:textFill>
              </w:rPr>
              <w:t>，经排气筒（DA002，H=15m）</w:t>
            </w:r>
            <w:r>
              <w:rPr>
                <w:rFonts w:ascii="Times New Roman" w:hAnsi="Times New Roman" w:cs="Times New Roman"/>
                <w:bCs/>
                <w:color w:val="000000" w:themeColor="text1"/>
                <w14:textFill>
                  <w14:solidFill>
                    <w14:schemeClr w14:val="tx1"/>
                  </w14:solidFill>
                </w14:textFill>
              </w:rPr>
              <w:t>排放。</w:t>
            </w:r>
            <w:r>
              <w:rPr>
                <w:rFonts w:hint="eastAsia" w:ascii="Times New Roman" w:hAnsi="Times New Roman" w:cs="Times New Roman"/>
                <w:bCs/>
                <w:color w:val="000000" w:themeColor="text1"/>
                <w14:textFill>
                  <w14:solidFill>
                    <w14:schemeClr w14:val="tx1"/>
                  </w14:solidFill>
                </w14:textFill>
              </w:rPr>
              <w:t>苯酚储罐</w:t>
            </w:r>
            <w:r>
              <w:rPr>
                <w:rFonts w:ascii="Times New Roman" w:hAnsi="Times New Roman" w:cs="Times New Roman"/>
                <w:bCs/>
                <w:color w:val="000000" w:themeColor="text1"/>
                <w14:textFill>
                  <w14:solidFill>
                    <w14:schemeClr w14:val="tx1"/>
                  </w14:solidFill>
                </w14:textFill>
              </w:rPr>
              <w:t>呼吸、装车过程中，</w:t>
            </w:r>
            <w:r>
              <w:rPr>
                <w:rFonts w:hint="eastAsia" w:ascii="Times New Roman" w:hAnsi="Times New Roman" w:cs="Times New Roman"/>
                <w:bCs/>
                <w:color w:val="000000" w:themeColor="text1"/>
                <w14:textFill>
                  <w14:solidFill>
                    <w14:schemeClr w14:val="tx1"/>
                  </w14:solidFill>
                </w14:textFill>
              </w:rPr>
              <w:t>主要废气污染物为酚类，</w:t>
            </w:r>
            <w:r>
              <w:rPr>
                <w:rFonts w:ascii="Times New Roman" w:hAnsi="Times New Roman" w:cs="Times New Roman"/>
                <w:bCs/>
                <w:color w:val="000000" w:themeColor="text1"/>
                <w14:textFill>
                  <w14:solidFill>
                    <w14:schemeClr w14:val="tx1"/>
                  </w14:solidFill>
                </w14:textFill>
              </w:rPr>
              <w:t>经</w:t>
            </w:r>
            <w:r>
              <w:rPr>
                <w:rFonts w:hint="eastAsia" w:ascii="Times New Roman" w:hAnsi="Times New Roman" w:cs="Times New Roman"/>
                <w:bCs/>
                <w:color w:val="000000" w:themeColor="text1"/>
                <w14:textFill>
                  <w14:solidFill>
                    <w14:schemeClr w14:val="tx1"/>
                  </w14:solidFill>
                </w14:textFill>
              </w:rPr>
              <w:t>油气回收处理措施</w:t>
            </w:r>
            <w:r>
              <w:rPr>
                <w:rFonts w:ascii="Times New Roman" w:hAnsi="Times New Roman" w:cs="Times New Roman"/>
                <w:bCs/>
                <w:color w:val="000000" w:themeColor="text1"/>
                <w14:textFill>
                  <w14:solidFill>
                    <w14:schemeClr w14:val="tx1"/>
                  </w14:solidFill>
                </w14:textFill>
              </w:rPr>
              <w:t>后，</w:t>
            </w:r>
            <w:r>
              <w:rPr>
                <w:rFonts w:hint="eastAsia" w:ascii="Times New Roman" w:hAnsi="Times New Roman" w:cs="Times New Roman"/>
                <w:bCs/>
                <w:color w:val="000000" w:themeColor="text1"/>
                <w14:textFill>
                  <w14:solidFill>
                    <w14:schemeClr w14:val="tx1"/>
                  </w14:solidFill>
                </w14:textFill>
              </w:rPr>
              <w:t>尾气经活性炭吸附后经排气筒DA003（H=15m）</w:t>
            </w:r>
            <w:r>
              <w:rPr>
                <w:rFonts w:ascii="Times New Roman" w:hAnsi="Times New Roman" w:cs="Times New Roman"/>
                <w:bCs/>
                <w:color w:val="000000" w:themeColor="text1"/>
                <w14:textFill>
                  <w14:solidFill>
                    <w14:schemeClr w14:val="tx1"/>
                  </w14:solidFill>
                </w14:textFill>
              </w:rPr>
              <w:t>排放。</w:t>
            </w:r>
            <w:r>
              <w:rPr>
                <w:rFonts w:hint="eastAsia" w:ascii="Times New Roman" w:hAnsi="Times New Roman" w:cs="Times New Roman"/>
                <w:bCs/>
                <w:color w:val="000000" w:themeColor="text1"/>
                <w14:textFill>
                  <w14:solidFill>
                    <w14:schemeClr w14:val="tx1"/>
                  </w14:solidFill>
                </w14:textFill>
              </w:rPr>
              <w:t>己内酰胺储罐呼</w:t>
            </w:r>
            <w:r>
              <w:rPr>
                <w:rFonts w:ascii="Times New Roman" w:hAnsi="Times New Roman" w:cs="Times New Roman"/>
                <w:bCs/>
                <w:color w:val="000000" w:themeColor="text1"/>
                <w14:textFill>
                  <w14:solidFill>
                    <w14:schemeClr w14:val="tx1"/>
                  </w14:solidFill>
                </w14:textFill>
              </w:rPr>
              <w:t>吸、</w:t>
            </w:r>
            <w:r>
              <w:rPr>
                <w:rFonts w:hint="eastAsia" w:ascii="Times New Roman" w:hAnsi="Times New Roman" w:cs="Times New Roman"/>
                <w:bCs/>
                <w:color w:val="000000" w:themeColor="text1"/>
                <w14:textFill>
                  <w14:solidFill>
                    <w14:schemeClr w14:val="tx1"/>
                  </w14:solidFill>
                </w14:textFill>
              </w:rPr>
              <w:t>装船</w:t>
            </w:r>
            <w:r>
              <w:rPr>
                <w:rFonts w:ascii="Times New Roman" w:hAnsi="Times New Roman" w:cs="Times New Roman"/>
                <w:bCs/>
                <w:color w:val="000000" w:themeColor="text1"/>
                <w14:textFill>
                  <w14:solidFill>
                    <w14:schemeClr w14:val="tx1"/>
                  </w14:solidFill>
                </w14:textFill>
              </w:rPr>
              <w:t>过程中，</w:t>
            </w:r>
            <w:r>
              <w:rPr>
                <w:rFonts w:hint="eastAsia" w:ascii="Times New Roman" w:hAnsi="Times New Roman" w:cs="Times New Roman"/>
                <w:bCs/>
                <w:color w:val="000000" w:themeColor="text1"/>
                <w14:textFill>
                  <w14:solidFill>
                    <w14:schemeClr w14:val="tx1"/>
                  </w14:solidFill>
                </w14:textFill>
              </w:rPr>
              <w:t>主要废物污染物为非甲烷总烃，</w:t>
            </w:r>
            <w:r>
              <w:rPr>
                <w:rFonts w:ascii="Times New Roman" w:hAnsi="Times New Roman" w:cs="Times New Roman"/>
                <w:bCs/>
                <w:color w:val="000000" w:themeColor="text1"/>
                <w14:textFill>
                  <w14:solidFill>
                    <w14:schemeClr w14:val="tx1"/>
                  </w14:solidFill>
                </w14:textFill>
              </w:rPr>
              <w:t>经</w:t>
            </w:r>
            <w:r>
              <w:rPr>
                <w:rFonts w:hint="eastAsia" w:ascii="Times New Roman" w:hAnsi="Times New Roman" w:cs="Times New Roman"/>
                <w:bCs/>
                <w:color w:val="000000" w:themeColor="text1"/>
                <w14:textFill>
                  <w14:solidFill>
                    <w14:schemeClr w14:val="tx1"/>
                  </w14:solidFill>
                </w14:textFill>
              </w:rPr>
              <w:t>水洗塔吸收后，经排气筒DA004（H=15m）排放。</w:t>
            </w:r>
          </w:p>
          <w:p w14:paraId="67AD9D31">
            <w:pPr>
              <w:adjustRightInd w:val="0"/>
              <w:snapToGrid w:val="0"/>
              <w:spacing w:line="360" w:lineRule="auto"/>
              <w:ind w:firstLine="480" w:firstLineChars="200"/>
              <w:textAlignment w:val="baseline"/>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升华硫（颗粒物）</w:t>
            </w:r>
            <w:r>
              <w:rPr>
                <w:rFonts w:ascii="Times New Roman" w:hAnsi="Times New Roman" w:cs="Times New Roman"/>
                <w:bCs/>
                <w:color w:val="000000" w:themeColor="text1"/>
                <w14:textFill>
                  <w14:solidFill>
                    <w14:schemeClr w14:val="tx1"/>
                  </w14:solidFill>
                </w14:textFill>
              </w:rPr>
              <w:t>、硫酸雾</w:t>
            </w:r>
            <w:r>
              <w:rPr>
                <w:rFonts w:hint="eastAsia" w:ascii="Times New Roman" w:hAnsi="Times New Roman" w:cs="Times New Roman"/>
                <w:bCs/>
                <w:color w:val="000000" w:themeColor="text1"/>
                <w14:textFill>
                  <w14:solidFill>
                    <w14:schemeClr w14:val="tx1"/>
                  </w14:solidFill>
                </w14:textFill>
              </w:rPr>
              <w:t>、酚类、非甲烷总烃</w:t>
            </w:r>
            <w:r>
              <w:rPr>
                <w:rFonts w:ascii="Times New Roman" w:hAnsi="Times New Roman" w:cs="Times New Roman"/>
                <w:bCs/>
                <w:color w:val="000000" w:themeColor="text1"/>
                <w14:textFill>
                  <w14:solidFill>
                    <w14:schemeClr w14:val="tx1"/>
                  </w14:solidFill>
                </w14:textFill>
              </w:rPr>
              <w:t>排放执行《大气污染物综合排放标准》(GB16297-1996)表2新污染源大气污染物排放限值标准。</w:t>
            </w:r>
            <w:r>
              <w:rPr>
                <w:rFonts w:hint="eastAsia" w:ascii="Times New Roman" w:hAnsi="Times New Roman" w:cs="Times New Roman"/>
                <w:bCs/>
                <w:color w:val="000000" w:themeColor="text1"/>
                <w14:textFill>
                  <w14:solidFill>
                    <w14:schemeClr w14:val="tx1"/>
                  </w14:solidFill>
                </w14:textFill>
              </w:rPr>
              <w:t>（注：三氧化硫不稳定，遇水汽极易变成硫酸雾，本评价以硫酸雾进行表征。）</w:t>
            </w:r>
          </w:p>
          <w:p w14:paraId="6BA566D4">
            <w:pPr>
              <w:adjustRightInd w:val="0"/>
              <w:snapToGrid w:val="0"/>
              <w:jc w:val="center"/>
              <w:textAlignment w:val="baseline"/>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表3-</w:t>
            </w:r>
            <w:r>
              <w:rPr>
                <w:rFonts w:hint="eastAsia" w:ascii="Times New Roman" w:hAnsi="Times New Roman" w:cs="Times New Roman"/>
                <w:b/>
                <w:color w:val="000000" w:themeColor="text1"/>
                <w14:textFill>
                  <w14:solidFill>
                    <w14:schemeClr w14:val="tx1"/>
                  </w14:solidFill>
                </w14:textFill>
              </w:rPr>
              <w:t>5</w:t>
            </w:r>
            <w:r>
              <w:rPr>
                <w:rFonts w:ascii="Times New Roman" w:hAnsi="Times New Roman" w:cs="Times New Roman"/>
                <w:b/>
                <w:color w:val="000000" w:themeColor="text1"/>
                <w14:textFill>
                  <w14:solidFill>
                    <w14:schemeClr w14:val="tx1"/>
                  </w14:solidFill>
                </w14:textFill>
              </w:rPr>
              <w:t>《大气污染物综合排放标准》(GB16297-1996) （摘录）</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537"/>
              <w:gridCol w:w="1267"/>
              <w:gridCol w:w="1685"/>
              <w:gridCol w:w="1686"/>
              <w:gridCol w:w="1739"/>
              <w:gridCol w:w="881"/>
            </w:tblGrid>
            <w:tr w14:paraId="57075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2" w:hRule="atLeast"/>
                <w:jc w:val="center"/>
              </w:trPr>
              <w:tc>
                <w:tcPr>
                  <w:tcW w:w="1537" w:type="dxa"/>
                  <w:vMerge w:val="restart"/>
                  <w:vAlign w:val="center"/>
                </w:tcPr>
                <w:p w14:paraId="4F78191B">
                  <w:pPr>
                    <w:snapToGrid w:val="0"/>
                    <w:spacing w:line="320" w:lineRule="exact"/>
                    <w:jc w:val="center"/>
                    <w:rPr>
                      <w:rFonts w:ascii="Times New Roman" w:hAnsi="Times New Roman" w:cs="Times New Roman"/>
                      <w:color w:val="000000"/>
                      <w:sz w:val="21"/>
                      <w:szCs w:val="21"/>
                    </w:rPr>
                  </w:pPr>
                  <w:r>
                    <w:rPr>
                      <w:rFonts w:ascii="Times New Roman" w:hAnsi="Times New Roman" w:cs="Times New Roman"/>
                      <w:color w:val="000000"/>
                      <w:sz w:val="21"/>
                      <w:szCs w:val="21"/>
                    </w:rPr>
                    <w:t>污染物</w:t>
                  </w:r>
                </w:p>
              </w:tc>
              <w:tc>
                <w:tcPr>
                  <w:tcW w:w="1267" w:type="dxa"/>
                  <w:vMerge w:val="restart"/>
                  <w:vAlign w:val="center"/>
                </w:tcPr>
                <w:p w14:paraId="2F03043F">
                  <w:pPr>
                    <w:snapToGrid w:val="0"/>
                    <w:spacing w:line="320" w:lineRule="exact"/>
                    <w:jc w:val="center"/>
                    <w:rPr>
                      <w:rFonts w:ascii="Times New Roman" w:hAnsi="Times New Roman" w:cs="Times New Roman"/>
                      <w:color w:val="000000"/>
                      <w:sz w:val="21"/>
                      <w:szCs w:val="21"/>
                    </w:rPr>
                  </w:pPr>
                  <w:r>
                    <w:rPr>
                      <w:rFonts w:ascii="Times New Roman" w:hAnsi="Times New Roman" w:cs="Times New Roman"/>
                      <w:color w:val="000000"/>
                      <w:sz w:val="21"/>
                      <w:szCs w:val="21"/>
                    </w:rPr>
                    <w:t>最高允许排放浓度mg/m</w:t>
                  </w:r>
                  <w:r>
                    <w:rPr>
                      <w:rFonts w:ascii="Times New Roman" w:hAnsi="Times New Roman" w:cs="Times New Roman"/>
                      <w:color w:val="000000"/>
                      <w:sz w:val="21"/>
                      <w:szCs w:val="21"/>
                      <w:vertAlign w:val="superscript"/>
                    </w:rPr>
                    <w:t>3</w:t>
                  </w:r>
                </w:p>
              </w:tc>
              <w:tc>
                <w:tcPr>
                  <w:tcW w:w="3371" w:type="dxa"/>
                  <w:gridSpan w:val="2"/>
                  <w:vAlign w:val="center"/>
                </w:tcPr>
                <w:p w14:paraId="28F5FA48">
                  <w:pPr>
                    <w:snapToGrid w:val="0"/>
                    <w:spacing w:line="320" w:lineRule="exact"/>
                    <w:jc w:val="center"/>
                    <w:rPr>
                      <w:rFonts w:ascii="Times New Roman" w:hAnsi="Times New Roman" w:cs="Times New Roman"/>
                      <w:color w:val="000000"/>
                      <w:sz w:val="21"/>
                      <w:szCs w:val="21"/>
                    </w:rPr>
                  </w:pPr>
                  <w:r>
                    <w:rPr>
                      <w:rFonts w:ascii="Times New Roman" w:hAnsi="Times New Roman" w:cs="Times New Roman"/>
                      <w:color w:val="000000"/>
                      <w:sz w:val="21"/>
                      <w:szCs w:val="21"/>
                    </w:rPr>
                    <w:t>最高允许排放速率，kg/h</w:t>
                  </w:r>
                </w:p>
              </w:tc>
              <w:tc>
                <w:tcPr>
                  <w:tcW w:w="2620" w:type="dxa"/>
                  <w:gridSpan w:val="2"/>
                  <w:vMerge w:val="restart"/>
                  <w:vAlign w:val="center"/>
                </w:tcPr>
                <w:p w14:paraId="563D04D8">
                  <w:pPr>
                    <w:snapToGrid w:val="0"/>
                    <w:spacing w:line="320" w:lineRule="exact"/>
                    <w:jc w:val="center"/>
                    <w:rPr>
                      <w:rFonts w:ascii="Times New Roman" w:hAnsi="Times New Roman" w:cs="Times New Roman"/>
                      <w:color w:val="000000"/>
                      <w:sz w:val="21"/>
                      <w:szCs w:val="21"/>
                    </w:rPr>
                  </w:pPr>
                  <w:r>
                    <w:rPr>
                      <w:rFonts w:ascii="Times New Roman" w:hAnsi="Times New Roman" w:cs="Times New Roman"/>
                      <w:color w:val="000000"/>
                      <w:sz w:val="21"/>
                      <w:szCs w:val="21"/>
                    </w:rPr>
                    <w:t>无组织排放监控浓度限值mg/m</w:t>
                  </w:r>
                  <w:r>
                    <w:rPr>
                      <w:rFonts w:ascii="Times New Roman" w:hAnsi="Times New Roman" w:cs="Times New Roman"/>
                      <w:color w:val="000000"/>
                      <w:sz w:val="21"/>
                      <w:szCs w:val="21"/>
                      <w:vertAlign w:val="superscript"/>
                    </w:rPr>
                    <w:t>3</w:t>
                  </w:r>
                </w:p>
              </w:tc>
            </w:tr>
            <w:tr w14:paraId="0E1F0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2" w:hRule="atLeast"/>
                <w:jc w:val="center"/>
              </w:trPr>
              <w:tc>
                <w:tcPr>
                  <w:tcW w:w="1537" w:type="dxa"/>
                  <w:vMerge w:val="continue"/>
                  <w:vAlign w:val="center"/>
                </w:tcPr>
                <w:p w14:paraId="094555B4">
                  <w:pPr>
                    <w:snapToGrid w:val="0"/>
                    <w:spacing w:line="320" w:lineRule="exact"/>
                    <w:jc w:val="center"/>
                    <w:rPr>
                      <w:rFonts w:ascii="Times New Roman" w:hAnsi="Times New Roman" w:cs="Times New Roman"/>
                      <w:color w:val="000000"/>
                      <w:sz w:val="21"/>
                      <w:szCs w:val="21"/>
                    </w:rPr>
                  </w:pPr>
                </w:p>
              </w:tc>
              <w:tc>
                <w:tcPr>
                  <w:tcW w:w="1267" w:type="dxa"/>
                  <w:vMerge w:val="continue"/>
                  <w:vAlign w:val="center"/>
                </w:tcPr>
                <w:p w14:paraId="1C986167">
                  <w:pPr>
                    <w:snapToGrid w:val="0"/>
                    <w:spacing w:line="320" w:lineRule="exact"/>
                    <w:jc w:val="center"/>
                    <w:rPr>
                      <w:rFonts w:ascii="Times New Roman" w:hAnsi="Times New Roman" w:cs="Times New Roman"/>
                      <w:color w:val="000000"/>
                      <w:sz w:val="21"/>
                      <w:szCs w:val="21"/>
                    </w:rPr>
                  </w:pPr>
                </w:p>
              </w:tc>
              <w:tc>
                <w:tcPr>
                  <w:tcW w:w="1685" w:type="dxa"/>
                  <w:vAlign w:val="center"/>
                </w:tcPr>
                <w:p w14:paraId="27A2FF75">
                  <w:pPr>
                    <w:snapToGrid w:val="0"/>
                    <w:spacing w:line="320" w:lineRule="exact"/>
                    <w:jc w:val="center"/>
                    <w:rPr>
                      <w:rFonts w:ascii="Times New Roman" w:hAnsi="Times New Roman" w:cs="Times New Roman"/>
                      <w:color w:val="000000"/>
                      <w:sz w:val="21"/>
                      <w:szCs w:val="21"/>
                    </w:rPr>
                  </w:pPr>
                  <w:r>
                    <w:rPr>
                      <w:rFonts w:ascii="Times New Roman" w:hAnsi="Times New Roman" w:cs="Times New Roman"/>
                      <w:color w:val="000000"/>
                      <w:sz w:val="21"/>
                      <w:szCs w:val="21"/>
                    </w:rPr>
                    <w:t>排气筒高度，m</w:t>
                  </w:r>
                </w:p>
              </w:tc>
              <w:tc>
                <w:tcPr>
                  <w:tcW w:w="1686" w:type="dxa"/>
                  <w:vAlign w:val="center"/>
                </w:tcPr>
                <w:p w14:paraId="0E9028FA">
                  <w:pPr>
                    <w:snapToGrid w:val="0"/>
                    <w:spacing w:line="320" w:lineRule="exact"/>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2620" w:type="dxa"/>
                  <w:gridSpan w:val="2"/>
                  <w:vMerge w:val="continue"/>
                  <w:vAlign w:val="center"/>
                </w:tcPr>
                <w:p w14:paraId="712374F7">
                  <w:pPr>
                    <w:snapToGrid w:val="0"/>
                    <w:spacing w:line="320" w:lineRule="exact"/>
                    <w:jc w:val="center"/>
                    <w:rPr>
                      <w:rFonts w:ascii="Times New Roman" w:hAnsi="Times New Roman" w:cs="Times New Roman"/>
                      <w:color w:val="000000"/>
                      <w:sz w:val="21"/>
                      <w:szCs w:val="21"/>
                    </w:rPr>
                  </w:pPr>
                </w:p>
              </w:tc>
            </w:tr>
            <w:tr w14:paraId="562BC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537" w:type="dxa"/>
                  <w:vAlign w:val="center"/>
                </w:tcPr>
                <w:p w14:paraId="3CE32B93">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颗粒物</w:t>
                  </w:r>
                </w:p>
              </w:tc>
              <w:tc>
                <w:tcPr>
                  <w:tcW w:w="1267" w:type="dxa"/>
                  <w:vAlign w:val="center"/>
                </w:tcPr>
                <w:p w14:paraId="003A8226">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w:t>
                  </w:r>
                </w:p>
              </w:tc>
              <w:tc>
                <w:tcPr>
                  <w:tcW w:w="1685" w:type="dxa"/>
                  <w:vAlign w:val="center"/>
                </w:tcPr>
                <w:p w14:paraId="31ECEB68">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1686" w:type="dxa"/>
                  <w:vAlign w:val="center"/>
                </w:tcPr>
                <w:p w14:paraId="549AF7F3">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w:t>
                  </w:r>
                </w:p>
              </w:tc>
              <w:tc>
                <w:tcPr>
                  <w:tcW w:w="1739" w:type="dxa"/>
                  <w:vAlign w:val="center"/>
                </w:tcPr>
                <w:p w14:paraId="7CFEC2C7">
                  <w:pPr>
                    <w:snapToGrid w:val="0"/>
                    <w:spacing w:line="320" w:lineRule="exact"/>
                    <w:jc w:val="center"/>
                    <w:rPr>
                      <w:rFonts w:ascii="Times New Roman" w:hAnsi="Times New Roman" w:cs="Times New Roman"/>
                      <w:color w:val="000000"/>
                      <w:sz w:val="21"/>
                      <w:szCs w:val="21"/>
                    </w:rPr>
                  </w:pPr>
                  <w:r>
                    <w:rPr>
                      <w:rFonts w:ascii="Times New Roman" w:hAnsi="Times New Roman" w:cs="Times New Roman"/>
                      <w:color w:val="000000"/>
                      <w:sz w:val="21"/>
                      <w:szCs w:val="21"/>
                    </w:rPr>
                    <w:t>周界外浓度最高点</w:t>
                  </w:r>
                </w:p>
              </w:tc>
              <w:tc>
                <w:tcPr>
                  <w:tcW w:w="881" w:type="dxa"/>
                  <w:vAlign w:val="center"/>
                </w:tcPr>
                <w:p w14:paraId="4827DCF1">
                  <w:pPr>
                    <w:snapToGrid w:val="0"/>
                    <w:spacing w:line="320" w:lineRule="exact"/>
                    <w:jc w:val="center"/>
                    <w:rPr>
                      <w:rFonts w:ascii="Times New Roman" w:hAnsi="Times New Roman" w:cs="Times New Roman"/>
                      <w:color w:val="000000"/>
                      <w:sz w:val="21"/>
                      <w:szCs w:val="21"/>
                    </w:rPr>
                  </w:pPr>
                  <w:r>
                    <w:rPr>
                      <w:rFonts w:ascii="Times New Roman" w:hAnsi="Times New Roman" w:cs="Times New Roman"/>
                      <w:color w:val="000000"/>
                      <w:sz w:val="21"/>
                      <w:szCs w:val="21"/>
                    </w:rPr>
                    <w:t>1.0</w:t>
                  </w:r>
                </w:p>
              </w:tc>
            </w:tr>
            <w:tr w14:paraId="3AF3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537" w:type="dxa"/>
                  <w:vAlign w:val="center"/>
                </w:tcPr>
                <w:p w14:paraId="0F2AD2D9">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硫酸雾</w:t>
                  </w:r>
                </w:p>
              </w:tc>
              <w:tc>
                <w:tcPr>
                  <w:tcW w:w="1267" w:type="dxa"/>
                  <w:vAlign w:val="center"/>
                </w:tcPr>
                <w:p w14:paraId="126614C6">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w:t>
                  </w:r>
                </w:p>
              </w:tc>
              <w:tc>
                <w:tcPr>
                  <w:tcW w:w="1685" w:type="dxa"/>
                  <w:shd w:val="clear" w:color="auto" w:fill="auto"/>
                  <w:vAlign w:val="center"/>
                </w:tcPr>
                <w:p w14:paraId="43408BD5">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1686" w:type="dxa"/>
                  <w:shd w:val="clear" w:color="auto" w:fill="auto"/>
                  <w:vAlign w:val="center"/>
                </w:tcPr>
                <w:p w14:paraId="0B02E0BF">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1739" w:type="dxa"/>
                  <w:vAlign w:val="center"/>
                </w:tcPr>
                <w:p w14:paraId="067589DB">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周界外浓度最高点</w:t>
                  </w:r>
                </w:p>
              </w:tc>
              <w:tc>
                <w:tcPr>
                  <w:tcW w:w="881" w:type="dxa"/>
                  <w:vAlign w:val="center"/>
                </w:tcPr>
                <w:p w14:paraId="65987CE7">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w:t>
                  </w:r>
                </w:p>
              </w:tc>
            </w:tr>
            <w:tr w14:paraId="1E2A0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537" w:type="dxa"/>
                  <w:vAlign w:val="center"/>
                </w:tcPr>
                <w:p w14:paraId="65A314FB">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酚类</w:t>
                  </w:r>
                </w:p>
              </w:tc>
              <w:tc>
                <w:tcPr>
                  <w:tcW w:w="1267" w:type="dxa"/>
                  <w:vAlign w:val="center"/>
                </w:tcPr>
                <w:p w14:paraId="5C68A765">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1685" w:type="dxa"/>
                  <w:vAlign w:val="center"/>
                </w:tcPr>
                <w:p w14:paraId="04A2107A">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1686" w:type="dxa"/>
                  <w:vAlign w:val="center"/>
                </w:tcPr>
                <w:p w14:paraId="37C3284B">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w:t>
                  </w:r>
                </w:p>
              </w:tc>
              <w:tc>
                <w:tcPr>
                  <w:tcW w:w="1739" w:type="dxa"/>
                  <w:vAlign w:val="center"/>
                </w:tcPr>
                <w:p w14:paraId="6A60DFD0">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周界外浓度最高点</w:t>
                  </w:r>
                </w:p>
              </w:tc>
              <w:tc>
                <w:tcPr>
                  <w:tcW w:w="881" w:type="dxa"/>
                  <w:vAlign w:val="center"/>
                </w:tcPr>
                <w:p w14:paraId="4EA337D6">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0.08</w:t>
                  </w:r>
                </w:p>
              </w:tc>
            </w:tr>
            <w:tr w14:paraId="14C76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537" w:type="dxa"/>
                  <w:vAlign w:val="center"/>
                </w:tcPr>
                <w:p w14:paraId="2DEB699D">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非甲烷总烃</w:t>
                  </w:r>
                </w:p>
              </w:tc>
              <w:tc>
                <w:tcPr>
                  <w:tcW w:w="1267" w:type="dxa"/>
                  <w:vAlign w:val="center"/>
                </w:tcPr>
                <w:p w14:paraId="10603D84">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120</w:t>
                  </w:r>
                </w:p>
              </w:tc>
              <w:tc>
                <w:tcPr>
                  <w:tcW w:w="1685" w:type="dxa"/>
                  <w:vAlign w:val="center"/>
                </w:tcPr>
                <w:p w14:paraId="65F86589">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1686" w:type="dxa"/>
                  <w:vAlign w:val="center"/>
                </w:tcPr>
                <w:p w14:paraId="120B0CB9">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739" w:type="dxa"/>
                  <w:vAlign w:val="center"/>
                </w:tcPr>
                <w:p w14:paraId="168DA4E5">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周界外浓度最高点</w:t>
                  </w:r>
                </w:p>
              </w:tc>
              <w:tc>
                <w:tcPr>
                  <w:tcW w:w="881" w:type="dxa"/>
                  <w:vAlign w:val="center"/>
                </w:tcPr>
                <w:p w14:paraId="10C3B550">
                  <w:pPr>
                    <w:snapToGrid w:val="0"/>
                    <w:spacing w:line="32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r>
          </w:tbl>
          <w:p w14:paraId="09306AE5">
            <w:pPr>
              <w:adjustRightInd w:val="0"/>
              <w:snapToGrid w:val="0"/>
              <w:spacing w:line="360" w:lineRule="auto"/>
              <w:ind w:firstLine="480" w:firstLineChars="200"/>
              <w:textAlignment w:val="baseline"/>
              <w:rPr>
                <w:rFonts w:ascii="Times New Roman" w:hAnsi="Times New Roman" w:cs="Times New Roman"/>
                <w:color w:val="000000" w:themeColor="text1"/>
                <w14:textFill>
                  <w14:solidFill>
                    <w14:schemeClr w14:val="tx1"/>
                  </w14:solidFill>
                </w14:textFill>
              </w:rPr>
            </w:pPr>
          </w:p>
          <w:p w14:paraId="331EEA50">
            <w:pPr>
              <w:adjustRightInd w:val="0"/>
              <w:snapToGrid w:val="0"/>
              <w:spacing w:line="360" w:lineRule="auto"/>
              <w:ind w:firstLine="480" w:firstLineChars="200"/>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厂区内非甲烷总烃无组织执行《挥发性有机物无组织排放控制标准》（GB37822-2019）中附录A中特别排放限值。</w:t>
            </w:r>
          </w:p>
          <w:p w14:paraId="608EB3A4">
            <w:pPr>
              <w:keepNext/>
              <w:keepLines/>
              <w:widowControl w:val="0"/>
              <w:tabs>
                <w:tab w:val="left" w:pos="0"/>
                <w:tab w:val="left" w:pos="420"/>
                <w:tab w:val="left" w:pos="850"/>
                <w:tab w:val="left" w:pos="2268"/>
              </w:tabs>
              <w:adjustRightInd w:val="0"/>
              <w:snapToGrid w:val="0"/>
              <w:spacing w:line="360" w:lineRule="auto"/>
              <w:jc w:val="center"/>
              <w:rPr>
                <w:rFonts w:ascii="Times New Roman" w:hAnsi="Times New Roman" w:cs="Times New Roman"/>
                <w:b/>
                <w:bCs/>
                <w:color w:val="000000" w:themeColor="text1"/>
                <w:szCs w:val="18"/>
                <w14:textFill>
                  <w14:solidFill>
                    <w14:schemeClr w14:val="tx1"/>
                  </w14:solidFill>
                </w14:textFill>
              </w:rPr>
            </w:pPr>
            <w:r>
              <w:rPr>
                <w:rFonts w:hint="eastAsia" w:ascii="Times New Roman" w:hAnsi="Times New Roman" w:cs="Times New Roman"/>
                <w:b/>
                <w:bCs/>
                <w:color w:val="000000" w:themeColor="text1"/>
                <w:szCs w:val="18"/>
                <w14:textFill>
                  <w14:solidFill>
                    <w14:schemeClr w14:val="tx1"/>
                  </w14:solidFill>
                </w14:textFill>
              </w:rPr>
              <w:t xml:space="preserve">表3-7 </w:t>
            </w:r>
            <w:r>
              <w:rPr>
                <w:rFonts w:ascii="Times New Roman" w:hAnsi="Times New Roman" w:cs="Times New Roman"/>
                <w:b/>
                <w:bCs/>
                <w:color w:val="000000" w:themeColor="text1"/>
                <w:szCs w:val="18"/>
                <w14:textFill>
                  <w14:solidFill>
                    <w14:schemeClr w14:val="tx1"/>
                  </w14:solidFill>
                </w14:textFill>
              </w:rPr>
              <w:t>厂区内VOCs无组织排放限值</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180"/>
              <w:gridCol w:w="2195"/>
              <w:gridCol w:w="2570"/>
              <w:gridCol w:w="2850"/>
            </w:tblGrid>
            <w:tr w14:paraId="46CC1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180" w:type="dxa"/>
                  <w:vAlign w:val="center"/>
                </w:tcPr>
                <w:p w14:paraId="2952743F">
                  <w:pPr>
                    <w:pStyle w:val="193"/>
                    <w:spacing w:line="240" w:lineRule="auto"/>
                    <w:rPr>
                      <w:rFonts w:ascii="Times New Roman" w:hAnsi="Times New Roman"/>
                      <w:b/>
                      <w:bCs/>
                      <w:color w:val="000000" w:themeColor="text1"/>
                      <w:szCs w:val="21"/>
                      <w14:textFill>
                        <w14:solidFill>
                          <w14:schemeClr w14:val="tx1"/>
                        </w14:solidFill>
                      </w14:textFill>
                    </w:rPr>
                  </w:pPr>
                  <w:r>
                    <w:rPr>
                      <w:rFonts w:ascii="Times New Roman" w:hAnsi="Times New Roman"/>
                      <w:b/>
                      <w:bCs/>
                      <w:color w:val="000000" w:themeColor="text1"/>
                      <w:szCs w:val="21"/>
                      <w14:textFill>
                        <w14:solidFill>
                          <w14:schemeClr w14:val="tx1"/>
                        </w14:solidFill>
                      </w14:textFill>
                    </w:rPr>
                    <w:t>污染物</w:t>
                  </w:r>
                </w:p>
              </w:tc>
              <w:tc>
                <w:tcPr>
                  <w:tcW w:w="2195" w:type="dxa"/>
                  <w:vAlign w:val="center"/>
                </w:tcPr>
                <w:p w14:paraId="7096F0E5">
                  <w:pPr>
                    <w:pStyle w:val="193"/>
                    <w:spacing w:line="240" w:lineRule="auto"/>
                    <w:rPr>
                      <w:rFonts w:ascii="Times New Roman" w:hAnsi="Times New Roman"/>
                      <w:b/>
                      <w:bCs/>
                      <w:color w:val="000000" w:themeColor="text1"/>
                      <w:szCs w:val="21"/>
                      <w14:textFill>
                        <w14:solidFill>
                          <w14:schemeClr w14:val="tx1"/>
                        </w14:solidFill>
                      </w14:textFill>
                    </w:rPr>
                  </w:pPr>
                  <w:r>
                    <w:rPr>
                      <w:rFonts w:ascii="Times New Roman" w:hAnsi="Times New Roman"/>
                      <w:b/>
                      <w:bCs/>
                      <w:color w:val="000000" w:themeColor="text1"/>
                      <w:szCs w:val="21"/>
                      <w14:textFill>
                        <w14:solidFill>
                          <w14:schemeClr w14:val="tx1"/>
                        </w14:solidFill>
                      </w14:textFill>
                    </w:rPr>
                    <w:t>排放监控浓度</w:t>
                  </w:r>
                  <w:r>
                    <w:rPr>
                      <w:rFonts w:hint="eastAsia" w:ascii="Times New Roman" w:hAnsi="Times New Roman"/>
                      <w:b/>
                      <w:bCs/>
                      <w:color w:val="000000" w:themeColor="text1"/>
                      <w:szCs w:val="21"/>
                      <w14:textFill>
                        <w14:solidFill>
                          <w14:schemeClr w14:val="tx1"/>
                        </w14:solidFill>
                      </w14:textFill>
                    </w:rPr>
                    <w:t>（</w:t>
                  </w:r>
                  <w:r>
                    <w:rPr>
                      <w:rFonts w:ascii="Times New Roman" w:hAnsi="Times New Roman"/>
                      <w:b/>
                      <w:bCs/>
                      <w:color w:val="000000" w:themeColor="text1"/>
                      <w:szCs w:val="21"/>
                      <w14:textFill>
                        <w14:solidFill>
                          <w14:schemeClr w14:val="tx1"/>
                        </w14:solidFill>
                      </w14:textFill>
                    </w:rPr>
                    <w:t>mg/m</w:t>
                  </w:r>
                  <w:r>
                    <w:rPr>
                      <w:rFonts w:ascii="Times New Roman" w:hAnsi="Times New Roman"/>
                      <w:b/>
                      <w:bCs/>
                      <w:color w:val="000000" w:themeColor="text1"/>
                      <w:szCs w:val="21"/>
                      <w:vertAlign w:val="superscript"/>
                      <w14:textFill>
                        <w14:solidFill>
                          <w14:schemeClr w14:val="tx1"/>
                        </w14:solidFill>
                      </w14:textFill>
                    </w:rPr>
                    <w:t>3</w:t>
                  </w:r>
                  <w:r>
                    <w:rPr>
                      <w:rFonts w:ascii="Times New Roman" w:hAnsi="Times New Roman"/>
                      <w:b/>
                      <w:bCs/>
                      <w:color w:val="000000" w:themeColor="text1"/>
                      <w:szCs w:val="21"/>
                      <w14:textFill>
                        <w14:solidFill>
                          <w14:schemeClr w14:val="tx1"/>
                        </w14:solidFill>
                      </w14:textFill>
                    </w:rPr>
                    <w:t>）</w:t>
                  </w:r>
                </w:p>
              </w:tc>
              <w:tc>
                <w:tcPr>
                  <w:tcW w:w="2570" w:type="dxa"/>
                  <w:vAlign w:val="center"/>
                </w:tcPr>
                <w:p w14:paraId="7037D587">
                  <w:pPr>
                    <w:pStyle w:val="193"/>
                    <w:spacing w:line="240" w:lineRule="auto"/>
                    <w:rPr>
                      <w:rFonts w:ascii="Times New Roman" w:hAnsi="Times New Roman"/>
                      <w:b/>
                      <w:bCs/>
                      <w:color w:val="000000" w:themeColor="text1"/>
                      <w:szCs w:val="21"/>
                      <w14:textFill>
                        <w14:solidFill>
                          <w14:schemeClr w14:val="tx1"/>
                        </w14:solidFill>
                      </w14:textFill>
                    </w:rPr>
                  </w:pPr>
                  <w:r>
                    <w:rPr>
                      <w:rFonts w:ascii="Times New Roman" w:hAnsi="Times New Roman"/>
                      <w:b/>
                      <w:bCs/>
                      <w:color w:val="000000" w:themeColor="text1"/>
                      <w:szCs w:val="21"/>
                      <w14:textFill>
                        <w14:solidFill>
                          <w14:schemeClr w14:val="tx1"/>
                        </w14:solidFill>
                      </w14:textFill>
                    </w:rPr>
                    <w:t>限值含义</w:t>
                  </w:r>
                </w:p>
              </w:tc>
              <w:tc>
                <w:tcPr>
                  <w:tcW w:w="2850" w:type="dxa"/>
                  <w:vAlign w:val="center"/>
                </w:tcPr>
                <w:p w14:paraId="50DFBF03">
                  <w:pPr>
                    <w:pStyle w:val="193"/>
                    <w:spacing w:line="240" w:lineRule="auto"/>
                    <w:rPr>
                      <w:rFonts w:ascii="Times New Roman" w:hAnsi="Times New Roman"/>
                      <w:b/>
                      <w:bCs/>
                      <w:color w:val="000000" w:themeColor="text1"/>
                      <w:szCs w:val="21"/>
                      <w14:textFill>
                        <w14:solidFill>
                          <w14:schemeClr w14:val="tx1"/>
                        </w14:solidFill>
                      </w14:textFill>
                    </w:rPr>
                  </w:pPr>
                  <w:r>
                    <w:rPr>
                      <w:rFonts w:ascii="Times New Roman" w:hAnsi="Times New Roman"/>
                      <w:b/>
                      <w:bCs/>
                      <w:color w:val="000000" w:themeColor="text1"/>
                      <w:szCs w:val="21"/>
                      <w14:textFill>
                        <w14:solidFill>
                          <w14:schemeClr w14:val="tx1"/>
                        </w14:solidFill>
                      </w14:textFill>
                    </w:rPr>
                    <w:t>备注</w:t>
                  </w:r>
                </w:p>
              </w:tc>
            </w:tr>
            <w:tr w14:paraId="68158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180" w:type="dxa"/>
                  <w:vMerge w:val="restart"/>
                  <w:vAlign w:val="center"/>
                </w:tcPr>
                <w:p w14:paraId="185345E1">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非甲烷总烃</w:t>
                  </w:r>
                </w:p>
              </w:tc>
              <w:tc>
                <w:tcPr>
                  <w:tcW w:w="2195" w:type="dxa"/>
                  <w:vAlign w:val="center"/>
                </w:tcPr>
                <w:p w14:paraId="1803CCA3">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10</w:t>
                  </w:r>
                </w:p>
              </w:tc>
              <w:tc>
                <w:tcPr>
                  <w:tcW w:w="2570" w:type="dxa"/>
                  <w:vAlign w:val="center"/>
                </w:tcPr>
                <w:p w14:paraId="1B4748DD">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监控点处1h平均浓度值</w:t>
                  </w:r>
                </w:p>
              </w:tc>
              <w:tc>
                <w:tcPr>
                  <w:tcW w:w="2850" w:type="dxa"/>
                  <w:vMerge w:val="restart"/>
                  <w:vAlign w:val="center"/>
                </w:tcPr>
                <w:p w14:paraId="77E439B6">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《挥发性有机物无组织排放控制标准》（GB37822-2019）</w:t>
                  </w:r>
                </w:p>
              </w:tc>
            </w:tr>
            <w:tr w14:paraId="27D59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180" w:type="dxa"/>
                  <w:vMerge w:val="continue"/>
                  <w:vAlign w:val="center"/>
                </w:tcPr>
                <w:p w14:paraId="5995B85F">
                  <w:pPr>
                    <w:pStyle w:val="193"/>
                    <w:spacing w:line="240" w:lineRule="auto"/>
                    <w:rPr>
                      <w:rFonts w:ascii="Times New Roman" w:hAnsi="Times New Roman"/>
                      <w:color w:val="000000" w:themeColor="text1"/>
                      <w:szCs w:val="21"/>
                      <w14:textFill>
                        <w14:solidFill>
                          <w14:schemeClr w14:val="tx1"/>
                        </w14:solidFill>
                      </w14:textFill>
                    </w:rPr>
                  </w:pPr>
                </w:p>
              </w:tc>
              <w:tc>
                <w:tcPr>
                  <w:tcW w:w="2195" w:type="dxa"/>
                  <w:vAlign w:val="center"/>
                </w:tcPr>
                <w:p w14:paraId="5B014B46">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w:t>
                  </w:r>
                </w:p>
              </w:tc>
              <w:tc>
                <w:tcPr>
                  <w:tcW w:w="2570" w:type="dxa"/>
                  <w:vAlign w:val="center"/>
                </w:tcPr>
                <w:p w14:paraId="20767226">
                  <w:pPr>
                    <w:pStyle w:val="193"/>
                    <w:spacing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监控点处任意一次浓度值</w:t>
                  </w:r>
                </w:p>
              </w:tc>
              <w:tc>
                <w:tcPr>
                  <w:tcW w:w="2850" w:type="dxa"/>
                  <w:vMerge w:val="continue"/>
                  <w:vAlign w:val="center"/>
                </w:tcPr>
                <w:p w14:paraId="21A57280">
                  <w:pPr>
                    <w:pStyle w:val="193"/>
                    <w:spacing w:line="240" w:lineRule="auto"/>
                    <w:rPr>
                      <w:rFonts w:ascii="Times New Roman" w:hAnsi="Times New Roman"/>
                      <w:color w:val="000000" w:themeColor="text1"/>
                      <w:szCs w:val="21"/>
                      <w14:textFill>
                        <w14:solidFill>
                          <w14:schemeClr w14:val="tx1"/>
                        </w14:solidFill>
                      </w14:textFill>
                    </w:rPr>
                  </w:pPr>
                </w:p>
              </w:tc>
            </w:tr>
          </w:tbl>
          <w:p w14:paraId="079823AD">
            <w:pPr>
              <w:adjustRightInd w:val="0"/>
              <w:snapToGrid w:val="0"/>
              <w:spacing w:line="360" w:lineRule="auto"/>
              <w:ind w:firstLine="482" w:firstLineChars="200"/>
              <w:textAlignment w:val="baseline"/>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2、废水</w:t>
            </w:r>
          </w:p>
          <w:p w14:paraId="68395FCA">
            <w:pPr>
              <w:tabs>
                <w:tab w:val="left" w:pos="624"/>
              </w:tabs>
              <w:wordWrap w:val="0"/>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（1）施工期</w:t>
            </w:r>
          </w:p>
          <w:p w14:paraId="3B20E20D">
            <w:pPr>
              <w:tabs>
                <w:tab w:val="left" w:pos="624"/>
              </w:tabs>
              <w:wordWrap w:val="0"/>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期废水主要为职工生活污水和施工废水。施工废水经沉淀后回用于场区洒水降尘；生活污水经化粪池处理后汇集至生活污水池，再泵至广西恒逸污水处理厂处理。生活污水水质执行《污水综合排放标准》三级标准（GB8978-1996）及</w:t>
            </w:r>
            <w:r>
              <w:rPr>
                <w:rFonts w:ascii="Times New Roman" w:hAnsi="Times New Roman" w:cs="Times New Roman"/>
              </w:rPr>
              <w:t>广西恒逸污水处理厂</w:t>
            </w:r>
            <w:r>
              <w:rPr>
                <w:rFonts w:ascii="Times New Roman" w:hAnsi="Times New Roman" w:cs="Times New Roman"/>
                <w:color w:val="000000" w:themeColor="text1"/>
                <w14:textFill>
                  <w14:solidFill>
                    <w14:schemeClr w14:val="tx1"/>
                  </w14:solidFill>
                </w14:textFill>
              </w:rPr>
              <w:t>接管标准的较严值标准。</w:t>
            </w:r>
          </w:p>
          <w:p w14:paraId="76E84258">
            <w:pPr>
              <w:tabs>
                <w:tab w:val="left" w:pos="624"/>
              </w:tabs>
              <w:wordWrap w:val="0"/>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（2）营运期</w:t>
            </w:r>
          </w:p>
          <w:p w14:paraId="4AE391F7">
            <w:pPr>
              <w:tabs>
                <w:tab w:val="left" w:pos="624"/>
              </w:tabs>
              <w:wordWrap w:val="0"/>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本项目运营期</w:t>
            </w:r>
            <w:r>
              <w:rPr>
                <w:rFonts w:ascii="Times New Roman" w:hAnsi="Times New Roman" w:cs="Times New Roman"/>
                <w:color w:val="000000" w:themeColor="text1"/>
                <w:lang w:val="zh-CN"/>
                <w14:textFill>
                  <w14:solidFill>
                    <w14:schemeClr w14:val="tx1"/>
                  </w14:solidFill>
                </w14:textFill>
              </w:rPr>
              <w:t>生活污水</w:t>
            </w:r>
            <w:r>
              <w:rPr>
                <w:rFonts w:ascii="Times New Roman" w:hAnsi="Times New Roman" w:cs="Times New Roman"/>
              </w:rPr>
              <w:t>经化粪池处理后汇集至生活污水池，泵送至</w:t>
            </w:r>
            <w:bookmarkStart w:id="15" w:name="OLE_LINK10"/>
            <w:r>
              <w:rPr>
                <w:rFonts w:ascii="Times New Roman" w:hAnsi="Times New Roman" w:cs="Times New Roman"/>
              </w:rPr>
              <w:t>广西恒逸</w:t>
            </w:r>
            <w:bookmarkEnd w:id="15"/>
            <w:r>
              <w:rPr>
                <w:rFonts w:hint="eastAsia" w:ascii="Times New Roman" w:hAnsi="Times New Roman" w:cs="Times New Roman"/>
                <w:lang w:eastAsia="zh-CN"/>
              </w:rPr>
              <w:t>污水处理厂</w:t>
            </w:r>
            <w:r>
              <w:rPr>
                <w:rFonts w:ascii="Times New Roman" w:hAnsi="Times New Roman" w:cs="Times New Roman"/>
              </w:rPr>
              <w:t>处理。场地清洗废水、</w:t>
            </w:r>
            <w:r>
              <w:rPr>
                <w:rFonts w:ascii="Times New Roman" w:hAnsi="Times New Roman" w:cs="Times New Roman"/>
                <w:color w:val="000000" w:themeColor="text1"/>
                <w14:textFill>
                  <w14:solidFill>
                    <w14:schemeClr w14:val="tx1"/>
                  </w14:solidFill>
                </w14:textFill>
              </w:rPr>
              <w:t>初期雨水经排水沟收集至初期雨水池，泵</w:t>
            </w:r>
            <w:r>
              <w:rPr>
                <w:rFonts w:ascii="Times New Roman" w:hAnsi="Times New Roman" w:cs="Times New Roman"/>
              </w:rPr>
              <w:t>送至广西恒逸新污水处理厂处理。</w:t>
            </w:r>
            <w:r>
              <w:rPr>
                <w:rFonts w:ascii="Times New Roman" w:hAnsi="Times New Roman" w:cs="Times New Roman"/>
                <w:color w:val="000000" w:themeColor="text1"/>
                <w14:textFill>
                  <w14:solidFill>
                    <w14:schemeClr w14:val="tx1"/>
                  </w14:solidFill>
                </w14:textFill>
              </w:rPr>
              <w:t>废水排放执行《污水综合排放标准》（GB8978-1996）三级标准及广西恒逸新污水处理厂接管要求。广西恒逸污水处理厂出水达到《石油化学工业污染物排放标准》(GB31571-2015)标准及《污水综合排放标准》(GB8978-1996)一级标准(恒逸污水处理厂尾水排放标准按照上述标准中更严格的限值进行取值)后排放。广西恒逸污水处理厂的进水</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出水水质标准下表</w:t>
            </w:r>
            <w:r>
              <w:rPr>
                <w:rFonts w:hint="eastAsia" w:ascii="Times New Roman" w:hAnsi="Times New Roman" w:cs="Times New Roman"/>
                <w:color w:val="000000" w:themeColor="text1"/>
                <w14:textFill>
                  <w14:solidFill>
                    <w14:schemeClr w14:val="tx1"/>
                  </w14:solidFill>
                </w14:textFill>
              </w:rPr>
              <w:t>所示</w:t>
            </w:r>
            <w:r>
              <w:rPr>
                <w:rFonts w:ascii="Times New Roman" w:hAnsi="Times New Roman" w:cs="Times New Roman"/>
                <w:color w:val="000000" w:themeColor="text1"/>
                <w14:textFill>
                  <w14:solidFill>
                    <w14:schemeClr w14:val="tx1"/>
                  </w14:solidFill>
                </w14:textFill>
              </w:rPr>
              <w:t>。</w:t>
            </w:r>
          </w:p>
          <w:p w14:paraId="47A6E5B6">
            <w:pPr>
              <w:keepNext/>
              <w:keepLines/>
              <w:widowControl w:val="0"/>
              <w:tabs>
                <w:tab w:val="left" w:pos="420"/>
              </w:tabs>
              <w:adjustRightInd w:val="0"/>
              <w:snapToGrid w:val="0"/>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表3-</w:t>
            </w:r>
            <w:r>
              <w:rPr>
                <w:rFonts w:hint="eastAsia" w:ascii="Times New Roman" w:hAnsi="Times New Roman" w:cs="Times New Roman"/>
                <w:b/>
                <w:bCs/>
                <w:color w:val="000000" w:themeColor="text1"/>
                <w14:textFill>
                  <w14:solidFill>
                    <w14:schemeClr w14:val="tx1"/>
                  </w14:solidFill>
                </w14:textFill>
              </w:rPr>
              <w:t>8广西</w:t>
            </w:r>
            <w:r>
              <w:rPr>
                <w:rFonts w:ascii="Times New Roman" w:hAnsi="Times New Roman" w:cs="Times New Roman"/>
                <w:b/>
                <w:bCs/>
                <w:color w:val="000000" w:themeColor="text1"/>
                <w14:textFill>
                  <w14:solidFill>
                    <w14:schemeClr w14:val="tx1"/>
                  </w14:solidFill>
                </w14:textFill>
              </w:rPr>
              <w:t>恒逸污水处理厂</w:t>
            </w:r>
            <w:r>
              <w:rPr>
                <w:rFonts w:hint="eastAsia" w:ascii="Times New Roman" w:hAnsi="Times New Roman" w:cs="Times New Roman"/>
                <w:b/>
                <w:bCs/>
                <w:color w:val="000000" w:themeColor="text1"/>
                <w14:textFill>
                  <w14:solidFill>
                    <w14:schemeClr w14:val="tx1"/>
                  </w14:solidFill>
                </w14:textFill>
              </w:rPr>
              <w:t>各系统</w:t>
            </w:r>
            <w:r>
              <w:rPr>
                <w:rFonts w:ascii="Times New Roman" w:hAnsi="Times New Roman" w:cs="Times New Roman"/>
                <w:b/>
                <w:bCs/>
                <w:color w:val="000000" w:themeColor="text1"/>
                <w14:textFill>
                  <w14:solidFill>
                    <w14:schemeClr w14:val="tx1"/>
                  </w14:solidFill>
                </w14:textFill>
              </w:rPr>
              <w:t xml:space="preserve">进水水质标准（摘录） </w:t>
            </w:r>
            <w:r>
              <w:rPr>
                <w:rFonts w:ascii="Times New Roman" w:hAnsi="Times New Roman" w:cs="Times New Roman"/>
                <w:b/>
                <w:bCs/>
                <w:color w:val="000000" w:themeColor="text1"/>
                <w:sz w:val="21"/>
                <w:szCs w:val="21"/>
                <w14:textFill>
                  <w14:solidFill>
                    <w14:schemeClr w14:val="tx1"/>
                  </w14:solidFill>
                </w14:textFill>
              </w:rPr>
              <w:t xml:space="preserve">单位：mg/L </w:t>
            </w:r>
            <w:r>
              <w:rPr>
                <w:rFonts w:hint="eastAsia" w:ascii="Times New Roman" w:hAnsi="Times New Roman" w:cs="Times New Roman"/>
                <w:b/>
                <w:bCs/>
                <w:color w:val="000000" w:themeColor="text1"/>
                <w:sz w:val="21"/>
                <w:szCs w:val="21"/>
                <w14:textFill>
                  <w14:solidFill>
                    <w14:schemeClr w14:val="tx1"/>
                  </w14:solidFill>
                </w14:textFill>
              </w:rPr>
              <w:t>,</w:t>
            </w:r>
            <w:r>
              <w:rPr>
                <w:rFonts w:ascii="Times New Roman" w:hAnsi="Times New Roman" w:cs="Times New Roman"/>
                <w:b/>
                <w:bCs/>
                <w:color w:val="000000" w:themeColor="text1"/>
                <w:sz w:val="21"/>
                <w:szCs w:val="21"/>
                <w14:textFill>
                  <w14:solidFill>
                    <w14:schemeClr w14:val="tx1"/>
                  </w14:solidFill>
                </w14:textFill>
              </w:rPr>
              <w:t>pH无量纲</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8"/>
              <w:gridCol w:w="1168"/>
              <w:gridCol w:w="938"/>
              <w:gridCol w:w="811"/>
              <w:gridCol w:w="829"/>
              <w:gridCol w:w="593"/>
              <w:gridCol w:w="593"/>
              <w:gridCol w:w="690"/>
              <w:gridCol w:w="925"/>
            </w:tblGrid>
            <w:tr w14:paraId="74E52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313" w:type="dxa"/>
                  <w:tcMar>
                    <w:left w:w="0" w:type="dxa"/>
                    <w:right w:w="0" w:type="dxa"/>
                  </w:tcMar>
                  <w:vAlign w:val="center"/>
                </w:tcPr>
                <w:p w14:paraId="6D005DB6">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系统名称</w:t>
                  </w:r>
                </w:p>
              </w:tc>
              <w:tc>
                <w:tcPr>
                  <w:tcW w:w="1201" w:type="dxa"/>
                  <w:tcMar>
                    <w:left w:w="0" w:type="dxa"/>
                    <w:right w:w="0" w:type="dxa"/>
                  </w:tcMar>
                  <w:vAlign w:val="center"/>
                </w:tcPr>
                <w:p w14:paraId="697DBC90">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废水类别</w:t>
                  </w:r>
                </w:p>
              </w:tc>
              <w:tc>
                <w:tcPr>
                  <w:tcW w:w="964" w:type="dxa"/>
                  <w:tcMar>
                    <w:left w:w="0" w:type="dxa"/>
                    <w:right w:w="0" w:type="dxa"/>
                  </w:tcMar>
                  <w:vAlign w:val="center"/>
                </w:tcPr>
                <w:p w14:paraId="15B442E0">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pH</w:t>
                  </w:r>
                </w:p>
              </w:tc>
              <w:tc>
                <w:tcPr>
                  <w:tcW w:w="834" w:type="dxa"/>
                  <w:tcMar>
                    <w:left w:w="0" w:type="dxa"/>
                    <w:right w:w="0" w:type="dxa"/>
                  </w:tcMar>
                  <w:vAlign w:val="center"/>
                </w:tcPr>
                <w:p w14:paraId="5AF832E7">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COD</w:t>
                  </w:r>
                </w:p>
              </w:tc>
              <w:tc>
                <w:tcPr>
                  <w:tcW w:w="852" w:type="dxa"/>
                  <w:tcMar>
                    <w:left w:w="0" w:type="dxa"/>
                    <w:right w:w="0" w:type="dxa"/>
                  </w:tcMar>
                  <w:vAlign w:val="center"/>
                </w:tcPr>
                <w:p w14:paraId="197DC47E">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BOD</w:t>
                  </w:r>
                  <w:r>
                    <w:rPr>
                      <w:rFonts w:ascii="Times New Roman" w:hAnsi="Times New Roman"/>
                      <w:b/>
                      <w:bCs/>
                      <w:color w:val="000000" w:themeColor="text1"/>
                      <w:sz w:val="21"/>
                      <w:szCs w:val="21"/>
                      <w:vertAlign w:val="subscript"/>
                      <w14:textFill>
                        <w14:solidFill>
                          <w14:schemeClr w14:val="tx1"/>
                        </w14:solidFill>
                      </w14:textFill>
                    </w:rPr>
                    <w:t>5</w:t>
                  </w:r>
                </w:p>
              </w:tc>
              <w:tc>
                <w:tcPr>
                  <w:tcW w:w="609" w:type="dxa"/>
                  <w:tcMar>
                    <w:left w:w="0" w:type="dxa"/>
                    <w:right w:w="0" w:type="dxa"/>
                  </w:tcMar>
                  <w:vAlign w:val="center"/>
                </w:tcPr>
                <w:p w14:paraId="7D22B204">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SS</w:t>
                  </w:r>
                </w:p>
              </w:tc>
              <w:tc>
                <w:tcPr>
                  <w:tcW w:w="609" w:type="dxa"/>
                  <w:tcMar>
                    <w:left w:w="0" w:type="dxa"/>
                    <w:right w:w="0" w:type="dxa"/>
                  </w:tcMar>
                  <w:vAlign w:val="center"/>
                </w:tcPr>
                <w:p w14:paraId="4EDEA3CE">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氨氮</w:t>
                  </w:r>
                </w:p>
              </w:tc>
              <w:tc>
                <w:tcPr>
                  <w:tcW w:w="709" w:type="dxa"/>
                  <w:tcMar>
                    <w:left w:w="0" w:type="dxa"/>
                    <w:right w:w="0" w:type="dxa"/>
                  </w:tcMar>
                  <w:vAlign w:val="center"/>
                </w:tcPr>
                <w:p w14:paraId="68DF355E">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石油类</w:t>
                  </w:r>
                </w:p>
              </w:tc>
              <w:tc>
                <w:tcPr>
                  <w:tcW w:w="951" w:type="dxa"/>
                  <w:tcMar>
                    <w:left w:w="0" w:type="dxa"/>
                    <w:right w:w="0" w:type="dxa"/>
                  </w:tcMar>
                  <w:vAlign w:val="center"/>
                </w:tcPr>
                <w:p w14:paraId="4C6EC565">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TDS</w:t>
                  </w:r>
                </w:p>
              </w:tc>
            </w:tr>
            <w:tr w14:paraId="1BC17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0310762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合成氨废水预处理系统</w:t>
                  </w:r>
                </w:p>
              </w:tc>
              <w:tc>
                <w:tcPr>
                  <w:tcW w:w="1201" w:type="dxa"/>
                  <w:tcMar>
                    <w:left w:w="0" w:type="dxa"/>
                    <w:right w:w="0" w:type="dxa"/>
                  </w:tcMar>
                  <w:vAlign w:val="center"/>
                </w:tcPr>
                <w:p w14:paraId="2267C39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高氨氮</w:t>
                  </w:r>
                </w:p>
              </w:tc>
              <w:tc>
                <w:tcPr>
                  <w:tcW w:w="964" w:type="dxa"/>
                  <w:tcMar>
                    <w:left w:w="0" w:type="dxa"/>
                    <w:right w:w="0" w:type="dxa"/>
                  </w:tcMar>
                  <w:vAlign w:val="center"/>
                </w:tcPr>
                <w:p w14:paraId="2A4349A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6~9</w:t>
                  </w:r>
                </w:p>
              </w:tc>
              <w:tc>
                <w:tcPr>
                  <w:tcW w:w="834" w:type="dxa"/>
                  <w:tcMar>
                    <w:left w:w="0" w:type="dxa"/>
                    <w:right w:w="0" w:type="dxa"/>
                  </w:tcMar>
                  <w:vAlign w:val="center"/>
                </w:tcPr>
                <w:p w14:paraId="7D1915C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800</w:t>
                  </w:r>
                </w:p>
              </w:tc>
              <w:tc>
                <w:tcPr>
                  <w:tcW w:w="852" w:type="dxa"/>
                  <w:tcMar>
                    <w:left w:w="0" w:type="dxa"/>
                    <w:right w:w="0" w:type="dxa"/>
                  </w:tcMar>
                  <w:vAlign w:val="center"/>
                </w:tcPr>
                <w:p w14:paraId="36BE00B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w:t>
                  </w:r>
                </w:p>
              </w:tc>
              <w:tc>
                <w:tcPr>
                  <w:tcW w:w="609" w:type="dxa"/>
                  <w:tcMar>
                    <w:left w:w="0" w:type="dxa"/>
                    <w:right w:w="0" w:type="dxa"/>
                  </w:tcMar>
                  <w:vAlign w:val="center"/>
                </w:tcPr>
                <w:p w14:paraId="5EAF4B5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w:t>
                  </w:r>
                </w:p>
              </w:tc>
              <w:tc>
                <w:tcPr>
                  <w:tcW w:w="609" w:type="dxa"/>
                  <w:tcMar>
                    <w:left w:w="0" w:type="dxa"/>
                    <w:right w:w="0" w:type="dxa"/>
                  </w:tcMar>
                  <w:vAlign w:val="center"/>
                </w:tcPr>
                <w:p w14:paraId="44FEB6B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300</w:t>
                  </w:r>
                </w:p>
              </w:tc>
              <w:tc>
                <w:tcPr>
                  <w:tcW w:w="709" w:type="dxa"/>
                  <w:tcMar>
                    <w:left w:w="0" w:type="dxa"/>
                    <w:right w:w="0" w:type="dxa"/>
                  </w:tcMar>
                  <w:vAlign w:val="center"/>
                </w:tcPr>
                <w:p w14:paraId="587163D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t>
                  </w:r>
                </w:p>
              </w:tc>
              <w:tc>
                <w:tcPr>
                  <w:tcW w:w="951" w:type="dxa"/>
                  <w:tcMar>
                    <w:left w:w="0" w:type="dxa"/>
                    <w:right w:w="0" w:type="dxa"/>
                  </w:tcMar>
                  <w:vAlign w:val="center"/>
                </w:tcPr>
                <w:p w14:paraId="1DEE858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10000</w:t>
                  </w:r>
                </w:p>
              </w:tc>
            </w:tr>
            <w:tr w14:paraId="2685E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0B42ADF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聚酰胺废水预处理系统</w:t>
                  </w:r>
                </w:p>
              </w:tc>
              <w:tc>
                <w:tcPr>
                  <w:tcW w:w="1201" w:type="dxa"/>
                  <w:tcMar>
                    <w:left w:w="0" w:type="dxa"/>
                    <w:right w:w="0" w:type="dxa"/>
                  </w:tcMar>
                  <w:vAlign w:val="center"/>
                </w:tcPr>
                <w:p w14:paraId="5CA87F2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高浓度</w:t>
                  </w:r>
                </w:p>
              </w:tc>
              <w:tc>
                <w:tcPr>
                  <w:tcW w:w="964" w:type="dxa"/>
                  <w:tcMar>
                    <w:left w:w="0" w:type="dxa"/>
                    <w:right w:w="0" w:type="dxa"/>
                  </w:tcMar>
                  <w:vAlign w:val="center"/>
                </w:tcPr>
                <w:p w14:paraId="439B40A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6~9</w:t>
                  </w:r>
                </w:p>
              </w:tc>
              <w:tc>
                <w:tcPr>
                  <w:tcW w:w="834" w:type="dxa"/>
                  <w:tcMar>
                    <w:left w:w="0" w:type="dxa"/>
                    <w:right w:w="0" w:type="dxa"/>
                  </w:tcMar>
                  <w:vAlign w:val="center"/>
                </w:tcPr>
                <w:p w14:paraId="6EBB8BB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12000</w:t>
                  </w:r>
                </w:p>
              </w:tc>
              <w:tc>
                <w:tcPr>
                  <w:tcW w:w="852" w:type="dxa"/>
                  <w:tcMar>
                    <w:left w:w="0" w:type="dxa"/>
                    <w:right w:w="0" w:type="dxa"/>
                  </w:tcMar>
                  <w:vAlign w:val="center"/>
                </w:tcPr>
                <w:p w14:paraId="081EBD1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3000</w:t>
                  </w:r>
                </w:p>
              </w:tc>
              <w:tc>
                <w:tcPr>
                  <w:tcW w:w="609" w:type="dxa"/>
                  <w:tcMar>
                    <w:left w:w="0" w:type="dxa"/>
                    <w:right w:w="0" w:type="dxa"/>
                  </w:tcMar>
                  <w:vAlign w:val="center"/>
                </w:tcPr>
                <w:p w14:paraId="6273641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200</w:t>
                  </w:r>
                </w:p>
              </w:tc>
              <w:tc>
                <w:tcPr>
                  <w:tcW w:w="609" w:type="dxa"/>
                  <w:tcMar>
                    <w:left w:w="0" w:type="dxa"/>
                    <w:right w:w="0" w:type="dxa"/>
                  </w:tcMar>
                  <w:vAlign w:val="center"/>
                </w:tcPr>
                <w:p w14:paraId="021B0EC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w:t>
                  </w:r>
                </w:p>
              </w:tc>
              <w:tc>
                <w:tcPr>
                  <w:tcW w:w="709" w:type="dxa"/>
                  <w:tcMar>
                    <w:left w:w="0" w:type="dxa"/>
                    <w:right w:w="0" w:type="dxa"/>
                  </w:tcMar>
                  <w:vAlign w:val="center"/>
                </w:tcPr>
                <w:p w14:paraId="2F30441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t>
                  </w:r>
                </w:p>
              </w:tc>
              <w:tc>
                <w:tcPr>
                  <w:tcW w:w="951" w:type="dxa"/>
                  <w:tcMar>
                    <w:left w:w="0" w:type="dxa"/>
                    <w:right w:w="0" w:type="dxa"/>
                  </w:tcMar>
                  <w:vAlign w:val="center"/>
                </w:tcPr>
                <w:p w14:paraId="031EF40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10000</w:t>
                  </w:r>
                </w:p>
              </w:tc>
            </w:tr>
            <w:tr w14:paraId="3BD62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235FFE5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氨肟化废水及双氧水废水预处理系统</w:t>
                  </w:r>
                </w:p>
              </w:tc>
              <w:tc>
                <w:tcPr>
                  <w:tcW w:w="1201" w:type="dxa"/>
                  <w:tcMar>
                    <w:left w:w="0" w:type="dxa"/>
                    <w:right w:w="0" w:type="dxa"/>
                  </w:tcMar>
                  <w:vAlign w:val="center"/>
                </w:tcPr>
                <w:p w14:paraId="29829C9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高浓度</w:t>
                  </w:r>
                </w:p>
              </w:tc>
              <w:tc>
                <w:tcPr>
                  <w:tcW w:w="964" w:type="dxa"/>
                  <w:tcMar>
                    <w:left w:w="0" w:type="dxa"/>
                    <w:right w:w="0" w:type="dxa"/>
                  </w:tcMar>
                  <w:vAlign w:val="center"/>
                </w:tcPr>
                <w:p w14:paraId="325FBD3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4~10</w:t>
                  </w:r>
                </w:p>
              </w:tc>
              <w:tc>
                <w:tcPr>
                  <w:tcW w:w="834" w:type="dxa"/>
                  <w:tcMar>
                    <w:left w:w="0" w:type="dxa"/>
                    <w:right w:w="0" w:type="dxa"/>
                  </w:tcMar>
                  <w:vAlign w:val="center"/>
                </w:tcPr>
                <w:p w14:paraId="1EAA23D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4000</w:t>
                  </w:r>
                </w:p>
              </w:tc>
              <w:tc>
                <w:tcPr>
                  <w:tcW w:w="852" w:type="dxa"/>
                  <w:tcMar>
                    <w:left w:w="0" w:type="dxa"/>
                    <w:right w:w="0" w:type="dxa"/>
                  </w:tcMar>
                  <w:vAlign w:val="center"/>
                </w:tcPr>
                <w:p w14:paraId="3319A9F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600</w:t>
                  </w:r>
                </w:p>
              </w:tc>
              <w:tc>
                <w:tcPr>
                  <w:tcW w:w="609" w:type="dxa"/>
                  <w:tcMar>
                    <w:left w:w="0" w:type="dxa"/>
                    <w:right w:w="0" w:type="dxa"/>
                  </w:tcMar>
                  <w:vAlign w:val="center"/>
                </w:tcPr>
                <w:p w14:paraId="055DE40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200</w:t>
                  </w:r>
                </w:p>
              </w:tc>
              <w:tc>
                <w:tcPr>
                  <w:tcW w:w="609" w:type="dxa"/>
                  <w:tcMar>
                    <w:left w:w="0" w:type="dxa"/>
                    <w:right w:w="0" w:type="dxa"/>
                  </w:tcMar>
                  <w:vAlign w:val="center"/>
                </w:tcPr>
                <w:p w14:paraId="32805BB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w:t>
                  </w:r>
                </w:p>
              </w:tc>
              <w:tc>
                <w:tcPr>
                  <w:tcW w:w="709" w:type="dxa"/>
                  <w:tcMar>
                    <w:left w:w="0" w:type="dxa"/>
                    <w:right w:w="0" w:type="dxa"/>
                  </w:tcMar>
                  <w:vAlign w:val="center"/>
                </w:tcPr>
                <w:p w14:paraId="4DFC0AF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350</w:t>
                  </w:r>
                </w:p>
              </w:tc>
              <w:tc>
                <w:tcPr>
                  <w:tcW w:w="951" w:type="dxa"/>
                  <w:tcMar>
                    <w:left w:w="0" w:type="dxa"/>
                    <w:right w:w="0" w:type="dxa"/>
                  </w:tcMar>
                  <w:vAlign w:val="center"/>
                </w:tcPr>
                <w:p w14:paraId="0127C63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10000</w:t>
                  </w:r>
                </w:p>
              </w:tc>
            </w:tr>
            <w:tr w14:paraId="7D783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5AA99CC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清净废水预处理系统</w:t>
                  </w:r>
                </w:p>
              </w:tc>
              <w:tc>
                <w:tcPr>
                  <w:tcW w:w="1201" w:type="dxa"/>
                  <w:tcMar>
                    <w:left w:w="0" w:type="dxa"/>
                    <w:right w:w="0" w:type="dxa"/>
                  </w:tcMar>
                  <w:vAlign w:val="center"/>
                </w:tcPr>
                <w:p w14:paraId="19B4955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低浓度</w:t>
                  </w:r>
                </w:p>
              </w:tc>
              <w:tc>
                <w:tcPr>
                  <w:tcW w:w="964" w:type="dxa"/>
                  <w:tcMar>
                    <w:left w:w="0" w:type="dxa"/>
                    <w:right w:w="0" w:type="dxa"/>
                  </w:tcMar>
                  <w:vAlign w:val="center"/>
                </w:tcPr>
                <w:p w14:paraId="0F82BA8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3~9</w:t>
                  </w:r>
                </w:p>
              </w:tc>
              <w:tc>
                <w:tcPr>
                  <w:tcW w:w="834" w:type="dxa"/>
                  <w:tcMar>
                    <w:left w:w="0" w:type="dxa"/>
                    <w:right w:w="0" w:type="dxa"/>
                  </w:tcMar>
                  <w:vAlign w:val="center"/>
                </w:tcPr>
                <w:p w14:paraId="3DA2DAB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w:t>
                  </w:r>
                </w:p>
              </w:tc>
              <w:tc>
                <w:tcPr>
                  <w:tcW w:w="852" w:type="dxa"/>
                  <w:tcMar>
                    <w:left w:w="0" w:type="dxa"/>
                    <w:right w:w="0" w:type="dxa"/>
                  </w:tcMar>
                  <w:vAlign w:val="center"/>
                </w:tcPr>
                <w:p w14:paraId="7FD2FB8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20</w:t>
                  </w:r>
                </w:p>
              </w:tc>
              <w:tc>
                <w:tcPr>
                  <w:tcW w:w="609" w:type="dxa"/>
                  <w:tcMar>
                    <w:left w:w="0" w:type="dxa"/>
                    <w:right w:w="0" w:type="dxa"/>
                  </w:tcMar>
                  <w:vAlign w:val="center"/>
                </w:tcPr>
                <w:p w14:paraId="4785E63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70</w:t>
                  </w:r>
                </w:p>
              </w:tc>
              <w:tc>
                <w:tcPr>
                  <w:tcW w:w="609" w:type="dxa"/>
                  <w:tcMar>
                    <w:left w:w="0" w:type="dxa"/>
                    <w:right w:w="0" w:type="dxa"/>
                  </w:tcMar>
                  <w:vAlign w:val="center"/>
                </w:tcPr>
                <w:p w14:paraId="14D4047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8</w:t>
                  </w:r>
                </w:p>
              </w:tc>
              <w:tc>
                <w:tcPr>
                  <w:tcW w:w="709" w:type="dxa"/>
                  <w:tcMar>
                    <w:left w:w="0" w:type="dxa"/>
                    <w:right w:w="0" w:type="dxa"/>
                  </w:tcMar>
                  <w:vAlign w:val="center"/>
                </w:tcPr>
                <w:p w14:paraId="2F3E183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w:t>
                  </w:r>
                </w:p>
              </w:tc>
              <w:tc>
                <w:tcPr>
                  <w:tcW w:w="951" w:type="dxa"/>
                  <w:tcMar>
                    <w:left w:w="0" w:type="dxa"/>
                    <w:right w:w="0" w:type="dxa"/>
                  </w:tcMar>
                  <w:vAlign w:val="center"/>
                </w:tcPr>
                <w:p w14:paraId="3FA46D9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t>
                  </w:r>
                </w:p>
              </w:tc>
            </w:tr>
            <w:tr w14:paraId="517C3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5EFC96C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综合废水处理系统</w:t>
                  </w:r>
                </w:p>
              </w:tc>
              <w:tc>
                <w:tcPr>
                  <w:tcW w:w="1201" w:type="dxa"/>
                  <w:tcMar>
                    <w:left w:w="0" w:type="dxa"/>
                    <w:right w:w="0" w:type="dxa"/>
                  </w:tcMar>
                  <w:vAlign w:val="center"/>
                </w:tcPr>
                <w:p w14:paraId="61C9283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低浓度</w:t>
                  </w:r>
                </w:p>
              </w:tc>
              <w:tc>
                <w:tcPr>
                  <w:tcW w:w="964" w:type="dxa"/>
                  <w:tcMar>
                    <w:left w:w="0" w:type="dxa"/>
                    <w:right w:w="0" w:type="dxa"/>
                  </w:tcMar>
                  <w:vAlign w:val="center"/>
                </w:tcPr>
                <w:p w14:paraId="09CD17C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6~9</w:t>
                  </w:r>
                </w:p>
              </w:tc>
              <w:tc>
                <w:tcPr>
                  <w:tcW w:w="834" w:type="dxa"/>
                  <w:tcMar>
                    <w:left w:w="0" w:type="dxa"/>
                    <w:right w:w="0" w:type="dxa"/>
                  </w:tcMar>
                  <w:vAlign w:val="center"/>
                </w:tcPr>
                <w:p w14:paraId="7E9D396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2000</w:t>
                  </w:r>
                </w:p>
              </w:tc>
              <w:tc>
                <w:tcPr>
                  <w:tcW w:w="852" w:type="dxa"/>
                  <w:tcMar>
                    <w:left w:w="0" w:type="dxa"/>
                    <w:right w:w="0" w:type="dxa"/>
                  </w:tcMar>
                  <w:vAlign w:val="center"/>
                </w:tcPr>
                <w:p w14:paraId="309DDA3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600</w:t>
                  </w:r>
                </w:p>
              </w:tc>
              <w:tc>
                <w:tcPr>
                  <w:tcW w:w="609" w:type="dxa"/>
                  <w:tcMar>
                    <w:left w:w="0" w:type="dxa"/>
                    <w:right w:w="0" w:type="dxa"/>
                  </w:tcMar>
                  <w:vAlign w:val="center"/>
                </w:tcPr>
                <w:p w14:paraId="62622D3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400</w:t>
                  </w:r>
                </w:p>
              </w:tc>
              <w:tc>
                <w:tcPr>
                  <w:tcW w:w="609" w:type="dxa"/>
                  <w:tcMar>
                    <w:left w:w="0" w:type="dxa"/>
                    <w:right w:w="0" w:type="dxa"/>
                  </w:tcMar>
                  <w:vAlign w:val="center"/>
                </w:tcPr>
                <w:p w14:paraId="54D6D80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160</w:t>
                  </w:r>
                </w:p>
              </w:tc>
              <w:tc>
                <w:tcPr>
                  <w:tcW w:w="709" w:type="dxa"/>
                  <w:tcMar>
                    <w:left w:w="0" w:type="dxa"/>
                    <w:right w:w="0" w:type="dxa"/>
                  </w:tcMar>
                  <w:vAlign w:val="center"/>
                </w:tcPr>
                <w:p w14:paraId="00BBAA4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70</w:t>
                  </w:r>
                </w:p>
              </w:tc>
              <w:tc>
                <w:tcPr>
                  <w:tcW w:w="951" w:type="dxa"/>
                  <w:tcMar>
                    <w:left w:w="0" w:type="dxa"/>
                    <w:right w:w="0" w:type="dxa"/>
                  </w:tcMar>
                  <w:vAlign w:val="center"/>
                </w:tcPr>
                <w:p w14:paraId="484A91B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t>
                  </w:r>
                </w:p>
              </w:tc>
            </w:tr>
            <w:tr w14:paraId="0C9BD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3" w:type="dxa"/>
                  <w:tcMar>
                    <w:left w:w="0" w:type="dxa"/>
                    <w:right w:w="0" w:type="dxa"/>
                  </w:tcMar>
                  <w:vAlign w:val="center"/>
                </w:tcPr>
                <w:p w14:paraId="7590BF8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回用处理系统</w:t>
                  </w:r>
                </w:p>
              </w:tc>
              <w:tc>
                <w:tcPr>
                  <w:tcW w:w="1201" w:type="dxa"/>
                  <w:tcMar>
                    <w:left w:w="0" w:type="dxa"/>
                    <w:right w:w="0" w:type="dxa"/>
                  </w:tcMar>
                  <w:vAlign w:val="center"/>
                </w:tcPr>
                <w:p w14:paraId="13399F3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含盐</w:t>
                  </w:r>
                </w:p>
              </w:tc>
              <w:tc>
                <w:tcPr>
                  <w:tcW w:w="964" w:type="dxa"/>
                  <w:tcMar>
                    <w:left w:w="0" w:type="dxa"/>
                    <w:right w:w="0" w:type="dxa"/>
                  </w:tcMar>
                  <w:vAlign w:val="center"/>
                </w:tcPr>
                <w:p w14:paraId="35404E1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6~9</w:t>
                  </w:r>
                </w:p>
              </w:tc>
              <w:tc>
                <w:tcPr>
                  <w:tcW w:w="834" w:type="dxa"/>
                  <w:tcMar>
                    <w:left w:w="0" w:type="dxa"/>
                    <w:right w:w="0" w:type="dxa"/>
                  </w:tcMar>
                  <w:vAlign w:val="center"/>
                </w:tcPr>
                <w:p w14:paraId="74C0E34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75</w:t>
                  </w:r>
                </w:p>
              </w:tc>
              <w:tc>
                <w:tcPr>
                  <w:tcW w:w="852" w:type="dxa"/>
                  <w:tcMar>
                    <w:left w:w="0" w:type="dxa"/>
                    <w:right w:w="0" w:type="dxa"/>
                  </w:tcMar>
                  <w:vAlign w:val="center"/>
                </w:tcPr>
                <w:p w14:paraId="479FAE8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w:t>
                  </w:r>
                </w:p>
              </w:tc>
              <w:tc>
                <w:tcPr>
                  <w:tcW w:w="609" w:type="dxa"/>
                  <w:tcMar>
                    <w:left w:w="0" w:type="dxa"/>
                    <w:right w:w="0" w:type="dxa"/>
                  </w:tcMar>
                  <w:vAlign w:val="center"/>
                </w:tcPr>
                <w:p w14:paraId="401570C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w:t>
                  </w:r>
                </w:p>
              </w:tc>
              <w:tc>
                <w:tcPr>
                  <w:tcW w:w="609" w:type="dxa"/>
                  <w:tcMar>
                    <w:left w:w="0" w:type="dxa"/>
                    <w:right w:w="0" w:type="dxa"/>
                  </w:tcMar>
                  <w:vAlign w:val="center"/>
                </w:tcPr>
                <w:p w14:paraId="4F2BE03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4.8</w:t>
                  </w:r>
                </w:p>
              </w:tc>
              <w:tc>
                <w:tcPr>
                  <w:tcW w:w="709" w:type="dxa"/>
                  <w:tcMar>
                    <w:left w:w="0" w:type="dxa"/>
                    <w:right w:w="0" w:type="dxa"/>
                  </w:tcMar>
                  <w:vAlign w:val="center"/>
                </w:tcPr>
                <w:p w14:paraId="50C8E20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w:t>
                  </w:r>
                </w:p>
              </w:tc>
              <w:tc>
                <w:tcPr>
                  <w:tcW w:w="951" w:type="dxa"/>
                  <w:tcMar>
                    <w:left w:w="0" w:type="dxa"/>
                    <w:right w:w="0" w:type="dxa"/>
                  </w:tcMar>
                  <w:vAlign w:val="center"/>
                </w:tcPr>
                <w:p w14:paraId="10E031C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8000</w:t>
                  </w:r>
                </w:p>
              </w:tc>
            </w:tr>
          </w:tbl>
          <w:p w14:paraId="22BA8152">
            <w:pPr>
              <w:spacing w:line="360" w:lineRule="auto"/>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表3-</w:t>
            </w:r>
            <w:r>
              <w:rPr>
                <w:rFonts w:hint="eastAsia" w:ascii="Times New Roman" w:hAnsi="Times New Roman" w:cs="Times New Roman"/>
                <w:b/>
                <w:bCs/>
                <w:color w:val="000000" w:themeColor="text1"/>
                <w14:textFill>
                  <w14:solidFill>
                    <w14:schemeClr w14:val="tx1"/>
                  </w14:solidFill>
                </w14:textFill>
              </w:rPr>
              <w:t>9</w:t>
            </w:r>
            <w:r>
              <w:rPr>
                <w:rFonts w:ascii="Times New Roman" w:hAnsi="Times New Roman" w:cs="Times New Roman"/>
                <w:b/>
                <w:bCs/>
                <w:color w:val="000000" w:themeColor="text1"/>
                <w14:textFill>
                  <w14:solidFill>
                    <w14:schemeClr w14:val="tx1"/>
                  </w14:solidFill>
                </w14:textFill>
              </w:rPr>
              <w:t xml:space="preserve"> 广西恒逸污水处理厂尾水排放标准  </w:t>
            </w:r>
            <w:r>
              <w:rPr>
                <w:rFonts w:ascii="Times New Roman" w:hAnsi="Times New Roman" w:cs="Times New Roman"/>
                <w:b/>
                <w:bCs/>
                <w:color w:val="000000" w:themeColor="text1"/>
                <w:sz w:val="21"/>
                <w:szCs w:val="21"/>
                <w14:textFill>
                  <w14:solidFill>
                    <w14:schemeClr w14:val="tx1"/>
                  </w14:solidFill>
                </w14:textFill>
              </w:rPr>
              <w:t>单位：mg/L(pH值为无量纲）</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3115"/>
              <w:gridCol w:w="4540"/>
            </w:tblGrid>
            <w:tr w14:paraId="234C0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40" w:type="dxa"/>
                  <w:tcMar>
                    <w:left w:w="0" w:type="dxa"/>
                    <w:right w:w="0" w:type="dxa"/>
                  </w:tcMar>
                  <w:vAlign w:val="center"/>
                </w:tcPr>
                <w:p w14:paraId="34AA4F36">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序号</w:t>
                  </w:r>
                </w:p>
              </w:tc>
              <w:tc>
                <w:tcPr>
                  <w:tcW w:w="3115" w:type="dxa"/>
                  <w:tcMar>
                    <w:left w:w="0" w:type="dxa"/>
                    <w:right w:w="0" w:type="dxa"/>
                  </w:tcMar>
                  <w:vAlign w:val="center"/>
                </w:tcPr>
                <w:p w14:paraId="7B4114CB">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污染物</w:t>
                  </w:r>
                </w:p>
              </w:tc>
              <w:tc>
                <w:tcPr>
                  <w:tcW w:w="4540" w:type="dxa"/>
                  <w:tcMar>
                    <w:left w:w="0" w:type="dxa"/>
                    <w:right w:w="0" w:type="dxa"/>
                  </w:tcMar>
                  <w:vAlign w:val="center"/>
                </w:tcPr>
                <w:p w14:paraId="705B3AC3">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广西恒逸污水处理厂尾水排放限值</w:t>
                  </w:r>
                </w:p>
              </w:tc>
            </w:tr>
            <w:tr w14:paraId="3C9F4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Mar>
                    <w:left w:w="0" w:type="dxa"/>
                    <w:right w:w="0" w:type="dxa"/>
                  </w:tcMar>
                  <w:vAlign w:val="center"/>
                </w:tcPr>
                <w:p w14:paraId="110C949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3115" w:type="dxa"/>
                  <w:tcMar>
                    <w:left w:w="0" w:type="dxa"/>
                    <w:right w:w="0" w:type="dxa"/>
                  </w:tcMar>
                  <w:vAlign w:val="center"/>
                </w:tcPr>
                <w:p w14:paraId="4829794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pH值</w:t>
                  </w:r>
                </w:p>
              </w:tc>
              <w:tc>
                <w:tcPr>
                  <w:tcW w:w="4540" w:type="dxa"/>
                  <w:tcMar>
                    <w:left w:w="0" w:type="dxa"/>
                    <w:right w:w="0" w:type="dxa"/>
                  </w:tcMar>
                  <w:vAlign w:val="center"/>
                </w:tcPr>
                <w:p w14:paraId="5D56FCC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6~9</w:t>
                  </w:r>
                </w:p>
              </w:tc>
            </w:tr>
            <w:tr w14:paraId="195AF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Mar>
                    <w:left w:w="0" w:type="dxa"/>
                    <w:right w:w="0" w:type="dxa"/>
                  </w:tcMar>
                  <w:vAlign w:val="center"/>
                </w:tcPr>
                <w:p w14:paraId="04A65D9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p>
              </w:tc>
              <w:tc>
                <w:tcPr>
                  <w:tcW w:w="3115" w:type="dxa"/>
                  <w:tcMar>
                    <w:left w:w="0" w:type="dxa"/>
                    <w:right w:w="0" w:type="dxa"/>
                  </w:tcMar>
                  <w:vAlign w:val="center"/>
                </w:tcPr>
                <w:p w14:paraId="013EAE8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COD</w:t>
                  </w:r>
                </w:p>
              </w:tc>
              <w:tc>
                <w:tcPr>
                  <w:tcW w:w="4540" w:type="dxa"/>
                  <w:tcMar>
                    <w:left w:w="0" w:type="dxa"/>
                    <w:right w:w="0" w:type="dxa"/>
                  </w:tcMar>
                  <w:vAlign w:val="center"/>
                </w:tcPr>
                <w:p w14:paraId="482F2D4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w:t>
                  </w:r>
                </w:p>
              </w:tc>
            </w:tr>
            <w:tr w14:paraId="06A34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Mar>
                    <w:left w:w="0" w:type="dxa"/>
                    <w:right w:w="0" w:type="dxa"/>
                  </w:tcMar>
                  <w:vAlign w:val="center"/>
                </w:tcPr>
                <w:p w14:paraId="1478275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w:t>
                  </w:r>
                </w:p>
              </w:tc>
              <w:tc>
                <w:tcPr>
                  <w:tcW w:w="3115" w:type="dxa"/>
                  <w:tcMar>
                    <w:left w:w="0" w:type="dxa"/>
                    <w:right w:w="0" w:type="dxa"/>
                  </w:tcMar>
                  <w:vAlign w:val="center"/>
                </w:tcPr>
                <w:p w14:paraId="74A87F5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BOD5</w:t>
                  </w:r>
                </w:p>
              </w:tc>
              <w:tc>
                <w:tcPr>
                  <w:tcW w:w="4540" w:type="dxa"/>
                  <w:tcMar>
                    <w:left w:w="0" w:type="dxa"/>
                    <w:right w:w="0" w:type="dxa"/>
                  </w:tcMar>
                  <w:vAlign w:val="center"/>
                </w:tcPr>
                <w:p w14:paraId="5E6FC19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20</w:t>
                  </w:r>
                </w:p>
              </w:tc>
            </w:tr>
            <w:tr w14:paraId="29E0B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Mar>
                    <w:left w:w="0" w:type="dxa"/>
                    <w:right w:w="0" w:type="dxa"/>
                  </w:tcMar>
                  <w:vAlign w:val="center"/>
                </w:tcPr>
                <w:p w14:paraId="2623358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w:t>
                  </w:r>
                </w:p>
              </w:tc>
              <w:tc>
                <w:tcPr>
                  <w:tcW w:w="3115" w:type="dxa"/>
                  <w:tcMar>
                    <w:left w:w="0" w:type="dxa"/>
                    <w:right w:w="0" w:type="dxa"/>
                  </w:tcMar>
                  <w:vAlign w:val="center"/>
                </w:tcPr>
                <w:p w14:paraId="471B005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氨氮</w:t>
                  </w:r>
                </w:p>
              </w:tc>
              <w:tc>
                <w:tcPr>
                  <w:tcW w:w="4540" w:type="dxa"/>
                  <w:tcMar>
                    <w:left w:w="0" w:type="dxa"/>
                    <w:right w:w="0" w:type="dxa"/>
                  </w:tcMar>
                  <w:vAlign w:val="center"/>
                </w:tcPr>
                <w:p w14:paraId="3EB8B1A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8</w:t>
                  </w:r>
                </w:p>
              </w:tc>
            </w:tr>
            <w:tr w14:paraId="02D6D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Mar>
                    <w:left w:w="0" w:type="dxa"/>
                    <w:right w:w="0" w:type="dxa"/>
                  </w:tcMar>
                  <w:vAlign w:val="center"/>
                </w:tcPr>
                <w:p w14:paraId="3319ED2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w:t>
                  </w:r>
                </w:p>
              </w:tc>
              <w:tc>
                <w:tcPr>
                  <w:tcW w:w="3115" w:type="dxa"/>
                  <w:tcMar>
                    <w:left w:w="0" w:type="dxa"/>
                    <w:right w:w="0" w:type="dxa"/>
                  </w:tcMar>
                  <w:vAlign w:val="center"/>
                </w:tcPr>
                <w:p w14:paraId="32E3990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悬浮物</w:t>
                  </w:r>
                </w:p>
              </w:tc>
              <w:tc>
                <w:tcPr>
                  <w:tcW w:w="4540" w:type="dxa"/>
                  <w:tcMar>
                    <w:left w:w="0" w:type="dxa"/>
                    <w:right w:w="0" w:type="dxa"/>
                  </w:tcMar>
                  <w:vAlign w:val="center"/>
                </w:tcPr>
                <w:p w14:paraId="0F336B3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70</w:t>
                  </w:r>
                </w:p>
              </w:tc>
            </w:tr>
            <w:tr w14:paraId="1D03B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0" w:type="dxa"/>
                  <w:tcMar>
                    <w:left w:w="0" w:type="dxa"/>
                    <w:right w:w="0" w:type="dxa"/>
                  </w:tcMar>
                  <w:vAlign w:val="center"/>
                </w:tcPr>
                <w:p w14:paraId="379453F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6</w:t>
                  </w:r>
                </w:p>
              </w:tc>
              <w:tc>
                <w:tcPr>
                  <w:tcW w:w="3115" w:type="dxa"/>
                  <w:tcMar>
                    <w:left w:w="0" w:type="dxa"/>
                    <w:right w:w="0" w:type="dxa"/>
                  </w:tcMar>
                  <w:vAlign w:val="center"/>
                </w:tcPr>
                <w:p w14:paraId="2880B2E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石油类</w:t>
                  </w:r>
                </w:p>
              </w:tc>
              <w:tc>
                <w:tcPr>
                  <w:tcW w:w="4540" w:type="dxa"/>
                  <w:tcMar>
                    <w:left w:w="0" w:type="dxa"/>
                    <w:right w:w="0" w:type="dxa"/>
                  </w:tcMar>
                  <w:vAlign w:val="center"/>
                </w:tcPr>
                <w:p w14:paraId="61AFBCC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5</w:t>
                  </w:r>
                </w:p>
              </w:tc>
            </w:tr>
          </w:tbl>
          <w:p w14:paraId="4DE16733">
            <w:pPr>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3、噪声</w:t>
            </w:r>
          </w:p>
          <w:p w14:paraId="438181B7">
            <w:pPr>
              <w:tabs>
                <w:tab w:val="left" w:pos="624"/>
              </w:tabs>
              <w:wordWrap w:val="0"/>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（1）施工期</w:t>
            </w:r>
          </w:p>
          <w:p w14:paraId="7FEAF27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项目施工期场界噪声执行《建筑施工噪声排放标准》（GB12523-2025），详见下表。</w:t>
            </w:r>
          </w:p>
          <w:p w14:paraId="166325AC">
            <w:pPr>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表3-</w:t>
            </w:r>
            <w:r>
              <w:rPr>
                <w:rFonts w:hint="eastAsia" w:ascii="Times New Roman" w:hAnsi="Times New Roman" w:cs="Times New Roman"/>
                <w:b/>
                <w:bCs/>
                <w:color w:val="000000" w:themeColor="text1"/>
                <w14:textFill>
                  <w14:solidFill>
                    <w14:schemeClr w14:val="tx1"/>
                  </w14:solidFill>
                </w14:textFill>
              </w:rPr>
              <w:t>10</w:t>
            </w:r>
            <w:r>
              <w:rPr>
                <w:rFonts w:ascii="Times New Roman" w:hAnsi="Times New Roman" w:cs="Times New Roman"/>
                <w:b/>
                <w:bCs/>
                <w:color w:val="000000" w:themeColor="text1"/>
                <w14:textFill>
                  <w14:solidFill>
                    <w14:schemeClr w14:val="tx1"/>
                  </w14:solidFill>
                </w14:textFill>
              </w:rPr>
              <w:t xml:space="preserve"> 《建筑施工噪声排放标准》（GB12523-2025）  单位：dB(A)</w:t>
            </w:r>
          </w:p>
          <w:tbl>
            <w:tblPr>
              <w:tblStyle w:val="88"/>
              <w:tblpPr w:leftFromText="180" w:rightFromText="180" w:vertAnchor="text" w:horzAnchor="page" w:tblpX="104" w:tblpY="293"/>
              <w:tblOverlap w:val="never"/>
              <w:tblW w:w="87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09"/>
              <w:gridCol w:w="2909"/>
              <w:gridCol w:w="2909"/>
            </w:tblGrid>
            <w:tr w14:paraId="422C3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9" w:type="dxa"/>
                  <w:vMerge w:val="restart"/>
                  <w:vAlign w:val="center"/>
                </w:tcPr>
                <w:p w14:paraId="03929013">
                  <w:pPr>
                    <w:adjustRightInd w:val="0"/>
                    <w:snapToGrid w:val="0"/>
                    <w:spacing w:line="276"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标准限值</w:t>
                  </w:r>
                </w:p>
              </w:tc>
              <w:tc>
                <w:tcPr>
                  <w:tcW w:w="2909" w:type="dxa"/>
                  <w:vAlign w:val="center"/>
                </w:tcPr>
                <w:p w14:paraId="799A814C">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昼间</w:t>
                  </w:r>
                </w:p>
              </w:tc>
              <w:tc>
                <w:tcPr>
                  <w:tcW w:w="2909" w:type="dxa"/>
                  <w:vAlign w:val="center"/>
                </w:tcPr>
                <w:p w14:paraId="47676EFF">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夜间</w:t>
                  </w:r>
                </w:p>
              </w:tc>
            </w:tr>
            <w:tr w14:paraId="31CB5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9" w:type="dxa"/>
                  <w:vMerge w:val="continue"/>
                </w:tcPr>
                <w:p w14:paraId="3EBA9B37">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p>
              </w:tc>
              <w:tc>
                <w:tcPr>
                  <w:tcW w:w="2909" w:type="dxa"/>
                  <w:vAlign w:val="center"/>
                </w:tcPr>
                <w:p w14:paraId="7621FBE3">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2909" w:type="dxa"/>
                  <w:vAlign w:val="center"/>
                </w:tcPr>
                <w:p w14:paraId="5B7D89A9">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w:t>
                  </w:r>
                </w:p>
              </w:tc>
            </w:tr>
          </w:tbl>
          <w:p w14:paraId="6B30F403">
            <w:pPr>
              <w:jc w:val="center"/>
              <w:rPr>
                <w:rFonts w:ascii="Times New Roman" w:hAnsi="Times New Roman" w:cs="Times New Roman"/>
                <w:color w:val="000000" w:themeColor="text1"/>
                <w:sz w:val="21"/>
                <w:szCs w:val="21"/>
                <w14:textFill>
                  <w14:solidFill>
                    <w14:schemeClr w14:val="tx1"/>
                  </w14:solidFill>
                </w14:textFill>
              </w:rPr>
            </w:pPr>
          </w:p>
          <w:p w14:paraId="13D97748">
            <w:pPr>
              <w:tabs>
                <w:tab w:val="left" w:pos="624"/>
              </w:tabs>
              <w:wordWrap w:val="0"/>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（2）营运期</w:t>
            </w:r>
          </w:p>
          <w:p w14:paraId="39E5AD1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项目厂界噪声执行《工业企业厂界环境噪声排放标准》（GB12348—2008）中3标准，标准值详见下表。</w:t>
            </w:r>
          </w:p>
          <w:p w14:paraId="74201ED2">
            <w:pPr>
              <w:jc w:val="center"/>
              <w:rPr>
                <w:rFonts w:ascii="Times New Roman" w:hAnsi="Times New Roman" w:cs="Times New Roman"/>
                <w:b/>
                <w:bCs/>
                <w:snapToGrid w:val="0"/>
                <w:color w:val="000000" w:themeColor="text1"/>
                <w14:textFill>
                  <w14:solidFill>
                    <w14:schemeClr w14:val="tx1"/>
                  </w14:solidFill>
                </w14:textFill>
              </w:rPr>
            </w:pPr>
            <w:r>
              <w:rPr>
                <w:rFonts w:ascii="Times New Roman" w:hAnsi="Times New Roman" w:cs="Times New Roman"/>
                <w:b/>
                <w:bCs/>
                <w:snapToGrid w:val="0"/>
                <w:color w:val="000000" w:themeColor="text1"/>
                <w14:textFill>
                  <w14:solidFill>
                    <w14:schemeClr w14:val="tx1"/>
                  </w14:solidFill>
                </w14:textFill>
              </w:rPr>
              <w:t>表3-1</w:t>
            </w:r>
            <w:r>
              <w:rPr>
                <w:rFonts w:hint="eastAsia" w:ascii="Times New Roman" w:hAnsi="Times New Roman" w:cs="Times New Roman"/>
                <w:b/>
                <w:bCs/>
                <w:snapToGrid w:val="0"/>
                <w:color w:val="000000" w:themeColor="text1"/>
                <w14:textFill>
                  <w14:solidFill>
                    <w14:schemeClr w14:val="tx1"/>
                  </w14:solidFill>
                </w14:textFill>
              </w:rPr>
              <w:t>1</w:t>
            </w:r>
            <w:r>
              <w:rPr>
                <w:rFonts w:ascii="Times New Roman" w:hAnsi="Times New Roman" w:cs="Times New Roman"/>
                <w:b/>
                <w:bCs/>
                <w:color w:val="000000" w:themeColor="text1"/>
                <w14:textFill>
                  <w14:solidFill>
                    <w14:schemeClr w14:val="tx1"/>
                  </w14:solidFill>
                </w14:textFill>
              </w:rPr>
              <w:t>《工业企业厂界环境噪声排放标准》（GB 12348—2008 ）</w:t>
            </w:r>
            <w:r>
              <w:rPr>
                <w:rFonts w:ascii="Times New Roman" w:hAnsi="Times New Roman" w:cs="Times New Roman"/>
                <w:b/>
                <w:bCs/>
                <w:snapToGrid w:val="0"/>
                <w:color w:val="000000" w:themeColor="text1"/>
                <w14:textFill>
                  <w14:solidFill>
                    <w14:schemeClr w14:val="tx1"/>
                  </w14:solidFill>
                </w14:textFill>
              </w:rPr>
              <w:t>单位：dB(A)</w:t>
            </w:r>
          </w:p>
          <w:tbl>
            <w:tblPr>
              <w:tblStyle w:val="88"/>
              <w:tblW w:w="87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09"/>
              <w:gridCol w:w="2909"/>
              <w:gridCol w:w="2909"/>
            </w:tblGrid>
            <w:tr w14:paraId="143A3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2909" w:type="dxa"/>
                  <w:vAlign w:val="center"/>
                </w:tcPr>
                <w:p w14:paraId="6B6F805F">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标准类别</w:t>
                  </w:r>
                </w:p>
              </w:tc>
              <w:tc>
                <w:tcPr>
                  <w:tcW w:w="2909" w:type="dxa"/>
                  <w:vAlign w:val="center"/>
                </w:tcPr>
                <w:p w14:paraId="4A9C6D73">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昼间</w:t>
                  </w:r>
                </w:p>
              </w:tc>
              <w:tc>
                <w:tcPr>
                  <w:tcW w:w="2909" w:type="dxa"/>
                  <w:vAlign w:val="center"/>
                </w:tcPr>
                <w:p w14:paraId="7E88D9FD">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夜间</w:t>
                  </w:r>
                </w:p>
              </w:tc>
            </w:tr>
            <w:tr w14:paraId="3FBAC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2909" w:type="dxa"/>
                </w:tcPr>
                <w:p w14:paraId="57F44B40">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2909" w:type="dxa"/>
                  <w:vAlign w:val="center"/>
                </w:tcPr>
                <w:p w14:paraId="7E25045F">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w:t>
                  </w:r>
                </w:p>
              </w:tc>
              <w:tc>
                <w:tcPr>
                  <w:tcW w:w="2909" w:type="dxa"/>
                  <w:vAlign w:val="center"/>
                </w:tcPr>
                <w:p w14:paraId="27375EB9">
                  <w:pPr>
                    <w:adjustRightInd w:val="0"/>
                    <w:snapToGrid w:val="0"/>
                    <w:spacing w:line="276" w:lineRule="auto"/>
                    <w:ind w:firstLine="42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w:t>
                  </w:r>
                </w:p>
              </w:tc>
            </w:tr>
          </w:tbl>
          <w:p w14:paraId="4703FDB9">
            <w:pPr>
              <w:keepNext/>
              <w:keepLines/>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4、固体废物</w:t>
            </w:r>
          </w:p>
          <w:p w14:paraId="2E34771E">
            <w:pPr>
              <w:keepNext/>
              <w:keepLines/>
              <w:spacing w:line="360" w:lineRule="auto"/>
              <w:ind w:firstLine="480" w:firstLineChars="20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一般固体废物管理应遵照《中华人民共和国固体废物污染环境防治法》（2020年修订）、《一般工业固体废物贮存和填埋污染控制标准》（GB18599-2020），危险废物执行《危险废物贮存污染控制标准》（GB18597-2023）。生活垃圾参照《城市生活垃圾管理办法》（建设部令157号）的相关规定进行处理。</w:t>
            </w:r>
          </w:p>
        </w:tc>
      </w:tr>
      <w:tr w14:paraId="2BA90B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4" w:hRule="atLeast"/>
          <w:jc w:val="center"/>
        </w:trPr>
        <w:tc>
          <w:tcPr>
            <w:tcW w:w="413" w:type="dxa"/>
            <w:vAlign w:val="center"/>
          </w:tcPr>
          <w:p w14:paraId="701EF178">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总量</w:t>
            </w:r>
          </w:p>
          <w:p w14:paraId="6213CA03">
            <w:pPr>
              <w:adjustRightInd w:val="0"/>
              <w:snapToGrid w:val="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控制</w:t>
            </w:r>
          </w:p>
          <w:p w14:paraId="4B1959AF">
            <w:pPr>
              <w:adjustRightInd w:val="0"/>
              <w:snapToGrid w:val="0"/>
              <w:jc w:val="center"/>
              <w:rPr>
                <w:rFonts w:ascii="Times New Roman" w:hAnsi="Times New Roman" w:cs="Times New Roman"/>
                <w:color w:val="FF0000"/>
                <w:szCs w:val="21"/>
              </w:rPr>
            </w:pPr>
            <w:r>
              <w:rPr>
                <w:rFonts w:ascii="Times New Roman" w:hAnsi="Times New Roman" w:cs="Times New Roman"/>
                <w:color w:val="000000" w:themeColor="text1"/>
                <w:szCs w:val="21"/>
                <w14:textFill>
                  <w14:solidFill>
                    <w14:schemeClr w14:val="tx1"/>
                  </w14:solidFill>
                </w14:textFill>
              </w:rPr>
              <w:t>指标</w:t>
            </w:r>
          </w:p>
        </w:tc>
        <w:tc>
          <w:tcPr>
            <w:tcW w:w="9021" w:type="dxa"/>
            <w:vAlign w:val="center"/>
          </w:tcPr>
          <w:p w14:paraId="4D1C2F19">
            <w:pPr>
              <w:pStyle w:val="20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中华人民共和国生态环境部办公厅《关于印发＜主要污染物总量减排核算技术指南（2022年修订）＞的通知》（环办综合函〔2022〕350号），实施总量控制的污染物为：化学需氧量、氨氮、氮氧化物、挥发性有机物等4项污染物。</w:t>
            </w:r>
          </w:p>
          <w:p w14:paraId="6C27FBD1">
            <w:pPr>
              <w:pStyle w:val="20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1、废水</w:t>
            </w:r>
          </w:p>
          <w:p w14:paraId="29635033">
            <w:pPr>
              <w:pStyle w:val="20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w:t>
            </w:r>
            <w:r>
              <w:rPr>
                <w:rFonts w:hint="eastAsia" w:ascii="Times New Roman" w:hAnsi="Times New Roman" w:cs="Times New Roman"/>
                <w:color w:val="000000" w:themeColor="text1"/>
                <w14:textFill>
                  <w14:solidFill>
                    <w14:schemeClr w14:val="tx1"/>
                  </w14:solidFill>
                </w14:textFill>
              </w:rPr>
              <w:t>场地清洗废水、</w:t>
            </w:r>
            <w:r>
              <w:rPr>
                <w:rFonts w:ascii="Times New Roman" w:hAnsi="Times New Roman" w:cs="Times New Roman"/>
                <w:color w:val="000000" w:themeColor="text1"/>
                <w14:textFill>
                  <w14:solidFill>
                    <w14:schemeClr w14:val="tx1"/>
                  </w14:solidFill>
                </w14:textFill>
              </w:rPr>
              <w:t>初期雨水依托一期工程项目建设的</w:t>
            </w:r>
            <w:r>
              <w:rPr>
                <w:rFonts w:hint="eastAsia" w:ascii="Times New Roman" w:hAnsi="Times New Roman" w:cs="Times New Roman"/>
                <w:color w:val="000000" w:themeColor="text1"/>
                <w14:textFill>
                  <w14:solidFill>
                    <w14:schemeClr w14:val="tx1"/>
                  </w14:solidFill>
                </w14:textFill>
              </w:rPr>
              <w:t>初期雨水池进行收集，再泵送至广西恒逸污水处理厂</w:t>
            </w:r>
            <w:r>
              <w:rPr>
                <w:rFonts w:ascii="Times New Roman" w:hAnsi="Times New Roman" w:cs="Times New Roman"/>
                <w:color w:val="000000" w:themeColor="text1"/>
                <w14:textFill>
                  <w14:solidFill>
                    <w14:schemeClr w14:val="tx1"/>
                  </w14:solidFill>
                </w14:textFill>
              </w:rPr>
              <w:t>处理</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本项目废水为间接排放，本项目废水排放量为</w:t>
            </w:r>
            <w:r>
              <w:rPr>
                <w:rFonts w:hint="eastAsia" w:ascii="Times New Roman" w:hAnsi="Times New Roman" w:cs="Times New Roman"/>
                <w:color w:val="000000" w:themeColor="text1"/>
                <w14:textFill>
                  <w14:solidFill>
                    <w14:schemeClr w14:val="tx1"/>
                  </w14:solidFill>
                </w14:textFill>
              </w:rPr>
              <w:t>10357.7</w:t>
            </w:r>
            <w:r>
              <w:rPr>
                <w:rFonts w:ascii="Times New Roman" w:hAnsi="Times New Roman" w:cs="Times New Roman"/>
                <w:color w:val="000000" w:themeColor="text1"/>
                <w14:textFill>
                  <w14:solidFill>
                    <w14:schemeClr w14:val="tx1"/>
                  </w14:solidFill>
                </w14:textFill>
              </w:rPr>
              <w:t>t/a，COD排放量为</w:t>
            </w:r>
            <w:r>
              <w:rPr>
                <w:rFonts w:hint="eastAsia" w:ascii="Times New Roman" w:hAnsi="Times New Roman" w:cs="Times New Roman"/>
                <w:color w:val="000000" w:themeColor="text1"/>
                <w14:textFill>
                  <w14:solidFill>
                    <w14:schemeClr w14:val="tx1"/>
                  </w14:solidFill>
                </w14:textFill>
              </w:rPr>
              <w:t>0.958</w:t>
            </w:r>
            <w:r>
              <w:rPr>
                <w:rFonts w:ascii="Times New Roman" w:hAnsi="Times New Roman" w:cs="Times New Roman"/>
                <w:color w:val="000000" w:themeColor="text1"/>
                <w14:textFill>
                  <w14:solidFill>
                    <w14:schemeClr w14:val="tx1"/>
                  </w14:solidFill>
                </w14:textFill>
              </w:rPr>
              <w:t>t/a。化学需氧量、氨氮已纳入</w:t>
            </w:r>
            <w:r>
              <w:rPr>
                <w:rFonts w:hint="eastAsia" w:ascii="Times New Roman" w:hAnsi="Times New Roman" w:cs="Times New Roman"/>
                <w:color w:val="000000" w:themeColor="text1"/>
                <w14:textFill>
                  <w14:solidFill>
                    <w14:schemeClr w14:val="tx1"/>
                  </w14:solidFill>
                </w14:textFill>
              </w:rPr>
              <w:t>广西恒逸污水处理厂</w:t>
            </w:r>
            <w:r>
              <w:rPr>
                <w:rFonts w:ascii="Times New Roman" w:hAnsi="Times New Roman" w:cs="Times New Roman"/>
                <w:color w:val="000000" w:themeColor="text1"/>
                <w14:textFill>
                  <w14:solidFill>
                    <w14:schemeClr w14:val="tx1"/>
                  </w14:solidFill>
                </w14:textFill>
              </w:rPr>
              <w:t>总量控制指标，不另行设置总量控制指标。</w:t>
            </w:r>
          </w:p>
          <w:p w14:paraId="03253283">
            <w:pPr>
              <w:pStyle w:val="200"/>
              <w:tabs>
                <w:tab w:val="center" w:pos="4402"/>
              </w:tabs>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2、废气</w:t>
            </w:r>
            <w:r>
              <w:rPr>
                <w:rFonts w:hint="eastAsia" w:ascii="Times New Roman" w:hAnsi="Times New Roman" w:cs="Times New Roman"/>
                <w:color w:val="000000" w:themeColor="text1"/>
                <w14:textFill>
                  <w14:solidFill>
                    <w14:schemeClr w14:val="tx1"/>
                  </w14:solidFill>
                </w14:textFill>
              </w:rPr>
              <w:tab/>
            </w:r>
          </w:p>
          <w:p w14:paraId="4532B7C3">
            <w:pPr>
              <w:spacing w:line="360" w:lineRule="auto"/>
              <w:ind w:firstLine="420" w:firstLineChars="175"/>
              <w:rPr>
                <w:rFonts w:ascii="Times New Roman" w:hAnsi="Times New Roman" w:cs="Times New Roman"/>
                <w:color w:val="000000" w:themeColor="text1"/>
                <w:lang w:val="fr-FR"/>
                <w14:textFill>
                  <w14:solidFill>
                    <w14:schemeClr w14:val="tx1"/>
                  </w14:solidFill>
                </w14:textFill>
              </w:rPr>
            </w:pPr>
            <w:r>
              <w:rPr>
                <w:rFonts w:ascii="Times New Roman" w:hAnsi="Times New Roman" w:cs="Times New Roman"/>
                <w:color w:val="000000" w:themeColor="text1"/>
                <w:lang w:val="fr-FR"/>
                <w14:textFill>
                  <w14:solidFill>
                    <w14:schemeClr w14:val="tx1"/>
                  </w14:solidFill>
                </w14:textFill>
              </w:rPr>
              <w:t>本项目废气</w:t>
            </w:r>
            <w:r>
              <w:rPr>
                <w:rFonts w:hint="eastAsia" w:ascii="Times New Roman" w:hAnsi="Times New Roman" w:cs="Times New Roman"/>
                <w:color w:val="000000" w:themeColor="text1"/>
                <w14:textFill>
                  <w14:solidFill>
                    <w14:schemeClr w14:val="tx1"/>
                  </w14:solidFill>
                </w14:textFill>
              </w:rPr>
              <w:t>不含氮氧化物，非甲烷总烃排放量为0.205t/a</w:t>
            </w:r>
            <w:r>
              <w:rPr>
                <w:rFonts w:ascii="Times New Roman" w:hAnsi="Times New Roman" w:cs="Times New Roman"/>
                <w:color w:val="000000" w:themeColor="text1"/>
                <w:lang w:val="fr-FR"/>
                <w14:textFill>
                  <w14:solidFill>
                    <w14:schemeClr w14:val="tx1"/>
                  </w14:solidFill>
                </w14:textFill>
              </w:rPr>
              <w:t>。</w:t>
            </w:r>
          </w:p>
          <w:p w14:paraId="5E3AFA02">
            <w:pPr>
              <w:spacing w:line="360" w:lineRule="auto"/>
              <w:ind w:firstLine="420" w:firstLineChars="175"/>
              <w:rPr>
                <w:rFonts w:ascii="Times New Roman" w:hAnsi="Times New Roman" w:cs="Times New Roman"/>
                <w:color w:val="FF0000"/>
                <w:lang w:val="fr-FR"/>
              </w:rPr>
            </w:pPr>
          </w:p>
          <w:p w14:paraId="3FC93718">
            <w:pPr>
              <w:spacing w:line="360" w:lineRule="auto"/>
              <w:ind w:firstLine="420" w:firstLineChars="175"/>
              <w:rPr>
                <w:rFonts w:ascii="Times New Roman" w:hAnsi="Times New Roman" w:cs="Times New Roman"/>
                <w:color w:val="FF0000"/>
                <w:lang w:val="fr-FR"/>
              </w:rPr>
            </w:pPr>
          </w:p>
          <w:p w14:paraId="73904AF2">
            <w:pPr>
              <w:spacing w:line="360" w:lineRule="auto"/>
              <w:ind w:firstLine="420" w:firstLineChars="175"/>
              <w:rPr>
                <w:rFonts w:ascii="Times New Roman" w:hAnsi="Times New Roman" w:cs="Times New Roman"/>
                <w:color w:val="FF0000"/>
                <w:lang w:val="fr-FR"/>
              </w:rPr>
            </w:pPr>
          </w:p>
          <w:p w14:paraId="59C4C1E9">
            <w:pPr>
              <w:spacing w:line="360" w:lineRule="auto"/>
              <w:ind w:firstLine="420" w:firstLineChars="175"/>
              <w:rPr>
                <w:rFonts w:ascii="Times New Roman" w:hAnsi="Times New Roman" w:cs="Times New Roman"/>
                <w:color w:val="FF0000"/>
                <w:lang w:val="fr-FR"/>
              </w:rPr>
            </w:pPr>
          </w:p>
          <w:p w14:paraId="4A8FBE96">
            <w:pPr>
              <w:spacing w:line="360" w:lineRule="auto"/>
              <w:ind w:firstLine="420" w:firstLineChars="175"/>
              <w:rPr>
                <w:rFonts w:ascii="Times New Roman" w:hAnsi="Times New Roman" w:cs="Times New Roman"/>
                <w:color w:val="FF0000"/>
                <w:lang w:val="fr-FR"/>
              </w:rPr>
            </w:pPr>
          </w:p>
          <w:p w14:paraId="181A8271">
            <w:pPr>
              <w:spacing w:line="360" w:lineRule="auto"/>
              <w:ind w:firstLine="420" w:firstLineChars="175"/>
              <w:rPr>
                <w:rFonts w:ascii="Times New Roman" w:hAnsi="Times New Roman" w:cs="Times New Roman"/>
                <w:color w:val="FF0000"/>
                <w:lang w:val="fr-FR"/>
              </w:rPr>
            </w:pPr>
          </w:p>
          <w:p w14:paraId="5B50FD4F">
            <w:pPr>
              <w:spacing w:line="360" w:lineRule="auto"/>
              <w:ind w:firstLine="420" w:firstLineChars="175"/>
              <w:rPr>
                <w:rFonts w:ascii="Times New Roman" w:hAnsi="Times New Roman" w:cs="Times New Roman"/>
                <w:color w:val="FF0000"/>
                <w:lang w:val="fr-FR"/>
              </w:rPr>
            </w:pPr>
          </w:p>
        </w:tc>
      </w:tr>
    </w:tbl>
    <w:p w14:paraId="192CEA48">
      <w:pPr>
        <w:pStyle w:val="81"/>
        <w:spacing w:before="0" w:beforeAutospacing="0" w:after="0" w:afterAutospacing="0" w:line="360" w:lineRule="auto"/>
        <w:jc w:val="center"/>
        <w:outlineLvl w:val="0"/>
        <w:rPr>
          <w:rFonts w:ascii="Times New Roman" w:hAnsi="Times New Roman" w:cs="Times New Roman"/>
          <w:snapToGrid w:val="0"/>
          <w:color w:val="FF0000"/>
          <w:sz w:val="30"/>
          <w:szCs w:val="30"/>
        </w:rPr>
      </w:pPr>
      <w:r>
        <w:rPr>
          <w:rFonts w:ascii="Times New Roman" w:hAnsi="Times New Roman" w:cs="Times New Roman"/>
          <w:snapToGrid w:val="0"/>
          <w:color w:val="FF0000"/>
          <w:sz w:val="36"/>
          <w:szCs w:val="36"/>
        </w:rPr>
        <w:br w:type="page"/>
      </w:r>
      <w:bookmarkStart w:id="16" w:name="_Toc144375212"/>
      <w:bookmarkStart w:id="17" w:name="_Toc146041489"/>
      <w:r>
        <w:rPr>
          <w:rFonts w:ascii="Times New Roman" w:hAnsi="Times New Roman" w:cs="Times New Roman"/>
          <w:b/>
          <w:bCs/>
          <w:snapToGrid w:val="0"/>
          <w:color w:val="000000" w:themeColor="text1"/>
          <w:sz w:val="30"/>
          <w:szCs w:val="30"/>
          <w14:textFill>
            <w14:solidFill>
              <w14:schemeClr w14:val="tx1"/>
            </w14:solidFill>
          </w14:textFill>
        </w:rPr>
        <w:t>四、主要环境影响和保护措施</w:t>
      </w:r>
      <w:bookmarkEnd w:id="16"/>
      <w:bookmarkEnd w:id="17"/>
    </w:p>
    <w:tbl>
      <w:tblPr>
        <w:tblStyle w:val="88"/>
        <w:tblW w:w="100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5"/>
        <w:gridCol w:w="9525"/>
      </w:tblGrid>
      <w:tr w14:paraId="43BCF1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tcMar>
              <w:left w:w="28" w:type="dxa"/>
              <w:right w:w="28" w:type="dxa"/>
            </w:tcMar>
            <w:vAlign w:val="center"/>
          </w:tcPr>
          <w:p w14:paraId="0C82D8AC">
            <w:pPr>
              <w:pStyle w:val="81"/>
              <w:adjustRightInd w:val="0"/>
              <w:snapToGrid w:val="0"/>
              <w:spacing w:before="0" w:beforeAutospacing="0" w:after="0" w:afterAutospacing="0"/>
              <w:jc w:val="center"/>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施工</w:t>
            </w:r>
          </w:p>
          <w:p w14:paraId="7B19E9A2">
            <w:pPr>
              <w:pStyle w:val="81"/>
              <w:adjustRightInd w:val="0"/>
              <w:snapToGrid w:val="0"/>
              <w:spacing w:before="0" w:beforeAutospacing="0" w:after="0" w:afterAutospacing="0"/>
              <w:jc w:val="center"/>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期环</w:t>
            </w:r>
          </w:p>
          <w:p w14:paraId="24D21081">
            <w:pPr>
              <w:pStyle w:val="81"/>
              <w:adjustRightInd w:val="0"/>
              <w:snapToGrid w:val="0"/>
              <w:spacing w:before="0" w:beforeAutospacing="0" w:after="0" w:afterAutospacing="0"/>
              <w:jc w:val="center"/>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境保</w:t>
            </w:r>
          </w:p>
          <w:p w14:paraId="19EC89D0">
            <w:pPr>
              <w:pStyle w:val="81"/>
              <w:adjustRightInd w:val="0"/>
              <w:snapToGrid w:val="0"/>
              <w:spacing w:before="0" w:beforeAutospacing="0" w:after="0" w:afterAutospacing="0"/>
              <w:jc w:val="center"/>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护措</w:t>
            </w:r>
          </w:p>
          <w:p w14:paraId="6387A8A2">
            <w:pPr>
              <w:pStyle w:val="81"/>
              <w:adjustRightInd w:val="0"/>
              <w:snapToGrid w:val="0"/>
              <w:spacing w:before="0" w:beforeAutospacing="0" w:after="0" w:afterAutospacing="0"/>
              <w:jc w:val="center"/>
              <w:rPr>
                <w:rFonts w:ascii="Times New Roman" w:hAnsi="Times New Roman" w:cs="Times New Roman"/>
                <w:bCs/>
                <w:color w:val="000000" w:themeColor="text1"/>
                <w:kern w:val="2"/>
                <w:sz w:val="21"/>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施</w:t>
            </w:r>
          </w:p>
        </w:tc>
        <w:tc>
          <w:tcPr>
            <w:tcW w:w="9525" w:type="dxa"/>
            <w:vAlign w:val="center"/>
          </w:tcPr>
          <w:p w14:paraId="1D598AA1">
            <w:pPr>
              <w:snapToGrid w:val="0"/>
              <w:spacing w:line="360" w:lineRule="auto"/>
              <w:ind w:firstLine="482" w:firstLineChars="200"/>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1、施工期废气</w:t>
            </w:r>
          </w:p>
          <w:p w14:paraId="7A50E606">
            <w:pPr>
              <w:snapToGrid w:val="0"/>
              <w:spacing w:line="360" w:lineRule="auto"/>
              <w:ind w:firstLine="480" w:firstLineChars="200"/>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（1）扬尘</w:t>
            </w:r>
          </w:p>
          <w:p w14:paraId="57A6A41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项目工程分析，拟建工程施工期环境空气的主要污染源为扬尘及粉尘，包括土方挖掘、现场物料堆放造成的扬尘，车辆来往造成的道路扬尘，运土方车辆及施工垃圾堆放和清运过程造成的扬尘及施工过程中产生的粉尘等。因此要在施工期加强对施工现场的管理，可最大限度减轻施工场地扬尘污染，并采取如下控制及防治措施：</w:t>
            </w:r>
          </w:p>
          <w:p w14:paraId="33D084B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建筑施工场地必须设置统一的围挡。</w:t>
            </w:r>
          </w:p>
          <w:p w14:paraId="4FF17F8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施工车辆出入现场必须采取冲洗轮胎等措施，防止车辆带泥砂出现场。建设工地施工现场出入口要做到混凝土硬化，并保持出入通道整洁。</w:t>
            </w:r>
          </w:p>
          <w:p w14:paraId="5C4ABA8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施工工程中产生的弃料及其他建筑垃圾，应及时清运。若在工地内堆置超过一周的，则应覆盖防尘布、防尘网或定期喷洒抑尘剂。</w:t>
            </w:r>
          </w:p>
          <w:p w14:paraId="104D7A9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施工使用商品混凝土，水泥必须放在库内储存或严密遮盖。</w:t>
            </w:r>
          </w:p>
          <w:p w14:paraId="2973673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rFonts w:ascii="Times New Roman" w:hAnsi="Times New Roman" w:cs="Times New Roman"/>
                <w:color w:val="000000" w:themeColor="text1"/>
                <w14:textFill>
                  <w14:solidFill>
                    <w14:schemeClr w14:val="tx1"/>
                  </w14:solidFill>
                </w14:textFill>
              </w:rPr>
              <w:t>合理安排施工进度，施工期间适时进行洒水降尘作业，并对撒落在路面的渣土及时清除，清理阶段做到先洒水后清扫，避免产生扬尘。</w:t>
            </w:r>
          </w:p>
          <w:p w14:paraId="53FD349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清运残土、砂土及垃圾等的装载高度不得超过车辆护栏，并采取全覆盖措施，以防止遗撒。</w:t>
            </w:r>
          </w:p>
          <w:p w14:paraId="2AC4E73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施工期扬尘影响为短期影响，在施工期间在经采取措施后，产尘量少，且在大气的稀释扩散作用下影响范围减小，对区域环境及周边影响不大。</w:t>
            </w:r>
          </w:p>
          <w:p w14:paraId="1E751FA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（2）施工机械废气及车辆尾气</w:t>
            </w:r>
          </w:p>
          <w:p w14:paraId="120DDBD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施工车辆由于燃油时会产生SO</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、NO</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、CO、烃类等大气污染物，但这些污染物排放量很小，且为间断排放。尾气中所含的有害物质主要有CO、THC、NO</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等，影响范围多集中在车辆10～15m范围内。项目施工场地开阔，机械废气及车辆尾气影响是短期和局部的，施工期结束影响随之消失。在施工过程中，施工单位必须使用污染物排放符合国家标准的运输车辆，加强车辆的维护保养并保持汽车的外身清洁，使车辆处于良好的工作状态，减轻燃油废气对周边环境的影响。施工单位认真落实以上措施后，汽车尾气对周边环境的影响较小。</w:t>
            </w:r>
          </w:p>
          <w:p w14:paraId="3A6BFF81">
            <w:pPr>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2、施工期废水</w:t>
            </w:r>
          </w:p>
          <w:p w14:paraId="6F6DFEA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施工期间主要污水为施工人员排放的生活污水和施工废水等。</w:t>
            </w:r>
          </w:p>
          <w:p w14:paraId="09EE28CF">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（1）施工废水</w:t>
            </w:r>
          </w:p>
          <w:p w14:paraId="239EDC0B">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工程施工作业产生的泥浆水、施工机械及运输车辆的冲洗水、下雨时冲刷浮土及泥沙等产生的地表径流污水等都会对水体产生一定的污染。含泥沙废水的产生量与降雨量的大小以及施工面的大小有关，同时还与施工场区内所采取的排水措施有关，在施工场地内开挖临时雨水排水沟，设置沉淀池，施工废水经沉淀后，上清液可循环使用或用于施工场地的降尘用水，污泥部分及时清理。尽量减少雨季施工，避免冒雨施工。设备、车辆洗涤水经沉淀池处理后循环使用，禁止此类废水直接外排。沉淀池内淤泥必须定期清理，定期与建筑垃圾一起清运至有关部门指定的建筑垃圾堆填地点处置。在施工过程中加强对机械设备的检修和维护，以防止设备漏油现象的发生。</w:t>
            </w:r>
          </w:p>
          <w:p w14:paraId="7D33153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（2）生活污水</w:t>
            </w:r>
          </w:p>
          <w:p w14:paraId="7915494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本项目施工期间生活污水产生量较小、水质简单，经化粪池处理后汇集至生活污水池，再泵至广西恒逸污水处理厂处理</w:t>
            </w:r>
            <w:r>
              <w:rPr>
                <w:rFonts w:hint="eastAsia" w:ascii="Times New Roman" w:hAnsi="Times New Roman" w:cs="Times New Roman"/>
                <w:color w:val="000000" w:themeColor="text1"/>
                <w14:textFill>
                  <w14:solidFill>
                    <w14:schemeClr w14:val="tx1"/>
                  </w14:solidFill>
                </w14:textFill>
              </w:rPr>
              <w:t>，对周围环境影响不大</w:t>
            </w:r>
            <w:r>
              <w:rPr>
                <w:rFonts w:ascii="Times New Roman" w:hAnsi="Times New Roman" w:cs="Times New Roman"/>
                <w:color w:val="000000" w:themeColor="text1"/>
                <w14:textFill>
                  <w14:solidFill>
                    <w14:schemeClr w14:val="tx1"/>
                  </w14:solidFill>
                </w14:textFill>
              </w:rPr>
              <w:t>。</w:t>
            </w:r>
          </w:p>
          <w:p w14:paraId="4AB64F39">
            <w:pPr>
              <w:snapToGrid w:val="0"/>
              <w:spacing w:line="360" w:lineRule="auto"/>
              <w:ind w:firstLine="482" w:firstLineChars="200"/>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3、施工期噪声</w:t>
            </w:r>
          </w:p>
          <w:p w14:paraId="3B7DFDE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施工期噪声主要为各种施工机械设备运行产生的噪声和运输车辆行驶时产生的噪声。针对施工期噪声，项目拟采取以下措施：</w:t>
            </w:r>
          </w:p>
          <w:p w14:paraId="33069FD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（1）在场界四周设置围挡，选用高效、先进的生产工艺及低噪声施工设备，加强设备的维护；尽量避免高噪声设备同时施工；</w:t>
            </w:r>
          </w:p>
          <w:p w14:paraId="6A193D3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（2）严格按照</w:t>
            </w:r>
            <w:r>
              <w:rPr>
                <w:rFonts w:hint="eastAsia" w:ascii="Times New Roman" w:hAnsi="Times New Roman" w:cs="Times New Roman"/>
                <w:color w:val="000000" w:themeColor="text1"/>
                <w14:textFill>
                  <w14:solidFill>
                    <w14:schemeClr w14:val="tx1"/>
                  </w14:solidFill>
                </w14:textFill>
              </w:rPr>
              <w:t>《建筑施工噪声排放标准》（GB12523-2025）</w:t>
            </w:r>
            <w:r>
              <w:rPr>
                <w:rFonts w:ascii="Times New Roman" w:hAnsi="Times New Roman" w:cs="Times New Roman"/>
                <w:color w:val="000000" w:themeColor="text1"/>
                <w14:textFill>
                  <w14:solidFill>
                    <w14:schemeClr w14:val="tx1"/>
                  </w14:solidFill>
                </w14:textFill>
              </w:rPr>
              <w:t>规定，合理安排施工时间。</w:t>
            </w:r>
          </w:p>
          <w:p w14:paraId="61BF6FA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（3）运输车辆进入现场应减速，并减少鸣笛；及时维修保养，严格按操作规程使用各类机械等。</w:t>
            </w:r>
          </w:p>
          <w:p w14:paraId="5CAA353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（4）采用商品混凝土，尽量不使用混凝土搅拌机。</w:t>
            </w:r>
          </w:p>
          <w:p w14:paraId="1922B41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在采取一系列针对性措施后，项目施工噪声能得到一定的控制，可有效降低施工噪声对周边敏感点的影响。</w:t>
            </w:r>
          </w:p>
          <w:p w14:paraId="0E3D61CA">
            <w:pPr>
              <w:snapToGrid w:val="0"/>
              <w:spacing w:line="360" w:lineRule="auto"/>
              <w:ind w:firstLine="482" w:firstLineChars="200"/>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4、施工期固废</w:t>
            </w:r>
          </w:p>
          <w:p w14:paraId="07D943BD">
            <w:pPr>
              <w:snapToGrid w:val="0"/>
              <w:spacing w:line="360" w:lineRule="auto"/>
              <w:ind w:firstLine="480" w:firstLineChars="200"/>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（1）建筑垃圾</w:t>
            </w:r>
          </w:p>
          <w:p w14:paraId="453E5C0F">
            <w:pPr>
              <w:snapToGrid w:val="0"/>
              <w:spacing w:line="360" w:lineRule="auto"/>
              <w:ind w:firstLine="480" w:firstLineChars="200"/>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项目构筑物的建设施工过程中将会产生建筑垃圾，如不及时处理，在遇大风及干燥天气时将产生扬尘。项目的外运弃土及建筑垃圾均为普通固体废物，不含有毒有害成分，施工垃圾通过分类收集处理后，可再生利用的进行回收利用，无回收利用价值的垃圾，送到城建</w:t>
            </w:r>
            <w:r>
              <w:rPr>
                <w:rFonts w:hint="eastAsia" w:ascii="Times New Roman" w:hAnsi="Times New Roman" w:cs="Times New Roman"/>
                <w:bCs/>
                <w:color w:val="000000" w:themeColor="text1"/>
                <w:szCs w:val="21"/>
                <w:lang w:eastAsia="zh-CN"/>
                <w14:textFill>
                  <w14:solidFill>
                    <w14:schemeClr w14:val="tx1"/>
                  </w14:solidFill>
                </w14:textFill>
              </w:rPr>
              <w:t>部</w:t>
            </w:r>
            <w:r>
              <w:rPr>
                <w:rFonts w:ascii="Times New Roman" w:hAnsi="Times New Roman" w:cs="Times New Roman"/>
                <w:bCs/>
                <w:color w:val="000000" w:themeColor="text1"/>
                <w:szCs w:val="21"/>
                <w14:textFill>
                  <w14:solidFill>
                    <w14:schemeClr w14:val="tx1"/>
                  </w14:solidFill>
                </w14:textFill>
              </w:rPr>
              <w:t>门指定的地点堆放处理。项目施工期建筑垃圾集中堆放，并在建筑材料堆放地及建筑垃圾堆放地周围建立简易的防护围带，以防止垃圾的散落。</w:t>
            </w:r>
          </w:p>
          <w:p w14:paraId="0D003DC1">
            <w:pPr>
              <w:snapToGrid w:val="0"/>
              <w:spacing w:line="360" w:lineRule="auto"/>
              <w:ind w:firstLine="480" w:firstLineChars="200"/>
              <w:rPr>
                <w:rFonts w:ascii="Times New Roman" w:hAnsi="Times New Roman" w:cs="Times New Roman"/>
                <w:bCs/>
                <w:color w:val="000000" w:themeColor="text1"/>
                <w:szCs w:val="21"/>
                <w14:textFill>
                  <w14:solidFill>
                    <w14:schemeClr w14:val="tx1"/>
                  </w14:solidFill>
                </w14:textFill>
              </w:rPr>
            </w:pPr>
            <w:r>
              <w:rPr>
                <w:rFonts w:hint="eastAsia" w:ascii="Times New Roman" w:hAnsi="Times New Roman" w:cs="Times New Roman"/>
                <w:bCs/>
                <w:color w:val="000000" w:themeColor="text1"/>
                <w:szCs w:val="21"/>
                <w14:textFill>
                  <w14:solidFill>
                    <w14:schemeClr w14:val="tx1"/>
                  </w14:solidFill>
                </w14:textFill>
              </w:rPr>
              <w:t>（2）废油漆及废油漆桶</w:t>
            </w:r>
          </w:p>
          <w:p w14:paraId="0261B8CE">
            <w:pPr>
              <w:tabs>
                <w:tab w:val="left" w:pos="2040"/>
                <w:tab w:val="left" w:pos="3435"/>
                <w:tab w:val="left" w:pos="4830"/>
              </w:tabs>
              <w:spacing w:line="360" w:lineRule="auto"/>
              <w:ind w:firstLine="480" w:firstLineChars="200"/>
              <w:rPr>
                <w:rFonts w:ascii="Times New Roman" w:hAnsi="Times New Roman" w:cs="Times New Roman"/>
                <w:color w:val="000000" w:themeColor="text1"/>
                <w:kern w:val="2"/>
                <w14:textFill>
                  <w14:solidFill>
                    <w14:schemeClr w14:val="tx1"/>
                  </w14:solidFill>
                </w14:textFill>
              </w:rPr>
            </w:pPr>
            <w:r>
              <w:rPr>
                <w:rFonts w:hint="eastAsia" w:ascii="Times New Roman" w:hAnsi="Times New Roman" w:cs="Times New Roman"/>
                <w:color w:val="000000" w:themeColor="text1"/>
                <w:kern w:val="2"/>
                <w14:textFill>
                  <w14:solidFill>
                    <w14:schemeClr w14:val="tx1"/>
                  </w14:solidFill>
                </w14:textFill>
              </w:rPr>
              <w:t>项目在施工过程中，需要对储罐等表面附上防腐防锈的油漆，经过晾干后，会产生少量的漆渣，以及废油漆桶。根据建设单位提供的资料，废油漆及废油漆桶的产生量约为0.2吨。废油漆属于</w:t>
            </w:r>
            <w:r>
              <w:rPr>
                <w:rFonts w:ascii="Times New Roman" w:hAnsi="Times New Roman" w:cs="Times New Roman"/>
                <w:color w:val="000000" w:themeColor="text1"/>
                <w:kern w:val="2"/>
                <w14:textFill>
                  <w14:solidFill>
                    <w14:schemeClr w14:val="tx1"/>
                  </w14:solidFill>
                </w14:textFill>
              </w:rPr>
              <w:t>《国家危险废物名录》（202</w:t>
            </w:r>
            <w:r>
              <w:rPr>
                <w:rFonts w:hint="eastAsia" w:ascii="Times New Roman" w:hAnsi="Times New Roman" w:cs="Times New Roman"/>
                <w:color w:val="000000" w:themeColor="text1"/>
                <w:kern w:val="2"/>
                <w14:textFill>
                  <w14:solidFill>
                    <w14:schemeClr w14:val="tx1"/>
                  </w14:solidFill>
                </w14:textFill>
              </w:rPr>
              <w:t>5</w:t>
            </w:r>
            <w:r>
              <w:rPr>
                <w:rFonts w:ascii="Times New Roman" w:hAnsi="Times New Roman" w:cs="Times New Roman"/>
                <w:color w:val="000000" w:themeColor="text1"/>
                <w:kern w:val="2"/>
                <w14:textFill>
                  <w14:solidFill>
                    <w14:schemeClr w14:val="tx1"/>
                  </w14:solidFill>
                </w14:textFill>
              </w:rPr>
              <w:t>年版）中</w:t>
            </w:r>
            <w:r>
              <w:rPr>
                <w:rFonts w:hint="eastAsia" w:ascii="Times New Roman" w:hAnsi="Times New Roman" w:cs="Times New Roman"/>
                <w:color w:val="000000" w:themeColor="text1"/>
                <w:kern w:val="2"/>
                <w14:textFill>
                  <w14:solidFill>
                    <w14:schemeClr w14:val="tx1"/>
                  </w14:solidFill>
                </w14:textFill>
              </w:rPr>
              <w:t>HW12染料、涂料废物（废物代码：</w:t>
            </w:r>
            <w:r>
              <w:rPr>
                <w:rFonts w:ascii="Times New Roman" w:hAnsi="Times New Roman" w:cs="Times New Roman"/>
                <w:color w:val="000000" w:themeColor="text1"/>
                <w:kern w:val="2"/>
                <w14:textFill>
                  <w14:solidFill>
                    <w14:schemeClr w14:val="tx1"/>
                  </w14:solidFill>
                </w14:textFill>
              </w:rPr>
              <w:t>900-299-12</w:t>
            </w:r>
            <w:r>
              <w:rPr>
                <w:rFonts w:hint="eastAsia" w:ascii="Times New Roman" w:hAnsi="Times New Roman" w:cs="Times New Roman"/>
                <w:color w:val="000000" w:themeColor="text1"/>
                <w:kern w:val="2"/>
                <w14:textFill>
                  <w14:solidFill>
                    <w14:schemeClr w14:val="tx1"/>
                  </w14:solidFill>
                </w14:textFill>
              </w:rPr>
              <w:t>），收集后交由有资质的危险废物处理单位处理。</w:t>
            </w:r>
          </w:p>
          <w:p w14:paraId="51453A9D">
            <w:pPr>
              <w:snapToGrid w:val="0"/>
              <w:spacing w:line="360" w:lineRule="auto"/>
              <w:ind w:firstLine="480" w:firstLineChars="200"/>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w:t>
            </w:r>
            <w:r>
              <w:rPr>
                <w:rFonts w:hint="eastAsia" w:ascii="Times New Roman" w:hAnsi="Times New Roman" w:cs="Times New Roman"/>
                <w:bCs/>
                <w:color w:val="000000" w:themeColor="text1"/>
                <w:szCs w:val="21"/>
                <w14:textFill>
                  <w14:solidFill>
                    <w14:schemeClr w14:val="tx1"/>
                  </w14:solidFill>
                </w14:textFill>
              </w:rPr>
              <w:t>3</w:t>
            </w:r>
            <w:r>
              <w:rPr>
                <w:rFonts w:ascii="Times New Roman" w:hAnsi="Times New Roman" w:cs="Times New Roman"/>
                <w:bCs/>
                <w:color w:val="000000" w:themeColor="text1"/>
                <w:szCs w:val="21"/>
                <w14:textFill>
                  <w14:solidFill>
                    <w14:schemeClr w14:val="tx1"/>
                  </w14:solidFill>
                </w14:textFill>
              </w:rPr>
              <w:t>）施工人员生活垃圾</w:t>
            </w:r>
          </w:p>
          <w:p w14:paraId="7CE4712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生活垃圾收集后由当地环卫部门清运处理。</w:t>
            </w:r>
          </w:p>
          <w:p w14:paraId="632EAC85">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经过采取</w:t>
            </w:r>
            <w:r>
              <w:rPr>
                <w:rFonts w:hint="eastAsia" w:ascii="Times New Roman" w:hAnsi="Times New Roman" w:cs="Times New Roman"/>
                <w:color w:val="000000" w:themeColor="text1"/>
                <w:lang w:eastAsia="zh-CN"/>
                <w14:textFill>
                  <w14:solidFill>
                    <w14:schemeClr w14:val="tx1"/>
                  </w14:solidFill>
                </w14:textFill>
              </w:rPr>
              <w:t>以上</w:t>
            </w:r>
            <w:r>
              <w:rPr>
                <w:rFonts w:ascii="Times New Roman" w:hAnsi="Times New Roman" w:cs="Times New Roman"/>
                <w:color w:val="000000" w:themeColor="text1"/>
                <w14:textFill>
                  <w14:solidFill>
                    <w14:schemeClr w14:val="tx1"/>
                  </w14:solidFill>
                </w14:textFill>
              </w:rPr>
              <w:t>措施后，不会对周边环境造成二次污染。</w:t>
            </w:r>
          </w:p>
        </w:tc>
      </w:tr>
      <w:tr w14:paraId="26AA0D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tcMar>
              <w:left w:w="28" w:type="dxa"/>
              <w:right w:w="28" w:type="dxa"/>
            </w:tcMar>
            <w:vAlign w:val="center"/>
          </w:tcPr>
          <w:p w14:paraId="3AFAD0B3">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运营</w:t>
            </w:r>
          </w:p>
          <w:p w14:paraId="0F1BD9EB">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期环</w:t>
            </w:r>
          </w:p>
          <w:p w14:paraId="4C5E0A4E">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境影</w:t>
            </w:r>
          </w:p>
          <w:p w14:paraId="7AFDA384">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响和</w:t>
            </w:r>
          </w:p>
          <w:p w14:paraId="49659DA3">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保护</w:t>
            </w:r>
          </w:p>
          <w:p w14:paraId="555B21DE">
            <w:pPr>
              <w:adjustRightInd w:val="0"/>
              <w:snapToGrid w:val="0"/>
              <w:jc w:val="center"/>
              <w:rPr>
                <w:rFonts w:ascii="Times New Roman" w:hAnsi="Times New Roman" w:cs="Times New Roman"/>
                <w:bCs/>
                <w:color w:val="FF0000"/>
                <w:szCs w:val="21"/>
              </w:rPr>
            </w:pPr>
            <w:r>
              <w:rPr>
                <w:rFonts w:ascii="Times New Roman" w:hAnsi="Times New Roman" w:cs="Times New Roman"/>
                <w:bCs/>
                <w:color w:val="000000" w:themeColor="text1"/>
                <w:szCs w:val="21"/>
                <w14:textFill>
                  <w14:solidFill>
                    <w14:schemeClr w14:val="tx1"/>
                  </w14:solidFill>
                </w14:textFill>
              </w:rPr>
              <w:t>措施</w:t>
            </w:r>
          </w:p>
        </w:tc>
        <w:tc>
          <w:tcPr>
            <w:tcW w:w="9525" w:type="dxa"/>
            <w:vAlign w:val="center"/>
          </w:tcPr>
          <w:p w14:paraId="09B96E84">
            <w:pPr>
              <w:autoSpaceDE w:val="0"/>
              <w:autoSpaceDN w:val="0"/>
              <w:spacing w:line="360" w:lineRule="auto"/>
              <w:ind w:firstLine="482"/>
              <w:rPr>
                <w:rFonts w:ascii="Times New Roman" w:hAnsi="Times New Roman" w:cs="Times New Roman"/>
                <w:b/>
                <w:bCs/>
                <w:color w:val="000000" w:themeColor="text1"/>
                <w:szCs w:val="22"/>
                <w14:textFill>
                  <w14:solidFill>
                    <w14:schemeClr w14:val="tx1"/>
                  </w14:solidFill>
                </w14:textFill>
              </w:rPr>
            </w:pPr>
            <w:r>
              <w:rPr>
                <w:rFonts w:ascii="Times New Roman" w:hAnsi="Times New Roman" w:cs="Times New Roman"/>
                <w:b/>
                <w:bCs/>
                <w:color w:val="000000" w:themeColor="text1"/>
                <w:szCs w:val="22"/>
                <w14:textFill>
                  <w14:solidFill>
                    <w14:schemeClr w14:val="tx1"/>
                  </w14:solidFill>
                </w14:textFill>
              </w:rPr>
              <w:t>1、废水</w:t>
            </w:r>
          </w:p>
          <w:p w14:paraId="691FD84D">
            <w:pPr>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1.1 废水源强分析</w:t>
            </w:r>
          </w:p>
          <w:p w14:paraId="784EBC5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项目运营期排水主要包括初期雨水、</w:t>
            </w:r>
            <w:r>
              <w:rPr>
                <w:rFonts w:hint="eastAsia" w:ascii="Times New Roman" w:hAnsi="Times New Roman" w:cs="Times New Roman"/>
                <w:color w:val="000000" w:themeColor="text1"/>
                <w14:textFill>
                  <w14:solidFill>
                    <w14:schemeClr w14:val="tx1"/>
                  </w14:solidFill>
                </w14:textFill>
              </w:rPr>
              <w:t>己内酰胺储罐废气水洗塔吸收废水、</w:t>
            </w:r>
            <w:r>
              <w:rPr>
                <w:rFonts w:ascii="Times New Roman" w:hAnsi="Times New Roman" w:cs="Times New Roman"/>
                <w:color w:val="000000" w:themeColor="text1"/>
                <w14:textFill>
                  <w14:solidFill>
                    <w14:schemeClr w14:val="tx1"/>
                  </w14:solidFill>
                </w14:textFill>
              </w:rPr>
              <w:t>员工生活污水等。项目各环节废水产生情况如下：</w:t>
            </w:r>
          </w:p>
          <w:p w14:paraId="6E202D1E">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）初期雨水</w:t>
            </w:r>
          </w:p>
          <w:p w14:paraId="0CFA548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项目为危化品仓储，厂区内由于雨水冲刷，使初期雨水中含有一定量的SS和油类物质，</w:t>
            </w:r>
            <w:r>
              <w:rPr>
                <w:rFonts w:ascii="Times New Roman" w:hAnsi="Times New Roman" w:cs="Times New Roman"/>
                <w:color w:val="000000" w:themeColor="text1"/>
                <w:lang w:bidi="ar"/>
                <w14:textFill>
                  <w14:solidFill>
                    <w14:schemeClr w14:val="tx1"/>
                  </w14:solidFill>
                </w14:textFill>
              </w:rPr>
              <w:t>根据广西建委综合设计院数学统计法编制的暴雨强度公式计算项目所在区域暴雨强度，计算公式如下：</w:t>
            </w:r>
          </w:p>
          <w:p w14:paraId="0D24D618">
            <w:pPr>
              <w:pStyle w:val="118"/>
              <w:ind w:firstLine="0" w:firstLineChars="0"/>
              <w:jc w:val="center"/>
              <w:rPr>
                <w:rFonts w:ascii="Times New Roman" w:hAnsi="Times New Roman" w:cs="Times New Roman"/>
                <w:color w:val="000000" w:themeColor="text1"/>
                <w:sz w:val="22"/>
                <w14:textFill>
                  <w14:solidFill>
                    <w14:schemeClr w14:val="tx1"/>
                  </w14:solidFill>
                </w14:textFill>
              </w:rPr>
            </w:pPr>
            <m:oMathPara>
              <m:oMath>
                <m:r>
                  <m:rPr/>
                  <w:rPr>
                    <w:rFonts w:ascii="Cambria Math" w:hAnsi="Cambria Math" w:cs="Times New Roman"/>
                    <w:color w:val="000000" w:themeColor="text1"/>
                    <w14:textFill>
                      <w14:solidFill>
                        <w14:schemeClr w14:val="tx1"/>
                      </w14:solidFill>
                    </w14:textFill>
                  </w:rPr>
                  <m:t>q</m:t>
                </m:r>
                <m:r>
                  <m:rPr>
                    <m:sty m:val="p"/>
                  </m:rPr>
                  <w:rPr>
                    <w:rFonts w:ascii="Cambria Math" w:hAnsi="Cambria Math" w:cs="Times New Roman"/>
                    <w:color w:val="000000" w:themeColor="text1"/>
                    <w14:textFill>
                      <w14:solidFill>
                        <w14:schemeClr w14:val="tx1"/>
                      </w14:solidFill>
                    </w14:textFill>
                  </w:rPr>
                  <m:t>=</m:t>
                </m:r>
                <m:f>
                  <m:fPr>
                    <m:ctrlPr>
                      <w:rPr>
                        <w:rFonts w:ascii="Cambria Math" w:hAnsi="Cambria Math" w:cs="Times New Roman"/>
                        <w:color w:val="000000" w:themeColor="text1"/>
                        <w14:textFill>
                          <w14:solidFill>
                            <w14:schemeClr w14:val="tx1"/>
                          </w14:solidFill>
                        </w14:textFill>
                      </w:rPr>
                    </m:ctrlPr>
                  </m:fPr>
                  <m:num>
                    <m:r>
                      <m:rPr>
                        <m:sty m:val="p"/>
                      </m:rPr>
                      <w:rPr>
                        <w:rFonts w:ascii="Cambria Math" w:hAnsi="Cambria Math" w:cs="Times New Roman"/>
                        <w:color w:val="000000" w:themeColor="text1"/>
                        <w14:textFill>
                          <w14:solidFill>
                            <w14:schemeClr w14:val="tx1"/>
                          </w14:solidFill>
                        </w14:textFill>
                      </w:rPr>
                      <m:t>1817∗（1+0.505lgP）</m:t>
                    </m:r>
                    <m:ctrlPr>
                      <w:rPr>
                        <w:rFonts w:ascii="Cambria Math" w:hAnsi="Cambria Math" w:cs="Times New Roman"/>
                        <w:color w:val="000000" w:themeColor="text1"/>
                        <w14:textFill>
                          <w14:solidFill>
                            <w14:schemeClr w14:val="tx1"/>
                          </w14:solidFill>
                        </w14:textFill>
                      </w:rPr>
                    </m:ctrlPr>
                  </m:num>
                  <m:den>
                    <m:sSup>
                      <m:sSupPr>
                        <m:ctrlPr>
                          <w:rPr>
                            <w:rFonts w:ascii="Cambria Math" w:hAnsi="Cambria Math" w:cs="Times New Roman"/>
                            <w:color w:val="000000" w:themeColor="text1"/>
                            <w14:textFill>
                              <w14:solidFill>
                                <w14:schemeClr w14:val="tx1"/>
                              </w14:solidFill>
                            </w14:textFill>
                          </w:rPr>
                        </m:ctrlPr>
                      </m:sSupPr>
                      <m:e>
                        <m:r>
                          <m:rPr>
                            <m:sty m:val="p"/>
                          </m:rPr>
                          <w:rPr>
                            <w:rFonts w:ascii="Cambria Math" w:hAnsi="Cambria Math" w:cs="Times New Roman"/>
                            <w:color w:val="000000" w:themeColor="text1"/>
                            <w14:textFill>
                              <w14:solidFill>
                                <w14:schemeClr w14:val="tx1"/>
                              </w14:solidFill>
                            </w14:textFill>
                          </w:rPr>
                          <m:t>（t+5.7）</m:t>
                        </m:r>
                        <m:ctrlPr>
                          <w:rPr>
                            <w:rFonts w:ascii="Cambria Math" w:hAnsi="Cambria Math" w:cs="Times New Roman"/>
                            <w:color w:val="000000" w:themeColor="text1"/>
                            <w14:textFill>
                              <w14:solidFill>
                                <w14:schemeClr w14:val="tx1"/>
                              </w14:solidFill>
                            </w14:textFill>
                          </w:rPr>
                        </m:ctrlPr>
                      </m:e>
                      <m:sup>
                        <m:r>
                          <m:rPr/>
                          <w:rPr>
                            <w:rFonts w:ascii="Cambria Math" w:hAnsi="Cambria Math" w:cs="Times New Roman"/>
                            <w:color w:val="000000" w:themeColor="text1"/>
                            <w14:textFill>
                              <w14:solidFill>
                                <w14:schemeClr w14:val="tx1"/>
                              </w14:solidFill>
                            </w14:textFill>
                          </w:rPr>
                          <m:t>0.58</m:t>
                        </m:r>
                        <m:ctrlPr>
                          <w:rPr>
                            <w:rFonts w:ascii="Cambria Math" w:hAnsi="Cambria Math" w:cs="Times New Roman"/>
                            <w:color w:val="000000" w:themeColor="text1"/>
                            <w14:textFill>
                              <w14:solidFill>
                                <w14:schemeClr w14:val="tx1"/>
                              </w14:solidFill>
                            </w14:textFill>
                          </w:rPr>
                        </m:ctrlPr>
                      </m:sup>
                    </m:sSup>
                    <m:ctrlPr>
                      <w:rPr>
                        <w:rFonts w:ascii="Cambria Math" w:hAnsi="Cambria Math" w:cs="Times New Roman"/>
                        <w:color w:val="000000" w:themeColor="text1"/>
                        <w14:textFill>
                          <w14:solidFill>
                            <w14:schemeClr w14:val="tx1"/>
                          </w14:solidFill>
                        </w14:textFill>
                      </w:rPr>
                    </m:ctrlPr>
                  </m:den>
                </m:f>
              </m:oMath>
            </m:oMathPara>
          </w:p>
          <w:p w14:paraId="2B5FD6D9">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式中：q—设计暴雨强度，L/s•hm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0D35806D">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t—降雨历时（分钟），取15min；</w:t>
            </w:r>
          </w:p>
          <w:p w14:paraId="152BAA7C">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P—设计降雨重现期（年），本项目取P=2；</w:t>
            </w:r>
          </w:p>
          <w:p w14:paraId="5720D7FD">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根据上式计算得出设计暴雨强度q为361.04L/s•hm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0FE16435">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集雨量计算公式：</w:t>
            </w:r>
          </w:p>
          <w:p w14:paraId="0D6344A1">
            <w:pPr>
              <w:pStyle w:val="203"/>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Q=qφFt</w:t>
            </w:r>
          </w:p>
          <w:p w14:paraId="17CCF07A">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Q——雨水设计流量(m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07429328">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φ——径流系数，根据《建筑给排水设计手册》P927，取0.7；</w:t>
            </w:r>
          </w:p>
          <w:p w14:paraId="18B47306">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F——汇水面积（hm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）。本项目主要收集罐区、装卸站、泵棚区域的初期雨水，汇水面积约为</w:t>
            </w:r>
            <w:r>
              <w:rPr>
                <w:rFonts w:hint="eastAsia" w:ascii="Times New Roman" w:hAnsi="Times New Roman" w:cs="Times New Roman"/>
                <w:color w:val="000000" w:themeColor="text1"/>
                <w14:textFill>
                  <w14:solidFill>
                    <w14:schemeClr w14:val="tx1"/>
                  </w14:solidFill>
                </w14:textFill>
              </w:rPr>
              <w:t>18215</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785A7006">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t——收集时间，s，取降雨15min（即900s）。</w:t>
            </w:r>
          </w:p>
          <w:p w14:paraId="3CFCE0E4">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根据上述公式计算，项目初期雨水产生量为</w:t>
            </w:r>
            <w:r>
              <w:rPr>
                <w:rFonts w:hint="eastAsia" w:ascii="Times New Roman" w:hAnsi="Times New Roman" w:cs="Times New Roman"/>
                <w:color w:val="000000" w:themeColor="text1"/>
                <w14:textFill>
                  <w14:solidFill>
                    <w14:schemeClr w14:val="tx1"/>
                  </w14:solidFill>
                </w14:textFill>
              </w:rPr>
              <w:t>414.3</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/次，经查询，钦州市年暴雨次数约25次，则初期雨水产生量为</w:t>
            </w:r>
            <w:r>
              <w:rPr>
                <w:rFonts w:hint="eastAsia" w:ascii="Times New Roman" w:hAnsi="Times New Roman" w:cs="Times New Roman"/>
                <w:color w:val="000000" w:themeColor="text1"/>
                <w14:textFill>
                  <w14:solidFill>
                    <w14:schemeClr w14:val="tx1"/>
                  </w14:solidFill>
                </w14:textFill>
              </w:rPr>
              <w:t>10357.7</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/a。初期雨水中主要污染物为</w:t>
            </w:r>
            <w:r>
              <w:rPr>
                <w:rFonts w:hint="eastAsia" w:ascii="Times New Roman" w:hAnsi="Times New Roman" w:cs="Times New Roman"/>
                <w:color w:val="000000" w:themeColor="text1"/>
                <w14:textFill>
                  <w14:solidFill>
                    <w14:schemeClr w14:val="tx1"/>
                  </w14:solidFill>
                </w14:textFill>
              </w:rPr>
              <w:t>pH、</w:t>
            </w:r>
            <w:r>
              <w:rPr>
                <w:rFonts w:ascii="Times New Roman" w:hAnsi="Times New Roman" w:cs="Times New Roman"/>
                <w:color w:val="000000" w:themeColor="text1"/>
                <w14:textFill>
                  <w14:solidFill>
                    <w14:schemeClr w14:val="tx1"/>
                  </w14:solidFill>
                </w14:textFill>
              </w:rPr>
              <w:t>COD、SS</w:t>
            </w:r>
            <w:r>
              <w:rPr>
                <w:rFonts w:hint="eastAsia" w:ascii="Times New Roman" w:hAnsi="Times New Roman" w:cs="Times New Roman"/>
                <w:color w:val="000000" w:themeColor="text1"/>
                <w14:textFill>
                  <w14:solidFill>
                    <w14:schemeClr w14:val="tx1"/>
                  </w14:solidFill>
                </w14:textFill>
              </w:rPr>
              <w:t>。</w:t>
            </w:r>
          </w:p>
          <w:p w14:paraId="2EA47C7E">
            <w:pPr>
              <w:pStyle w:val="118"/>
              <w:rPr>
                <w:rFonts w:ascii="Times New Roman" w:hAnsi="Times New Roman" w:cs="Times New Roman"/>
                <w:color w:val="0000FF"/>
                <w:u w:val="single"/>
              </w:rPr>
            </w:pPr>
            <w:r>
              <w:rPr>
                <w:rFonts w:hint="eastAsia" w:ascii="Times New Roman" w:hAnsi="Times New Roman" w:cs="Times New Roman"/>
                <w:color w:val="000000" w:themeColor="text1"/>
                <w14:textFill>
                  <w14:solidFill>
                    <w14:schemeClr w14:val="tx1"/>
                  </w14:solidFill>
                </w14:textFill>
              </w:rPr>
              <w:t>参考《肇庆市高要区星安化工有限公司危险化学品仓库项目竣工环境保护验收监测报告》（以下简称“参考项目”），参考项目主要硫酸、盐酸、硝酸、磷酸、氢氧化钠溶液等的仓储，在厂内采用储罐储存，储存工艺为槽车—&gt;储罐—&gt;槽车，初期雨水经沉淀池沉淀后回用于道路清洗。本项目储存的酸碱类货种有硫酸、氢氧化钠溶液，参考项目储存的货种与本项目储存的酸碱类货种类、工艺初期雨水的处理方式与本项目类似。因此类比参考项目的初期雨水污染物浓度是可行的。根据初期雨水的验收监测结果，废水中pH为7.01~7.23、COD92.5mg/L、SS29.4mg/L，满足广西恒逸</w:t>
            </w:r>
            <w:r>
              <w:rPr>
                <w:rFonts w:hint="eastAsia" w:ascii="Times New Roman" w:hAnsi="Times New Roman" w:cs="Times New Roman"/>
                <w:color w:val="000000" w:themeColor="text1"/>
                <w:lang w:eastAsia="zh-CN"/>
                <w14:textFill>
                  <w14:solidFill>
                    <w14:schemeClr w14:val="tx1"/>
                  </w14:solidFill>
                </w14:textFill>
              </w:rPr>
              <w:t>污水处理厂</w:t>
            </w:r>
            <w:r>
              <w:rPr>
                <w:rFonts w:hint="eastAsia" w:ascii="Times New Roman" w:hAnsi="Times New Roman" w:cs="Times New Roman"/>
                <w:color w:val="000000" w:themeColor="text1"/>
                <w14:textFill>
                  <w14:solidFill>
                    <w14:schemeClr w14:val="tx1"/>
                  </w14:solidFill>
                </w14:textFill>
              </w:rPr>
              <w:t>进水水质要求。</w:t>
            </w:r>
          </w:p>
          <w:p w14:paraId="0CFDD4F8">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罐区防火堤内的初期污染雨水采用雨水明沟收集，明沟末端设置截油排水阀井，初期污染雨水通过防火堤外设置的切换阀门和水封井，经排水管道收集至</w:t>
            </w:r>
            <w:r>
              <w:rPr>
                <w:rFonts w:hint="eastAsia" w:ascii="Times New Roman" w:hAnsi="Times New Roman" w:cs="Times New Roman"/>
                <w:color w:val="000000" w:themeColor="text1"/>
                <w14:textFill>
                  <w14:solidFill>
                    <w14:schemeClr w14:val="tx1"/>
                  </w14:solidFill>
                </w14:textFill>
              </w:rPr>
              <w:t>初期雨水池，再泵送至广西恒逸污水处理厂处理</w:t>
            </w:r>
            <w:r>
              <w:rPr>
                <w:rFonts w:ascii="Times New Roman" w:hAnsi="Times New Roman" w:cs="Times New Roman"/>
                <w:color w:val="000000" w:themeColor="text1"/>
                <w14:textFill>
                  <w14:solidFill>
                    <w14:schemeClr w14:val="tx1"/>
                  </w14:solidFill>
                </w14:textFill>
              </w:rPr>
              <w:t>。后期清净雨水</w:t>
            </w:r>
            <w:r>
              <w:rPr>
                <w:rFonts w:hint="eastAsia" w:ascii="Times New Roman" w:hAnsi="Times New Roman" w:cs="Times New Roman"/>
                <w:color w:val="000000" w:themeColor="text1"/>
                <w14:textFill>
                  <w14:solidFill>
                    <w14:schemeClr w14:val="tx1"/>
                  </w14:solidFill>
                </w14:textFill>
              </w:rPr>
              <w:t>通过厂区东侧雨水涵管排出口排入海中</w:t>
            </w:r>
            <w:r>
              <w:rPr>
                <w:rFonts w:ascii="Times New Roman" w:hAnsi="Times New Roman" w:cs="Times New Roman"/>
                <w:color w:val="000000" w:themeColor="text1"/>
                <w14:textFill>
                  <w14:solidFill>
                    <w14:schemeClr w14:val="tx1"/>
                  </w14:solidFill>
                </w14:textFill>
              </w:rPr>
              <w:t>。</w:t>
            </w:r>
          </w:p>
          <w:p w14:paraId="42945AA1">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己内酰胺储罐废气水洗塔吸收废水</w:t>
            </w:r>
          </w:p>
          <w:p w14:paraId="1F85A5FB">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本项目己内酰胺储罐废气采用水洗塔进行吸收。经计算（见第四章），进入水洗塔废水的己内酰胺量为1.1029t/a，吸收水用量为7.4m3/a，生成7.4m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/a的吸收废水，废水中己内酰胺的含量为150g/L，满足广西恒逸</w:t>
            </w:r>
            <w:r>
              <w:rPr>
                <w:rFonts w:hint="eastAsia" w:ascii="Times New Roman" w:hAnsi="Times New Roman" w:cs="Times New Roman"/>
                <w:color w:val="000000" w:themeColor="text1"/>
                <w:lang w:eastAsia="zh-CN"/>
                <w14:textFill>
                  <w14:solidFill>
                    <w14:schemeClr w14:val="tx1"/>
                  </w14:solidFill>
                </w14:textFill>
              </w:rPr>
              <w:t>污水处理厂</w:t>
            </w:r>
            <w:r>
              <w:rPr>
                <w:rFonts w:hint="eastAsia" w:ascii="Times New Roman" w:hAnsi="Times New Roman" w:cs="Times New Roman"/>
                <w:color w:val="000000" w:themeColor="text1"/>
                <w14:textFill>
                  <w14:solidFill>
                    <w14:schemeClr w14:val="tx1"/>
                  </w14:solidFill>
                </w14:textFill>
              </w:rPr>
              <w:t>进水水质要求。</w:t>
            </w:r>
          </w:p>
          <w:p w14:paraId="54E8CDEC">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员工生活污水</w:t>
            </w:r>
          </w:p>
          <w:p w14:paraId="017B4D14">
            <w:pPr>
              <w:pStyle w:val="118"/>
              <w:rPr>
                <w:rFonts w:ascii="Times New Roman" w:hAnsi="Times New Roman" w:cs="Times New Roman"/>
                <w:color w:val="FF0000"/>
              </w:rPr>
            </w:pP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依托一期工程员工，不新增劳动定员，不新增生活污水量。一期工程劳动定员24</w:t>
            </w:r>
            <w:r>
              <w:rPr>
                <w:rFonts w:ascii="Times New Roman" w:hAnsi="Times New Roman" w:cs="Times New Roman"/>
                <w:color w:val="000000" w:themeColor="text1"/>
                <w14:textFill>
                  <w14:solidFill>
                    <w14:schemeClr w14:val="tx1"/>
                  </w14:solidFill>
                </w14:textFill>
              </w:rPr>
              <w:t>人，员工在企业现有食堂就餐，不在厂内住宿。参照《建筑物给排水设计规范》（GB50015-2019），职工日常生活用水定额为150L/（d·人），项目年工作3</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0天，每天3班制，则员工生活用水量为</w:t>
            </w:r>
            <w:r>
              <w:rPr>
                <w:rFonts w:hint="eastAsia" w:ascii="Times New Roman" w:hAnsi="Times New Roman" w:cs="Times New Roman"/>
                <w:color w:val="000000" w:themeColor="text1"/>
                <w14:textFill>
                  <w14:solidFill>
                    <w14:schemeClr w14:val="tx1"/>
                  </w14:solidFill>
                </w14:textFill>
              </w:rPr>
              <w:t>3.6</w:t>
            </w:r>
            <w:r>
              <w:rPr>
                <w:rFonts w:ascii="Times New Roman" w:hAnsi="Times New Roman" w:cs="Times New Roman"/>
                <w:bCs/>
                <w:color w:val="000000" w:themeColor="text1"/>
                <w14:textFill>
                  <w14:solidFill>
                    <w14:schemeClr w14:val="tx1"/>
                  </w14:solidFill>
                </w14:textFill>
              </w:rPr>
              <w:t>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d（</w:t>
            </w:r>
            <w:r>
              <w:rPr>
                <w:rFonts w:hint="eastAsia" w:ascii="Times New Roman" w:hAnsi="Times New Roman" w:cs="Times New Roman"/>
                <w:color w:val="000000" w:themeColor="text1"/>
                <w14:textFill>
                  <w14:solidFill>
                    <w14:schemeClr w14:val="tx1"/>
                  </w14:solidFill>
                </w14:textFill>
              </w:rPr>
              <w:t>1188.0</w:t>
            </w:r>
            <w:r>
              <w:rPr>
                <w:rFonts w:ascii="Times New Roman" w:hAnsi="Times New Roman" w:cs="Times New Roman"/>
                <w:bCs/>
                <w:color w:val="000000" w:themeColor="text1"/>
                <w14:textFill>
                  <w14:solidFill>
                    <w14:schemeClr w14:val="tx1"/>
                  </w14:solidFill>
                </w14:textFill>
              </w:rPr>
              <w:t>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/a</w:t>
            </w:r>
            <w:r>
              <w:rPr>
                <w:rFonts w:ascii="Times New Roman" w:hAnsi="Times New Roman" w:cs="Times New Roman"/>
                <w:color w:val="000000" w:themeColor="text1"/>
                <w14:textFill>
                  <w14:solidFill>
                    <w14:schemeClr w14:val="tx1"/>
                  </w14:solidFill>
                </w14:textFill>
              </w:rPr>
              <w:t>）。生活污水产污系数为0.8</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则项目员工生活污水产生量为</w:t>
            </w:r>
            <w:r>
              <w:rPr>
                <w:rFonts w:hint="eastAsia" w:ascii="Times New Roman" w:hAnsi="Times New Roman" w:cs="Times New Roman"/>
                <w:color w:val="000000" w:themeColor="text1"/>
                <w14:textFill>
                  <w14:solidFill>
                    <w14:schemeClr w14:val="tx1"/>
                  </w14:solidFill>
                </w14:textFill>
              </w:rPr>
              <w:t>2.88</w:t>
            </w:r>
            <w:r>
              <w:rPr>
                <w:rFonts w:ascii="Times New Roman" w:hAnsi="Times New Roman" w:cs="Times New Roman"/>
                <w:bCs/>
                <w:color w:val="000000" w:themeColor="text1"/>
                <w14:textFill>
                  <w14:solidFill>
                    <w14:schemeClr w14:val="tx1"/>
                  </w14:solidFill>
                </w14:textFill>
              </w:rPr>
              <w:t>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/d</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950.4</w:t>
            </w:r>
            <w:r>
              <w:rPr>
                <w:rFonts w:ascii="Times New Roman" w:hAnsi="Times New Roman" w:cs="Times New Roman"/>
                <w:bCs/>
                <w:color w:val="000000" w:themeColor="text1"/>
                <w14:textFill>
                  <w14:solidFill>
                    <w14:schemeClr w14:val="tx1"/>
                  </w14:solidFill>
                </w14:textFill>
              </w:rPr>
              <w:t>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/a</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此部分生活污水已计入钦州港金谷港区金鼓江作业区14号泊位码头（一期工程）中，本评价不再进行分析。</w:t>
            </w:r>
          </w:p>
          <w:p w14:paraId="379D665D">
            <w:pPr>
              <w:pStyle w:val="118"/>
              <w:ind w:firstLine="482"/>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1.2 废水排放情况</w:t>
            </w:r>
          </w:p>
          <w:p w14:paraId="3FD2E01B">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初期雨水排入初期雨水</w:t>
            </w:r>
            <w:r>
              <w:rPr>
                <w:rFonts w:hint="eastAsia" w:ascii="Times New Roman" w:hAnsi="Times New Roman" w:cs="Times New Roman"/>
                <w:color w:val="000000" w:themeColor="text1"/>
                <w14:textFill>
                  <w14:solidFill>
                    <w14:schemeClr w14:val="tx1"/>
                  </w14:solidFill>
                </w14:textFill>
              </w:rPr>
              <w:t>池</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再泵送至广西恒逸污水处理厂</w:t>
            </w:r>
            <w:r>
              <w:rPr>
                <w:rFonts w:ascii="Times New Roman" w:hAnsi="Times New Roman" w:cs="Times New Roman"/>
                <w:color w:val="000000" w:themeColor="text1"/>
                <w14:textFill>
                  <w14:solidFill>
                    <w14:schemeClr w14:val="tx1"/>
                  </w14:solidFill>
                </w14:textFill>
              </w:rPr>
              <w:t>处理；</w:t>
            </w:r>
            <w:r>
              <w:rPr>
                <w:rFonts w:hint="eastAsia" w:ascii="Times New Roman" w:hAnsi="Times New Roman" w:cs="Times New Roman"/>
                <w:color w:val="000000" w:themeColor="text1"/>
                <w14:textFill>
                  <w14:solidFill>
                    <w14:schemeClr w14:val="tx1"/>
                  </w14:solidFill>
                </w14:textFill>
              </w:rPr>
              <w:t>己内酰胺储罐尾气水洗塔吸收废水泵经污水管网泵送至恒逸</w:t>
            </w:r>
            <w:r>
              <w:rPr>
                <w:rFonts w:hint="eastAsia" w:ascii="Times New Roman" w:hAnsi="Times New Roman" w:cs="Times New Roman"/>
                <w:color w:val="000000" w:themeColor="text1"/>
                <w:lang w:eastAsia="zh-CN"/>
                <w14:textFill>
                  <w14:solidFill>
                    <w14:schemeClr w14:val="tx1"/>
                  </w14:solidFill>
                </w14:textFill>
              </w:rPr>
              <w:t>污水处理厂</w:t>
            </w:r>
            <w:r>
              <w:rPr>
                <w:rFonts w:hint="eastAsia" w:ascii="Times New Roman" w:hAnsi="Times New Roman" w:cs="Times New Roman"/>
                <w:color w:val="000000" w:themeColor="text1"/>
                <w14:textFill>
                  <w14:solidFill>
                    <w14:schemeClr w14:val="tx1"/>
                  </w14:solidFill>
                </w14:textFill>
              </w:rPr>
              <w:t>处理</w:t>
            </w:r>
            <w:r>
              <w:rPr>
                <w:rFonts w:ascii="Times New Roman" w:hAnsi="Times New Roman" w:cs="Times New Roman"/>
                <w:color w:val="000000" w:themeColor="text1"/>
                <w14:textFill>
                  <w14:solidFill>
                    <w14:schemeClr w14:val="tx1"/>
                  </w14:solidFill>
                </w14:textFill>
              </w:rPr>
              <w:t>。</w:t>
            </w:r>
          </w:p>
          <w:p w14:paraId="0D8D702B">
            <w:pPr>
              <w:pStyle w:val="118"/>
              <w:ind w:firstLine="482"/>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1.3废水处理工艺可行性分析</w:t>
            </w:r>
          </w:p>
          <w:p w14:paraId="6265DED0">
            <w:pPr>
              <w:pStyle w:val="118"/>
              <w:ind w:firstLineChars="0"/>
              <w:jc w:val="both"/>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（1）</w:t>
            </w:r>
            <w:r>
              <w:rPr>
                <w:rFonts w:ascii="Times New Roman" w:hAnsi="Times New Roman" w:cs="Times New Roman"/>
                <w:bCs/>
                <w:color w:val="000000" w:themeColor="text1"/>
                <w14:textFill>
                  <w14:solidFill>
                    <w14:schemeClr w14:val="tx1"/>
                  </w14:solidFill>
                </w14:textFill>
              </w:rPr>
              <w:t>初期雨水</w:t>
            </w:r>
          </w:p>
          <w:p w14:paraId="3E5ADEFA">
            <w:pPr>
              <w:pStyle w:val="118"/>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本项目初期雨水产生量为</w:t>
            </w:r>
            <w:r>
              <w:rPr>
                <w:rFonts w:hint="eastAsia" w:ascii="Times New Roman" w:hAnsi="Times New Roman" w:cs="Times New Roman"/>
                <w:color w:val="000000" w:themeColor="text1"/>
                <w14:textFill>
                  <w14:solidFill>
                    <w14:schemeClr w14:val="tx1"/>
                  </w14:solidFill>
                </w14:textFill>
              </w:rPr>
              <w:t>414.3</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/次，</w:t>
            </w:r>
            <w:r>
              <w:rPr>
                <w:rFonts w:hint="eastAsia" w:ascii="Times New Roman" w:hAnsi="Times New Roman" w:cs="Times New Roman"/>
                <w:color w:val="000000" w:themeColor="text1"/>
                <w14:textFill>
                  <w14:solidFill>
                    <w14:schemeClr w14:val="tx1"/>
                  </w14:solidFill>
                </w14:textFill>
              </w:rPr>
              <w:t>10357.7</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/a</w:t>
            </w:r>
            <w:r>
              <w:rPr>
                <w:rFonts w:hint="eastAsia" w:ascii="Times New Roman" w:hAnsi="Times New Roman" w:cs="Times New Roman"/>
                <w:color w:val="000000" w:themeColor="text1"/>
                <w14:textFill>
                  <w14:solidFill>
                    <w14:schemeClr w14:val="tx1"/>
                  </w14:solidFill>
                </w14:textFill>
              </w:rPr>
              <w:t>，经雨水管网进入14号泊位码头（一期工程）已建设的初期雨水池收集，初期雨水池容积为850m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，配备输送泵及管道，由液位控制器控制泵送至广西恒逸</w:t>
            </w:r>
            <w:r>
              <w:rPr>
                <w:rFonts w:hint="eastAsia" w:ascii="Times New Roman" w:hAnsi="Times New Roman" w:cs="Times New Roman"/>
                <w:color w:val="000000" w:themeColor="text1"/>
                <w:lang w:eastAsia="zh-CN"/>
                <w14:textFill>
                  <w14:solidFill>
                    <w14:schemeClr w14:val="tx1"/>
                  </w14:solidFill>
                </w14:textFill>
              </w:rPr>
              <w:t>污水处理厂</w:t>
            </w:r>
            <w:r>
              <w:rPr>
                <w:rFonts w:hint="eastAsia" w:ascii="Times New Roman" w:hAnsi="Times New Roman" w:cs="Times New Roman"/>
                <w:color w:val="000000" w:themeColor="text1"/>
                <w14:textFill>
                  <w14:solidFill>
                    <w14:schemeClr w14:val="tx1"/>
                  </w14:solidFill>
                </w14:textFill>
              </w:rPr>
              <w:t>处理。初期雨水池系统服务整个14号泊位后方储罐区，本项目作为14号泊位后方储罐区的组成部分，</w:t>
            </w:r>
            <w:r>
              <w:rPr>
                <w:rFonts w:ascii="Times New Roman" w:hAnsi="Times New Roman" w:cs="Times New Roman"/>
                <w:color w:val="000000" w:themeColor="text1"/>
                <w14:textFill>
                  <w14:solidFill>
                    <w14:schemeClr w14:val="tx1"/>
                  </w14:solidFill>
                </w14:textFill>
              </w:rPr>
              <w:t>本项目初期雨水依托</w:t>
            </w:r>
            <w:r>
              <w:rPr>
                <w:rFonts w:hint="eastAsia" w:ascii="Times New Roman" w:hAnsi="Times New Roman" w:cs="Times New Roman"/>
                <w:color w:val="000000" w:themeColor="text1"/>
                <w14:textFill>
                  <w14:solidFill>
                    <w14:schemeClr w14:val="tx1"/>
                  </w14:solidFill>
                </w14:textFill>
              </w:rPr>
              <w:t>14号泊位</w:t>
            </w:r>
            <w:r>
              <w:rPr>
                <w:rFonts w:ascii="Times New Roman" w:hAnsi="Times New Roman" w:cs="Times New Roman"/>
                <w:color w:val="000000" w:themeColor="text1"/>
                <w14:textFill>
                  <w14:solidFill>
                    <w14:schemeClr w14:val="tx1"/>
                  </w14:solidFill>
                </w14:textFill>
              </w:rPr>
              <w:t>一期工程项目建设的初期雨水池收集处理是可行的。</w:t>
            </w:r>
          </w:p>
          <w:p w14:paraId="0FA57A85">
            <w:pPr>
              <w:pStyle w:val="118"/>
              <w:ind w:firstLine="0" w:firstLineChars="0"/>
              <w:jc w:val="center"/>
              <w:rPr>
                <w:rFonts w:ascii="Times New Roman" w:hAnsi="Times New Roman" w:cs="Times New Roman"/>
                <w:color w:val="FF0000"/>
              </w:rPr>
            </w:pPr>
            <w:r>
              <w:rPr>
                <w:rFonts w:ascii="Times New Roman" w:hAnsi="Times New Roman" w:cs="Times New Roman"/>
                <w:color w:val="FF0000"/>
              </w:rPr>
              <w:object>
                <v:shape id="_x0000_i1030" o:spt="75" type="#_x0000_t75" style="height:73.5pt;width:375pt;" o:ole="t" filled="f" o:preferrelative="t" stroked="f" coordsize="21600,21600">
                  <v:path/>
                  <v:fill on="f" focussize="0,0"/>
                  <v:stroke on="f" joinstyle="miter"/>
                  <v:imagedata r:id="rId46" o:title=""/>
                  <o:lock v:ext="edit" aspectratio="f"/>
                  <w10:wrap type="none"/>
                  <w10:anchorlock/>
                </v:shape>
                <o:OLEObject Type="Embed" ProgID="Visio.Drawing.11" ShapeID="_x0000_i1030" DrawAspect="Content" ObjectID="_1468075730" r:id="rId45">
                  <o:LockedField>false</o:LockedField>
                </o:OLEObject>
              </w:object>
            </w:r>
          </w:p>
          <w:p w14:paraId="5B2E6FB2">
            <w:pPr>
              <w:pStyle w:val="118"/>
              <w:ind w:firstLine="0" w:firstLineChars="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图4-</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bCs/>
                <w:color w:val="000000" w:themeColor="text1"/>
                <w14:textFill>
                  <w14:solidFill>
                    <w14:schemeClr w14:val="tx1"/>
                  </w14:solidFill>
                </w14:textFill>
              </w:rPr>
              <w:t>初期雨水处理工艺流程图</w:t>
            </w:r>
          </w:p>
          <w:p w14:paraId="3C3961EB">
            <w:pPr>
              <w:pStyle w:val="118"/>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（2）己内酰胺水洗塔吸收废水</w:t>
            </w:r>
          </w:p>
          <w:p w14:paraId="3A441330">
            <w:pPr>
              <w:pStyle w:val="118"/>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己内酰胺废气水洗塔吸收废水产生量为110.3m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/a，</w:t>
            </w:r>
            <w:r>
              <w:rPr>
                <w:rFonts w:hint="eastAsia" w:ascii="Times New Roman" w:hAnsi="Times New Roman" w:cs="Times New Roman"/>
                <w:bCs/>
                <w:color w:val="000000" w:themeColor="text1"/>
                <w14:textFill>
                  <w14:solidFill>
                    <w14:schemeClr w14:val="tx1"/>
                  </w14:solidFill>
                </w14:textFill>
              </w:rPr>
              <w:t>生成</w:t>
            </w:r>
            <w:r>
              <w:rPr>
                <w:rFonts w:ascii="Times New Roman" w:hAnsi="Times New Roman" w:cs="Times New Roman"/>
                <w:bCs/>
                <w:color w:val="000000" w:themeColor="text1"/>
                <w14:textFill>
                  <w14:solidFill>
                    <w14:schemeClr w14:val="tx1"/>
                  </w14:solidFill>
                </w14:textFill>
              </w:rPr>
              <w:t>废水中己内酰胺浓度为10000mg/L。恒逸</w:t>
            </w:r>
            <w:r>
              <w:rPr>
                <w:rFonts w:hint="eastAsia" w:ascii="Times New Roman" w:hAnsi="Times New Roman" w:cs="Times New Roman"/>
                <w:bCs/>
                <w:color w:val="000000" w:themeColor="text1"/>
                <w:lang w:eastAsia="zh-CN"/>
                <w14:textFill>
                  <w14:solidFill>
                    <w14:schemeClr w14:val="tx1"/>
                  </w14:solidFill>
                </w14:textFill>
              </w:rPr>
              <w:t>污水处理厂</w:t>
            </w:r>
            <w:r>
              <w:rPr>
                <w:rFonts w:ascii="Times New Roman" w:hAnsi="Times New Roman" w:cs="Times New Roman"/>
                <w:bCs/>
                <w:color w:val="000000" w:themeColor="text1"/>
                <w14:textFill>
                  <w14:solidFill>
                    <w14:schemeClr w14:val="tx1"/>
                  </w14:solidFill>
                </w14:textFill>
              </w:rPr>
              <w:t>的聚酰胺废水预处理系统进水水质中COD控制浓度为12000mg/</w:t>
            </w:r>
            <w:r>
              <w:rPr>
                <w:rFonts w:hint="eastAsia" w:ascii="Times New Roman" w:hAnsi="Times New Roman" w:cs="Times New Roman"/>
                <w:bCs/>
                <w:color w:val="000000" w:themeColor="text1"/>
                <w14:textFill>
                  <w14:solidFill>
                    <w14:schemeClr w14:val="tx1"/>
                  </w14:solidFill>
                </w14:textFill>
              </w:rPr>
              <w:t>L（＞</w:t>
            </w:r>
            <w:r>
              <w:rPr>
                <w:rFonts w:ascii="Times New Roman" w:hAnsi="Times New Roman" w:cs="Times New Roman"/>
                <w:bCs/>
                <w:color w:val="000000" w:themeColor="text1"/>
                <w14:textFill>
                  <w14:solidFill>
                    <w14:schemeClr w14:val="tx1"/>
                  </w14:solidFill>
                </w14:textFill>
              </w:rPr>
              <w:t>10000mg/L</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，因此，本项目己内酰胺吸收废水进入恒逸</w:t>
            </w:r>
            <w:r>
              <w:rPr>
                <w:rFonts w:hint="eastAsia" w:ascii="Times New Roman" w:hAnsi="Times New Roman" w:cs="Times New Roman"/>
                <w:bCs/>
                <w:color w:val="000000" w:themeColor="text1"/>
                <w:lang w:eastAsia="zh-CN"/>
                <w14:textFill>
                  <w14:solidFill>
                    <w14:schemeClr w14:val="tx1"/>
                  </w14:solidFill>
                </w14:textFill>
              </w:rPr>
              <w:t>污水处理厂</w:t>
            </w:r>
            <w:r>
              <w:rPr>
                <w:rFonts w:ascii="Times New Roman" w:hAnsi="Times New Roman" w:cs="Times New Roman"/>
                <w:bCs/>
                <w:color w:val="000000" w:themeColor="text1"/>
                <w14:textFill>
                  <w14:solidFill>
                    <w14:schemeClr w14:val="tx1"/>
                  </w14:solidFill>
                </w14:textFill>
              </w:rPr>
              <w:t>进行处理是可行的。</w:t>
            </w:r>
          </w:p>
          <w:p w14:paraId="67233CD7">
            <w:pPr>
              <w:pStyle w:val="118"/>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生活污水</w:t>
            </w:r>
          </w:p>
          <w:p w14:paraId="7342E28E">
            <w:pPr>
              <w:pStyle w:val="118"/>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本项目依托一期工程劳动定员，不新增劳动定员，不新增生活污水。</w:t>
            </w:r>
          </w:p>
          <w:p w14:paraId="0EF6D2DF">
            <w:pPr>
              <w:pStyle w:val="203"/>
              <w:ind w:firstLine="482"/>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1.4依托污水处理厂可行性分析</w:t>
            </w:r>
          </w:p>
          <w:p w14:paraId="0BB5A450">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广西恒逸污水处理厂</w:t>
            </w:r>
            <w:r>
              <w:rPr>
                <w:rFonts w:ascii="Times New Roman" w:hAnsi="Times New Roman" w:cs="Times New Roman"/>
                <w:color w:val="000000" w:themeColor="text1"/>
                <w14:textFill>
                  <w14:solidFill>
                    <w14:schemeClr w14:val="tx1"/>
                  </w14:solidFill>
                </w14:textFill>
              </w:rPr>
              <w:t>概况</w:t>
            </w:r>
          </w:p>
          <w:p w14:paraId="4A97A53A">
            <w:pPr>
              <w:spacing w:line="360" w:lineRule="auto"/>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广西恒逸污水处理厂建设单位为</w:t>
            </w:r>
            <w:r>
              <w:rPr>
                <w:rFonts w:ascii="Times New Roman" w:hAnsi="Times New Roman" w:cs="Times New Roman"/>
                <w:color w:val="000000" w:themeColor="text1"/>
                <w14:textFill>
                  <w14:solidFill>
                    <w14:schemeClr w14:val="tx1"/>
                  </w14:solidFill>
                </w14:textFill>
              </w:rPr>
              <w:t>广西恒逸环境科技有限公司</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根据《广西恒逸环境科技有限公司50000吨/日污水处理厂项目（重大变动）环境影响报告书》（自贸钦审批环〔2025〕9号），项目总处理规模3100m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/h，其中一期工程处理规模为1400m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/h（包含综合污水处理单元800m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/h和清净处理单元废水600m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/h），中水回用系统1600m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/h；二期工程处理规模为1700m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/h（包含综合污水处理单元1100m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/h和清净处理单元废水600m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/h）。项目配套1600m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/h中水回用系统，400m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/h浓水处理系统，经处理后尾水排放总量为2060m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/h（49440m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/d）。</w:t>
            </w:r>
          </w:p>
          <w:p w14:paraId="0A7E22C4">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广西</w:t>
            </w:r>
            <w:r>
              <w:rPr>
                <w:rFonts w:ascii="Times New Roman" w:hAnsi="Times New Roman" w:cs="Times New Roman"/>
                <w:color w:val="000000" w:themeColor="text1"/>
                <w14:textFill>
                  <w14:solidFill>
                    <w14:schemeClr w14:val="tx1"/>
                  </w14:solidFill>
                </w14:textFill>
              </w:rPr>
              <w:t>恒逸环境科技有限公司50000吨/日污水处理厂项目除接纳恒逸新材料有限公司年产120万吨己内酰胺-聚酰胺产业一体化及配套工程项目产生的废水外，同时也服务园区入驻企业。</w:t>
            </w:r>
          </w:p>
          <w:p w14:paraId="07BAB389">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钦州港金谷港区金鼓江作业区14号泊位码头（一期工程）竣工环境保护验收调查报告》，委托广西利华检测评价有限公司对污水处理厂出水口水质进行监测，广西恒逸污水处理厂出水可满足相关排放标准（按照《石油化学工业污染物排放标准》（GB31571-2015）标准及《污水综合排放标准》（GB8978-1996）一级标准中更严格的限值进行取值）。</w:t>
            </w:r>
          </w:p>
          <w:p w14:paraId="40B95416">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（2）进水接纳分析</w:t>
            </w:r>
          </w:p>
          <w:p w14:paraId="0668E38A">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本项目初期雨水</w:t>
            </w:r>
            <w:r>
              <w:rPr>
                <w:rFonts w:hint="eastAsia" w:ascii="Times New Roman" w:hAnsi="Times New Roman" w:cs="Times New Roman"/>
                <w:color w:val="000000" w:themeColor="text1"/>
                <w14:textFill>
                  <w14:solidFill>
                    <w14:schemeClr w14:val="tx1"/>
                  </w14:solidFill>
                </w14:textFill>
              </w:rPr>
              <w:t>产生量为10357.7m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/a，</w:t>
            </w:r>
            <w:r>
              <w:rPr>
                <w:rFonts w:ascii="Times New Roman" w:hAnsi="Times New Roman" w:cs="Times New Roman"/>
                <w:color w:val="000000" w:themeColor="text1"/>
                <w14:textFill>
                  <w14:solidFill>
                    <w14:schemeClr w14:val="tx1"/>
                  </w14:solidFill>
                </w14:textFill>
              </w:rPr>
              <w:t>污染物排放浓度</w:t>
            </w:r>
            <w:r>
              <w:rPr>
                <w:rFonts w:hint="eastAsia" w:ascii="Times New Roman" w:hAnsi="Times New Roman" w:cs="Times New Roman"/>
                <w:color w:val="000000" w:themeColor="text1"/>
                <w14:textFill>
                  <w14:solidFill>
                    <w14:schemeClr w14:val="tx1"/>
                  </w14:solidFill>
                </w14:textFill>
              </w:rPr>
              <w:t>pH为7.01~7.23、COD 92.5mg/L、SS 29.4mg/L，</w:t>
            </w:r>
            <w:r>
              <w:rPr>
                <w:rFonts w:ascii="Times New Roman" w:hAnsi="Times New Roman" w:cs="Times New Roman"/>
                <w:color w:val="000000" w:themeColor="text1"/>
                <w14:textFill>
                  <w14:solidFill>
                    <w14:schemeClr w14:val="tx1"/>
                  </w14:solidFill>
                </w14:textFill>
              </w:rPr>
              <w:t>可达到《污水综合排放标准》（GB8978-1996）表4 三级标准限值，同时满足</w:t>
            </w:r>
            <w:r>
              <w:rPr>
                <w:rFonts w:hint="eastAsia" w:ascii="Times New Roman" w:hAnsi="Times New Roman" w:cs="Times New Roman"/>
                <w:color w:val="000000" w:themeColor="text1"/>
                <w14:textFill>
                  <w14:solidFill>
                    <w14:schemeClr w14:val="tx1"/>
                  </w14:solidFill>
                </w14:textFill>
              </w:rPr>
              <w:t>广西恒逸污水处理厂</w:t>
            </w:r>
            <w:r>
              <w:rPr>
                <w:rFonts w:ascii="Times New Roman" w:hAnsi="Times New Roman" w:cs="Times New Roman"/>
                <w:color w:val="000000" w:themeColor="text1"/>
                <w14:textFill>
                  <w14:solidFill>
                    <w14:schemeClr w14:val="tx1"/>
                  </w14:solidFill>
                </w14:textFill>
              </w:rPr>
              <w:t>接管要求。</w:t>
            </w:r>
          </w:p>
          <w:p w14:paraId="43D233AF">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表4-</w:t>
            </w:r>
            <w:r>
              <w:rPr>
                <w:rFonts w:hint="eastAsia" w:ascii="Times New Roman" w:hAnsi="Times New Roman" w:cs="Times New Roman"/>
                <w:b/>
                <w:bCs/>
                <w:color w:val="000000" w:themeColor="text1"/>
                <w14:textFill>
                  <w14:solidFill>
                    <w14:schemeClr w14:val="tx1"/>
                  </w14:solidFill>
                </w14:textFill>
              </w:rPr>
              <w:t>1</w:t>
            </w:r>
            <w:r>
              <w:rPr>
                <w:rFonts w:ascii="Times New Roman" w:hAnsi="Times New Roman" w:cs="Times New Roman"/>
                <w:b/>
                <w:bCs/>
                <w:color w:val="000000" w:themeColor="text1"/>
                <w14:textFill>
                  <w14:solidFill>
                    <w14:schemeClr w14:val="tx1"/>
                  </w14:solidFill>
                </w14:textFill>
              </w:rPr>
              <w:t xml:space="preserve">  运营期</w:t>
            </w:r>
            <w:r>
              <w:rPr>
                <w:rFonts w:hint="eastAsia" w:ascii="Times New Roman" w:hAnsi="Times New Roman" w:cs="Times New Roman"/>
                <w:b/>
                <w:bCs/>
                <w:color w:val="000000" w:themeColor="text1"/>
                <w14:textFill>
                  <w14:solidFill>
                    <w14:schemeClr w14:val="tx1"/>
                  </w14:solidFill>
                </w14:textFill>
              </w:rPr>
              <w:t>初期雨水</w:t>
            </w:r>
            <w:r>
              <w:rPr>
                <w:rFonts w:ascii="Times New Roman" w:hAnsi="Times New Roman" w:cs="Times New Roman"/>
                <w:b/>
                <w:bCs/>
                <w:color w:val="000000" w:themeColor="text1"/>
                <w14:textFill>
                  <w14:solidFill>
                    <w14:schemeClr w14:val="tx1"/>
                  </w14:solidFill>
                </w14:textFill>
              </w:rPr>
              <w:t>排污情况一览表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4"/>
              <w:gridCol w:w="2324"/>
              <w:gridCol w:w="2323"/>
              <w:gridCol w:w="2328"/>
            </w:tblGrid>
            <w:tr w14:paraId="4055F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vAlign w:val="center"/>
                </w:tcPr>
                <w:p w14:paraId="7CF68DFB">
                  <w:pPr>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污染源名称</w:t>
                  </w:r>
                </w:p>
              </w:tc>
              <w:tc>
                <w:tcPr>
                  <w:tcW w:w="1249" w:type="pct"/>
                  <w:vAlign w:val="center"/>
                </w:tcPr>
                <w:p w14:paraId="574A4C74">
                  <w:pPr>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pH（无纲量）</w:t>
                  </w:r>
                </w:p>
              </w:tc>
              <w:tc>
                <w:tcPr>
                  <w:tcW w:w="1249" w:type="pct"/>
                  <w:vAlign w:val="center"/>
                </w:tcPr>
                <w:p w14:paraId="731B2369">
                  <w:pPr>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COD</w:t>
                  </w:r>
                </w:p>
              </w:tc>
              <w:tc>
                <w:tcPr>
                  <w:tcW w:w="1251" w:type="pct"/>
                  <w:vAlign w:val="center"/>
                </w:tcPr>
                <w:p w14:paraId="049BFE35">
                  <w:pPr>
                    <w:jc w:val="center"/>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SS</w:t>
                  </w:r>
                </w:p>
              </w:tc>
            </w:tr>
            <w:tr w14:paraId="1071A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vAlign w:val="center"/>
                </w:tcPr>
                <w:p w14:paraId="4DC6E49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排放</w:t>
                  </w:r>
                  <w:r>
                    <w:rPr>
                      <w:rFonts w:ascii="Times New Roman" w:hAnsi="Times New Roman" w:cs="Times New Roman"/>
                      <w:color w:val="000000" w:themeColor="text1"/>
                      <w:sz w:val="21"/>
                      <w:szCs w:val="21"/>
                      <w14:textFill>
                        <w14:solidFill>
                          <w14:schemeClr w14:val="tx1"/>
                        </w14:solidFill>
                      </w14:textFill>
                    </w:rPr>
                    <w:t>浓度（mg/L）</w:t>
                  </w:r>
                </w:p>
              </w:tc>
              <w:tc>
                <w:tcPr>
                  <w:tcW w:w="1249" w:type="pct"/>
                  <w:vAlign w:val="center"/>
                </w:tcPr>
                <w:p w14:paraId="53D91DB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7.01~7.23</w:t>
                  </w:r>
                </w:p>
              </w:tc>
              <w:tc>
                <w:tcPr>
                  <w:tcW w:w="1249" w:type="pct"/>
                  <w:vAlign w:val="center"/>
                </w:tcPr>
                <w:p w14:paraId="5F0B5AB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92.5</w:t>
                  </w:r>
                </w:p>
              </w:tc>
              <w:tc>
                <w:tcPr>
                  <w:tcW w:w="1251" w:type="pct"/>
                  <w:vAlign w:val="center"/>
                </w:tcPr>
                <w:p w14:paraId="61E684F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29.4</w:t>
                  </w:r>
                </w:p>
              </w:tc>
            </w:tr>
            <w:tr w14:paraId="700AB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vAlign w:val="center"/>
                </w:tcPr>
                <w:p w14:paraId="249737F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排放量（kg/d）</w:t>
                  </w:r>
                </w:p>
              </w:tc>
              <w:tc>
                <w:tcPr>
                  <w:tcW w:w="1249" w:type="pct"/>
                  <w:vAlign w:val="center"/>
                </w:tcPr>
                <w:p w14:paraId="33DE2F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249" w:type="pct"/>
                  <w:vAlign w:val="center"/>
                </w:tcPr>
                <w:p w14:paraId="45587EA9">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1.463</w:t>
                  </w:r>
                </w:p>
              </w:tc>
              <w:tc>
                <w:tcPr>
                  <w:tcW w:w="1251" w:type="pct"/>
                  <w:vAlign w:val="center"/>
                </w:tcPr>
                <w:p w14:paraId="307D6176">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0.465</w:t>
                  </w:r>
                </w:p>
              </w:tc>
            </w:tr>
            <w:tr w14:paraId="3C936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vAlign w:val="center"/>
                </w:tcPr>
                <w:p w14:paraId="45F4098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排放量（t/a）</w:t>
                  </w:r>
                </w:p>
              </w:tc>
              <w:tc>
                <w:tcPr>
                  <w:tcW w:w="1249" w:type="pct"/>
                  <w:vAlign w:val="center"/>
                </w:tcPr>
                <w:p w14:paraId="4D4E2B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249" w:type="pct"/>
                  <w:vAlign w:val="center"/>
                </w:tcPr>
                <w:p w14:paraId="3DC16FFD">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0.958</w:t>
                  </w:r>
                </w:p>
              </w:tc>
              <w:tc>
                <w:tcPr>
                  <w:tcW w:w="1251" w:type="pct"/>
                  <w:vAlign w:val="center"/>
                </w:tcPr>
                <w:p w14:paraId="417A2EEE">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0.304</w:t>
                  </w:r>
                </w:p>
              </w:tc>
            </w:tr>
          </w:tbl>
          <w:p w14:paraId="3A1DF5E6">
            <w:pPr>
              <w:pStyle w:val="203"/>
              <w:rPr>
                <w:rFonts w:ascii="Times New Roman" w:hAnsi="Times New Roman" w:cs="Times New Roman"/>
                <w:bCs/>
                <w:color w:val="1207F7"/>
              </w:rPr>
            </w:pPr>
            <w:r>
              <w:rPr>
                <w:rFonts w:ascii="Times New Roman" w:hAnsi="Times New Roman" w:cs="Times New Roman"/>
                <w:color w:val="000000" w:themeColor="text1"/>
                <w14:textFill>
                  <w14:solidFill>
                    <w14:schemeClr w14:val="tx1"/>
                  </w14:solidFill>
                </w14:textFill>
              </w:rPr>
              <w:t>本项目排入</w:t>
            </w:r>
            <w:r>
              <w:rPr>
                <w:rFonts w:hint="eastAsia" w:ascii="Times New Roman" w:hAnsi="Times New Roman" w:cs="Times New Roman"/>
                <w:color w:val="000000" w:themeColor="text1"/>
                <w14:textFill>
                  <w14:solidFill>
                    <w14:schemeClr w14:val="tx1"/>
                  </w14:solidFill>
                </w14:textFill>
              </w:rPr>
              <w:t>广西恒逸污水处理厂的</w:t>
            </w:r>
            <w:r>
              <w:rPr>
                <w:rFonts w:ascii="Times New Roman" w:hAnsi="Times New Roman" w:cs="Times New Roman"/>
                <w:bCs/>
                <w:color w:val="000000" w:themeColor="text1"/>
                <w14:textFill>
                  <w14:solidFill>
                    <w14:schemeClr w14:val="tx1"/>
                  </w14:solidFill>
                </w14:textFill>
              </w:rPr>
              <w:t>初期雨水排放量为</w:t>
            </w:r>
            <w:r>
              <w:rPr>
                <w:rFonts w:hint="eastAsia" w:ascii="Times New Roman" w:hAnsi="Times New Roman" w:cs="Times New Roman"/>
                <w:color w:val="000000" w:themeColor="text1"/>
                <w14:textFill>
                  <w14:solidFill>
                    <w14:schemeClr w14:val="tx1"/>
                  </w14:solidFill>
                </w14:textFill>
              </w:rPr>
              <w:t>414.3</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/次。</w:t>
            </w:r>
            <w:r>
              <w:rPr>
                <w:rFonts w:hint="eastAsia" w:ascii="Times New Roman" w:hAnsi="Times New Roman" w:cs="Times New Roman"/>
                <w:bCs/>
                <w:color w:val="000000" w:themeColor="text1"/>
                <w14:textFill>
                  <w14:solidFill>
                    <w14:schemeClr w14:val="tx1"/>
                  </w14:solidFill>
                </w14:textFill>
              </w:rPr>
              <w:t>广西恒逸污水处理厂一期工程</w:t>
            </w:r>
            <w:r>
              <w:rPr>
                <w:rFonts w:ascii="Times New Roman" w:hAnsi="Times New Roman" w:cs="Times New Roman"/>
                <w:color w:val="000000" w:themeColor="text1"/>
                <w14:textFill>
                  <w14:solidFill>
                    <w14:schemeClr w14:val="tx1"/>
                  </w14:solidFill>
                </w14:textFill>
              </w:rPr>
              <w:t>综合污水处理单元800m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w:t>
            </w:r>
            <w:r>
              <w:rPr>
                <w:rFonts w:hint="eastAsia" w:ascii="Times New Roman" w:hAnsi="Times New Roman" w:cs="Times New Roman"/>
                <w:color w:val="000000" w:themeColor="text1"/>
                <w14:textFill>
                  <w14:solidFill>
                    <w14:schemeClr w14:val="tx1"/>
                  </w14:solidFill>
                </w14:textFill>
              </w:rPr>
              <w:t>，即19200m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/d；目前平均处理污水量为</w:t>
            </w:r>
            <w:r>
              <w:rPr>
                <w:rFonts w:ascii="Times New Roman" w:hAnsi="Times New Roman" w:cs="Times New Roman"/>
                <w:color w:val="000000" w:themeColor="text1"/>
                <w14:textFill>
                  <w14:solidFill>
                    <w14:schemeClr w14:val="tx1"/>
                  </w14:solidFill>
                </w14:textFill>
              </w:rPr>
              <w:t>1.2~1.3</w:t>
            </w:r>
            <w:r>
              <w:rPr>
                <w:rFonts w:ascii="Times New Roman" w:hAnsi="Times New Roman" w:cs="Times New Roman"/>
                <w:bCs/>
                <w:color w:val="000000" w:themeColor="text1"/>
                <w14:textFill>
                  <w14:solidFill>
                    <w14:schemeClr w14:val="tx1"/>
                  </w14:solidFill>
                </w14:textFill>
              </w:rPr>
              <w:t>万m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/d，剩余污水处理能力为0.</w:t>
            </w:r>
            <w:r>
              <w:rPr>
                <w:rFonts w:hint="eastAsia" w:ascii="Times New Roman" w:hAnsi="Times New Roman" w:cs="Times New Roman"/>
                <w:bCs/>
                <w:color w:val="000000" w:themeColor="text1"/>
                <w14:textFill>
                  <w14:solidFill>
                    <w14:schemeClr w14:val="tx1"/>
                  </w14:solidFill>
                </w14:textFill>
              </w:rPr>
              <w:t>6</w:t>
            </w:r>
            <w:r>
              <w:rPr>
                <w:rFonts w:ascii="Times New Roman" w:hAnsi="Times New Roman" w:cs="Times New Roman"/>
                <w:bCs/>
                <w:color w:val="000000" w:themeColor="text1"/>
                <w14:textFill>
                  <w14:solidFill>
                    <w14:schemeClr w14:val="tx1"/>
                  </w14:solidFill>
                </w14:textFill>
              </w:rPr>
              <w:t>~0.</w:t>
            </w:r>
            <w:r>
              <w:rPr>
                <w:rFonts w:hint="eastAsia" w:ascii="Times New Roman" w:hAnsi="Times New Roman" w:cs="Times New Roman"/>
                <w:bCs/>
                <w:color w:val="000000" w:themeColor="text1"/>
                <w14:textFill>
                  <w14:solidFill>
                    <w14:schemeClr w14:val="tx1"/>
                  </w14:solidFill>
                </w14:textFill>
              </w:rPr>
              <w:t>7</w:t>
            </w:r>
            <w:r>
              <w:rPr>
                <w:rFonts w:ascii="Times New Roman" w:hAnsi="Times New Roman" w:cs="Times New Roman"/>
                <w:bCs/>
                <w:color w:val="000000" w:themeColor="text1"/>
                <w14:textFill>
                  <w14:solidFill>
                    <w14:schemeClr w14:val="tx1"/>
                  </w14:solidFill>
                </w14:textFill>
              </w:rPr>
              <w:t>万m</w:t>
            </w:r>
            <w:r>
              <w:rPr>
                <w:rFonts w:ascii="Times New Roman" w:hAnsi="Times New Roman" w:cs="Times New Roman"/>
                <w:bCs/>
                <w:color w:val="000000" w:themeColor="text1"/>
                <w:vertAlign w:val="superscript"/>
                <w14:textFill>
                  <w14:solidFill>
                    <w14:schemeClr w14:val="tx1"/>
                  </w14:solidFill>
                </w14:textFill>
              </w:rPr>
              <w:t>3</w:t>
            </w:r>
            <w:r>
              <w:rPr>
                <w:rFonts w:ascii="Times New Roman" w:hAnsi="Times New Roman" w:cs="Times New Roman"/>
                <w:bCs/>
                <w:color w:val="000000" w:themeColor="text1"/>
                <w14:textFill>
                  <w14:solidFill>
                    <w14:schemeClr w14:val="tx1"/>
                  </w14:solidFill>
                </w14:textFill>
              </w:rPr>
              <w:t>/d，本项目最大排放废水仅占污水处理厂剩余处理能力的</w:t>
            </w:r>
            <w:r>
              <w:rPr>
                <w:rFonts w:hint="eastAsia" w:ascii="Times New Roman" w:hAnsi="Times New Roman" w:cs="Times New Roman"/>
                <w:bCs/>
                <w:color w:val="000000" w:themeColor="text1"/>
                <w14:textFill>
                  <w14:solidFill>
                    <w14:schemeClr w14:val="tx1"/>
                  </w14:solidFill>
                </w14:textFill>
              </w:rPr>
              <w:t>2.2</w:t>
            </w:r>
            <w:r>
              <w:rPr>
                <w:rFonts w:ascii="Times New Roman" w:hAnsi="Times New Roman" w:cs="Times New Roman"/>
                <w:bCs/>
                <w:color w:val="000000" w:themeColor="text1"/>
                <w14:textFill>
                  <w14:solidFill>
                    <w14:schemeClr w14:val="tx1"/>
                  </w14:solidFill>
                </w14:textFill>
              </w:rPr>
              <w:t>%，满足收纳本项目污水余量要求，本项目废水排入</w:t>
            </w:r>
            <w:r>
              <w:rPr>
                <w:rFonts w:hint="eastAsia" w:ascii="Times New Roman" w:hAnsi="Times New Roman" w:cs="Times New Roman"/>
                <w:bCs/>
                <w:color w:val="000000" w:themeColor="text1"/>
                <w14:textFill>
                  <w14:solidFill>
                    <w14:schemeClr w14:val="tx1"/>
                  </w14:solidFill>
                </w14:textFill>
              </w:rPr>
              <w:t>广西恒逸新污水处理厂</w:t>
            </w:r>
            <w:r>
              <w:rPr>
                <w:rFonts w:ascii="Times New Roman" w:hAnsi="Times New Roman" w:cs="Times New Roman"/>
                <w:bCs/>
                <w:color w:val="000000" w:themeColor="text1"/>
                <w14:textFill>
                  <w14:solidFill>
                    <w14:schemeClr w14:val="tx1"/>
                  </w14:solidFill>
                </w14:textFill>
              </w:rPr>
              <w:t>对其负荷影响较小。</w:t>
            </w:r>
          </w:p>
          <w:p w14:paraId="18A7BA34">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（3）小结</w:t>
            </w:r>
          </w:p>
          <w:p w14:paraId="1E961587">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综上，项目废水进入</w:t>
            </w:r>
            <w:r>
              <w:rPr>
                <w:rFonts w:hint="eastAsia" w:ascii="Times New Roman" w:hAnsi="Times New Roman" w:cs="Times New Roman"/>
                <w:color w:val="000000" w:themeColor="text1"/>
                <w14:textFill>
                  <w14:solidFill>
                    <w14:schemeClr w14:val="tx1"/>
                  </w14:solidFill>
                </w14:textFill>
              </w:rPr>
              <w:t>广西恒逸污水处理厂</w:t>
            </w:r>
            <w:r>
              <w:rPr>
                <w:rFonts w:ascii="Times New Roman" w:hAnsi="Times New Roman" w:cs="Times New Roman"/>
                <w:color w:val="000000" w:themeColor="text1"/>
                <w14:textFill>
                  <w14:solidFill>
                    <w14:schemeClr w14:val="tx1"/>
                  </w14:solidFill>
                </w14:textFill>
              </w:rPr>
              <w:t>对其正常运行和处理效果不会造成较大影响，本项目废水进入</w:t>
            </w:r>
            <w:r>
              <w:rPr>
                <w:rFonts w:hint="eastAsia" w:ascii="Times New Roman" w:hAnsi="Times New Roman" w:cs="Times New Roman"/>
                <w:color w:val="000000" w:themeColor="text1"/>
                <w14:textFill>
                  <w14:solidFill>
                    <w14:schemeClr w14:val="tx1"/>
                  </w14:solidFill>
                </w14:textFill>
              </w:rPr>
              <w:t>广西恒逸新材料有限公司建设的污水处理厂</w:t>
            </w:r>
            <w:r>
              <w:rPr>
                <w:rFonts w:ascii="Times New Roman" w:hAnsi="Times New Roman" w:cs="Times New Roman"/>
                <w:color w:val="000000" w:themeColor="text1"/>
                <w14:textFill>
                  <w14:solidFill>
                    <w14:schemeClr w14:val="tx1"/>
                  </w14:solidFill>
                </w14:textFill>
              </w:rPr>
              <w:t>是可行的。</w:t>
            </w:r>
          </w:p>
          <w:p w14:paraId="45FCDD91">
            <w:pPr>
              <w:pStyle w:val="6"/>
              <w:spacing w:before="0" w:after="0" w:line="360" w:lineRule="auto"/>
              <w:ind w:firstLine="482" w:firstLineChars="20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1.5建设项目废水排放信息</w:t>
            </w:r>
          </w:p>
          <w:p w14:paraId="4E840F4D">
            <w:pPr>
              <w:pStyle w:val="118"/>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项目属于间接排放水污染影响型建设项目，废水间接排放基本情况见下表。</w:t>
            </w:r>
          </w:p>
          <w:p w14:paraId="1FE41D7B">
            <w:pPr>
              <w:pStyle w:val="207"/>
              <w:rPr>
                <w:rFonts w:ascii="Times New Roman" w:hAnsi="Times New Roman" w:cs="Times New Roman"/>
                <w:b/>
                <w:bCs w:val="0"/>
                <w:color w:val="000000" w:themeColor="text1"/>
                <w:sz w:val="32"/>
                <w14:textFill>
                  <w14:solidFill>
                    <w14:schemeClr w14:val="tx1"/>
                  </w14:solidFill>
                </w14:textFill>
              </w:rPr>
            </w:pPr>
            <w:r>
              <w:rPr>
                <w:rFonts w:ascii="Times New Roman" w:hAnsi="Times New Roman" w:cs="Times New Roman"/>
                <w:b/>
                <w:bCs w:val="0"/>
                <w:color w:val="000000" w:themeColor="text1"/>
                <w14:textFill>
                  <w14:solidFill>
                    <w14:schemeClr w14:val="tx1"/>
                  </w14:solidFill>
                </w14:textFill>
              </w:rPr>
              <w:t>表4-</w:t>
            </w:r>
            <w:r>
              <w:rPr>
                <w:rFonts w:hint="eastAsia" w:ascii="Times New Roman" w:hAnsi="Times New Roman" w:cs="Times New Roman"/>
                <w:b/>
                <w:bCs w:val="0"/>
                <w:color w:val="000000" w:themeColor="text1"/>
                <w14:textFill>
                  <w14:solidFill>
                    <w14:schemeClr w14:val="tx1"/>
                  </w14:solidFill>
                </w14:textFill>
              </w:rPr>
              <w:t>3</w:t>
            </w:r>
            <w:r>
              <w:rPr>
                <w:rFonts w:ascii="Times New Roman" w:hAnsi="Times New Roman" w:cs="Times New Roman"/>
                <w:b/>
                <w:bCs w:val="0"/>
                <w:color w:val="000000" w:themeColor="text1"/>
                <w14:textFill>
                  <w14:solidFill>
                    <w14:schemeClr w14:val="tx1"/>
                  </w14:solidFill>
                </w14:textFill>
              </w:rPr>
              <w:t>废水类别、污染物及污染治理设施信息表</w:t>
            </w:r>
          </w:p>
          <w:tbl>
            <w:tblPr>
              <w:tblStyle w:val="88"/>
              <w:tblW w:w="92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53"/>
              <w:gridCol w:w="525"/>
              <w:gridCol w:w="980"/>
              <w:gridCol w:w="518"/>
              <w:gridCol w:w="554"/>
              <w:gridCol w:w="916"/>
              <w:gridCol w:w="993"/>
              <w:gridCol w:w="992"/>
              <w:gridCol w:w="567"/>
              <w:gridCol w:w="992"/>
              <w:gridCol w:w="1843"/>
            </w:tblGrid>
            <w:tr w14:paraId="76495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2" w:hRule="atLeast"/>
              </w:trPr>
              <w:tc>
                <w:tcPr>
                  <w:tcW w:w="353" w:type="dxa"/>
                  <w:vMerge w:val="restart"/>
                  <w:vAlign w:val="center"/>
                </w:tcPr>
                <w:p w14:paraId="519368F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525" w:type="dxa"/>
                  <w:vMerge w:val="restart"/>
                  <w:vAlign w:val="center"/>
                </w:tcPr>
                <w:p w14:paraId="52810A9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废水类别</w:t>
                  </w:r>
                </w:p>
              </w:tc>
              <w:tc>
                <w:tcPr>
                  <w:tcW w:w="980" w:type="dxa"/>
                  <w:vMerge w:val="restart"/>
                  <w:vAlign w:val="center"/>
                </w:tcPr>
                <w:p w14:paraId="56219B6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污染物种类</w:t>
                  </w:r>
                </w:p>
              </w:tc>
              <w:tc>
                <w:tcPr>
                  <w:tcW w:w="518" w:type="dxa"/>
                  <w:vMerge w:val="restart"/>
                  <w:vAlign w:val="center"/>
                </w:tcPr>
                <w:p w14:paraId="0A3CDA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排放去向</w:t>
                  </w:r>
                </w:p>
              </w:tc>
              <w:tc>
                <w:tcPr>
                  <w:tcW w:w="554" w:type="dxa"/>
                  <w:vMerge w:val="restart"/>
                  <w:vAlign w:val="center"/>
                </w:tcPr>
                <w:p w14:paraId="48AB891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排放规律</w:t>
                  </w:r>
                </w:p>
              </w:tc>
              <w:tc>
                <w:tcPr>
                  <w:tcW w:w="2901" w:type="dxa"/>
                  <w:gridSpan w:val="3"/>
                  <w:vAlign w:val="center"/>
                </w:tcPr>
                <w:p w14:paraId="55DE760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污染防治设施</w:t>
                  </w:r>
                </w:p>
              </w:tc>
              <w:tc>
                <w:tcPr>
                  <w:tcW w:w="567" w:type="dxa"/>
                  <w:vMerge w:val="restart"/>
                  <w:vAlign w:val="center"/>
                </w:tcPr>
                <w:p w14:paraId="3AD6391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w:t>
                  </w:r>
                </w:p>
                <w:p w14:paraId="32187AF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编号</w:t>
                  </w:r>
                </w:p>
              </w:tc>
              <w:tc>
                <w:tcPr>
                  <w:tcW w:w="992" w:type="dxa"/>
                  <w:vMerge w:val="restart"/>
                  <w:vAlign w:val="center"/>
                </w:tcPr>
                <w:p w14:paraId="3384B6A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排放口设置是否符合要求</w:t>
                  </w:r>
                </w:p>
              </w:tc>
              <w:tc>
                <w:tcPr>
                  <w:tcW w:w="1843" w:type="dxa"/>
                  <w:vMerge w:val="restart"/>
                  <w:vAlign w:val="center"/>
                </w:tcPr>
                <w:p w14:paraId="300646B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排放口类型</w:t>
                  </w:r>
                </w:p>
              </w:tc>
            </w:tr>
            <w:tr w14:paraId="365A1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38" w:hRule="atLeast"/>
              </w:trPr>
              <w:tc>
                <w:tcPr>
                  <w:tcW w:w="353" w:type="dxa"/>
                  <w:vMerge w:val="continue"/>
                  <w:vAlign w:val="center"/>
                </w:tcPr>
                <w:p w14:paraId="07D354A3">
                  <w:pPr>
                    <w:spacing w:before="36" w:after="36"/>
                    <w:jc w:val="center"/>
                    <w:rPr>
                      <w:rFonts w:ascii="Times New Roman" w:hAnsi="Times New Roman" w:cs="Times New Roman"/>
                      <w:color w:val="000000" w:themeColor="text1"/>
                      <w:sz w:val="21"/>
                      <w:szCs w:val="21"/>
                      <w14:textFill>
                        <w14:solidFill>
                          <w14:schemeClr w14:val="tx1"/>
                        </w14:solidFill>
                      </w14:textFill>
                    </w:rPr>
                  </w:pPr>
                </w:p>
              </w:tc>
              <w:tc>
                <w:tcPr>
                  <w:tcW w:w="525" w:type="dxa"/>
                  <w:vMerge w:val="continue"/>
                  <w:vAlign w:val="center"/>
                </w:tcPr>
                <w:p w14:paraId="1D14FB30">
                  <w:pPr>
                    <w:spacing w:before="36" w:after="36"/>
                    <w:jc w:val="center"/>
                    <w:rPr>
                      <w:rFonts w:ascii="Times New Roman" w:hAnsi="Times New Roman" w:cs="Times New Roman"/>
                      <w:color w:val="000000" w:themeColor="text1"/>
                      <w:sz w:val="21"/>
                      <w:szCs w:val="21"/>
                      <w14:textFill>
                        <w14:solidFill>
                          <w14:schemeClr w14:val="tx1"/>
                        </w14:solidFill>
                      </w14:textFill>
                    </w:rPr>
                  </w:pPr>
                </w:p>
              </w:tc>
              <w:tc>
                <w:tcPr>
                  <w:tcW w:w="980" w:type="dxa"/>
                  <w:vMerge w:val="continue"/>
                  <w:vAlign w:val="center"/>
                </w:tcPr>
                <w:p w14:paraId="21BD41A7">
                  <w:pPr>
                    <w:spacing w:before="36" w:after="36"/>
                    <w:jc w:val="center"/>
                    <w:rPr>
                      <w:rFonts w:ascii="Times New Roman" w:hAnsi="Times New Roman" w:cs="Times New Roman"/>
                      <w:color w:val="000000" w:themeColor="text1"/>
                      <w:sz w:val="21"/>
                      <w:szCs w:val="21"/>
                      <w14:textFill>
                        <w14:solidFill>
                          <w14:schemeClr w14:val="tx1"/>
                        </w14:solidFill>
                      </w14:textFill>
                    </w:rPr>
                  </w:pPr>
                </w:p>
              </w:tc>
              <w:tc>
                <w:tcPr>
                  <w:tcW w:w="518" w:type="dxa"/>
                  <w:vMerge w:val="continue"/>
                  <w:vAlign w:val="center"/>
                </w:tcPr>
                <w:p w14:paraId="32D01184">
                  <w:pPr>
                    <w:spacing w:before="36" w:after="36"/>
                    <w:jc w:val="center"/>
                    <w:rPr>
                      <w:rFonts w:ascii="Times New Roman" w:hAnsi="Times New Roman" w:cs="Times New Roman"/>
                      <w:color w:val="000000" w:themeColor="text1"/>
                      <w:sz w:val="21"/>
                      <w:szCs w:val="21"/>
                      <w14:textFill>
                        <w14:solidFill>
                          <w14:schemeClr w14:val="tx1"/>
                        </w14:solidFill>
                      </w14:textFill>
                    </w:rPr>
                  </w:pPr>
                </w:p>
              </w:tc>
              <w:tc>
                <w:tcPr>
                  <w:tcW w:w="554" w:type="dxa"/>
                  <w:vMerge w:val="continue"/>
                  <w:vAlign w:val="center"/>
                </w:tcPr>
                <w:p w14:paraId="7335A03A">
                  <w:pPr>
                    <w:spacing w:before="36" w:after="36"/>
                    <w:jc w:val="center"/>
                    <w:rPr>
                      <w:rFonts w:ascii="Times New Roman" w:hAnsi="Times New Roman" w:cs="Times New Roman"/>
                      <w:color w:val="000000" w:themeColor="text1"/>
                      <w:sz w:val="21"/>
                      <w:szCs w:val="21"/>
                      <w14:textFill>
                        <w14:solidFill>
                          <w14:schemeClr w14:val="tx1"/>
                        </w14:solidFill>
                      </w14:textFill>
                    </w:rPr>
                  </w:pPr>
                </w:p>
              </w:tc>
              <w:tc>
                <w:tcPr>
                  <w:tcW w:w="916" w:type="dxa"/>
                  <w:vAlign w:val="center"/>
                </w:tcPr>
                <w:p w14:paraId="3FA5A3D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w:t>
                  </w:r>
                  <w:r>
                    <w:rPr>
                      <w:rFonts w:hint="eastAsia" w:ascii="Times New Roman" w:hAnsi="Times New Roman" w:cs="Times New Roman"/>
                      <w:color w:val="000000" w:themeColor="text1"/>
                      <w:sz w:val="21"/>
                      <w:szCs w:val="21"/>
                      <w:lang w:eastAsia="zh-CN"/>
                      <w14:textFill>
                        <w14:solidFill>
                          <w14:schemeClr w14:val="tx1"/>
                        </w14:solidFill>
                      </w14:textFill>
                    </w:rPr>
                    <w:t>设施</w:t>
                  </w:r>
                  <w:r>
                    <w:rPr>
                      <w:rFonts w:ascii="Times New Roman" w:hAnsi="Times New Roman" w:cs="Times New Roman"/>
                      <w:color w:val="000000" w:themeColor="text1"/>
                      <w:sz w:val="21"/>
                      <w:szCs w:val="21"/>
                      <w14:textFill>
                        <w14:solidFill>
                          <w14:schemeClr w14:val="tx1"/>
                        </w14:solidFill>
                      </w14:textFill>
                    </w:rPr>
                    <w:t>编号</w:t>
                  </w:r>
                </w:p>
              </w:tc>
              <w:tc>
                <w:tcPr>
                  <w:tcW w:w="993" w:type="dxa"/>
                  <w:vAlign w:val="center"/>
                </w:tcPr>
                <w:p w14:paraId="2A5178C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污染治理设施名称</w:t>
                  </w:r>
                </w:p>
              </w:tc>
              <w:tc>
                <w:tcPr>
                  <w:tcW w:w="992" w:type="dxa"/>
                  <w:vAlign w:val="center"/>
                </w:tcPr>
                <w:p w14:paraId="7654701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污染治理设施工艺</w:t>
                  </w:r>
                </w:p>
              </w:tc>
              <w:tc>
                <w:tcPr>
                  <w:tcW w:w="567" w:type="dxa"/>
                  <w:vMerge w:val="continue"/>
                  <w:vAlign w:val="center"/>
                </w:tcPr>
                <w:p w14:paraId="7DBFBF7B">
                  <w:pPr>
                    <w:spacing w:before="36" w:after="36"/>
                    <w:jc w:val="center"/>
                    <w:rPr>
                      <w:rFonts w:ascii="Times New Roman" w:hAnsi="Times New Roman" w:cs="Times New Roman"/>
                      <w:color w:val="000000" w:themeColor="text1"/>
                      <w:sz w:val="21"/>
                      <w:szCs w:val="21"/>
                      <w14:textFill>
                        <w14:solidFill>
                          <w14:schemeClr w14:val="tx1"/>
                        </w14:solidFill>
                      </w14:textFill>
                    </w:rPr>
                  </w:pPr>
                </w:p>
              </w:tc>
              <w:tc>
                <w:tcPr>
                  <w:tcW w:w="992" w:type="dxa"/>
                  <w:vMerge w:val="continue"/>
                  <w:vAlign w:val="center"/>
                </w:tcPr>
                <w:p w14:paraId="40CE9DF1">
                  <w:pPr>
                    <w:spacing w:before="36" w:after="36"/>
                    <w:jc w:val="center"/>
                    <w:rPr>
                      <w:rFonts w:ascii="Times New Roman" w:hAnsi="Times New Roman" w:cs="Times New Roman"/>
                      <w:color w:val="000000" w:themeColor="text1"/>
                      <w:sz w:val="21"/>
                      <w:szCs w:val="21"/>
                      <w14:textFill>
                        <w14:solidFill>
                          <w14:schemeClr w14:val="tx1"/>
                        </w14:solidFill>
                      </w14:textFill>
                    </w:rPr>
                  </w:pPr>
                </w:p>
              </w:tc>
              <w:tc>
                <w:tcPr>
                  <w:tcW w:w="1843" w:type="dxa"/>
                  <w:vMerge w:val="continue"/>
                  <w:vAlign w:val="center"/>
                </w:tcPr>
                <w:p w14:paraId="43FB2DEE">
                  <w:pPr>
                    <w:spacing w:before="36" w:after="36"/>
                    <w:jc w:val="center"/>
                    <w:rPr>
                      <w:rFonts w:ascii="Times New Roman" w:hAnsi="Times New Roman" w:cs="Times New Roman"/>
                      <w:color w:val="000000" w:themeColor="text1"/>
                      <w:sz w:val="21"/>
                      <w:szCs w:val="21"/>
                      <w14:textFill>
                        <w14:solidFill>
                          <w14:schemeClr w14:val="tx1"/>
                        </w14:solidFill>
                      </w14:textFill>
                    </w:rPr>
                  </w:pPr>
                </w:p>
              </w:tc>
            </w:tr>
            <w:tr w14:paraId="429F4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604" w:hRule="atLeast"/>
              </w:trPr>
              <w:tc>
                <w:tcPr>
                  <w:tcW w:w="353" w:type="dxa"/>
                  <w:vAlign w:val="center"/>
                </w:tcPr>
                <w:p w14:paraId="6C26ECA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525" w:type="dxa"/>
                  <w:vAlign w:val="center"/>
                </w:tcPr>
                <w:p w14:paraId="76125F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初期雨水</w:t>
                  </w:r>
                </w:p>
              </w:tc>
              <w:tc>
                <w:tcPr>
                  <w:tcW w:w="980" w:type="dxa"/>
                  <w:vAlign w:val="center"/>
                </w:tcPr>
                <w:p w14:paraId="1D6B305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pH、</w:t>
                  </w:r>
                  <w:r>
                    <w:rPr>
                      <w:rFonts w:ascii="Times New Roman" w:hAnsi="Times New Roman" w:cs="Times New Roman"/>
                      <w:color w:val="000000" w:themeColor="text1"/>
                      <w:sz w:val="21"/>
                      <w:szCs w:val="21"/>
                      <w14:textFill>
                        <w14:solidFill>
                          <w14:schemeClr w14:val="tx1"/>
                        </w14:solidFill>
                      </w14:textFill>
                    </w:rPr>
                    <w:t>COD、SS等</w:t>
                  </w:r>
                </w:p>
              </w:tc>
              <w:tc>
                <w:tcPr>
                  <w:tcW w:w="518" w:type="dxa"/>
                  <w:vAlign w:val="center"/>
                </w:tcPr>
                <w:p w14:paraId="3423AC6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广西恒逸污水处理厂</w:t>
                  </w:r>
                </w:p>
              </w:tc>
              <w:tc>
                <w:tcPr>
                  <w:tcW w:w="554" w:type="dxa"/>
                  <w:vAlign w:val="center"/>
                </w:tcPr>
                <w:p w14:paraId="7F77E07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间断排放</w:t>
                  </w:r>
                </w:p>
              </w:tc>
              <w:tc>
                <w:tcPr>
                  <w:tcW w:w="916" w:type="dxa"/>
                  <w:vAlign w:val="center"/>
                </w:tcPr>
                <w:p w14:paraId="0BA0C31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TW001</w:t>
                  </w:r>
                </w:p>
              </w:tc>
              <w:tc>
                <w:tcPr>
                  <w:tcW w:w="993" w:type="dxa"/>
                  <w:vAlign w:val="center"/>
                </w:tcPr>
                <w:p w14:paraId="334A4F7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初期雨水池</w:t>
                  </w:r>
                </w:p>
              </w:tc>
              <w:tc>
                <w:tcPr>
                  <w:tcW w:w="992" w:type="dxa"/>
                  <w:vAlign w:val="center"/>
                </w:tcPr>
                <w:p w14:paraId="0A265BA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沉淀</w:t>
                  </w:r>
                </w:p>
              </w:tc>
              <w:tc>
                <w:tcPr>
                  <w:tcW w:w="567" w:type="dxa"/>
                  <w:vAlign w:val="center"/>
                </w:tcPr>
                <w:p w14:paraId="078BA4B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DW001</w:t>
                  </w:r>
                </w:p>
              </w:tc>
              <w:tc>
                <w:tcPr>
                  <w:tcW w:w="992" w:type="dxa"/>
                  <w:vAlign w:val="center"/>
                </w:tcPr>
                <w:p w14:paraId="60DBAB6F">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eastAsia="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是</w:t>
                  </w:r>
                </w:p>
                <w:p w14:paraId="544BBAC0">
                  <w:pPr>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否</w:t>
                  </w:r>
                </w:p>
              </w:tc>
              <w:tc>
                <w:tcPr>
                  <w:tcW w:w="1843" w:type="dxa"/>
                  <w:vAlign w:val="center"/>
                </w:tcPr>
                <w:p w14:paraId="7149EE0C">
                  <w:pPr>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企业总排</w:t>
                  </w:r>
                  <w:r>
                    <w:rPr>
                      <w:rFonts w:hint="eastAsia" w:ascii="Times New Roman" w:hAnsi="Times New Roman" w:cs="Times New Roman"/>
                      <w:color w:val="000000" w:themeColor="text1"/>
                      <w:sz w:val="21"/>
                      <w:szCs w:val="21"/>
                      <w14:textFill>
                        <w14:solidFill>
                          <w14:schemeClr w14:val="tx1"/>
                        </w14:solidFill>
                      </w14:textFill>
                    </w:rPr>
                    <w:t>口</w:t>
                  </w:r>
                </w:p>
                <w:p w14:paraId="3A4E95BC">
                  <w:pPr>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雨水排放</w:t>
                  </w:r>
                  <w:r>
                    <w:rPr>
                      <w:rFonts w:hint="eastAsia" w:ascii="Times New Roman" w:hAnsi="Times New Roman" w:cs="Times New Roman"/>
                      <w:color w:val="000000" w:themeColor="text1"/>
                      <w:sz w:val="21"/>
                      <w:szCs w:val="21"/>
                      <w14:textFill>
                        <w14:solidFill>
                          <w14:schemeClr w14:val="tx1"/>
                        </w14:solidFill>
                      </w14:textFill>
                    </w:rPr>
                    <w:t>口</w:t>
                  </w:r>
                </w:p>
                <w:p w14:paraId="36E3364B">
                  <w:pPr>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清净下水排放</w:t>
                  </w:r>
                  <w:r>
                    <w:rPr>
                      <w:rFonts w:hint="eastAsia" w:ascii="Times New Roman" w:hAnsi="Times New Roman" w:cs="Times New Roman"/>
                      <w:color w:val="000000" w:themeColor="text1"/>
                      <w:sz w:val="21"/>
                      <w:szCs w:val="21"/>
                      <w14:textFill>
                        <w14:solidFill>
                          <w14:schemeClr w14:val="tx1"/>
                        </w14:solidFill>
                      </w14:textFill>
                    </w:rPr>
                    <w:t>口</w:t>
                  </w:r>
                </w:p>
                <w:p w14:paraId="116F75BA">
                  <w:pPr>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温排水排放</w:t>
                  </w:r>
                  <w:r>
                    <w:rPr>
                      <w:rFonts w:hint="eastAsia" w:ascii="Times New Roman" w:hAnsi="Times New Roman" w:cs="Times New Roman"/>
                      <w:color w:val="000000" w:themeColor="text1"/>
                      <w:sz w:val="21"/>
                      <w:szCs w:val="21"/>
                      <w14:textFill>
                        <w14:solidFill>
                          <w14:schemeClr w14:val="tx1"/>
                        </w14:solidFill>
                      </w14:textFill>
                    </w:rPr>
                    <w:t>口</w:t>
                  </w:r>
                </w:p>
                <w:p w14:paraId="5CE13C75">
                  <w:pPr>
                    <w:jc w:val="both"/>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车间或车间处理</w:t>
                  </w: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设施排放口</w:t>
                  </w:r>
                </w:p>
              </w:tc>
            </w:tr>
          </w:tbl>
          <w:p w14:paraId="54A32794">
            <w:pPr>
              <w:jc w:val="center"/>
              <w:rPr>
                <w:rFonts w:ascii="Times New Roman" w:hAnsi="Times New Roman" w:cs="Times New Roman"/>
                <w:b/>
                <w:iCs/>
                <w:color w:val="FF0000"/>
                <w:sz w:val="13"/>
                <w:szCs w:val="21"/>
              </w:rPr>
            </w:pPr>
          </w:p>
          <w:p w14:paraId="0147057C">
            <w:pPr>
              <w:jc w:val="center"/>
              <w:rPr>
                <w:rFonts w:ascii="Times New Roman" w:hAnsi="Times New Roman" w:cs="Times New Roman"/>
                <w:b/>
                <w:bCs/>
                <w:iCs/>
                <w:color w:val="000000" w:themeColor="text1"/>
                <w:szCs w:val="21"/>
                <w14:textFill>
                  <w14:solidFill>
                    <w14:schemeClr w14:val="tx1"/>
                  </w14:solidFill>
                </w14:textFill>
              </w:rPr>
            </w:pPr>
            <w:bookmarkStart w:id="18" w:name="7.3.3.3地下水环境监测计划"/>
            <w:bookmarkEnd w:id="18"/>
            <w:r>
              <w:rPr>
                <w:rFonts w:ascii="Times New Roman" w:hAnsi="Times New Roman" w:cs="Times New Roman"/>
                <w:b/>
                <w:bCs/>
                <w:iCs/>
                <w:color w:val="000000" w:themeColor="text1"/>
                <w:szCs w:val="21"/>
                <w14:textFill>
                  <w14:solidFill>
                    <w14:schemeClr w14:val="tx1"/>
                  </w14:solidFill>
                </w14:textFill>
              </w:rPr>
              <w:t>表4-</w:t>
            </w:r>
            <w:r>
              <w:rPr>
                <w:rFonts w:hint="eastAsia" w:ascii="Times New Roman" w:hAnsi="Times New Roman" w:cs="Times New Roman"/>
                <w:b/>
                <w:bCs/>
                <w:iCs/>
                <w:color w:val="000000" w:themeColor="text1"/>
                <w:szCs w:val="21"/>
                <w14:textFill>
                  <w14:solidFill>
                    <w14:schemeClr w14:val="tx1"/>
                  </w14:solidFill>
                </w14:textFill>
              </w:rPr>
              <w:t xml:space="preserve">4 </w:t>
            </w:r>
            <w:r>
              <w:rPr>
                <w:rFonts w:ascii="Times New Roman" w:hAnsi="Times New Roman" w:cs="Times New Roman"/>
                <w:b/>
                <w:bCs/>
                <w:iCs/>
                <w:color w:val="000000" w:themeColor="text1"/>
                <w:szCs w:val="21"/>
                <w14:textFill>
                  <w14:solidFill>
                    <w14:schemeClr w14:val="tx1"/>
                  </w14:solidFill>
                </w14:textFill>
              </w:rPr>
              <w:t>废水间接排放口基本情况表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73"/>
              <w:gridCol w:w="1009"/>
              <w:gridCol w:w="901"/>
              <w:gridCol w:w="874"/>
              <w:gridCol w:w="848"/>
              <w:gridCol w:w="583"/>
              <w:gridCol w:w="583"/>
              <w:gridCol w:w="583"/>
              <w:gridCol w:w="642"/>
              <w:gridCol w:w="729"/>
              <w:gridCol w:w="2274"/>
            </w:tblGrid>
            <w:tr w14:paraId="4685F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6" w:hRule="atLeast"/>
                <w:jc w:val="center"/>
              </w:trPr>
              <w:tc>
                <w:tcPr>
                  <w:tcW w:w="266" w:type="dxa"/>
                  <w:vMerge w:val="restart"/>
                  <w:vAlign w:val="center"/>
                </w:tcPr>
                <w:p w14:paraId="36216005">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序号</w:t>
                  </w:r>
                </w:p>
              </w:tc>
              <w:tc>
                <w:tcPr>
                  <w:tcW w:w="981" w:type="dxa"/>
                  <w:vMerge w:val="restart"/>
                  <w:vAlign w:val="center"/>
                </w:tcPr>
                <w:p w14:paraId="45C53A27">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排放口编号</w:t>
                  </w:r>
                </w:p>
              </w:tc>
              <w:tc>
                <w:tcPr>
                  <w:tcW w:w="1726" w:type="dxa"/>
                  <w:gridSpan w:val="2"/>
                  <w:vAlign w:val="center"/>
                </w:tcPr>
                <w:p w14:paraId="7E161A35">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排放口地理坐标</w:t>
                  </w:r>
                </w:p>
              </w:tc>
              <w:tc>
                <w:tcPr>
                  <w:tcW w:w="825" w:type="dxa"/>
                  <w:vMerge w:val="restart"/>
                  <w:vAlign w:val="center"/>
                </w:tcPr>
                <w:p w14:paraId="3D73E0DC">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废水排放量（万t/a）</w:t>
                  </w:r>
                </w:p>
              </w:tc>
              <w:tc>
                <w:tcPr>
                  <w:tcW w:w="567" w:type="dxa"/>
                  <w:vMerge w:val="restart"/>
                  <w:vAlign w:val="center"/>
                </w:tcPr>
                <w:p w14:paraId="744D9912">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排放去向</w:t>
                  </w:r>
                </w:p>
              </w:tc>
              <w:tc>
                <w:tcPr>
                  <w:tcW w:w="567" w:type="dxa"/>
                  <w:vMerge w:val="restart"/>
                  <w:vAlign w:val="center"/>
                </w:tcPr>
                <w:p w14:paraId="4527D46B">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排放规律</w:t>
                  </w:r>
                </w:p>
              </w:tc>
              <w:tc>
                <w:tcPr>
                  <w:tcW w:w="567" w:type="dxa"/>
                  <w:vMerge w:val="restart"/>
                  <w:vAlign w:val="center"/>
                </w:tcPr>
                <w:p w14:paraId="42C576DA">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间歇排放时段</w:t>
                  </w:r>
                </w:p>
              </w:tc>
              <w:tc>
                <w:tcPr>
                  <w:tcW w:w="3544" w:type="dxa"/>
                  <w:gridSpan w:val="3"/>
                  <w:vAlign w:val="center"/>
                </w:tcPr>
                <w:p w14:paraId="559BA009">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受纳污水处理厂信息</w:t>
                  </w:r>
                </w:p>
              </w:tc>
            </w:tr>
            <w:tr w14:paraId="261B3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66" w:type="dxa"/>
                  <w:vMerge w:val="continue"/>
                  <w:vAlign w:val="center"/>
                </w:tcPr>
                <w:p w14:paraId="601BE14C">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p>
              </w:tc>
              <w:tc>
                <w:tcPr>
                  <w:tcW w:w="981" w:type="dxa"/>
                  <w:vMerge w:val="continue"/>
                  <w:vAlign w:val="center"/>
                </w:tcPr>
                <w:p w14:paraId="76848B2A">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p>
              </w:tc>
              <w:tc>
                <w:tcPr>
                  <w:tcW w:w="876" w:type="dxa"/>
                  <w:vAlign w:val="center"/>
                </w:tcPr>
                <w:p w14:paraId="38FE6B24">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经度</w:t>
                  </w:r>
                </w:p>
              </w:tc>
              <w:tc>
                <w:tcPr>
                  <w:tcW w:w="850" w:type="dxa"/>
                  <w:vAlign w:val="center"/>
                </w:tcPr>
                <w:p w14:paraId="41515E67">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纬度</w:t>
                  </w:r>
                </w:p>
              </w:tc>
              <w:tc>
                <w:tcPr>
                  <w:tcW w:w="825" w:type="dxa"/>
                  <w:vMerge w:val="continue"/>
                  <w:vAlign w:val="center"/>
                </w:tcPr>
                <w:p w14:paraId="393EB6E2">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p>
              </w:tc>
              <w:tc>
                <w:tcPr>
                  <w:tcW w:w="567" w:type="dxa"/>
                  <w:vMerge w:val="continue"/>
                  <w:vAlign w:val="center"/>
                </w:tcPr>
                <w:p w14:paraId="4CA6CBDE">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p>
              </w:tc>
              <w:tc>
                <w:tcPr>
                  <w:tcW w:w="567" w:type="dxa"/>
                  <w:vMerge w:val="continue"/>
                  <w:vAlign w:val="center"/>
                </w:tcPr>
                <w:p w14:paraId="3F30DA0D">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p>
              </w:tc>
              <w:tc>
                <w:tcPr>
                  <w:tcW w:w="567" w:type="dxa"/>
                  <w:vMerge w:val="continue"/>
                  <w:vAlign w:val="center"/>
                </w:tcPr>
                <w:p w14:paraId="54D82779">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p>
              </w:tc>
              <w:tc>
                <w:tcPr>
                  <w:tcW w:w="624" w:type="dxa"/>
                  <w:vAlign w:val="center"/>
                </w:tcPr>
                <w:p w14:paraId="7B7DAA83">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名称</w:t>
                  </w:r>
                </w:p>
              </w:tc>
              <w:tc>
                <w:tcPr>
                  <w:tcW w:w="709" w:type="dxa"/>
                  <w:vAlign w:val="center"/>
                </w:tcPr>
                <w:p w14:paraId="5C1C500D">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污染物种类</w:t>
                  </w:r>
                </w:p>
              </w:tc>
              <w:tc>
                <w:tcPr>
                  <w:tcW w:w="2211" w:type="dxa"/>
                  <w:vAlign w:val="center"/>
                </w:tcPr>
                <w:p w14:paraId="48E10EC6">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清净废水预处理系统进水水质标准</w:t>
                  </w:r>
                  <w:r>
                    <w:rPr>
                      <w:rFonts w:ascii="Times New Roman" w:hAnsi="Times New Roman" w:cs="Times New Roman"/>
                      <w:bCs/>
                      <w:color w:val="000000" w:themeColor="text1"/>
                      <w:sz w:val="21"/>
                      <w:szCs w:val="21"/>
                      <w14:textFill>
                        <w14:solidFill>
                          <w14:schemeClr w14:val="tx1"/>
                        </w14:solidFill>
                      </w14:textFill>
                    </w:rPr>
                    <w:t>（mg/L）</w:t>
                  </w:r>
                </w:p>
              </w:tc>
            </w:tr>
            <w:tr w14:paraId="4A128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 w:type="dxa"/>
                  <w:vMerge w:val="restart"/>
                  <w:vAlign w:val="center"/>
                </w:tcPr>
                <w:p w14:paraId="2800CEA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981" w:type="dxa"/>
                  <w:vMerge w:val="restart"/>
                  <w:vAlign w:val="center"/>
                </w:tcPr>
                <w:p w14:paraId="627BF21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初期雨水排放口DW001</w:t>
                  </w:r>
                </w:p>
              </w:tc>
              <w:tc>
                <w:tcPr>
                  <w:tcW w:w="876" w:type="dxa"/>
                  <w:vMerge w:val="restart"/>
                  <w:vAlign w:val="center"/>
                </w:tcPr>
                <w:p w14:paraId="255906A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E108°3</w:t>
                  </w:r>
                  <w:r>
                    <w:rPr>
                      <w:rFonts w:hint="eastAsia" w:ascii="Times New Roman" w:hAnsi="Times New Roman" w:cs="Times New Roman"/>
                      <w:color w:val="000000" w:themeColor="text1"/>
                      <w:sz w:val="21"/>
                      <w:szCs w:val="21"/>
                      <w14:textFill>
                        <w14:solidFill>
                          <w14:schemeClr w14:val="tx1"/>
                        </w14:solidFill>
                      </w14:textFill>
                    </w:rPr>
                    <w:t>7</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49.248</w:t>
                  </w:r>
                  <w:r>
                    <w:rPr>
                      <w:rFonts w:ascii="Times New Roman" w:hAnsi="Times New Roman" w:cs="Times New Roman"/>
                      <w:color w:val="000000" w:themeColor="text1"/>
                      <w:sz w:val="21"/>
                      <w:szCs w:val="21"/>
                      <w14:textFill>
                        <w14:solidFill>
                          <w14:schemeClr w14:val="tx1"/>
                        </w14:solidFill>
                      </w14:textFill>
                    </w:rPr>
                    <w:t>"</w:t>
                  </w:r>
                </w:p>
              </w:tc>
              <w:tc>
                <w:tcPr>
                  <w:tcW w:w="850" w:type="dxa"/>
                  <w:vMerge w:val="restart"/>
                  <w:vAlign w:val="center"/>
                </w:tcPr>
                <w:p w14:paraId="2000717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N21°4</w:t>
                  </w:r>
                  <w:r>
                    <w:rPr>
                      <w:rFonts w:hint="eastAsia" w:ascii="Times New Roman" w:hAnsi="Times New Roman" w:cs="Times New Roman"/>
                      <w:color w:val="000000" w:themeColor="text1"/>
                      <w:sz w:val="21"/>
                      <w:szCs w:val="21"/>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9.196</w:t>
                  </w:r>
                  <w:r>
                    <w:rPr>
                      <w:rFonts w:ascii="Times New Roman" w:hAnsi="Times New Roman" w:cs="Times New Roman"/>
                      <w:color w:val="000000" w:themeColor="text1"/>
                      <w:sz w:val="21"/>
                      <w:szCs w:val="21"/>
                      <w14:textFill>
                        <w14:solidFill>
                          <w14:schemeClr w14:val="tx1"/>
                        </w14:solidFill>
                      </w14:textFill>
                    </w:rPr>
                    <w:t>"</w:t>
                  </w:r>
                </w:p>
              </w:tc>
              <w:tc>
                <w:tcPr>
                  <w:tcW w:w="825" w:type="dxa"/>
                  <w:vMerge w:val="restart"/>
                  <w:vAlign w:val="center"/>
                </w:tcPr>
                <w:p w14:paraId="25045D5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1.0357</w:t>
                  </w:r>
                </w:p>
              </w:tc>
              <w:tc>
                <w:tcPr>
                  <w:tcW w:w="567" w:type="dxa"/>
                  <w:vMerge w:val="restart"/>
                  <w:vAlign w:val="center"/>
                </w:tcPr>
                <w:p w14:paraId="53545188">
                  <w:pPr>
                    <w:adjustRightInd w:val="0"/>
                    <w:snapToGrid w:val="0"/>
                    <w:spacing w:before="36" w:beforeLines="15" w:after="36" w:afterLines="15"/>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广西恒逸污水处理厂</w:t>
                  </w:r>
                </w:p>
              </w:tc>
              <w:tc>
                <w:tcPr>
                  <w:tcW w:w="567" w:type="dxa"/>
                  <w:vMerge w:val="restart"/>
                  <w:vAlign w:val="center"/>
                </w:tcPr>
                <w:p w14:paraId="3B38D36B">
                  <w:pPr>
                    <w:adjustRightInd w:val="0"/>
                    <w:snapToGrid w:val="0"/>
                    <w:spacing w:before="36" w:beforeLines="15" w:after="36" w:afterLines="15"/>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间断排放</w:t>
                  </w:r>
                </w:p>
              </w:tc>
              <w:tc>
                <w:tcPr>
                  <w:tcW w:w="567" w:type="dxa"/>
                  <w:vMerge w:val="restart"/>
                  <w:vAlign w:val="center"/>
                </w:tcPr>
                <w:p w14:paraId="66116D2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生产时段</w:t>
                  </w:r>
                </w:p>
              </w:tc>
              <w:tc>
                <w:tcPr>
                  <w:tcW w:w="624" w:type="dxa"/>
                  <w:vMerge w:val="restart"/>
                  <w:vAlign w:val="center"/>
                </w:tcPr>
                <w:p w14:paraId="7327CDB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广西恒逸污水处理厂</w:t>
                  </w:r>
                </w:p>
              </w:tc>
              <w:tc>
                <w:tcPr>
                  <w:tcW w:w="709" w:type="dxa"/>
                  <w:vAlign w:val="center"/>
                </w:tcPr>
                <w:p w14:paraId="76B62B5B">
                  <w:pPr>
                    <w:spacing w:line="240" w:lineRule="exact"/>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pH</w:t>
                  </w:r>
                </w:p>
              </w:tc>
              <w:tc>
                <w:tcPr>
                  <w:tcW w:w="2211" w:type="dxa"/>
                  <w:vAlign w:val="center"/>
                </w:tcPr>
                <w:p w14:paraId="6A71CD3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3~9</w:t>
                  </w:r>
                </w:p>
              </w:tc>
            </w:tr>
            <w:tr w14:paraId="65CB0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 w:type="dxa"/>
                  <w:vMerge w:val="continue"/>
                  <w:vAlign w:val="center"/>
                </w:tcPr>
                <w:p w14:paraId="483D0E46">
                  <w:pPr>
                    <w:jc w:val="center"/>
                  </w:pPr>
                </w:p>
              </w:tc>
              <w:tc>
                <w:tcPr>
                  <w:tcW w:w="981" w:type="dxa"/>
                  <w:vMerge w:val="continue"/>
                  <w:vAlign w:val="center"/>
                </w:tcPr>
                <w:p w14:paraId="46D711FE">
                  <w:pPr>
                    <w:jc w:val="center"/>
                  </w:pPr>
                </w:p>
              </w:tc>
              <w:tc>
                <w:tcPr>
                  <w:tcW w:w="876" w:type="dxa"/>
                  <w:vMerge w:val="continue"/>
                  <w:vAlign w:val="center"/>
                </w:tcPr>
                <w:p w14:paraId="2B110A6C">
                  <w:pPr>
                    <w:jc w:val="center"/>
                  </w:pPr>
                </w:p>
              </w:tc>
              <w:tc>
                <w:tcPr>
                  <w:tcW w:w="850" w:type="dxa"/>
                  <w:vMerge w:val="continue"/>
                  <w:vAlign w:val="center"/>
                </w:tcPr>
                <w:p w14:paraId="4ADC654F">
                  <w:pPr>
                    <w:jc w:val="center"/>
                  </w:pPr>
                </w:p>
              </w:tc>
              <w:tc>
                <w:tcPr>
                  <w:tcW w:w="825" w:type="dxa"/>
                  <w:vMerge w:val="continue"/>
                  <w:vAlign w:val="center"/>
                </w:tcPr>
                <w:p w14:paraId="02FBC1E5">
                  <w:pPr>
                    <w:jc w:val="center"/>
                  </w:pPr>
                </w:p>
              </w:tc>
              <w:tc>
                <w:tcPr>
                  <w:tcW w:w="567" w:type="dxa"/>
                  <w:vMerge w:val="continue"/>
                  <w:vAlign w:val="center"/>
                </w:tcPr>
                <w:p w14:paraId="2DC30558">
                  <w:pPr>
                    <w:jc w:val="center"/>
                  </w:pPr>
                </w:p>
              </w:tc>
              <w:tc>
                <w:tcPr>
                  <w:tcW w:w="567" w:type="dxa"/>
                  <w:vMerge w:val="continue"/>
                  <w:vAlign w:val="center"/>
                </w:tcPr>
                <w:p w14:paraId="4CC74B42">
                  <w:pPr>
                    <w:jc w:val="center"/>
                  </w:pPr>
                </w:p>
              </w:tc>
              <w:tc>
                <w:tcPr>
                  <w:tcW w:w="567" w:type="dxa"/>
                  <w:vMerge w:val="continue"/>
                  <w:vAlign w:val="center"/>
                </w:tcPr>
                <w:p w14:paraId="50B693F6">
                  <w:pPr>
                    <w:jc w:val="center"/>
                  </w:pPr>
                </w:p>
              </w:tc>
              <w:tc>
                <w:tcPr>
                  <w:tcW w:w="624" w:type="dxa"/>
                  <w:vMerge w:val="continue"/>
                  <w:vAlign w:val="center"/>
                </w:tcPr>
                <w:p w14:paraId="787313EA">
                  <w:pPr>
                    <w:jc w:val="center"/>
                  </w:pPr>
                </w:p>
              </w:tc>
              <w:tc>
                <w:tcPr>
                  <w:tcW w:w="709" w:type="dxa"/>
                  <w:vAlign w:val="center"/>
                </w:tcPr>
                <w:p w14:paraId="73D745B3">
                  <w:pPr>
                    <w:spacing w:line="240" w:lineRule="exac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w:t>
                  </w:r>
                </w:p>
              </w:tc>
              <w:tc>
                <w:tcPr>
                  <w:tcW w:w="2211" w:type="dxa"/>
                  <w:vAlign w:val="center"/>
                </w:tcPr>
                <w:p w14:paraId="2B89227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100</w:t>
                  </w:r>
                </w:p>
              </w:tc>
            </w:tr>
            <w:tr w14:paraId="16C45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 w:type="dxa"/>
                  <w:vMerge w:val="continue"/>
                  <w:vAlign w:val="center"/>
                </w:tcPr>
                <w:p w14:paraId="16A9A140">
                  <w:pPr>
                    <w:adjustRightInd w:val="0"/>
                    <w:snapToGrid w:val="0"/>
                    <w:jc w:val="center"/>
                    <w:rPr>
                      <w:rFonts w:ascii="Times New Roman" w:hAnsi="Times New Roman" w:cs="Times New Roman"/>
                      <w:color w:val="FF0000"/>
                      <w:sz w:val="21"/>
                      <w:szCs w:val="21"/>
                    </w:rPr>
                  </w:pPr>
                </w:p>
              </w:tc>
              <w:tc>
                <w:tcPr>
                  <w:tcW w:w="981" w:type="dxa"/>
                  <w:vMerge w:val="continue"/>
                  <w:vAlign w:val="center"/>
                </w:tcPr>
                <w:p w14:paraId="4B7837D3">
                  <w:pPr>
                    <w:adjustRightInd w:val="0"/>
                    <w:snapToGrid w:val="0"/>
                    <w:jc w:val="center"/>
                    <w:rPr>
                      <w:rFonts w:ascii="Times New Roman" w:hAnsi="Times New Roman" w:cs="Times New Roman"/>
                      <w:color w:val="FF0000"/>
                      <w:sz w:val="21"/>
                      <w:szCs w:val="21"/>
                    </w:rPr>
                  </w:pPr>
                </w:p>
              </w:tc>
              <w:tc>
                <w:tcPr>
                  <w:tcW w:w="876" w:type="dxa"/>
                  <w:vMerge w:val="continue"/>
                  <w:vAlign w:val="center"/>
                </w:tcPr>
                <w:p w14:paraId="1DF6FC1A">
                  <w:pPr>
                    <w:adjustRightInd w:val="0"/>
                    <w:snapToGrid w:val="0"/>
                    <w:jc w:val="center"/>
                    <w:rPr>
                      <w:rFonts w:ascii="Times New Roman" w:hAnsi="Times New Roman" w:cs="Times New Roman"/>
                      <w:color w:val="FF0000"/>
                      <w:sz w:val="21"/>
                      <w:szCs w:val="21"/>
                    </w:rPr>
                  </w:pPr>
                </w:p>
              </w:tc>
              <w:tc>
                <w:tcPr>
                  <w:tcW w:w="850" w:type="dxa"/>
                  <w:vMerge w:val="continue"/>
                  <w:vAlign w:val="center"/>
                </w:tcPr>
                <w:p w14:paraId="2DB92D09">
                  <w:pPr>
                    <w:adjustRightInd w:val="0"/>
                    <w:snapToGrid w:val="0"/>
                    <w:jc w:val="center"/>
                    <w:rPr>
                      <w:rFonts w:ascii="Times New Roman" w:hAnsi="Times New Roman" w:cs="Times New Roman"/>
                      <w:color w:val="FF0000"/>
                      <w:sz w:val="21"/>
                      <w:szCs w:val="21"/>
                    </w:rPr>
                  </w:pPr>
                </w:p>
              </w:tc>
              <w:tc>
                <w:tcPr>
                  <w:tcW w:w="825" w:type="dxa"/>
                  <w:vMerge w:val="continue"/>
                  <w:vAlign w:val="center"/>
                </w:tcPr>
                <w:p w14:paraId="774334F8">
                  <w:pPr>
                    <w:adjustRightInd w:val="0"/>
                    <w:snapToGrid w:val="0"/>
                    <w:jc w:val="center"/>
                    <w:rPr>
                      <w:rFonts w:ascii="Times New Roman" w:hAnsi="Times New Roman" w:cs="Times New Roman"/>
                      <w:color w:val="FF0000"/>
                      <w:sz w:val="21"/>
                      <w:szCs w:val="21"/>
                    </w:rPr>
                  </w:pPr>
                </w:p>
              </w:tc>
              <w:tc>
                <w:tcPr>
                  <w:tcW w:w="567" w:type="dxa"/>
                  <w:vMerge w:val="continue"/>
                  <w:vAlign w:val="center"/>
                </w:tcPr>
                <w:p w14:paraId="4DB8D2C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0FE137E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704C027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624" w:type="dxa"/>
                  <w:vMerge w:val="continue"/>
                  <w:vAlign w:val="center"/>
                </w:tcPr>
                <w:p w14:paraId="527C682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3B4F4CA8">
                  <w:pPr>
                    <w:spacing w:line="24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SS</w:t>
                  </w:r>
                </w:p>
              </w:tc>
              <w:tc>
                <w:tcPr>
                  <w:tcW w:w="2211" w:type="dxa"/>
                  <w:vAlign w:val="center"/>
                </w:tcPr>
                <w:p w14:paraId="79E4596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70</w:t>
                  </w:r>
                </w:p>
              </w:tc>
            </w:tr>
            <w:tr w14:paraId="47D20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 w:type="dxa"/>
                  <w:vMerge w:val="continue"/>
                  <w:vAlign w:val="center"/>
                </w:tcPr>
                <w:p w14:paraId="721EC423">
                  <w:pPr>
                    <w:adjustRightInd w:val="0"/>
                    <w:snapToGrid w:val="0"/>
                    <w:jc w:val="center"/>
                    <w:rPr>
                      <w:rFonts w:ascii="Times New Roman" w:hAnsi="Times New Roman" w:cs="Times New Roman"/>
                      <w:color w:val="FF0000"/>
                      <w:sz w:val="21"/>
                      <w:szCs w:val="21"/>
                    </w:rPr>
                  </w:pPr>
                </w:p>
              </w:tc>
              <w:tc>
                <w:tcPr>
                  <w:tcW w:w="981" w:type="dxa"/>
                  <w:vMerge w:val="continue"/>
                  <w:vAlign w:val="center"/>
                </w:tcPr>
                <w:p w14:paraId="2E9EA0F9">
                  <w:pPr>
                    <w:adjustRightInd w:val="0"/>
                    <w:snapToGrid w:val="0"/>
                    <w:jc w:val="center"/>
                    <w:rPr>
                      <w:rFonts w:ascii="Times New Roman" w:hAnsi="Times New Roman" w:cs="Times New Roman"/>
                      <w:color w:val="FF0000"/>
                      <w:sz w:val="21"/>
                      <w:szCs w:val="21"/>
                    </w:rPr>
                  </w:pPr>
                </w:p>
              </w:tc>
              <w:tc>
                <w:tcPr>
                  <w:tcW w:w="876" w:type="dxa"/>
                  <w:vMerge w:val="continue"/>
                  <w:vAlign w:val="center"/>
                </w:tcPr>
                <w:p w14:paraId="69C70CE8">
                  <w:pPr>
                    <w:adjustRightInd w:val="0"/>
                    <w:snapToGrid w:val="0"/>
                    <w:jc w:val="center"/>
                    <w:rPr>
                      <w:rFonts w:ascii="Times New Roman" w:hAnsi="Times New Roman" w:cs="Times New Roman"/>
                      <w:color w:val="FF0000"/>
                      <w:sz w:val="21"/>
                      <w:szCs w:val="21"/>
                    </w:rPr>
                  </w:pPr>
                </w:p>
              </w:tc>
              <w:tc>
                <w:tcPr>
                  <w:tcW w:w="850" w:type="dxa"/>
                  <w:vMerge w:val="continue"/>
                  <w:vAlign w:val="center"/>
                </w:tcPr>
                <w:p w14:paraId="27F3F3CE">
                  <w:pPr>
                    <w:adjustRightInd w:val="0"/>
                    <w:snapToGrid w:val="0"/>
                    <w:jc w:val="center"/>
                    <w:rPr>
                      <w:rFonts w:ascii="Times New Roman" w:hAnsi="Times New Roman" w:cs="Times New Roman"/>
                      <w:color w:val="FF0000"/>
                      <w:sz w:val="21"/>
                      <w:szCs w:val="21"/>
                    </w:rPr>
                  </w:pPr>
                </w:p>
              </w:tc>
              <w:tc>
                <w:tcPr>
                  <w:tcW w:w="825" w:type="dxa"/>
                  <w:vMerge w:val="continue"/>
                  <w:vAlign w:val="center"/>
                </w:tcPr>
                <w:p w14:paraId="7E970557">
                  <w:pPr>
                    <w:adjustRightInd w:val="0"/>
                    <w:snapToGrid w:val="0"/>
                    <w:jc w:val="center"/>
                    <w:rPr>
                      <w:rFonts w:ascii="Times New Roman" w:hAnsi="Times New Roman" w:cs="Times New Roman"/>
                      <w:color w:val="FF0000"/>
                      <w:sz w:val="21"/>
                      <w:szCs w:val="21"/>
                    </w:rPr>
                  </w:pPr>
                </w:p>
              </w:tc>
              <w:tc>
                <w:tcPr>
                  <w:tcW w:w="567" w:type="dxa"/>
                  <w:vMerge w:val="continue"/>
                  <w:vAlign w:val="center"/>
                </w:tcPr>
                <w:p w14:paraId="18ACB91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186CEDA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4569485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624" w:type="dxa"/>
                  <w:vMerge w:val="continue"/>
                  <w:vAlign w:val="center"/>
                </w:tcPr>
                <w:p w14:paraId="7735459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7BB284DB">
                  <w:pPr>
                    <w:spacing w:line="24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石油类</w:t>
                  </w:r>
                </w:p>
              </w:tc>
              <w:tc>
                <w:tcPr>
                  <w:tcW w:w="2211" w:type="dxa"/>
                  <w:vAlign w:val="center"/>
                </w:tcPr>
                <w:p w14:paraId="3215892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w:t>
                  </w:r>
                </w:p>
              </w:tc>
            </w:tr>
            <w:tr w14:paraId="4C7EB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 w:type="dxa"/>
                  <w:vMerge w:val="continue"/>
                  <w:vAlign w:val="center"/>
                </w:tcPr>
                <w:p w14:paraId="0E5A8F93">
                  <w:pPr>
                    <w:adjustRightInd w:val="0"/>
                    <w:snapToGrid w:val="0"/>
                    <w:jc w:val="center"/>
                    <w:rPr>
                      <w:rFonts w:ascii="Times New Roman" w:hAnsi="Times New Roman" w:cs="Times New Roman"/>
                      <w:color w:val="FF0000"/>
                      <w:sz w:val="21"/>
                      <w:szCs w:val="21"/>
                    </w:rPr>
                  </w:pPr>
                </w:p>
              </w:tc>
              <w:tc>
                <w:tcPr>
                  <w:tcW w:w="981" w:type="dxa"/>
                  <w:vMerge w:val="continue"/>
                  <w:vAlign w:val="center"/>
                </w:tcPr>
                <w:p w14:paraId="1130A589">
                  <w:pPr>
                    <w:adjustRightInd w:val="0"/>
                    <w:snapToGrid w:val="0"/>
                    <w:jc w:val="center"/>
                    <w:rPr>
                      <w:rFonts w:ascii="Times New Roman" w:hAnsi="Times New Roman" w:cs="Times New Roman"/>
                      <w:color w:val="FF0000"/>
                      <w:sz w:val="21"/>
                      <w:szCs w:val="21"/>
                    </w:rPr>
                  </w:pPr>
                </w:p>
              </w:tc>
              <w:tc>
                <w:tcPr>
                  <w:tcW w:w="876" w:type="dxa"/>
                  <w:vMerge w:val="continue"/>
                  <w:vAlign w:val="center"/>
                </w:tcPr>
                <w:p w14:paraId="326D3461">
                  <w:pPr>
                    <w:adjustRightInd w:val="0"/>
                    <w:snapToGrid w:val="0"/>
                    <w:jc w:val="center"/>
                    <w:rPr>
                      <w:rFonts w:ascii="Times New Roman" w:hAnsi="Times New Roman" w:cs="Times New Roman"/>
                      <w:color w:val="FF0000"/>
                      <w:sz w:val="21"/>
                      <w:szCs w:val="21"/>
                    </w:rPr>
                  </w:pPr>
                </w:p>
              </w:tc>
              <w:tc>
                <w:tcPr>
                  <w:tcW w:w="850" w:type="dxa"/>
                  <w:vMerge w:val="continue"/>
                  <w:vAlign w:val="center"/>
                </w:tcPr>
                <w:p w14:paraId="2CA64DA4">
                  <w:pPr>
                    <w:adjustRightInd w:val="0"/>
                    <w:snapToGrid w:val="0"/>
                    <w:jc w:val="center"/>
                    <w:rPr>
                      <w:rFonts w:ascii="Times New Roman" w:hAnsi="Times New Roman" w:cs="Times New Roman"/>
                      <w:color w:val="FF0000"/>
                      <w:sz w:val="21"/>
                      <w:szCs w:val="21"/>
                    </w:rPr>
                  </w:pPr>
                </w:p>
              </w:tc>
              <w:tc>
                <w:tcPr>
                  <w:tcW w:w="825" w:type="dxa"/>
                  <w:vMerge w:val="continue"/>
                  <w:vAlign w:val="center"/>
                </w:tcPr>
                <w:p w14:paraId="2B399481">
                  <w:pPr>
                    <w:adjustRightInd w:val="0"/>
                    <w:snapToGrid w:val="0"/>
                    <w:jc w:val="center"/>
                    <w:rPr>
                      <w:rFonts w:ascii="Times New Roman" w:hAnsi="Times New Roman" w:cs="Times New Roman"/>
                      <w:color w:val="FF0000"/>
                      <w:sz w:val="21"/>
                      <w:szCs w:val="21"/>
                    </w:rPr>
                  </w:pPr>
                </w:p>
              </w:tc>
              <w:tc>
                <w:tcPr>
                  <w:tcW w:w="567" w:type="dxa"/>
                  <w:vMerge w:val="continue"/>
                  <w:vAlign w:val="center"/>
                </w:tcPr>
                <w:p w14:paraId="65A122F0">
                  <w:pPr>
                    <w:adjustRightInd w:val="0"/>
                    <w:snapToGrid w:val="0"/>
                    <w:spacing w:before="36" w:beforeLines="15" w:after="36" w:afterLines="15"/>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6C3488B6">
                  <w:pPr>
                    <w:adjustRightInd w:val="0"/>
                    <w:snapToGrid w:val="0"/>
                    <w:spacing w:before="36" w:beforeLines="15" w:after="36" w:afterLines="15"/>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3226CDB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624" w:type="dxa"/>
                  <w:vMerge w:val="continue"/>
                  <w:vAlign w:val="center"/>
                </w:tcPr>
                <w:p w14:paraId="0077722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25F40E13">
                  <w:pPr>
                    <w:spacing w:line="240" w:lineRule="exact"/>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BOD</w:t>
                  </w:r>
                  <w:r>
                    <w:rPr>
                      <w:rFonts w:ascii="Times New Roman" w:hAnsi="Times New Roman" w:cs="Times New Roman"/>
                      <w:color w:val="000000" w:themeColor="text1"/>
                      <w:sz w:val="21"/>
                      <w:szCs w:val="21"/>
                      <w:vertAlign w:val="subscript"/>
                      <w14:textFill>
                        <w14:solidFill>
                          <w14:schemeClr w14:val="tx1"/>
                        </w14:solidFill>
                      </w14:textFill>
                    </w:rPr>
                    <w:t>5</w:t>
                  </w:r>
                </w:p>
              </w:tc>
              <w:tc>
                <w:tcPr>
                  <w:tcW w:w="2211" w:type="dxa"/>
                  <w:vAlign w:val="center"/>
                </w:tcPr>
                <w:p w14:paraId="185BCA9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w:t>
                  </w:r>
                </w:p>
              </w:tc>
            </w:tr>
            <w:tr w14:paraId="7AEF7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6" w:type="dxa"/>
                  <w:vMerge w:val="continue"/>
                  <w:vAlign w:val="center"/>
                </w:tcPr>
                <w:p w14:paraId="00BB820C">
                  <w:pPr>
                    <w:adjustRightInd w:val="0"/>
                    <w:snapToGrid w:val="0"/>
                    <w:jc w:val="center"/>
                    <w:rPr>
                      <w:rFonts w:ascii="Times New Roman" w:hAnsi="Times New Roman" w:cs="Times New Roman"/>
                      <w:color w:val="FF0000"/>
                      <w:sz w:val="21"/>
                      <w:szCs w:val="21"/>
                    </w:rPr>
                  </w:pPr>
                </w:p>
              </w:tc>
              <w:tc>
                <w:tcPr>
                  <w:tcW w:w="981" w:type="dxa"/>
                  <w:vMerge w:val="continue"/>
                  <w:vAlign w:val="center"/>
                </w:tcPr>
                <w:p w14:paraId="0FDDA400">
                  <w:pPr>
                    <w:adjustRightInd w:val="0"/>
                    <w:snapToGrid w:val="0"/>
                    <w:jc w:val="center"/>
                    <w:rPr>
                      <w:rFonts w:ascii="Times New Roman" w:hAnsi="Times New Roman" w:cs="Times New Roman"/>
                      <w:color w:val="FF0000"/>
                      <w:sz w:val="21"/>
                      <w:szCs w:val="21"/>
                    </w:rPr>
                  </w:pPr>
                </w:p>
              </w:tc>
              <w:tc>
                <w:tcPr>
                  <w:tcW w:w="876" w:type="dxa"/>
                  <w:vMerge w:val="continue"/>
                  <w:vAlign w:val="center"/>
                </w:tcPr>
                <w:p w14:paraId="381E9529">
                  <w:pPr>
                    <w:adjustRightInd w:val="0"/>
                    <w:snapToGrid w:val="0"/>
                    <w:jc w:val="center"/>
                    <w:rPr>
                      <w:rFonts w:ascii="Times New Roman" w:hAnsi="Times New Roman" w:cs="Times New Roman"/>
                      <w:color w:val="FF0000"/>
                      <w:sz w:val="21"/>
                      <w:szCs w:val="21"/>
                    </w:rPr>
                  </w:pPr>
                </w:p>
              </w:tc>
              <w:tc>
                <w:tcPr>
                  <w:tcW w:w="850" w:type="dxa"/>
                  <w:vMerge w:val="continue"/>
                  <w:vAlign w:val="center"/>
                </w:tcPr>
                <w:p w14:paraId="46CFD666">
                  <w:pPr>
                    <w:adjustRightInd w:val="0"/>
                    <w:snapToGrid w:val="0"/>
                    <w:jc w:val="center"/>
                    <w:rPr>
                      <w:rFonts w:ascii="Times New Roman" w:hAnsi="Times New Roman" w:cs="Times New Roman"/>
                      <w:color w:val="FF0000"/>
                      <w:sz w:val="21"/>
                      <w:szCs w:val="21"/>
                    </w:rPr>
                  </w:pPr>
                </w:p>
              </w:tc>
              <w:tc>
                <w:tcPr>
                  <w:tcW w:w="825" w:type="dxa"/>
                  <w:vMerge w:val="continue"/>
                  <w:vAlign w:val="center"/>
                </w:tcPr>
                <w:p w14:paraId="788B36E6">
                  <w:pPr>
                    <w:adjustRightInd w:val="0"/>
                    <w:snapToGrid w:val="0"/>
                    <w:jc w:val="center"/>
                    <w:rPr>
                      <w:rFonts w:ascii="Times New Roman" w:hAnsi="Times New Roman" w:cs="Times New Roman"/>
                      <w:color w:val="FF0000"/>
                      <w:sz w:val="21"/>
                      <w:szCs w:val="21"/>
                    </w:rPr>
                  </w:pPr>
                </w:p>
              </w:tc>
              <w:tc>
                <w:tcPr>
                  <w:tcW w:w="567" w:type="dxa"/>
                  <w:vMerge w:val="continue"/>
                  <w:vAlign w:val="center"/>
                </w:tcPr>
                <w:p w14:paraId="4F4C8E2A">
                  <w:pPr>
                    <w:adjustRightInd w:val="0"/>
                    <w:snapToGrid w:val="0"/>
                    <w:spacing w:before="36" w:beforeLines="15" w:after="36" w:afterLines="15"/>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79D281C1">
                  <w:pPr>
                    <w:adjustRightInd w:val="0"/>
                    <w:snapToGrid w:val="0"/>
                    <w:spacing w:before="36" w:beforeLines="15" w:after="36" w:afterLines="15"/>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35277CA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624" w:type="dxa"/>
                  <w:vMerge w:val="continue"/>
                  <w:vAlign w:val="center"/>
                </w:tcPr>
                <w:p w14:paraId="1DC7966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18DA9CE4">
                  <w:pPr>
                    <w:spacing w:line="240" w:lineRule="exact"/>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氨氮</w:t>
                  </w:r>
                </w:p>
              </w:tc>
              <w:tc>
                <w:tcPr>
                  <w:tcW w:w="2211" w:type="dxa"/>
                  <w:vAlign w:val="center"/>
                </w:tcPr>
                <w:p w14:paraId="45D6823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w:t>
                  </w:r>
                </w:p>
              </w:tc>
            </w:tr>
          </w:tbl>
          <w:p w14:paraId="7994A073">
            <w:pPr>
              <w:spacing w:line="360" w:lineRule="auto"/>
              <w:ind w:firstLine="482"/>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1.6废水监测方案</w:t>
            </w:r>
          </w:p>
          <w:p w14:paraId="6FF5BA55">
            <w:pPr>
              <w:adjustRightInd w:val="0"/>
              <w:snapToGrid w:val="0"/>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本项目产生的</w:t>
            </w:r>
            <w:r>
              <w:rPr>
                <w:rFonts w:hint="eastAsia" w:ascii="Times New Roman" w:hAnsi="Times New Roman" w:cs="Times New Roman"/>
                <w:bCs/>
                <w:color w:val="000000" w:themeColor="text1"/>
                <w14:textFill>
                  <w14:solidFill>
                    <w14:schemeClr w14:val="tx1"/>
                  </w14:solidFill>
                </w14:textFill>
              </w:rPr>
              <w:t>场地冲洗废水、初</w:t>
            </w:r>
            <w:r>
              <w:rPr>
                <w:rFonts w:ascii="Times New Roman" w:hAnsi="Times New Roman" w:cs="Times New Roman"/>
                <w:bCs/>
                <w:color w:val="000000" w:themeColor="text1"/>
                <w14:textFill>
                  <w14:solidFill>
                    <w14:schemeClr w14:val="tx1"/>
                  </w14:solidFill>
                </w14:textFill>
              </w:rPr>
              <w:t>期雨水</w:t>
            </w:r>
            <w:r>
              <w:rPr>
                <w:rFonts w:hint="eastAsia" w:ascii="Times New Roman" w:hAnsi="Times New Roman" w:cs="Times New Roman"/>
                <w:bCs/>
                <w:color w:val="000000" w:themeColor="text1"/>
                <w14:textFill>
                  <w14:solidFill>
                    <w14:schemeClr w14:val="tx1"/>
                  </w14:solidFill>
                </w14:textFill>
              </w:rPr>
              <w:t>均依托广西恒逸污水处理厂处理后达标排放。</w:t>
            </w:r>
            <w:r>
              <w:rPr>
                <w:rFonts w:ascii="Times New Roman" w:hAnsi="Times New Roman" w:cs="Times New Roman"/>
                <w:bCs/>
                <w:color w:val="000000" w:themeColor="text1"/>
                <w14:textFill>
                  <w14:solidFill>
                    <w14:schemeClr w14:val="tx1"/>
                  </w14:solidFill>
                </w14:textFill>
              </w:rPr>
              <w:t>后期清洁雨水均依托</w:t>
            </w:r>
            <w:r>
              <w:rPr>
                <w:rFonts w:hint="eastAsia" w:ascii="Times New Roman" w:hAnsi="Times New Roman" w:cs="Times New Roman"/>
                <w:bCs/>
                <w:color w:val="000000" w:themeColor="text1"/>
                <w14:textFill>
                  <w14:solidFill>
                    <w14:schemeClr w14:val="tx1"/>
                  </w14:solidFill>
                </w14:textFill>
              </w:rPr>
              <w:t>广西自贸区逸海港务有限责任公司</w:t>
            </w:r>
            <w:r>
              <w:rPr>
                <w:rFonts w:ascii="Times New Roman" w:hAnsi="Times New Roman" w:cs="Times New Roman"/>
                <w:bCs/>
                <w:color w:val="000000" w:themeColor="text1"/>
                <w14:textFill>
                  <w14:solidFill>
                    <w14:schemeClr w14:val="tx1"/>
                  </w14:solidFill>
                </w14:textFill>
              </w:rPr>
              <w:t>现有的排放口进行排放，本项目不新增废水排放口。根据公司排污许可证自行监测要求，现有监测频次如下表。根据《排污单位自行监测技术指南 总则》（HJ 819-2017）等，本项目废水监测指标及监测频次见下表。</w:t>
            </w:r>
          </w:p>
          <w:p w14:paraId="62391B0E">
            <w:pPr>
              <w:pStyle w:val="207"/>
              <w:rPr>
                <w:rFonts w:ascii="Times New Roman" w:hAnsi="Times New Roman" w:cs="Times New Roman"/>
                <w:b/>
                <w:bCs w:val="0"/>
                <w:color w:val="000000" w:themeColor="text1"/>
                <w14:textFill>
                  <w14:solidFill>
                    <w14:schemeClr w14:val="tx1"/>
                  </w14:solidFill>
                </w14:textFill>
              </w:rPr>
            </w:pPr>
            <w:r>
              <w:rPr>
                <w:rFonts w:ascii="Times New Roman" w:hAnsi="Times New Roman" w:cs="Times New Roman"/>
                <w:b/>
                <w:bCs w:val="0"/>
                <w:color w:val="000000" w:themeColor="text1"/>
                <w14:textFill>
                  <w14:solidFill>
                    <w14:schemeClr w14:val="tx1"/>
                  </w14:solidFill>
                </w14:textFill>
              </w:rPr>
              <w:t>表4-</w:t>
            </w:r>
            <w:r>
              <w:rPr>
                <w:rFonts w:hint="eastAsia" w:ascii="Times New Roman" w:hAnsi="Times New Roman" w:cs="Times New Roman"/>
                <w:b/>
                <w:bCs w:val="0"/>
                <w:color w:val="000000" w:themeColor="text1"/>
                <w14:textFill>
                  <w14:solidFill>
                    <w14:schemeClr w14:val="tx1"/>
                  </w14:solidFill>
                </w14:textFill>
              </w:rPr>
              <w:t xml:space="preserve">5 </w:t>
            </w:r>
            <w:r>
              <w:rPr>
                <w:rFonts w:ascii="Times New Roman" w:hAnsi="Times New Roman" w:cs="Times New Roman"/>
                <w:b/>
                <w:bCs w:val="0"/>
                <w:color w:val="000000" w:themeColor="text1"/>
                <w14:textFill>
                  <w14:solidFill>
                    <w14:schemeClr w14:val="tx1"/>
                  </w14:solidFill>
                </w14:textFill>
              </w:rPr>
              <w:t>废水监测方案</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083"/>
              <w:gridCol w:w="1547"/>
              <w:gridCol w:w="1581"/>
              <w:gridCol w:w="1314"/>
              <w:gridCol w:w="1314"/>
              <w:gridCol w:w="2460"/>
            </w:tblGrid>
            <w:tr w14:paraId="0367E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083" w:type="dxa"/>
                  <w:vAlign w:val="center"/>
                </w:tcPr>
                <w:p w14:paraId="1194D281">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排放口编号</w:t>
                  </w:r>
                </w:p>
              </w:tc>
              <w:tc>
                <w:tcPr>
                  <w:tcW w:w="1547" w:type="dxa"/>
                  <w:vAlign w:val="center"/>
                </w:tcPr>
                <w:p w14:paraId="06867C4C">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排放口名称</w:t>
                  </w:r>
                </w:p>
              </w:tc>
              <w:tc>
                <w:tcPr>
                  <w:tcW w:w="1581" w:type="dxa"/>
                  <w:vAlign w:val="center"/>
                </w:tcPr>
                <w:p w14:paraId="6B6B9F57">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监测指标</w:t>
                  </w:r>
                </w:p>
              </w:tc>
              <w:tc>
                <w:tcPr>
                  <w:tcW w:w="1314" w:type="dxa"/>
                  <w:vAlign w:val="center"/>
                </w:tcPr>
                <w:p w14:paraId="4E8EAC1F">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现有监测频次</w:t>
                  </w:r>
                </w:p>
              </w:tc>
              <w:tc>
                <w:tcPr>
                  <w:tcW w:w="1314" w:type="dxa"/>
                  <w:vAlign w:val="center"/>
                </w:tcPr>
                <w:p w14:paraId="7D1D66E8">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本项目建成后监测频次</w:t>
                  </w:r>
                </w:p>
              </w:tc>
              <w:tc>
                <w:tcPr>
                  <w:tcW w:w="2460" w:type="dxa"/>
                  <w:vAlign w:val="center"/>
                </w:tcPr>
                <w:p w14:paraId="4C9AAA33">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执行排放标准</w:t>
                  </w:r>
                </w:p>
              </w:tc>
            </w:tr>
            <w:tr w14:paraId="02228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17" w:hRule="atLeast"/>
                <w:jc w:val="center"/>
              </w:trPr>
              <w:tc>
                <w:tcPr>
                  <w:tcW w:w="1083" w:type="dxa"/>
                  <w:vAlign w:val="center"/>
                </w:tcPr>
                <w:p w14:paraId="175D564E">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DW001</w:t>
                  </w:r>
                </w:p>
              </w:tc>
              <w:tc>
                <w:tcPr>
                  <w:tcW w:w="1547" w:type="dxa"/>
                  <w:vAlign w:val="center"/>
                </w:tcPr>
                <w:p w14:paraId="195687AC">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初期雨水排放口</w:t>
                  </w:r>
                </w:p>
              </w:tc>
              <w:tc>
                <w:tcPr>
                  <w:tcW w:w="1581" w:type="dxa"/>
                  <w:vAlign w:val="center"/>
                </w:tcPr>
                <w:p w14:paraId="56562BF2">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pH</w:t>
                  </w:r>
                  <w:r>
                    <w:rPr>
                      <w:rFonts w:ascii="Times New Roman" w:hAnsi="Times New Roman" w:cs="Times New Roman"/>
                      <w:color w:val="000000" w:themeColor="text1"/>
                      <w:sz w:val="21"/>
                      <w14:textFill>
                        <w14:solidFill>
                          <w14:schemeClr w14:val="tx1"/>
                        </w14:solidFill>
                      </w14:textFill>
                    </w:rPr>
                    <w:t>、</w:t>
                  </w:r>
                  <w:r>
                    <w:rPr>
                      <w:rFonts w:hint="eastAsia" w:ascii="Times New Roman" w:hAnsi="Times New Roman" w:cs="Times New Roman"/>
                      <w:color w:val="000000" w:themeColor="text1"/>
                      <w:sz w:val="21"/>
                      <w14:textFill>
                        <w14:solidFill>
                          <w14:schemeClr w14:val="tx1"/>
                        </w14:solidFill>
                      </w14:textFill>
                    </w:rPr>
                    <w:t>COD、SS</w:t>
                  </w:r>
                </w:p>
              </w:tc>
              <w:tc>
                <w:tcPr>
                  <w:tcW w:w="1314" w:type="dxa"/>
                  <w:vAlign w:val="center"/>
                </w:tcPr>
                <w:p w14:paraId="53FBB99D">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1次/季度</w:t>
                  </w:r>
                </w:p>
              </w:tc>
              <w:tc>
                <w:tcPr>
                  <w:tcW w:w="1314" w:type="dxa"/>
                  <w:vAlign w:val="center"/>
                </w:tcPr>
                <w:p w14:paraId="57158BA1">
                  <w:pPr>
                    <w:snapToGrid w:val="0"/>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1次/</w:t>
                  </w:r>
                  <w:r>
                    <w:rPr>
                      <w:rFonts w:hint="eastAsia" w:ascii="Times New Roman" w:hAnsi="Times New Roman" w:cs="Times New Roman"/>
                      <w:color w:val="000000" w:themeColor="text1"/>
                      <w:sz w:val="21"/>
                      <w14:textFill>
                        <w14:solidFill>
                          <w14:schemeClr w14:val="tx1"/>
                        </w14:solidFill>
                      </w14:textFill>
                    </w:rPr>
                    <w:t>季度</w:t>
                  </w:r>
                </w:p>
              </w:tc>
              <w:tc>
                <w:tcPr>
                  <w:tcW w:w="2460" w:type="dxa"/>
                  <w:vAlign w:val="center"/>
                </w:tcPr>
                <w:p w14:paraId="5464FA5B">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《污水综合排放标准》（GB8978-1996）表4 三级标准限值</w:t>
                  </w:r>
                  <w:r>
                    <w:rPr>
                      <w:rFonts w:hint="eastAsia" w:ascii="Times New Roman" w:hAnsi="Times New Roman" w:cs="Times New Roman"/>
                      <w:color w:val="000000" w:themeColor="text1"/>
                      <w:sz w:val="21"/>
                      <w14:textFill>
                        <w14:solidFill>
                          <w14:schemeClr w14:val="tx1"/>
                        </w14:solidFill>
                      </w14:textFill>
                    </w:rPr>
                    <w:t>及广西恒逸新污水处理厂接管要求</w:t>
                  </w:r>
                </w:p>
              </w:tc>
            </w:tr>
          </w:tbl>
          <w:p w14:paraId="032ED048">
            <w:pPr>
              <w:spacing w:line="360" w:lineRule="auto"/>
              <w:ind w:firstLine="482" w:firstLineChars="200"/>
              <w:rPr>
                <w:rFonts w:ascii="Times New Roman" w:hAnsi="Times New Roman" w:cs="Times New Roman"/>
                <w:b/>
                <w:color w:val="000000" w:themeColor="text1"/>
                <w:szCs w:val="20"/>
                <w14:textFill>
                  <w14:solidFill>
                    <w14:schemeClr w14:val="tx1"/>
                  </w14:solidFill>
                </w14:textFill>
              </w:rPr>
            </w:pPr>
            <w:r>
              <w:rPr>
                <w:rFonts w:ascii="Times New Roman" w:hAnsi="Times New Roman" w:cs="Times New Roman"/>
                <w:b/>
                <w:color w:val="000000" w:themeColor="text1"/>
                <w:szCs w:val="20"/>
                <w14:textFill>
                  <w14:solidFill>
                    <w14:schemeClr w14:val="tx1"/>
                  </w14:solidFill>
                </w14:textFill>
              </w:rPr>
              <w:t>2、大气环境影响及保护措施</w:t>
            </w:r>
          </w:p>
          <w:p w14:paraId="7097D2C3">
            <w:pPr>
              <w:autoSpaceDE w:val="0"/>
              <w:autoSpaceDN w:val="0"/>
              <w:spacing w:line="360" w:lineRule="auto"/>
              <w:ind w:firstLine="482" w:firstLineChars="200"/>
              <w:rPr>
                <w:rFonts w:ascii="Times New Roman" w:hAnsi="Times New Roman" w:cs="Times New Roman"/>
                <w:b/>
                <w:bCs/>
                <w:snapToGrid w:val="0"/>
                <w:color w:val="000000" w:themeColor="text1"/>
                <w:lang w:bidi="zh-CN"/>
                <w14:textFill>
                  <w14:solidFill>
                    <w14:schemeClr w14:val="tx1"/>
                  </w14:solidFill>
                </w14:textFill>
              </w:rPr>
            </w:pPr>
            <w:r>
              <w:rPr>
                <w:rFonts w:ascii="Times New Roman" w:hAnsi="Times New Roman" w:cs="Times New Roman"/>
                <w:b/>
                <w:bCs/>
                <w:snapToGrid w:val="0"/>
                <w:color w:val="000000" w:themeColor="text1"/>
                <w:lang w:val="zh-CN" w:bidi="zh-CN"/>
                <w14:textFill>
                  <w14:solidFill>
                    <w14:schemeClr w14:val="tx1"/>
                  </w14:solidFill>
                </w14:textFill>
              </w:rPr>
              <w:t>2.1</w:t>
            </w:r>
            <w:r>
              <w:rPr>
                <w:rFonts w:ascii="Times New Roman" w:hAnsi="Times New Roman" w:cs="Times New Roman"/>
                <w:b/>
                <w:bCs/>
                <w:snapToGrid w:val="0"/>
                <w:color w:val="000000" w:themeColor="text1"/>
                <w:lang w:bidi="zh-CN"/>
                <w14:textFill>
                  <w14:solidFill>
                    <w14:schemeClr w14:val="tx1"/>
                  </w14:solidFill>
                </w14:textFill>
              </w:rPr>
              <w:t>大气污染物源强</w:t>
            </w:r>
          </w:p>
          <w:p w14:paraId="1D8518D1">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本项目装卸料及储罐呼吸会产生废气、装置密封点挥发废气等。废气源强核算如下：</w:t>
            </w:r>
          </w:p>
          <w:p w14:paraId="78557967">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hint="eastAsia" w:ascii="Times New Roman" w:hAnsi="Times New Roman" w:cs="Times New Roman"/>
                <w:color w:val="000000" w:themeColor="text1"/>
                <w:kern w:val="21"/>
                <w14:textFill>
                  <w14:solidFill>
                    <w14:schemeClr w14:val="tx1"/>
                  </w14:solidFill>
                </w14:textFill>
              </w:rPr>
              <w:t>（1）装卸料废气</w:t>
            </w:r>
          </w:p>
          <w:p w14:paraId="02F8B298">
            <w:pPr>
              <w:pStyle w:val="118"/>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根据调查，</w:t>
            </w:r>
            <w:r>
              <w:rPr>
                <w:rFonts w:hint="eastAsia" w:ascii="Times New Roman" w:hAnsi="Times New Roman" w:cs="Times New Roman"/>
                <w:color w:val="000000" w:themeColor="text1"/>
                <w14:textFill>
                  <w14:solidFill>
                    <w14:schemeClr w14:val="tx1"/>
                  </w14:solidFill>
                </w14:textFill>
              </w:rPr>
              <w:t>本项目货种由船舶或槽罐车运至项目区，泊位装卸臂和汽车装卸平台</w:t>
            </w:r>
            <w:r>
              <w:rPr>
                <w:rFonts w:hint="eastAsia" w:ascii="Times New Roman" w:hAnsi="Times New Roman" w:cs="Times New Roman"/>
              </w:rPr>
              <w:t>装</w:t>
            </w:r>
            <w:r>
              <w:rPr>
                <w:rFonts w:ascii="Times New Roman" w:hAnsi="Times New Roman" w:cs="Times New Roman"/>
              </w:rPr>
              <w:t>卸料时采用密闭负压操作及浸没式装车，直接由泵将物料输送到罐区，</w:t>
            </w:r>
            <w:r>
              <w:rPr>
                <w:rFonts w:ascii="Times New Roman" w:hAnsi="Times New Roman" w:cs="Times New Roman"/>
                <w:color w:val="000000" w:themeColor="text1"/>
                <w14:textFill>
                  <w14:solidFill>
                    <w14:schemeClr w14:val="tx1"/>
                  </w14:solidFill>
                </w14:textFill>
              </w:rPr>
              <w:t>货种装卸</w:t>
            </w:r>
            <w:r>
              <w:rPr>
                <w:rFonts w:hint="eastAsia" w:ascii="Times New Roman" w:hAnsi="Times New Roman" w:cs="Times New Roman"/>
                <w:color w:val="000000" w:themeColor="text1"/>
                <w14:textFill>
                  <w14:solidFill>
                    <w14:schemeClr w14:val="tx1"/>
                  </w14:solidFill>
                </w14:textFill>
              </w:rPr>
              <w:t>船（</w:t>
            </w:r>
            <w:r>
              <w:rPr>
                <w:rFonts w:ascii="Times New Roman" w:hAnsi="Times New Roman" w:cs="Times New Roman"/>
                <w:color w:val="000000" w:themeColor="text1"/>
                <w14:textFill>
                  <w14:solidFill>
                    <w14:schemeClr w14:val="tx1"/>
                  </w14:solidFill>
                </w14:textFill>
              </w:rPr>
              <w:t>车</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过程中，会产生少量装卸废气，货种装料过程废气产生量参照《污染源源强核算技术指南 石油炼制工业》（HJ982-2018）中挥发性液体装载损失公式估算：</w:t>
            </w:r>
          </w:p>
          <w:p w14:paraId="2F5D4EB3">
            <w:pPr>
              <w:pStyle w:val="118"/>
              <w:ind w:firstLine="0" w:firstLineChars="0"/>
              <w:jc w:val="center"/>
              <w:rPr>
                <w:rFonts w:ascii="Times New Roman" w:hAnsi="Times New Roman" w:cs="Times New Roman"/>
                <w:color w:val="FF0000"/>
              </w:rPr>
            </w:pPr>
            <w:r>
              <w:rPr>
                <w:rFonts w:ascii="Times New Roman" w:hAnsi="Times New Roman" w:cs="Times New Roman"/>
                <w:color w:val="FF0000"/>
              </w:rPr>
              <w:drawing>
                <wp:inline distT="0" distB="0" distL="0" distR="0">
                  <wp:extent cx="1126490" cy="375285"/>
                  <wp:effectExtent l="0" t="0" r="1651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7"/>
                          <a:stretch>
                            <a:fillRect/>
                          </a:stretch>
                        </pic:blipFill>
                        <pic:spPr>
                          <a:xfrm>
                            <a:off x="0" y="0"/>
                            <a:ext cx="1125598" cy="375199"/>
                          </a:xfrm>
                          <a:prstGeom prst="rect">
                            <a:avLst/>
                          </a:prstGeom>
                        </pic:spPr>
                      </pic:pic>
                    </a:graphicData>
                  </a:graphic>
                </wp:inline>
              </w:drawing>
            </w:r>
          </w:p>
          <w:p w14:paraId="50952598">
            <w:pPr>
              <w:pStyle w:val="118"/>
              <w:ind w:firstLine="0" w:firstLineChars="0"/>
              <w:jc w:val="center"/>
              <w:rPr>
                <w:rFonts w:ascii="Times New Roman" w:hAnsi="Times New Roman" w:cs="Times New Roman"/>
                <w:color w:val="FF0000"/>
              </w:rPr>
            </w:pPr>
            <w:r>
              <w:rPr>
                <w:rFonts w:ascii="Times New Roman" w:hAnsi="Times New Roman" w:cs="Times New Roman"/>
                <w:color w:val="FF0000"/>
              </w:rPr>
              <w:drawing>
                <wp:inline distT="0" distB="0" distL="0" distR="0">
                  <wp:extent cx="2070100" cy="450850"/>
                  <wp:effectExtent l="0" t="0" r="635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8"/>
                          <a:stretch>
                            <a:fillRect/>
                          </a:stretch>
                        </pic:blipFill>
                        <pic:spPr>
                          <a:xfrm>
                            <a:off x="0" y="0"/>
                            <a:ext cx="2082648" cy="453893"/>
                          </a:xfrm>
                          <a:prstGeom prst="rect">
                            <a:avLst/>
                          </a:prstGeom>
                        </pic:spPr>
                      </pic:pic>
                    </a:graphicData>
                  </a:graphic>
                </wp:inline>
              </w:drawing>
            </w:r>
          </w:p>
          <w:p w14:paraId="031D4268">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式中：D</w:t>
            </w:r>
            <w:r>
              <w:rPr>
                <w:rFonts w:ascii="Times New Roman" w:hAnsi="Times New Roman" w:cs="Times New Roman"/>
                <w:color w:val="000000" w:themeColor="text1"/>
                <w:vertAlign w:val="subscript"/>
                <w14:textFill>
                  <w14:solidFill>
                    <w14:schemeClr w14:val="tx1"/>
                  </w14:solidFill>
                </w14:textFill>
              </w:rPr>
              <w:t>产生量</w:t>
            </w:r>
            <w:r>
              <w:rPr>
                <w:rFonts w:ascii="Times New Roman" w:hAnsi="Times New Roman" w:cs="Times New Roman"/>
                <w:color w:val="000000" w:themeColor="text1"/>
                <w14:textFill>
                  <w14:solidFill>
                    <w14:schemeClr w14:val="tx1"/>
                  </w14:solidFill>
                </w14:textFill>
              </w:rPr>
              <w:t>—核算时段内挥发性液体装载过程挥发性有机物产生量，t/a；</w:t>
            </w:r>
          </w:p>
          <w:p w14:paraId="0F37F676">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L</w:t>
            </w:r>
            <w:r>
              <w:rPr>
                <w:rFonts w:ascii="Times New Roman" w:hAnsi="Times New Roman" w:cs="Times New Roman"/>
                <w:color w:val="000000" w:themeColor="text1"/>
                <w:vertAlign w:val="subscript"/>
                <w14:textFill>
                  <w14:solidFill>
                    <w14:schemeClr w14:val="tx1"/>
                  </w14:solidFill>
                </w14:textFill>
              </w:rPr>
              <w:t>L</w:t>
            </w:r>
            <w:r>
              <w:rPr>
                <w:rFonts w:ascii="Times New Roman" w:hAnsi="Times New Roman" w:cs="Times New Roman"/>
                <w:color w:val="000000" w:themeColor="text1"/>
                <w14:textFill>
                  <w14:solidFill>
                    <w14:schemeClr w14:val="tx1"/>
                  </w14:solidFill>
                </w14:textFill>
              </w:rPr>
              <w:t>—挥发性液体装载过程的排放系数，kg/m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0BA05CCE">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Q—物料装载量，m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/a。</w:t>
            </w:r>
          </w:p>
          <w:p w14:paraId="08618853">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S—饱和因子，无量纲，一般取0.6；</w:t>
            </w:r>
          </w:p>
          <w:p w14:paraId="3F578CFC">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T—物料装载温度，</w:t>
            </w:r>
            <w:r>
              <w:rPr>
                <w:rFonts w:hint="eastAsia"/>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w:t>
            </w:r>
          </w:p>
          <w:p w14:paraId="2F105544">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P</w:t>
            </w:r>
            <w:r>
              <w:rPr>
                <w:rFonts w:ascii="Times New Roman" w:hAnsi="Times New Roman" w:cs="Times New Roman"/>
                <w:color w:val="000000" w:themeColor="text1"/>
                <w:vertAlign w:val="subscript"/>
                <w14:textFill>
                  <w14:solidFill>
                    <w14:schemeClr w14:val="tx1"/>
                  </w14:solidFill>
                </w14:textFill>
              </w:rPr>
              <w:t>T</w:t>
            </w:r>
            <w:r>
              <w:rPr>
                <w:rFonts w:ascii="Times New Roman" w:hAnsi="Times New Roman" w:cs="Times New Roman"/>
                <w:color w:val="000000" w:themeColor="text1"/>
                <w14:textFill>
                  <w14:solidFill>
                    <w14:schemeClr w14:val="tx1"/>
                  </w14:solidFill>
                </w14:textFill>
              </w:rPr>
              <w:t>—温度T时装载物料的真实蒸气压，Pa；</w:t>
            </w:r>
          </w:p>
          <w:p w14:paraId="5670030B">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M—物料的分子量，g/mol；</w:t>
            </w:r>
          </w:p>
          <w:p w14:paraId="2B5BCF04">
            <w:pPr>
              <w:pStyle w:val="118"/>
              <w:rPr>
                <w:rFonts w:ascii="Times New Roman" w:hAnsi="Times New Roman" w:cs="Times New Roman"/>
                <w:color w:val="000000" w:themeColor="text1"/>
                <w14:textFill>
                  <w14:solidFill>
                    <w14:schemeClr w14:val="tx1"/>
                  </w14:solidFill>
                </w14:textFill>
              </w:rPr>
            </w:pPr>
          </w:p>
          <w:p w14:paraId="6E12992F">
            <w:pPr>
              <w:pStyle w:val="118"/>
              <w:rPr>
                <w:rFonts w:ascii="Times New Roman" w:hAnsi="Times New Roman" w:cs="Times New Roman"/>
                <w:color w:val="000000" w:themeColor="text1"/>
                <w14:textFill>
                  <w14:solidFill>
                    <w14:schemeClr w14:val="tx1"/>
                  </w14:solidFill>
                </w14:textFill>
              </w:rPr>
            </w:pPr>
          </w:p>
          <w:p w14:paraId="70A56A61">
            <w:pPr>
              <w:spacing w:line="360" w:lineRule="auto"/>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表4-</w:t>
            </w:r>
            <w:r>
              <w:rPr>
                <w:rFonts w:hint="eastAsia" w:ascii="Times New Roman" w:hAnsi="Times New Roman" w:cs="Times New Roman"/>
                <w:b/>
                <w:bCs/>
                <w:color w:val="000000" w:themeColor="text1"/>
                <w14:textFill>
                  <w14:solidFill>
                    <w14:schemeClr w14:val="tx1"/>
                  </w14:solidFill>
                </w14:textFill>
              </w:rPr>
              <w:t>6 卸料</w:t>
            </w:r>
            <w:r>
              <w:rPr>
                <w:rFonts w:ascii="Times New Roman" w:hAnsi="Times New Roman" w:cs="Times New Roman"/>
                <w:b/>
                <w:bCs/>
                <w:color w:val="000000" w:themeColor="text1"/>
                <w14:textFill>
                  <w14:solidFill>
                    <w14:schemeClr w14:val="tx1"/>
                  </w14:solidFill>
                </w14:textFill>
              </w:rPr>
              <w:t>损失产生量</w:t>
            </w:r>
          </w:p>
          <w:tbl>
            <w:tblPr>
              <w:tblStyle w:val="89"/>
              <w:tblW w:w="93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9"/>
              <w:gridCol w:w="1221"/>
              <w:gridCol w:w="1023"/>
              <w:gridCol w:w="955"/>
              <w:gridCol w:w="955"/>
              <w:gridCol w:w="955"/>
              <w:gridCol w:w="955"/>
              <w:gridCol w:w="955"/>
              <w:gridCol w:w="955"/>
              <w:gridCol w:w="957"/>
            </w:tblGrid>
            <w:tr w14:paraId="08B1A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439" w:type="dxa"/>
                  <w:vAlign w:val="center"/>
                </w:tcPr>
                <w:p w14:paraId="67EA7C12">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221" w:type="dxa"/>
                  <w:vAlign w:val="center"/>
                </w:tcPr>
                <w:p w14:paraId="1690699E">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名称</w:t>
                  </w:r>
                </w:p>
              </w:tc>
              <w:tc>
                <w:tcPr>
                  <w:tcW w:w="1023" w:type="dxa"/>
                  <w:vAlign w:val="center"/>
                </w:tcPr>
                <w:p w14:paraId="4DF1E77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tc>
              <w:tc>
                <w:tcPr>
                  <w:tcW w:w="955" w:type="dxa"/>
                  <w:vAlign w:val="center"/>
                </w:tcPr>
                <w:p w14:paraId="6E25867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w:t>
                  </w:r>
                </w:p>
              </w:tc>
              <w:tc>
                <w:tcPr>
                  <w:tcW w:w="955" w:type="dxa"/>
                  <w:vAlign w:val="center"/>
                </w:tcPr>
                <w:p w14:paraId="5D9C82B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w:t>
                  </w:r>
                  <w:r>
                    <w:rPr>
                      <w:rFonts w:ascii="Times New Roman" w:hAnsi="Times New Roman" w:cs="Times New Roman"/>
                      <w:color w:val="000000" w:themeColor="text1"/>
                      <w:sz w:val="21"/>
                      <w:szCs w:val="21"/>
                      <w:vertAlign w:val="subscript"/>
                      <w14:textFill>
                        <w14:solidFill>
                          <w14:schemeClr w14:val="tx1"/>
                        </w14:solidFill>
                      </w14:textFill>
                    </w:rPr>
                    <w:t>T</w:t>
                  </w:r>
                  <w:r>
                    <w:rPr>
                      <w:rFonts w:ascii="Times New Roman" w:hAnsi="Times New Roman" w:cs="Times New Roman"/>
                      <w:color w:val="000000" w:themeColor="text1"/>
                      <w:sz w:val="21"/>
                      <w:szCs w:val="21"/>
                      <w14:textFill>
                        <w14:solidFill>
                          <w14:schemeClr w14:val="tx1"/>
                        </w14:solidFill>
                      </w14:textFill>
                    </w:rPr>
                    <w:t>（Pa）</w:t>
                  </w:r>
                </w:p>
              </w:tc>
              <w:tc>
                <w:tcPr>
                  <w:tcW w:w="955" w:type="dxa"/>
                  <w:vAlign w:val="center"/>
                </w:tcPr>
                <w:p w14:paraId="1B6A247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M（g/mol）</w:t>
                  </w:r>
                </w:p>
              </w:tc>
              <w:tc>
                <w:tcPr>
                  <w:tcW w:w="955" w:type="dxa"/>
                  <w:vAlign w:val="center"/>
                </w:tcPr>
                <w:p w14:paraId="47A2B01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w:t>
                  </w:r>
                </w:p>
              </w:tc>
              <w:tc>
                <w:tcPr>
                  <w:tcW w:w="955" w:type="dxa"/>
                  <w:vAlign w:val="center"/>
                </w:tcPr>
                <w:p w14:paraId="47DCEAF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w:t>
                  </w:r>
                  <w:r>
                    <w:rPr>
                      <w:rFonts w:ascii="Times New Roman" w:hAnsi="Times New Roman" w:cs="Times New Roman"/>
                      <w:color w:val="000000" w:themeColor="text1"/>
                      <w:sz w:val="21"/>
                      <w:szCs w:val="21"/>
                      <w:vertAlign w:val="subscript"/>
                      <w14:textFill>
                        <w14:solidFill>
                          <w14:schemeClr w14:val="tx1"/>
                        </w14:solidFill>
                      </w14:textFill>
                    </w:rPr>
                    <w:t>L</w:t>
                  </w:r>
                  <w:r>
                    <w:rPr>
                      <w:rFonts w:ascii="Times New Roman" w:hAnsi="Times New Roman" w:cs="Times New Roman"/>
                      <w:color w:val="000000" w:themeColor="text1"/>
                      <w:sz w:val="21"/>
                      <w:szCs w:val="21"/>
                      <w14:textFill>
                        <w14:solidFill>
                          <w14:schemeClr w14:val="tx1"/>
                        </w14:solidFill>
                      </w14:textFill>
                    </w:rPr>
                    <w:t>（kg/m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55" w:type="dxa"/>
                  <w:vAlign w:val="center"/>
                </w:tcPr>
                <w:p w14:paraId="3E85AE7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Q（m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/a）</w:t>
                  </w:r>
                </w:p>
              </w:tc>
              <w:tc>
                <w:tcPr>
                  <w:tcW w:w="957" w:type="dxa"/>
                  <w:vAlign w:val="center"/>
                </w:tcPr>
                <w:p w14:paraId="64DCD4F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D（t/a）</w:t>
                  </w:r>
                </w:p>
              </w:tc>
            </w:tr>
            <w:tr w14:paraId="5BE7D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439" w:type="dxa"/>
                  <w:vAlign w:val="center"/>
                </w:tcPr>
                <w:p w14:paraId="1B1A92CF">
                  <w:pPr>
                    <w:pStyle w:val="118"/>
                    <w:numPr>
                      <w:ilvl w:val="0"/>
                      <w:numId w:val="18"/>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221" w:type="dxa"/>
                  <w:vAlign w:val="center"/>
                </w:tcPr>
                <w:p w14:paraId="28BDFF4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1023" w:type="dxa"/>
                  <w:vAlign w:val="center"/>
                </w:tcPr>
                <w:p w14:paraId="67E872D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升华硫</w:t>
                  </w:r>
                </w:p>
                <w:p w14:paraId="18B9F2D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（颗粒物）</w:t>
                  </w:r>
                </w:p>
              </w:tc>
              <w:tc>
                <w:tcPr>
                  <w:tcW w:w="955" w:type="dxa"/>
                  <w:vAlign w:val="center"/>
                </w:tcPr>
                <w:p w14:paraId="05B25CA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w:t>
                  </w:r>
                </w:p>
              </w:tc>
              <w:tc>
                <w:tcPr>
                  <w:tcW w:w="955" w:type="dxa"/>
                  <w:vAlign w:val="center"/>
                </w:tcPr>
                <w:p w14:paraId="3F92756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133</w:t>
                  </w:r>
                </w:p>
              </w:tc>
              <w:tc>
                <w:tcPr>
                  <w:tcW w:w="955" w:type="dxa"/>
                  <w:vAlign w:val="center"/>
                </w:tcPr>
                <w:p w14:paraId="1434DC0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256.52</w:t>
                  </w:r>
                </w:p>
              </w:tc>
              <w:tc>
                <w:tcPr>
                  <w:tcW w:w="955" w:type="dxa"/>
                  <w:vAlign w:val="center"/>
                </w:tcPr>
                <w:p w14:paraId="0DB03D0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140</w:t>
                  </w:r>
                </w:p>
              </w:tc>
              <w:tc>
                <w:tcPr>
                  <w:tcW w:w="955" w:type="dxa"/>
                  <w:vAlign w:val="center"/>
                </w:tcPr>
                <w:p w14:paraId="6AAE0ED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0.0059</w:t>
                  </w:r>
                </w:p>
              </w:tc>
              <w:tc>
                <w:tcPr>
                  <w:tcW w:w="955" w:type="dxa"/>
                  <w:vAlign w:val="center"/>
                </w:tcPr>
                <w:p w14:paraId="40AB22F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125000</w:t>
                  </w:r>
                </w:p>
              </w:tc>
              <w:tc>
                <w:tcPr>
                  <w:tcW w:w="957" w:type="dxa"/>
                  <w:vAlign w:val="center"/>
                </w:tcPr>
                <w:p w14:paraId="303F038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0.743</w:t>
                  </w:r>
                </w:p>
              </w:tc>
            </w:tr>
            <w:tr w14:paraId="41969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439" w:type="dxa"/>
                  <w:vAlign w:val="center"/>
                </w:tcPr>
                <w:p w14:paraId="2CEE76FE">
                  <w:pPr>
                    <w:pStyle w:val="118"/>
                    <w:numPr>
                      <w:ilvl w:val="0"/>
                      <w:numId w:val="18"/>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221" w:type="dxa"/>
                  <w:vAlign w:val="center"/>
                </w:tcPr>
                <w:p w14:paraId="55C5E0B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w:t>
                  </w:r>
                </w:p>
                <w:p w14:paraId="6657FC5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（&gt;=98%）</w:t>
                  </w:r>
                </w:p>
              </w:tc>
              <w:tc>
                <w:tcPr>
                  <w:tcW w:w="1023" w:type="dxa"/>
                  <w:vAlign w:val="center"/>
                </w:tcPr>
                <w:p w14:paraId="1FCB196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硫酸雾</w:t>
                  </w:r>
                </w:p>
              </w:tc>
              <w:tc>
                <w:tcPr>
                  <w:tcW w:w="955" w:type="dxa"/>
                  <w:vAlign w:val="center"/>
                </w:tcPr>
                <w:p w14:paraId="56E8395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w:t>
                  </w:r>
                </w:p>
              </w:tc>
              <w:tc>
                <w:tcPr>
                  <w:tcW w:w="955" w:type="dxa"/>
                  <w:vAlign w:val="center"/>
                </w:tcPr>
                <w:p w14:paraId="019FD4E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w:t>
                  </w:r>
                </w:p>
              </w:tc>
              <w:tc>
                <w:tcPr>
                  <w:tcW w:w="955" w:type="dxa"/>
                  <w:vAlign w:val="center"/>
                </w:tcPr>
                <w:p w14:paraId="287E541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98.08</w:t>
                  </w:r>
                </w:p>
              </w:tc>
              <w:tc>
                <w:tcPr>
                  <w:tcW w:w="955" w:type="dxa"/>
                  <w:vAlign w:val="center"/>
                </w:tcPr>
                <w:p w14:paraId="067C2FF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955" w:type="dxa"/>
                  <w:vAlign w:val="center"/>
                </w:tcPr>
                <w:p w14:paraId="54F9B3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0.0029</w:t>
                  </w:r>
                </w:p>
              </w:tc>
              <w:tc>
                <w:tcPr>
                  <w:tcW w:w="955" w:type="dxa"/>
                  <w:vAlign w:val="center"/>
                </w:tcPr>
                <w:p w14:paraId="709CE7C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10859.6</w:t>
                  </w:r>
                </w:p>
              </w:tc>
              <w:tc>
                <w:tcPr>
                  <w:tcW w:w="957" w:type="dxa"/>
                  <w:vAlign w:val="center"/>
                </w:tcPr>
                <w:p w14:paraId="183A90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0.032</w:t>
                  </w:r>
                </w:p>
              </w:tc>
            </w:tr>
            <w:tr w14:paraId="3B6D4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439" w:type="dxa"/>
                  <w:vAlign w:val="center"/>
                </w:tcPr>
                <w:p w14:paraId="05200ECB">
                  <w:pPr>
                    <w:pStyle w:val="118"/>
                    <w:numPr>
                      <w:ilvl w:val="0"/>
                      <w:numId w:val="18"/>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221" w:type="dxa"/>
                  <w:vAlign w:val="center"/>
                </w:tcPr>
                <w:p w14:paraId="65EFECB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苯酚</w:t>
                  </w:r>
                </w:p>
              </w:tc>
              <w:tc>
                <w:tcPr>
                  <w:tcW w:w="1023" w:type="dxa"/>
                  <w:vAlign w:val="center"/>
                </w:tcPr>
                <w:p w14:paraId="0C61E6E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酚类</w:t>
                  </w:r>
                </w:p>
              </w:tc>
              <w:tc>
                <w:tcPr>
                  <w:tcW w:w="955" w:type="dxa"/>
                  <w:vAlign w:val="center"/>
                </w:tcPr>
                <w:p w14:paraId="4010AB0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w:t>
                  </w:r>
                </w:p>
              </w:tc>
              <w:tc>
                <w:tcPr>
                  <w:tcW w:w="955" w:type="dxa"/>
                  <w:vAlign w:val="center"/>
                </w:tcPr>
                <w:p w14:paraId="42B7F79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w:t>
                  </w:r>
                </w:p>
              </w:tc>
              <w:tc>
                <w:tcPr>
                  <w:tcW w:w="955" w:type="dxa"/>
                  <w:vAlign w:val="center"/>
                </w:tcPr>
                <w:p w14:paraId="644DBCA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94.12</w:t>
                  </w:r>
                </w:p>
              </w:tc>
              <w:tc>
                <w:tcPr>
                  <w:tcW w:w="955" w:type="dxa"/>
                  <w:vAlign w:val="center"/>
                </w:tcPr>
                <w:p w14:paraId="74C5C7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r>
                    <w:rPr>
                      <w:rFonts w:hint="eastAsia" w:ascii="Times New Roman" w:hAnsi="Times New Roman" w:cs="Times New Roman"/>
                      <w:color w:val="000000" w:themeColor="text1"/>
                      <w:sz w:val="21"/>
                      <w:szCs w:val="21"/>
                      <w14:textFill>
                        <w14:solidFill>
                          <w14:schemeClr w14:val="tx1"/>
                        </w14:solidFill>
                      </w14:textFill>
                    </w:rPr>
                    <w:t>5</w:t>
                  </w:r>
                </w:p>
              </w:tc>
              <w:tc>
                <w:tcPr>
                  <w:tcW w:w="955" w:type="dxa"/>
                  <w:vAlign w:val="center"/>
                </w:tcPr>
                <w:p w14:paraId="3547E32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0.0027</w:t>
                  </w:r>
                </w:p>
              </w:tc>
              <w:tc>
                <w:tcPr>
                  <w:tcW w:w="955" w:type="dxa"/>
                  <w:vAlign w:val="center"/>
                </w:tcPr>
                <w:p w14:paraId="6A16914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186741.4</w:t>
                  </w:r>
                </w:p>
              </w:tc>
              <w:tc>
                <w:tcPr>
                  <w:tcW w:w="957" w:type="dxa"/>
                  <w:vAlign w:val="center"/>
                </w:tcPr>
                <w:p w14:paraId="48207A6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0.509</w:t>
                  </w:r>
                </w:p>
              </w:tc>
            </w:tr>
            <w:tr w14:paraId="6D05C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439" w:type="dxa"/>
                  <w:vAlign w:val="center"/>
                </w:tcPr>
                <w:p w14:paraId="12EA1062">
                  <w:pPr>
                    <w:pStyle w:val="118"/>
                    <w:numPr>
                      <w:ilvl w:val="0"/>
                      <w:numId w:val="18"/>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221" w:type="dxa"/>
                  <w:vAlign w:val="center"/>
                </w:tcPr>
                <w:p w14:paraId="5A84C0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己内酰胺</w:t>
                  </w:r>
                </w:p>
              </w:tc>
              <w:tc>
                <w:tcPr>
                  <w:tcW w:w="1023" w:type="dxa"/>
                  <w:vAlign w:val="center"/>
                </w:tcPr>
                <w:p w14:paraId="49302B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TVOC</w:t>
                  </w:r>
                </w:p>
              </w:tc>
              <w:tc>
                <w:tcPr>
                  <w:tcW w:w="955" w:type="dxa"/>
                  <w:vAlign w:val="center"/>
                </w:tcPr>
                <w:p w14:paraId="6C7C99E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0.6</w:t>
                  </w:r>
                </w:p>
              </w:tc>
              <w:tc>
                <w:tcPr>
                  <w:tcW w:w="955" w:type="dxa"/>
                  <w:vAlign w:val="center"/>
                </w:tcPr>
                <w:p w14:paraId="22F5408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224</w:t>
                  </w:r>
                </w:p>
              </w:tc>
              <w:tc>
                <w:tcPr>
                  <w:tcW w:w="955" w:type="dxa"/>
                  <w:vAlign w:val="center"/>
                </w:tcPr>
                <w:p w14:paraId="33D8116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113.12</w:t>
                  </w:r>
                </w:p>
              </w:tc>
              <w:tc>
                <w:tcPr>
                  <w:tcW w:w="955" w:type="dxa"/>
                  <w:vAlign w:val="center"/>
                </w:tcPr>
                <w:p w14:paraId="58C07A3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w:t>
                  </w:r>
                </w:p>
              </w:tc>
              <w:tc>
                <w:tcPr>
                  <w:tcW w:w="955" w:type="dxa"/>
                  <w:vAlign w:val="center"/>
                </w:tcPr>
                <w:p w14:paraId="4B58A7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w:t>
                  </w:r>
                  <w:r>
                    <w:rPr>
                      <w:rFonts w:hint="eastAsia" w:ascii="Times New Roman" w:hAnsi="Times New Roman" w:cs="Times New Roman"/>
                      <w:color w:val="000000" w:themeColor="text1"/>
                      <w:sz w:val="21"/>
                      <w:szCs w:val="21"/>
                      <w14:textFill>
                        <w14:solidFill>
                          <w14:schemeClr w14:val="tx1"/>
                        </w14:solidFill>
                      </w14:textFill>
                    </w:rPr>
                    <w:t>5</w:t>
                  </w:r>
                  <w:r>
                    <w:rPr>
                      <w:rFonts w:ascii="Times New Roman" w:hAnsi="Times New Roman" w:cs="Times New Roman"/>
                      <w:color w:val="000000" w:themeColor="text1"/>
                      <w:sz w:val="21"/>
                      <w:szCs w:val="21"/>
                      <w14:textFill>
                        <w14:solidFill>
                          <w14:schemeClr w14:val="tx1"/>
                        </w14:solidFill>
                      </w14:textFill>
                    </w:rPr>
                    <w:t>2</w:t>
                  </w:r>
                </w:p>
              </w:tc>
              <w:tc>
                <w:tcPr>
                  <w:tcW w:w="955" w:type="dxa"/>
                  <w:vAlign w:val="center"/>
                </w:tcPr>
                <w:p w14:paraId="1DC25E8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218963.8</w:t>
                  </w:r>
                </w:p>
              </w:tc>
              <w:tc>
                <w:tcPr>
                  <w:tcW w:w="957" w:type="dxa"/>
                  <w:vAlign w:val="center"/>
                </w:tcPr>
                <w:p w14:paraId="2D75C4D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1.131</w:t>
                  </w:r>
                </w:p>
              </w:tc>
            </w:tr>
          </w:tbl>
          <w:p w14:paraId="33BA9615">
            <w:pPr>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根据上表可知，卸料过程中</w:t>
            </w:r>
            <w:r>
              <w:rPr>
                <w:rFonts w:hint="eastAsia" w:ascii="Times New Roman" w:hAnsi="Times New Roman" w:cs="Times New Roman"/>
                <w:color w:val="000000" w:themeColor="text1"/>
                <w14:textFill>
                  <w14:solidFill>
                    <w14:schemeClr w14:val="tx1"/>
                  </w14:solidFill>
                </w14:textFill>
              </w:rPr>
              <w:t>卸料损失产生量为：升华硫（颗粒物）0.750</w:t>
            </w:r>
            <w:r>
              <w:rPr>
                <w:rFonts w:ascii="Times New Roman" w:hAnsi="Times New Roman" w:cs="Times New Roman"/>
                <w:color w:val="000000" w:themeColor="text1"/>
                <w14:textFill>
                  <w14:solidFill>
                    <w14:schemeClr w14:val="tx1"/>
                  </w14:solidFill>
                </w14:textFill>
              </w:rPr>
              <w:t>t/a，硫酸雾</w:t>
            </w:r>
            <w:r>
              <w:rPr>
                <w:rFonts w:hint="eastAsia" w:ascii="Times New Roman" w:hAnsi="Times New Roman" w:cs="Times New Roman"/>
                <w:color w:val="000000" w:themeColor="text1"/>
                <w14:textFill>
                  <w14:solidFill>
                    <w14:schemeClr w14:val="tx1"/>
                  </w14:solidFill>
                </w14:textFill>
              </w:rPr>
              <w:t>0.033</w:t>
            </w:r>
            <w:r>
              <w:rPr>
                <w:rFonts w:ascii="Times New Roman" w:hAnsi="Times New Roman" w:cs="Times New Roman"/>
                <w:color w:val="000000" w:themeColor="text1"/>
                <w14:textFill>
                  <w14:solidFill>
                    <w14:schemeClr w14:val="tx1"/>
                  </w14:solidFill>
                </w14:textFill>
              </w:rPr>
              <w:t>t/a</w:t>
            </w:r>
            <w:r>
              <w:rPr>
                <w:rFonts w:hint="eastAsia" w:ascii="Times New Roman" w:hAnsi="Times New Roman" w:cs="Times New Roman"/>
                <w:color w:val="000000" w:themeColor="text1"/>
                <w14:textFill>
                  <w14:solidFill>
                    <w14:schemeClr w14:val="tx1"/>
                  </w14:solidFill>
                </w14:textFill>
              </w:rPr>
              <w:t>，酚类0.509t/a，己内酰胺1.131t/a</w:t>
            </w:r>
            <w:r>
              <w:rPr>
                <w:rFonts w:ascii="Times New Roman" w:hAnsi="Times New Roman" w:cs="Times New Roman"/>
                <w:color w:val="000000" w:themeColor="text1"/>
                <w14:textFill>
                  <w14:solidFill>
                    <w14:schemeClr w14:val="tx1"/>
                  </w14:solidFill>
                </w14:textFill>
              </w:rPr>
              <w:t>。</w:t>
            </w:r>
          </w:p>
          <w:p w14:paraId="535AE8BC">
            <w:pPr>
              <w:spacing w:line="360" w:lineRule="auto"/>
              <w:ind w:firstLine="480" w:firstLineChars="200"/>
              <w:jc w:val="both"/>
              <w:rPr>
                <w:rFonts w:ascii="Times New Roman" w:hAnsi="Times New Roman" w:cs="Times New Roman"/>
                <w:color w:val="FF0000"/>
              </w:rPr>
            </w:pPr>
            <w:r>
              <w:rPr>
                <w:rFonts w:hint="eastAsia" w:ascii="Times New Roman" w:hAnsi="Times New Roman" w:cs="Times New Roman"/>
                <w:color w:val="000000" w:themeColor="text1"/>
                <w14:textFill>
                  <w14:solidFill>
                    <w14:schemeClr w14:val="tx1"/>
                  </w14:solidFill>
                </w14:textFill>
              </w:rPr>
              <w:t>装料方式与卸料方式一致，因此，装料过程废气产生量与卸料过程的废气产生量一致，则本项目装卸过程废气产生量为：升华硫（颗粒物）1.500t/a，硫酸雾0.066t/a，酚类1.018t/a，己内酰胺2.262t/a</w:t>
            </w:r>
            <w:r>
              <w:rPr>
                <w:rFonts w:ascii="Times New Roman" w:hAnsi="Times New Roman" w:cs="Times New Roman"/>
                <w:color w:val="000000" w:themeColor="text1"/>
                <w14:textFill>
                  <w14:solidFill>
                    <w14:schemeClr w14:val="tx1"/>
                  </w14:solidFill>
                </w14:textFill>
              </w:rPr>
              <w:t>。</w:t>
            </w:r>
          </w:p>
          <w:p w14:paraId="6EABE40A">
            <w:pPr>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项目装卸过程中采取密闭管道进行输送，储罐呼吸口与罐车等之间均密闭连接，形成一个循环的密闭空间，且装车过程采用浸没式装车，储罐内还有氮封措施，断开装卸</w:t>
            </w:r>
            <w:r>
              <w:rPr>
                <w:rFonts w:hint="eastAsia" w:ascii="Times New Roman" w:hAnsi="Times New Roman" w:cs="Times New Roman"/>
                <w:color w:val="000000" w:themeColor="text1"/>
                <w14:textFill>
                  <w14:solidFill>
                    <w14:schemeClr w14:val="tx1"/>
                  </w14:solidFill>
                </w14:textFill>
              </w:rPr>
              <w:t>管道</w:t>
            </w:r>
            <w:r>
              <w:rPr>
                <w:rFonts w:ascii="Times New Roman" w:hAnsi="Times New Roman" w:cs="Times New Roman"/>
                <w:color w:val="000000" w:themeColor="text1"/>
                <w14:textFill>
                  <w14:solidFill>
                    <w14:schemeClr w14:val="tx1"/>
                  </w14:solidFill>
                </w14:textFill>
              </w:rPr>
              <w:t>的连接后立即关紧装卸主管末端的阀门，</w:t>
            </w:r>
            <w:r>
              <w:rPr>
                <w:rFonts w:hint="eastAsia" w:ascii="Times New Roman" w:hAnsi="Times New Roman" w:cs="Times New Roman"/>
                <w:color w:val="000000" w:themeColor="text1"/>
                <w14:textFill>
                  <w14:solidFill>
                    <w14:schemeClr w14:val="tx1"/>
                  </w14:solidFill>
                </w14:textFill>
              </w:rPr>
              <w:t>加强连接口的密封性，</w:t>
            </w:r>
            <w:r>
              <w:rPr>
                <w:rFonts w:ascii="Times New Roman" w:hAnsi="Times New Roman" w:cs="Times New Roman"/>
                <w:color w:val="000000" w:themeColor="text1"/>
                <w14:textFill>
                  <w14:solidFill>
                    <w14:schemeClr w14:val="tx1"/>
                  </w14:solidFill>
                </w14:textFill>
              </w:rPr>
              <w:t>可极大降低在装卸过程中废气的挥发量。</w:t>
            </w:r>
            <w:r>
              <w:rPr>
                <w:rFonts w:hint="eastAsia" w:ascii="Times New Roman" w:hAnsi="Times New Roman" w:cs="Times New Roman"/>
                <w:color w:val="000000" w:themeColor="text1"/>
                <w14:textFill>
                  <w14:solidFill>
                    <w14:schemeClr w14:val="tx1"/>
                  </w14:solidFill>
                </w14:textFill>
              </w:rPr>
              <w:t>装卸过程采用气相平衡，参考《上海市工业企业挥发性有机物排放量通用计算方法（试行）》，装载平衡管控制效率为100%，装卸过程中气体经过气相平衡管道进入储罐，储罐中设置有氮封，通过储罐呼吸口排出的气体为氮气。</w:t>
            </w:r>
            <w:r>
              <w:rPr>
                <w:rFonts w:ascii="Times New Roman" w:hAnsi="Times New Roman" w:cs="Times New Roman"/>
                <w:color w:val="000000" w:themeColor="text1"/>
                <w14:textFill>
                  <w14:solidFill>
                    <w14:schemeClr w14:val="tx1"/>
                  </w14:solidFill>
                </w14:textFill>
              </w:rPr>
              <w:t>装卸过程中的废气仅在装车管道拆卸过程中会挥发出少量的废气，</w:t>
            </w:r>
            <w:r>
              <w:rPr>
                <w:rFonts w:hint="eastAsia" w:ascii="Times New Roman" w:hAnsi="Times New Roman" w:cs="Times New Roman"/>
                <w:color w:val="000000" w:themeColor="text1"/>
                <w14:textFill>
                  <w14:solidFill>
                    <w14:schemeClr w14:val="tx1"/>
                  </w14:solidFill>
                </w14:textFill>
              </w:rPr>
              <w:t>参考《有机液体装卸环节VOCs排放对环境和健康影响研究》、《石化企业VOCs管理与控制措施研究》等资料，采取气相平衡、液下装载、管线与装卸接口快速连接等方式，可减少约92%的废气排放。因此装卸过程按液</w:t>
            </w:r>
            <w:r>
              <w:rPr>
                <w:rFonts w:ascii="Times New Roman" w:hAnsi="Times New Roman" w:cs="Times New Roman"/>
                <w:color w:val="000000" w:themeColor="text1"/>
                <w14:textFill>
                  <w14:solidFill>
                    <w14:schemeClr w14:val="tx1"/>
                  </w14:solidFill>
                </w14:textFill>
              </w:rPr>
              <w:t>废气按产生量的</w:t>
            </w:r>
            <w:r>
              <w:rPr>
                <w:rFonts w:hint="eastAsia" w:ascii="Times New Roman" w:hAnsi="Times New Roman" w:cs="Times New Roman"/>
                <w:color w:val="000000" w:themeColor="text1"/>
                <w14:textFill>
                  <w14:solidFill>
                    <w14:schemeClr w14:val="tx1"/>
                  </w14:solidFill>
                </w14:textFill>
              </w:rPr>
              <w:t>8</w:t>
            </w:r>
            <w:r>
              <w:rPr>
                <w:rFonts w:ascii="Times New Roman" w:hAnsi="Times New Roman" w:cs="Times New Roman"/>
                <w:color w:val="000000" w:themeColor="text1"/>
                <w14:textFill>
                  <w14:solidFill>
                    <w14:schemeClr w14:val="tx1"/>
                  </w14:solidFill>
                </w14:textFill>
              </w:rPr>
              <w:t>%进行计算</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则本项目装卸过程中废气的排放量为：</w:t>
            </w:r>
            <w:r>
              <w:rPr>
                <w:rFonts w:hint="eastAsia" w:ascii="Times New Roman" w:hAnsi="Times New Roman" w:cs="Times New Roman"/>
                <w:color w:val="000000" w:themeColor="text1"/>
                <w14:textFill>
                  <w14:solidFill>
                    <w14:schemeClr w14:val="tx1"/>
                  </w14:solidFill>
                </w14:textFill>
              </w:rPr>
              <w:t>升华硫（颗粒物）0.120</w:t>
            </w:r>
            <w:r>
              <w:rPr>
                <w:rFonts w:ascii="Times New Roman" w:hAnsi="Times New Roman" w:cs="Times New Roman"/>
                <w:color w:val="000000" w:themeColor="text1"/>
                <w14:textFill>
                  <w14:solidFill>
                    <w14:schemeClr w14:val="tx1"/>
                  </w14:solidFill>
                </w14:textFill>
              </w:rPr>
              <w:t>t/a、硫酸雾</w:t>
            </w:r>
            <w:r>
              <w:rPr>
                <w:rFonts w:hint="eastAsia" w:ascii="Times New Roman" w:hAnsi="Times New Roman" w:cs="Times New Roman"/>
                <w:color w:val="000000" w:themeColor="text1"/>
                <w14:textFill>
                  <w14:solidFill>
                    <w14:schemeClr w14:val="tx1"/>
                  </w14:solidFill>
                </w14:textFill>
              </w:rPr>
              <w:t>0.0053</w:t>
            </w:r>
            <w:r>
              <w:rPr>
                <w:rFonts w:ascii="Times New Roman" w:hAnsi="Times New Roman" w:cs="Times New Roman"/>
                <w:color w:val="000000" w:themeColor="text1"/>
                <w14:textFill>
                  <w14:solidFill>
                    <w14:schemeClr w14:val="tx1"/>
                  </w14:solidFill>
                </w14:textFill>
              </w:rPr>
              <w:t>t/a</w:t>
            </w:r>
            <w:r>
              <w:rPr>
                <w:rFonts w:hint="eastAsia" w:ascii="Times New Roman" w:hAnsi="Times New Roman" w:cs="Times New Roman"/>
                <w:color w:val="000000" w:themeColor="text1"/>
                <w14:textFill>
                  <w14:solidFill>
                    <w14:schemeClr w14:val="tx1"/>
                  </w14:solidFill>
                </w14:textFill>
              </w:rPr>
              <w:t>、酚类0.081t/a，非甲烷总烃0.181t/a</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装卸废气在厂区内无组织排放。</w:t>
            </w:r>
          </w:p>
          <w:p w14:paraId="186ACA6A">
            <w:pPr>
              <w:pStyle w:val="118"/>
              <w:spacing w:line="240" w:lineRule="auto"/>
              <w:ind w:firstLine="0" w:firstLineChars="0"/>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 xml:space="preserve">表4-7 </w:t>
            </w:r>
            <w:r>
              <w:rPr>
                <w:rFonts w:hint="eastAsia" w:ascii="Times New Roman" w:hAnsi="Times New Roman" w:cs="Times New Roman"/>
                <w:b/>
                <w:bCs/>
                <w:color w:val="000000" w:themeColor="text1"/>
                <w14:textFill>
                  <w14:solidFill>
                    <w14:schemeClr w14:val="tx1"/>
                  </w14:solidFill>
                </w14:textFill>
              </w:rPr>
              <w:t>装</w:t>
            </w:r>
            <w:r>
              <w:rPr>
                <w:rFonts w:ascii="Times New Roman" w:hAnsi="Times New Roman" w:cs="Times New Roman"/>
                <w:b/>
                <w:bCs/>
                <w:color w:val="000000" w:themeColor="text1"/>
                <w14:textFill>
                  <w14:solidFill>
                    <w14:schemeClr w14:val="tx1"/>
                  </w14:solidFill>
                </w14:textFill>
              </w:rPr>
              <w:t>卸料过程废气排放量</w:t>
            </w:r>
          </w:p>
          <w:tbl>
            <w:tblPr>
              <w:tblStyle w:val="89"/>
              <w:tblW w:w="92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755"/>
              <w:gridCol w:w="1875"/>
              <w:gridCol w:w="1875"/>
              <w:gridCol w:w="1875"/>
              <w:gridCol w:w="1876"/>
            </w:tblGrid>
            <w:tr w14:paraId="448B3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755" w:type="dxa"/>
                  <w:vAlign w:val="center"/>
                </w:tcPr>
                <w:p w14:paraId="4713BAD8">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产生环节</w:t>
                  </w:r>
                </w:p>
              </w:tc>
              <w:tc>
                <w:tcPr>
                  <w:tcW w:w="7501" w:type="dxa"/>
                  <w:gridSpan w:val="4"/>
                </w:tcPr>
                <w:p w14:paraId="4A69E0FB">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装</w:t>
                  </w:r>
                  <w:r>
                    <w:rPr>
                      <w:rFonts w:ascii="Times New Roman" w:hAnsi="Times New Roman" w:cs="Times New Roman"/>
                      <w:color w:val="000000" w:themeColor="text1"/>
                      <w:sz w:val="21"/>
                      <w:szCs w:val="21"/>
                      <w14:textFill>
                        <w14:solidFill>
                          <w14:schemeClr w14:val="tx1"/>
                        </w14:solidFill>
                      </w14:textFill>
                    </w:rPr>
                    <w:t>卸料</w:t>
                  </w:r>
                </w:p>
              </w:tc>
            </w:tr>
            <w:tr w14:paraId="45762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755" w:type="dxa"/>
                  <w:vAlign w:val="center"/>
                </w:tcPr>
                <w:p w14:paraId="6308B772">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tc>
              <w:tc>
                <w:tcPr>
                  <w:tcW w:w="1875" w:type="dxa"/>
                  <w:vAlign w:val="center"/>
                </w:tcPr>
                <w:p w14:paraId="235E1162">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升华硫（颗粒物）</w:t>
                  </w:r>
                </w:p>
              </w:tc>
              <w:tc>
                <w:tcPr>
                  <w:tcW w:w="1875" w:type="dxa"/>
                  <w:vAlign w:val="center"/>
                </w:tcPr>
                <w:p w14:paraId="5F4499F8">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1875" w:type="dxa"/>
                  <w:vAlign w:val="center"/>
                </w:tcPr>
                <w:p w14:paraId="47852CDE">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1876" w:type="dxa"/>
                  <w:vAlign w:val="center"/>
                </w:tcPr>
                <w:p w14:paraId="3107AFFC">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非甲烷总烃</w:t>
                  </w:r>
                </w:p>
              </w:tc>
            </w:tr>
            <w:tr w14:paraId="60B5B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755" w:type="dxa"/>
                  <w:vAlign w:val="center"/>
                </w:tcPr>
                <w:p w14:paraId="77A4A439">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排放量（t/a）</w:t>
                  </w:r>
                </w:p>
              </w:tc>
              <w:tc>
                <w:tcPr>
                  <w:tcW w:w="1875" w:type="dxa"/>
                  <w:vAlign w:val="center"/>
                </w:tcPr>
                <w:p w14:paraId="3FB2DF15">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0.120</w:t>
                  </w:r>
                </w:p>
              </w:tc>
              <w:tc>
                <w:tcPr>
                  <w:tcW w:w="1875" w:type="dxa"/>
                  <w:vAlign w:val="center"/>
                </w:tcPr>
                <w:p w14:paraId="3AC2C255">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0.0053</w:t>
                  </w:r>
                </w:p>
              </w:tc>
              <w:tc>
                <w:tcPr>
                  <w:tcW w:w="1875" w:type="dxa"/>
                  <w:vAlign w:val="center"/>
                </w:tcPr>
                <w:p w14:paraId="2BDB2CD6">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0.081</w:t>
                  </w:r>
                </w:p>
              </w:tc>
              <w:tc>
                <w:tcPr>
                  <w:tcW w:w="1876" w:type="dxa"/>
                  <w:vAlign w:val="center"/>
                </w:tcPr>
                <w:p w14:paraId="3CE0C890">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0.181</w:t>
                  </w:r>
                </w:p>
              </w:tc>
            </w:tr>
          </w:tbl>
          <w:p w14:paraId="02B963FC">
            <w:pPr>
              <w:spacing w:line="360" w:lineRule="auto"/>
              <w:ind w:firstLine="480" w:firstLineChars="200"/>
              <w:jc w:val="both"/>
              <w:rPr>
                <w:rFonts w:ascii="Times New Roman" w:hAnsi="Times New Roman" w:cs="Times New Roman"/>
                <w:color w:val="000000" w:themeColor="text1"/>
                <w14:textFill>
                  <w14:solidFill>
                    <w14:schemeClr w14:val="tx1"/>
                  </w14:solidFill>
                </w14:textFill>
              </w:rPr>
            </w:pPr>
          </w:p>
          <w:p w14:paraId="30724B49">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（2）储罐呼吸废气</w:t>
            </w:r>
          </w:p>
          <w:p w14:paraId="3C27D5CC">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项目使用</w:t>
            </w:r>
            <w:r>
              <w:rPr>
                <w:rFonts w:hint="eastAsia" w:ascii="Times New Roman" w:hAnsi="Times New Roman" w:cs="Times New Roman"/>
                <w:color w:val="000000" w:themeColor="text1"/>
                <w14:textFill>
                  <w14:solidFill>
                    <w14:schemeClr w14:val="tx1"/>
                  </w14:solidFill>
                </w14:textFill>
              </w:rPr>
              <w:t>固定顶</w:t>
            </w:r>
            <w:r>
              <w:rPr>
                <w:rFonts w:ascii="Times New Roman" w:hAnsi="Times New Roman" w:cs="Times New Roman"/>
                <w:color w:val="000000" w:themeColor="text1"/>
                <w14:textFill>
                  <w14:solidFill>
                    <w14:schemeClr w14:val="tx1"/>
                  </w14:solidFill>
                </w14:textFill>
              </w:rPr>
              <w:t>罐储存</w:t>
            </w:r>
            <w:r>
              <w:rPr>
                <w:rFonts w:hint="eastAsia" w:ascii="Times New Roman" w:hAnsi="Times New Roman" w:cs="Times New Roman"/>
                <w:color w:val="000000" w:themeColor="text1"/>
                <w14:textFill>
                  <w14:solidFill>
                    <w14:schemeClr w14:val="tx1"/>
                  </w14:solidFill>
                </w14:textFill>
              </w:rPr>
              <w:t>货种，</w:t>
            </w:r>
            <w:r>
              <w:rPr>
                <w:rFonts w:ascii="Times New Roman" w:hAnsi="Times New Roman" w:cs="Times New Roman"/>
              </w:rPr>
              <w:t>储存过程大小呼吸挥发排放有机废气，主要污染物为</w:t>
            </w:r>
            <w:r>
              <w:rPr>
                <w:rFonts w:hint="eastAsia" w:ascii="Times New Roman" w:hAnsi="Times New Roman" w:cs="Times New Roman"/>
                <w:color w:val="000000" w:themeColor="text1"/>
                <w14:textFill>
                  <w14:solidFill>
                    <w14:schemeClr w14:val="tx1"/>
                  </w14:solidFill>
                </w14:textFill>
              </w:rPr>
              <w:t>升华硫（颗粒物）、酚类及</w:t>
            </w:r>
            <w:r>
              <w:rPr>
                <w:rFonts w:ascii="Times New Roman" w:hAnsi="Times New Roman" w:cs="Times New Roman"/>
                <w:color w:val="000000" w:themeColor="text1"/>
                <w14:textFill>
                  <w14:solidFill>
                    <w14:schemeClr w14:val="tx1"/>
                  </w14:solidFill>
                </w14:textFill>
              </w:rPr>
              <w:t>非甲烷总烃。</w:t>
            </w:r>
            <w:r>
              <w:rPr>
                <w:rFonts w:hint="eastAsia" w:ascii="Times New Roman" w:hAnsi="Times New Roman" w:cs="Times New Roman"/>
                <w:color w:val="000000" w:themeColor="text1"/>
                <w14:textFill>
                  <w14:solidFill>
                    <w14:schemeClr w14:val="tx1"/>
                  </w14:solidFill>
                </w14:textFill>
              </w:rPr>
              <w:t>液碱储罐呼吸废气主要为水蒸气，对环境基本无影响，因此本评价主要计算液硫、发烟硫酸/98%硫酸、苯酚、己内酰胺在卸料及储存过程大小呼吸排放的废气。</w:t>
            </w:r>
          </w:p>
          <w:p w14:paraId="4F78AE30">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1）呼吸废气中的物料量</w:t>
            </w:r>
          </w:p>
          <w:p w14:paraId="522741E3">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hint="eastAsia"/>
                <w:color w:val="000000" w:themeColor="text1"/>
                <w:kern w:val="21"/>
                <w14:textFill>
                  <w14:solidFill>
                    <w14:schemeClr w14:val="tx1"/>
                  </w14:solidFill>
                </w14:textFill>
              </w:rPr>
              <w:t>①</w:t>
            </w:r>
            <w:r>
              <w:rPr>
                <w:rFonts w:ascii="Times New Roman" w:hAnsi="Times New Roman" w:cs="Times New Roman"/>
                <w:color w:val="000000" w:themeColor="text1"/>
                <w:kern w:val="21"/>
                <w14:textFill>
                  <w14:solidFill>
                    <w14:schemeClr w14:val="tx1"/>
                  </w14:solidFill>
                </w14:textFill>
              </w:rPr>
              <w:t>大呼吸</w:t>
            </w:r>
          </w:p>
          <w:p w14:paraId="3F368E4F">
            <w:pPr>
              <w:spacing w:line="360" w:lineRule="auto"/>
              <w:contextualSpacing/>
              <w:jc w:val="center"/>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Lw=4.188×10</w:t>
            </w:r>
            <w:r>
              <w:rPr>
                <w:rFonts w:ascii="Times New Roman" w:hAnsi="Times New Roman" w:cs="Times New Roman" w:eastAsiaTheme="minorEastAsia"/>
                <w:color w:val="000000" w:themeColor="text1"/>
                <w:vertAlign w:val="superscript"/>
                <w14:textFill>
                  <w14:solidFill>
                    <w14:schemeClr w14:val="tx1"/>
                  </w14:solidFill>
                </w14:textFill>
              </w:rPr>
              <w:t>-7</w:t>
            </w:r>
            <w:r>
              <w:rPr>
                <w:rFonts w:ascii="Times New Roman" w:hAnsi="Times New Roman" w:cs="Times New Roman" w:eastAsiaTheme="minorEastAsia"/>
                <w:color w:val="000000" w:themeColor="text1"/>
                <w14:textFill>
                  <w14:solidFill>
                    <w14:schemeClr w14:val="tx1"/>
                  </w14:solidFill>
                </w14:textFill>
              </w:rPr>
              <w:t>×M×P×K</w:t>
            </w:r>
            <w:r>
              <w:rPr>
                <w:rFonts w:ascii="Times New Roman" w:hAnsi="Times New Roman" w:cs="Times New Roman" w:eastAsiaTheme="minorEastAsia"/>
                <w:color w:val="000000" w:themeColor="text1"/>
                <w:vertAlign w:val="subscript"/>
                <w14:textFill>
                  <w14:solidFill>
                    <w14:schemeClr w14:val="tx1"/>
                  </w14:solidFill>
                </w14:textFill>
              </w:rPr>
              <w:t>N</w:t>
            </w:r>
            <w:r>
              <w:rPr>
                <w:rFonts w:ascii="Times New Roman" w:hAnsi="Times New Roman" w:cs="Times New Roman" w:eastAsiaTheme="minorEastAsia"/>
                <w:color w:val="000000" w:themeColor="text1"/>
                <w14:textFill>
                  <w14:solidFill>
                    <w14:schemeClr w14:val="tx1"/>
                  </w14:solidFill>
                </w14:textFill>
              </w:rPr>
              <w:t>×K</w:t>
            </w:r>
            <w:r>
              <w:rPr>
                <w:rFonts w:ascii="Times New Roman" w:hAnsi="Times New Roman" w:cs="Times New Roman" w:eastAsiaTheme="minorEastAsia"/>
                <w:color w:val="000000" w:themeColor="text1"/>
                <w:vertAlign w:val="subscript"/>
                <w14:textFill>
                  <w14:solidFill>
                    <w14:schemeClr w14:val="tx1"/>
                  </w14:solidFill>
                </w14:textFill>
              </w:rPr>
              <w:t>C</w:t>
            </w:r>
          </w:p>
          <w:p w14:paraId="258152B1">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式中：Lw—固定顶罐的工作损失（kg/m</w:t>
            </w:r>
            <w:r>
              <w:rPr>
                <w:rFonts w:ascii="Times New Roman" w:hAnsi="Times New Roman" w:cs="Times New Roman" w:eastAsiaTheme="minorEastAsia"/>
                <w:color w:val="000000" w:themeColor="text1"/>
                <w:vertAlign w:val="superscript"/>
                <w14:textFill>
                  <w14:solidFill>
                    <w14:schemeClr w14:val="tx1"/>
                  </w14:solidFill>
                </w14:textFill>
              </w:rPr>
              <w:t>3</w:t>
            </w:r>
            <w:r>
              <w:rPr>
                <w:rFonts w:ascii="Times New Roman" w:hAnsi="Times New Roman" w:cs="Times New Roman" w:eastAsiaTheme="minorEastAsia"/>
                <w:color w:val="000000" w:themeColor="text1"/>
                <w14:textFill>
                  <w14:solidFill>
                    <w14:schemeClr w14:val="tx1"/>
                  </w14:solidFill>
                </w14:textFill>
              </w:rPr>
              <w:t>投放量）；</w:t>
            </w:r>
          </w:p>
          <w:p w14:paraId="3E14A410">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M—储罐内的蒸汽分子量；</w:t>
            </w:r>
          </w:p>
          <w:p w14:paraId="407168F0">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K</w:t>
            </w:r>
            <w:r>
              <w:rPr>
                <w:rFonts w:ascii="Times New Roman" w:hAnsi="Times New Roman" w:cs="Times New Roman" w:eastAsiaTheme="minorEastAsia"/>
                <w:color w:val="000000" w:themeColor="text1"/>
                <w:vertAlign w:val="subscript"/>
                <w14:textFill>
                  <w14:solidFill>
                    <w14:schemeClr w14:val="tx1"/>
                  </w14:solidFill>
                </w14:textFill>
              </w:rPr>
              <w:t>N</w:t>
            </w:r>
            <w:r>
              <w:rPr>
                <w:rFonts w:ascii="Times New Roman" w:hAnsi="Times New Roman" w:cs="Times New Roman" w:eastAsiaTheme="minorEastAsia"/>
                <w:color w:val="000000" w:themeColor="text1"/>
                <w14:textFill>
                  <w14:solidFill>
                    <w14:schemeClr w14:val="tx1"/>
                  </w14:solidFill>
                </w14:textFill>
              </w:rPr>
              <w:t>—周转因子（无量纲），取值按年周转次数（K）确定。K</w:t>
            </w:r>
            <w:r>
              <w:rPr>
                <w:rFonts w:hint="eastAsia"/>
                <w:color w:val="000000" w:themeColor="text1"/>
                <w14:textFill>
                  <w14:solidFill>
                    <w14:schemeClr w14:val="tx1"/>
                  </w14:solidFill>
                </w14:textFill>
              </w:rPr>
              <w:t>≦</w:t>
            </w:r>
            <w:r>
              <w:rPr>
                <w:rFonts w:ascii="Times New Roman" w:hAnsi="Times New Roman" w:cs="Times New Roman" w:eastAsiaTheme="minorEastAsia"/>
                <w:color w:val="000000" w:themeColor="text1"/>
                <w14:textFill>
                  <w14:solidFill>
                    <w14:schemeClr w14:val="tx1"/>
                  </w14:solidFill>
                </w14:textFill>
              </w:rPr>
              <w:t>36，K</w:t>
            </w:r>
            <w:r>
              <w:rPr>
                <w:rFonts w:ascii="Times New Roman" w:hAnsi="Times New Roman" w:cs="Times New Roman" w:eastAsiaTheme="minorEastAsia"/>
                <w:color w:val="000000" w:themeColor="text1"/>
                <w:vertAlign w:val="subscript"/>
                <w14:textFill>
                  <w14:solidFill>
                    <w14:schemeClr w14:val="tx1"/>
                  </w14:solidFill>
                </w14:textFill>
              </w:rPr>
              <w:t>N</w:t>
            </w:r>
            <w:r>
              <w:rPr>
                <w:rFonts w:ascii="Times New Roman" w:hAnsi="Times New Roman" w:cs="Times New Roman" w:eastAsiaTheme="minorEastAsia"/>
                <w:color w:val="000000" w:themeColor="text1"/>
                <w14:textFill>
                  <w14:solidFill>
                    <w14:schemeClr w14:val="tx1"/>
                  </w14:solidFill>
                </w14:textFill>
              </w:rPr>
              <w:t>=1；36﹤K</w:t>
            </w:r>
            <w:r>
              <w:rPr>
                <w:rFonts w:hint="eastAsia"/>
                <w:color w:val="000000" w:themeColor="text1"/>
                <w14:textFill>
                  <w14:solidFill>
                    <w14:schemeClr w14:val="tx1"/>
                  </w14:solidFill>
                </w14:textFill>
              </w:rPr>
              <w:t>≦</w:t>
            </w:r>
            <w:r>
              <w:rPr>
                <w:rFonts w:ascii="Times New Roman" w:hAnsi="Times New Roman" w:cs="Times New Roman" w:eastAsiaTheme="minorEastAsia"/>
                <w:color w:val="000000" w:themeColor="text1"/>
                <w14:textFill>
                  <w14:solidFill>
                    <w14:schemeClr w14:val="tx1"/>
                  </w14:solidFill>
                </w14:textFill>
              </w:rPr>
              <w:t>220，K</w:t>
            </w:r>
            <w:r>
              <w:rPr>
                <w:rFonts w:ascii="Times New Roman" w:hAnsi="Times New Roman" w:cs="Times New Roman" w:eastAsiaTheme="minorEastAsia"/>
                <w:color w:val="000000" w:themeColor="text1"/>
                <w:vertAlign w:val="subscript"/>
                <w14:textFill>
                  <w14:solidFill>
                    <w14:schemeClr w14:val="tx1"/>
                  </w14:solidFill>
                </w14:textFill>
              </w:rPr>
              <w:t>N</w:t>
            </w:r>
            <w:r>
              <w:rPr>
                <w:rFonts w:ascii="Times New Roman" w:hAnsi="Times New Roman" w:cs="Times New Roman" w:eastAsiaTheme="minorEastAsia"/>
                <w:color w:val="000000" w:themeColor="text1"/>
                <w14:textFill>
                  <w14:solidFill>
                    <w14:schemeClr w14:val="tx1"/>
                  </w14:solidFill>
                </w14:textFill>
              </w:rPr>
              <w:t>=11.467×K</w:t>
            </w:r>
            <w:r>
              <w:rPr>
                <w:rFonts w:ascii="Times New Roman" w:hAnsi="Times New Roman" w:cs="Times New Roman" w:eastAsiaTheme="minorEastAsia"/>
                <w:color w:val="000000" w:themeColor="text1"/>
                <w:vertAlign w:val="superscript"/>
                <w14:textFill>
                  <w14:solidFill>
                    <w14:schemeClr w14:val="tx1"/>
                  </w14:solidFill>
                </w14:textFill>
              </w:rPr>
              <w:t>-0.7026</w:t>
            </w:r>
            <w:r>
              <w:rPr>
                <w:rFonts w:ascii="Times New Roman" w:hAnsi="Times New Roman" w:cs="Times New Roman" w:eastAsiaTheme="minorEastAsia"/>
                <w:color w:val="000000" w:themeColor="text1"/>
                <w14:textFill>
                  <w14:solidFill>
                    <w14:schemeClr w14:val="tx1"/>
                  </w14:solidFill>
                </w14:textFill>
              </w:rPr>
              <w:t>；K﹥220，K</w:t>
            </w:r>
            <w:r>
              <w:rPr>
                <w:rFonts w:ascii="Times New Roman" w:hAnsi="Times New Roman" w:cs="Times New Roman" w:eastAsiaTheme="minorEastAsia"/>
                <w:color w:val="000000" w:themeColor="text1"/>
                <w:vertAlign w:val="subscript"/>
                <w14:textFill>
                  <w14:solidFill>
                    <w14:schemeClr w14:val="tx1"/>
                  </w14:solidFill>
                </w14:textFill>
              </w:rPr>
              <w:t>N</w:t>
            </w:r>
            <w:r>
              <w:rPr>
                <w:rFonts w:ascii="Times New Roman" w:hAnsi="Times New Roman" w:cs="Times New Roman" w:eastAsiaTheme="minorEastAsia"/>
                <w:color w:val="000000" w:themeColor="text1"/>
                <w14:textFill>
                  <w14:solidFill>
                    <w14:schemeClr w14:val="tx1"/>
                  </w14:solidFill>
                </w14:textFill>
              </w:rPr>
              <w:t>=0.26。</w:t>
            </w:r>
          </w:p>
          <w:p w14:paraId="23D040E1">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P—在大量液体状态下，真实的蒸气压力（Pa）；</w:t>
            </w:r>
          </w:p>
          <w:p w14:paraId="1EBDB752">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K</w:t>
            </w:r>
            <w:r>
              <w:rPr>
                <w:rFonts w:ascii="Times New Roman" w:hAnsi="Times New Roman" w:cs="Times New Roman" w:eastAsiaTheme="minorEastAsia"/>
                <w:color w:val="000000" w:themeColor="text1"/>
                <w:vertAlign w:val="subscript"/>
                <w14:textFill>
                  <w14:solidFill>
                    <w14:schemeClr w14:val="tx1"/>
                  </w14:solidFill>
                </w14:textFill>
              </w:rPr>
              <w:t>C</w:t>
            </w:r>
            <w:r>
              <w:rPr>
                <w:rFonts w:ascii="Times New Roman" w:hAnsi="Times New Roman" w:cs="Times New Roman" w:eastAsiaTheme="minorEastAsia"/>
                <w:color w:val="000000" w:themeColor="text1"/>
                <w14:textFill>
                  <w14:solidFill>
                    <w14:schemeClr w14:val="tx1"/>
                  </w14:solidFill>
                </w14:textFill>
              </w:rPr>
              <w:t>—产品因子，（无机液体取值为 0.65，其他有机液体取1.0）；</w:t>
            </w:r>
          </w:p>
          <w:p w14:paraId="706FEF11">
            <w:pPr>
              <w:spacing w:line="360" w:lineRule="auto"/>
              <w:contextualSpacing/>
              <w:jc w:val="center"/>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 xml:space="preserve">  W=Lw*Q/ρ</w:t>
            </w:r>
          </w:p>
          <w:p w14:paraId="5C37BA45">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W—排放量，kg/a；Q—年投入量，</w:t>
            </w:r>
            <w:r>
              <w:rPr>
                <w:rFonts w:hint="eastAsia" w:ascii="Times New Roman" w:hAnsi="Times New Roman" w:cs="Times New Roman" w:eastAsiaTheme="minorEastAsia"/>
                <w:color w:val="000000" w:themeColor="text1"/>
                <w14:textFill>
                  <w14:solidFill>
                    <w14:schemeClr w14:val="tx1"/>
                  </w14:solidFill>
                </w14:textFill>
              </w:rPr>
              <w:t>kg</w:t>
            </w:r>
            <w:r>
              <w:rPr>
                <w:rFonts w:ascii="Times New Roman" w:hAnsi="Times New Roman" w:cs="Times New Roman" w:eastAsiaTheme="minorEastAsia"/>
                <w:color w:val="000000" w:themeColor="text1"/>
                <w14:textFill>
                  <w14:solidFill>
                    <w14:schemeClr w14:val="tx1"/>
                  </w14:solidFill>
                </w14:textFill>
              </w:rPr>
              <w:t>/a；ρ—密度，kg/m</w:t>
            </w:r>
            <w:r>
              <w:rPr>
                <w:rFonts w:ascii="Times New Roman" w:hAnsi="Times New Roman" w:cs="Times New Roman" w:eastAsiaTheme="minorEastAsia"/>
                <w:color w:val="000000" w:themeColor="text1"/>
                <w:vertAlign w:val="superscript"/>
                <w14:textFill>
                  <w14:solidFill>
                    <w14:schemeClr w14:val="tx1"/>
                  </w14:solidFill>
                </w14:textFill>
              </w:rPr>
              <w:t>3</w:t>
            </w:r>
            <w:r>
              <w:rPr>
                <w:rFonts w:ascii="Times New Roman" w:hAnsi="Times New Roman" w:cs="Times New Roman" w:eastAsiaTheme="minorEastAsia"/>
                <w:color w:val="000000" w:themeColor="text1"/>
                <w14:textFill>
                  <w14:solidFill>
                    <w14:schemeClr w14:val="tx1"/>
                  </w14:solidFill>
                </w14:textFill>
              </w:rPr>
              <w:t>。</w:t>
            </w:r>
          </w:p>
          <w:p w14:paraId="4589C0DA">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hint="eastAsia"/>
                <w:color w:val="000000" w:themeColor="text1"/>
                <w:kern w:val="21"/>
                <w14:textFill>
                  <w14:solidFill>
                    <w14:schemeClr w14:val="tx1"/>
                  </w14:solidFill>
                </w14:textFill>
              </w:rPr>
              <w:t>②</w:t>
            </w:r>
            <w:r>
              <w:rPr>
                <w:rFonts w:ascii="Times New Roman" w:hAnsi="Times New Roman" w:cs="Times New Roman"/>
                <w:color w:val="000000" w:themeColor="text1"/>
                <w:kern w:val="21"/>
                <w14:textFill>
                  <w14:solidFill>
                    <w14:schemeClr w14:val="tx1"/>
                  </w14:solidFill>
                </w14:textFill>
              </w:rPr>
              <w:t>小呼吸</w:t>
            </w:r>
          </w:p>
          <w:p w14:paraId="022CC28A">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小呼吸废气产生量按下式计算：</w:t>
            </w:r>
          </w:p>
          <w:p w14:paraId="5DC6A9FA">
            <w:pPr>
              <w:pStyle w:val="118"/>
              <w:jc w:val="center"/>
              <w:rPr>
                <w:rFonts w:ascii="Times New Roman" w:hAnsi="Times New Roman" w:cs="Times New Roman"/>
                <w:color w:val="000000" w:themeColor="text1"/>
                <w:szCs w:val="21"/>
                <w:vertAlign w:val="subscript"/>
                <w14:textFill>
                  <w14:solidFill>
                    <w14:schemeClr w14:val="tx1"/>
                  </w14:solidFill>
                </w14:textFill>
              </w:rPr>
            </w:pPr>
            <w:r>
              <w:rPr>
                <w:rFonts w:ascii="Times New Roman" w:hAnsi="Times New Roman" w:cs="Times New Roman"/>
                <w:color w:val="000000" w:themeColor="text1"/>
                <w:lang w:bidi="ar"/>
                <w14:textFill>
                  <w14:solidFill>
                    <w14:schemeClr w14:val="tx1"/>
                  </w14:solidFill>
                </w14:textFill>
              </w:rPr>
              <w:t>L</w:t>
            </w:r>
            <w:r>
              <w:rPr>
                <w:rFonts w:ascii="Times New Roman" w:hAnsi="Times New Roman" w:cs="Times New Roman"/>
                <w:color w:val="000000" w:themeColor="text1"/>
                <w:vertAlign w:val="subscript"/>
                <w:lang w:bidi="ar"/>
                <w14:textFill>
                  <w14:solidFill>
                    <w14:schemeClr w14:val="tx1"/>
                  </w14:solidFill>
                </w14:textFill>
              </w:rPr>
              <w:t>B</w:t>
            </w:r>
            <w:r>
              <w:rPr>
                <w:rFonts w:ascii="Times New Roman" w:hAnsi="Times New Roman" w:cs="Times New Roman"/>
                <w:color w:val="000000" w:themeColor="text1"/>
                <w:lang w:bidi="ar"/>
                <w14:textFill>
                  <w14:solidFill>
                    <w14:schemeClr w14:val="tx1"/>
                  </w14:solidFill>
                </w14:textFill>
              </w:rPr>
              <w:t>=0.191</w:t>
            </w:r>
            <w:r>
              <w:rPr>
                <w:rFonts w:ascii="Times New Roman" w:hAnsi="Times New Roman" w:cs="Times New Roman"/>
                <w:color w:val="000000" w:themeColor="text1"/>
                <w:szCs w:val="21"/>
                <w14:textFill>
                  <w14:solidFill>
                    <w14:schemeClr w14:val="tx1"/>
                  </w14:solidFill>
                </w14:textFill>
              </w:rPr>
              <w:t>×M(P/(100910-P))</w:t>
            </w:r>
            <w:r>
              <w:rPr>
                <w:rFonts w:ascii="Times New Roman" w:hAnsi="Times New Roman" w:cs="Times New Roman"/>
                <w:color w:val="000000" w:themeColor="text1"/>
                <w:szCs w:val="21"/>
                <w:vertAlign w:val="superscript"/>
                <w14:textFill>
                  <w14:solidFill>
                    <w14:schemeClr w14:val="tx1"/>
                  </w14:solidFill>
                </w14:textFill>
              </w:rPr>
              <w:t>0.68</w:t>
            </w:r>
            <w:r>
              <w:rPr>
                <w:rFonts w:ascii="Times New Roman" w:hAnsi="Times New Roman" w:cs="Times New Roman"/>
                <w:color w:val="000000" w:themeColor="text1"/>
                <w:szCs w:val="21"/>
                <w14:textFill>
                  <w14:solidFill>
                    <w14:schemeClr w14:val="tx1"/>
                  </w14:solidFill>
                </w14:textFill>
              </w:rPr>
              <w:t>×D</w:t>
            </w:r>
            <w:r>
              <w:rPr>
                <w:rFonts w:ascii="Times New Roman" w:hAnsi="Times New Roman" w:cs="Times New Roman"/>
                <w:color w:val="000000" w:themeColor="text1"/>
                <w:szCs w:val="21"/>
                <w:vertAlign w:val="superscript"/>
                <w14:textFill>
                  <w14:solidFill>
                    <w14:schemeClr w14:val="tx1"/>
                  </w14:solidFill>
                </w14:textFill>
              </w:rPr>
              <w:t>1.73</w:t>
            </w:r>
            <w:r>
              <w:rPr>
                <w:rFonts w:ascii="Times New Roman" w:hAnsi="Times New Roman" w:cs="Times New Roman"/>
                <w:color w:val="000000" w:themeColor="text1"/>
                <w:szCs w:val="21"/>
                <w14:textFill>
                  <w14:solidFill>
                    <w14:schemeClr w14:val="tx1"/>
                  </w14:solidFill>
                </w14:textFill>
              </w:rPr>
              <w:t>×H</w:t>
            </w:r>
            <w:r>
              <w:rPr>
                <w:rFonts w:ascii="Times New Roman" w:hAnsi="Times New Roman" w:cs="Times New Roman"/>
                <w:color w:val="000000" w:themeColor="text1"/>
                <w:szCs w:val="21"/>
                <w:vertAlign w:val="superscript"/>
                <w14:textFill>
                  <w14:solidFill>
                    <w14:schemeClr w14:val="tx1"/>
                  </w14:solidFill>
                </w14:textFill>
              </w:rPr>
              <w:t>0.51</w:t>
            </w:r>
            <w:r>
              <w:rPr>
                <w:rFonts w:ascii="Times New Roman" w:hAnsi="Times New Roman" w:cs="Times New Roman"/>
                <w:color w:val="000000" w:themeColor="text1"/>
                <w:szCs w:val="21"/>
                <w14:textFill>
                  <w14:solidFill>
                    <w14:schemeClr w14:val="tx1"/>
                  </w14:solidFill>
                </w14:textFill>
              </w:rPr>
              <w:t>×</w:t>
            </w:r>
            <w:r>
              <w:rPr>
                <w:rFonts w:ascii="Cambria Math" w:hAnsi="Cambria Math" w:cs="Cambria Math"/>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T</w:t>
            </w:r>
            <w:r>
              <w:rPr>
                <w:rFonts w:ascii="Times New Roman" w:hAnsi="Times New Roman" w:cs="Times New Roman"/>
                <w:color w:val="000000" w:themeColor="text1"/>
                <w:szCs w:val="21"/>
                <w:vertAlign w:val="superscript"/>
                <w14:textFill>
                  <w14:solidFill>
                    <w14:schemeClr w14:val="tx1"/>
                  </w14:solidFill>
                </w14:textFill>
              </w:rPr>
              <w:t>0.45</w:t>
            </w:r>
            <w:r>
              <w:rPr>
                <w:rFonts w:ascii="Times New Roman" w:hAnsi="Times New Roman" w:cs="Times New Roman"/>
                <w:color w:val="000000" w:themeColor="text1"/>
                <w:szCs w:val="21"/>
                <w14:textFill>
                  <w14:solidFill>
                    <w14:schemeClr w14:val="tx1"/>
                  </w14:solidFill>
                </w14:textFill>
              </w:rPr>
              <w:t>×F</w:t>
            </w:r>
            <w:r>
              <w:rPr>
                <w:rFonts w:ascii="Times New Roman" w:hAnsi="Times New Roman" w:cs="Times New Roman"/>
                <w:color w:val="000000" w:themeColor="text1"/>
                <w:szCs w:val="21"/>
                <w:vertAlign w:val="subscript"/>
                <w14:textFill>
                  <w14:solidFill>
                    <w14:schemeClr w14:val="tx1"/>
                  </w14:solidFill>
                </w14:textFill>
              </w:rPr>
              <w:t>P</w:t>
            </w:r>
            <w:r>
              <w:rPr>
                <w:rFonts w:ascii="Times New Roman" w:hAnsi="Times New Roman" w:cs="Times New Roman"/>
                <w:color w:val="000000" w:themeColor="text1"/>
                <w:szCs w:val="21"/>
                <w14:textFill>
                  <w14:solidFill>
                    <w14:schemeClr w14:val="tx1"/>
                  </w14:solidFill>
                </w14:textFill>
              </w:rPr>
              <w:t>×C×K</w:t>
            </w:r>
            <w:r>
              <w:rPr>
                <w:rFonts w:ascii="Times New Roman" w:hAnsi="Times New Roman" w:cs="Times New Roman"/>
                <w:color w:val="000000" w:themeColor="text1"/>
                <w:szCs w:val="21"/>
                <w:vertAlign w:val="subscript"/>
                <w14:textFill>
                  <w14:solidFill>
                    <w14:schemeClr w14:val="tx1"/>
                  </w14:solidFill>
                </w14:textFill>
              </w:rPr>
              <w:t>C</w:t>
            </w:r>
          </w:p>
          <w:p w14:paraId="6B34E8F2">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式中：L</w:t>
            </w:r>
            <w:r>
              <w:rPr>
                <w:rFonts w:ascii="Times New Roman" w:hAnsi="Times New Roman" w:cs="Times New Roman" w:eastAsiaTheme="minorEastAsia"/>
                <w:color w:val="000000" w:themeColor="text1"/>
                <w:vertAlign w:val="subscript"/>
                <w14:textFill>
                  <w14:solidFill>
                    <w14:schemeClr w14:val="tx1"/>
                  </w14:solidFill>
                </w14:textFill>
              </w:rPr>
              <w:t>B</w:t>
            </w:r>
            <w:r>
              <w:rPr>
                <w:rFonts w:ascii="Times New Roman" w:hAnsi="Times New Roman" w:cs="Times New Roman" w:eastAsiaTheme="minorEastAsia"/>
                <w:color w:val="000000" w:themeColor="text1"/>
                <w14:textFill>
                  <w14:solidFill>
                    <w14:schemeClr w14:val="tx1"/>
                  </w14:solidFill>
                </w14:textFill>
              </w:rPr>
              <w:t>—固定顶罐的呼吸排放量（kg/a）；</w:t>
            </w:r>
          </w:p>
          <w:p w14:paraId="0509D2D2">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M—储罐内的蒸气分子量；</w:t>
            </w:r>
          </w:p>
          <w:p w14:paraId="021E1679">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P—在大量液体状态下，真实的蒸气压力（Pa）；</w:t>
            </w:r>
          </w:p>
          <w:p w14:paraId="7C480179">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D—罐的直径（m）；</w:t>
            </w:r>
          </w:p>
          <w:p w14:paraId="73E72172">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H—平均蒸气空间高度（m）；</w:t>
            </w:r>
          </w:p>
          <w:p w14:paraId="37723BD3">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Cambria Math" w:hAnsi="Cambria Math" w:cs="Cambria Math" w:eastAsiaTheme="minorEastAsia"/>
                <w:color w:val="000000" w:themeColor="text1"/>
                <w14:textFill>
                  <w14:solidFill>
                    <w14:schemeClr w14:val="tx1"/>
                  </w14:solidFill>
                </w14:textFill>
              </w:rPr>
              <w:t>△</w:t>
            </w:r>
            <w:r>
              <w:rPr>
                <w:rFonts w:ascii="Times New Roman" w:hAnsi="Times New Roman" w:cs="Times New Roman" w:eastAsiaTheme="minorEastAsia"/>
                <w:color w:val="000000" w:themeColor="text1"/>
                <w14:textFill>
                  <w14:solidFill>
                    <w14:schemeClr w14:val="tx1"/>
                  </w14:solidFill>
                </w14:textFill>
              </w:rPr>
              <w:t>T—每天的平均温度差（</w:t>
            </w:r>
            <w:r>
              <w:rPr>
                <w:rFonts w:hint="eastAsia"/>
                <w:color w:val="000000" w:themeColor="text1"/>
                <w14:textFill>
                  <w14:solidFill>
                    <w14:schemeClr w14:val="tx1"/>
                  </w14:solidFill>
                </w14:textFill>
              </w:rPr>
              <w:t>℃</w:t>
            </w:r>
            <w:r>
              <w:rPr>
                <w:rFonts w:ascii="Times New Roman" w:hAnsi="Times New Roman" w:cs="Times New Roman" w:eastAsiaTheme="minorEastAsia"/>
                <w:color w:val="000000" w:themeColor="text1"/>
                <w14:textFill>
                  <w14:solidFill>
                    <w14:schemeClr w14:val="tx1"/>
                  </w14:solidFill>
                </w14:textFill>
              </w:rPr>
              <w:t>），经查询，钦州市最大日温差约10</w:t>
            </w:r>
            <w:r>
              <w:rPr>
                <w:rFonts w:hint="eastAsia"/>
                <w:color w:val="000000" w:themeColor="text1"/>
                <w14:textFill>
                  <w14:solidFill>
                    <w14:schemeClr w14:val="tx1"/>
                  </w14:solidFill>
                </w14:textFill>
              </w:rPr>
              <w:t>℃</w:t>
            </w:r>
            <w:r>
              <w:rPr>
                <w:rFonts w:ascii="Times New Roman" w:hAnsi="Times New Roman" w:cs="Times New Roman" w:eastAsiaTheme="minorEastAsia"/>
                <w:color w:val="000000" w:themeColor="text1"/>
                <w14:textFill>
                  <w14:solidFill>
                    <w14:schemeClr w14:val="tx1"/>
                  </w14:solidFill>
                </w14:textFill>
              </w:rPr>
              <w:t>；</w:t>
            </w:r>
          </w:p>
          <w:p w14:paraId="2CF9A15B">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Fp—涂层因子（无量纲），根据</w:t>
            </w:r>
            <w:r>
              <w:rPr>
                <w:rFonts w:hint="eastAsia" w:ascii="Times New Roman" w:hAnsi="Times New Roman" w:cs="Times New Roman" w:eastAsiaTheme="minorEastAsia"/>
                <w:color w:val="000000" w:themeColor="text1"/>
                <w14:textFill>
                  <w14:solidFill>
                    <w14:schemeClr w14:val="tx1"/>
                  </w14:solidFill>
                </w14:textFill>
              </w:rPr>
              <w:t>油气</w:t>
            </w:r>
            <w:r>
              <w:rPr>
                <w:rFonts w:ascii="Times New Roman" w:hAnsi="Times New Roman" w:cs="Times New Roman" w:eastAsiaTheme="minorEastAsia"/>
                <w:color w:val="000000" w:themeColor="text1"/>
                <w14:textFill>
                  <w14:solidFill>
                    <w14:schemeClr w14:val="tx1"/>
                  </w14:solidFill>
                </w14:textFill>
              </w:rPr>
              <w:t>状况取值在1~1.5之间，取1；</w:t>
            </w:r>
          </w:p>
          <w:p w14:paraId="6D60412E">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C—用于小直径罐的调节因子（无量纲）：直径在0~9m之间的罐体，C=1-0.0123（D-9）</w:t>
            </w:r>
            <w:r>
              <w:rPr>
                <w:rFonts w:ascii="Times New Roman" w:hAnsi="Times New Roman" w:cs="Times New Roman" w:eastAsiaTheme="minorEastAsia"/>
                <w:color w:val="000000" w:themeColor="text1"/>
                <w:vertAlign w:val="superscript"/>
                <w14:textFill>
                  <w14:solidFill>
                    <w14:schemeClr w14:val="tx1"/>
                  </w14:solidFill>
                </w14:textFill>
              </w:rPr>
              <w:t>2</w:t>
            </w:r>
            <w:r>
              <w:rPr>
                <w:rFonts w:ascii="Times New Roman" w:hAnsi="Times New Roman" w:cs="Times New Roman" w:eastAsiaTheme="minorEastAsia"/>
                <w:color w:val="000000" w:themeColor="text1"/>
                <w14:textFill>
                  <w14:solidFill>
                    <w14:schemeClr w14:val="tx1"/>
                  </w14:solidFill>
                </w14:textFill>
              </w:rPr>
              <w:t>，罐径大于9m的C=1。</w:t>
            </w:r>
          </w:p>
          <w:p w14:paraId="4AD3F166">
            <w:pPr>
              <w:spacing w:line="360" w:lineRule="auto"/>
              <w:ind w:firstLine="480" w:firstLineChars="200"/>
              <w:contextualSpacing/>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Kc—产品因子（无机液体取值为 0.65，其他有机液体取1.0）。</w:t>
            </w:r>
          </w:p>
          <w:p w14:paraId="4434364A">
            <w:pPr>
              <w:tabs>
                <w:tab w:val="left" w:pos="7800"/>
              </w:tabs>
              <w:jc w:val="center"/>
              <w:rPr>
                <w:rFonts w:ascii="Times New Roman" w:hAnsi="Times New Roman" w:cs="Times New Roman" w:eastAsiaTheme="minorEastAsia"/>
                <w:b/>
                <w:bCs/>
                <w:color w:val="000000" w:themeColor="text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表4-</w:t>
            </w:r>
            <w:r>
              <w:rPr>
                <w:rFonts w:hint="eastAsia" w:ascii="Times New Roman" w:hAnsi="Times New Roman" w:cs="Times New Roman"/>
                <w:b/>
                <w:bCs/>
                <w:color w:val="000000" w:themeColor="text1"/>
                <w:szCs w:val="21"/>
                <w14:textFill>
                  <w14:solidFill>
                    <w14:schemeClr w14:val="tx1"/>
                  </w14:solidFill>
                </w14:textFill>
              </w:rPr>
              <w:t xml:space="preserve">8 </w:t>
            </w:r>
            <w:r>
              <w:rPr>
                <w:rFonts w:ascii="Times New Roman" w:hAnsi="Times New Roman" w:cs="Times New Roman" w:eastAsiaTheme="minorEastAsia"/>
                <w:b/>
                <w:bCs/>
                <w:color w:val="000000" w:themeColor="text1"/>
                <w14:textFill>
                  <w14:solidFill>
                    <w14:schemeClr w14:val="tx1"/>
                  </w14:solidFill>
                </w14:textFill>
              </w:rPr>
              <w:t>固定顶罐大小呼吸废气计算参数及产生量</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87"/>
              <w:gridCol w:w="910"/>
              <w:gridCol w:w="985"/>
              <w:gridCol w:w="668"/>
              <w:gridCol w:w="532"/>
              <w:gridCol w:w="532"/>
              <w:gridCol w:w="532"/>
              <w:gridCol w:w="532"/>
              <w:gridCol w:w="532"/>
              <w:gridCol w:w="532"/>
              <w:gridCol w:w="532"/>
              <w:gridCol w:w="538"/>
              <w:gridCol w:w="729"/>
              <w:gridCol w:w="729"/>
              <w:gridCol w:w="729"/>
            </w:tblGrid>
            <w:tr w14:paraId="242EE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7" w:type="dxa"/>
                  <w:shd w:val="clear" w:color="auto" w:fill="auto"/>
                  <w:vAlign w:val="center"/>
                </w:tcPr>
                <w:p w14:paraId="226872F5">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910" w:type="dxa"/>
                  <w:shd w:val="clear" w:color="auto" w:fill="auto"/>
                  <w:vAlign w:val="center"/>
                </w:tcPr>
                <w:p w14:paraId="06A76449">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货种名称</w:t>
                  </w:r>
                </w:p>
              </w:tc>
              <w:tc>
                <w:tcPr>
                  <w:tcW w:w="985" w:type="dxa"/>
                  <w:shd w:val="clear" w:color="auto" w:fill="auto"/>
                  <w:vAlign w:val="center"/>
                </w:tcPr>
                <w:p w14:paraId="367960A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tc>
              <w:tc>
                <w:tcPr>
                  <w:tcW w:w="668" w:type="dxa"/>
                  <w:shd w:val="clear" w:color="auto" w:fill="auto"/>
                  <w:vAlign w:val="center"/>
                </w:tcPr>
                <w:p w14:paraId="05D0A9E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p w14:paraId="49736A0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(g/mol）</w:t>
                  </w:r>
                </w:p>
              </w:tc>
              <w:tc>
                <w:tcPr>
                  <w:tcW w:w="532" w:type="dxa"/>
                  <w:shd w:val="clear" w:color="auto" w:fill="auto"/>
                  <w:vAlign w:val="center"/>
                </w:tcPr>
                <w:p w14:paraId="1D48BB5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w:t>
                  </w:r>
                </w:p>
                <w:p w14:paraId="512502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（Pa）</w:t>
                  </w:r>
                </w:p>
              </w:tc>
              <w:tc>
                <w:tcPr>
                  <w:tcW w:w="532" w:type="dxa"/>
                  <w:shd w:val="clear" w:color="auto" w:fill="auto"/>
                  <w:vAlign w:val="center"/>
                </w:tcPr>
                <w:p w14:paraId="16E5CC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w:t>
                  </w:r>
                </w:p>
                <w:p w14:paraId="704F564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c>
                <w:tcPr>
                  <w:tcW w:w="532" w:type="dxa"/>
                  <w:shd w:val="clear" w:color="auto" w:fill="auto"/>
                  <w:vAlign w:val="center"/>
                </w:tcPr>
                <w:p w14:paraId="64DD3A6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t>
                  </w:r>
                </w:p>
                <w:p w14:paraId="1E7C892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c>
                <w:tcPr>
                  <w:tcW w:w="532" w:type="dxa"/>
                  <w:shd w:val="clear" w:color="auto" w:fill="auto"/>
                  <w:vAlign w:val="center"/>
                </w:tcPr>
                <w:p w14:paraId="62FFD21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w:t>
                  </w:r>
                </w:p>
              </w:tc>
              <w:tc>
                <w:tcPr>
                  <w:tcW w:w="532" w:type="dxa"/>
                  <w:shd w:val="clear" w:color="auto" w:fill="auto"/>
                  <w:vAlign w:val="center"/>
                </w:tcPr>
                <w:p w14:paraId="459F0C6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Fp</w:t>
                  </w:r>
                </w:p>
              </w:tc>
              <w:tc>
                <w:tcPr>
                  <w:tcW w:w="532" w:type="dxa"/>
                  <w:shd w:val="clear" w:color="auto" w:fill="auto"/>
                  <w:vAlign w:val="center"/>
                </w:tcPr>
                <w:p w14:paraId="089194B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w:t>
                  </w:r>
                </w:p>
              </w:tc>
              <w:tc>
                <w:tcPr>
                  <w:tcW w:w="532" w:type="dxa"/>
                  <w:shd w:val="clear" w:color="auto" w:fill="auto"/>
                  <w:vAlign w:val="center"/>
                </w:tcPr>
                <w:p w14:paraId="28B7625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w:t>
                  </w:r>
                  <w:r>
                    <w:rPr>
                      <w:rFonts w:ascii="Times New Roman" w:hAnsi="Times New Roman" w:cs="Times New Roman"/>
                      <w:color w:val="000000" w:themeColor="text1"/>
                      <w:sz w:val="21"/>
                      <w:szCs w:val="21"/>
                      <w:vertAlign w:val="subscript"/>
                      <w14:textFill>
                        <w14:solidFill>
                          <w14:schemeClr w14:val="tx1"/>
                        </w14:solidFill>
                      </w14:textFill>
                    </w:rPr>
                    <w:t>N</w:t>
                  </w:r>
                </w:p>
              </w:tc>
              <w:tc>
                <w:tcPr>
                  <w:tcW w:w="538" w:type="dxa"/>
                  <w:shd w:val="clear" w:color="auto" w:fill="auto"/>
                  <w:vAlign w:val="center"/>
                </w:tcPr>
                <w:p w14:paraId="2B16F92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Kc</w:t>
                  </w:r>
                </w:p>
              </w:tc>
              <w:tc>
                <w:tcPr>
                  <w:tcW w:w="729" w:type="dxa"/>
                  <w:shd w:val="clear" w:color="auto" w:fill="auto"/>
                  <w:vAlign w:val="center"/>
                </w:tcPr>
                <w:p w14:paraId="05AE7BE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大呼吸（t/a）</w:t>
                  </w:r>
                </w:p>
              </w:tc>
              <w:tc>
                <w:tcPr>
                  <w:tcW w:w="729" w:type="dxa"/>
                  <w:shd w:val="clear" w:color="auto" w:fill="auto"/>
                  <w:vAlign w:val="center"/>
                </w:tcPr>
                <w:p w14:paraId="77291B5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小呼吸（t/a）</w:t>
                  </w:r>
                </w:p>
              </w:tc>
              <w:tc>
                <w:tcPr>
                  <w:tcW w:w="729" w:type="dxa"/>
                  <w:vAlign w:val="center"/>
                </w:tcPr>
                <w:p w14:paraId="3766A000">
                  <w:pPr>
                    <w:tabs>
                      <w:tab w:val="left" w:pos="7800"/>
                    </w:tabs>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呼吸废气污染物量（t/a）</w:t>
                  </w:r>
                </w:p>
              </w:tc>
            </w:tr>
            <w:tr w14:paraId="7551C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7" w:type="dxa"/>
                  <w:shd w:val="clear" w:color="auto" w:fill="auto"/>
                  <w:vAlign w:val="center"/>
                </w:tcPr>
                <w:p w14:paraId="288D815D">
                  <w:pPr>
                    <w:pStyle w:val="145"/>
                    <w:numPr>
                      <w:ilvl w:val="0"/>
                      <w:numId w:val="19"/>
                    </w:numPr>
                    <w:adjustRightInd/>
                    <w:snapToGrid/>
                    <w:spacing w:beforeLines="0" w:afterLines="0" w:line="240" w:lineRule="auto"/>
                    <w:rPr>
                      <w:rFonts w:ascii="Times New Roman" w:hAnsi="Times New Roman" w:cs="Times New Roman"/>
                      <w:color w:val="000000" w:themeColor="text1"/>
                      <w:szCs w:val="21"/>
                      <w14:textFill>
                        <w14:solidFill>
                          <w14:schemeClr w14:val="tx1"/>
                        </w14:solidFill>
                      </w14:textFill>
                    </w:rPr>
                  </w:pPr>
                </w:p>
              </w:tc>
              <w:tc>
                <w:tcPr>
                  <w:tcW w:w="910" w:type="dxa"/>
                  <w:shd w:val="clear" w:color="auto" w:fill="auto"/>
                  <w:vAlign w:val="center"/>
                </w:tcPr>
                <w:p w14:paraId="325E0BE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985" w:type="dxa"/>
                  <w:shd w:val="clear" w:color="auto" w:fill="auto"/>
                  <w:vAlign w:val="center"/>
                </w:tcPr>
                <w:p w14:paraId="4E3A49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升华硫</w:t>
                  </w:r>
                </w:p>
                <w:p w14:paraId="72423FEE">
                  <w:pPr>
                    <w:pStyle w:val="34"/>
                    <w:snapToGrid/>
                    <w:spacing w:line="240" w:lineRule="auto"/>
                    <w:jc w:val="center"/>
                    <w:rPr>
                      <w:rFonts w:ascii="Times New Roman" w:hAnsi="Times New Roman" w:cs="Times New Roman"/>
                      <w:sz w:val="21"/>
                      <w:szCs w:val="21"/>
                    </w:rPr>
                  </w:pP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颗粒物</w:t>
                  </w:r>
                  <w:r>
                    <w:rPr>
                      <w:rFonts w:hint="eastAsia" w:ascii="Times New Roman" w:hAnsi="Times New Roman" w:cs="Times New Roman"/>
                      <w:color w:val="000000" w:themeColor="text1"/>
                      <w:sz w:val="21"/>
                      <w:szCs w:val="21"/>
                      <w14:textFill>
                        <w14:solidFill>
                          <w14:schemeClr w14:val="tx1"/>
                        </w14:solidFill>
                      </w14:textFill>
                    </w:rPr>
                    <w:t>)</w:t>
                  </w:r>
                </w:p>
              </w:tc>
              <w:tc>
                <w:tcPr>
                  <w:tcW w:w="668" w:type="dxa"/>
                  <w:shd w:val="clear" w:color="auto" w:fill="auto"/>
                  <w:vAlign w:val="center"/>
                </w:tcPr>
                <w:p w14:paraId="3CF2BBD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w:t>
                  </w:r>
                </w:p>
              </w:tc>
              <w:tc>
                <w:tcPr>
                  <w:tcW w:w="532" w:type="dxa"/>
                  <w:shd w:val="clear" w:color="auto" w:fill="auto"/>
                  <w:vAlign w:val="center"/>
                </w:tcPr>
                <w:p w14:paraId="0FFF9D7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133</w:t>
                  </w:r>
                </w:p>
              </w:tc>
              <w:tc>
                <w:tcPr>
                  <w:tcW w:w="532" w:type="dxa"/>
                  <w:shd w:val="clear" w:color="auto" w:fill="auto"/>
                  <w:vAlign w:val="center"/>
                </w:tcPr>
                <w:p w14:paraId="7619E968">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w:t>
                  </w:r>
                </w:p>
              </w:tc>
              <w:tc>
                <w:tcPr>
                  <w:tcW w:w="532" w:type="dxa"/>
                  <w:shd w:val="clear" w:color="auto" w:fill="auto"/>
                  <w:vAlign w:val="center"/>
                </w:tcPr>
                <w:p w14:paraId="40EC4462">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1.78</w:t>
                  </w:r>
                </w:p>
              </w:tc>
              <w:tc>
                <w:tcPr>
                  <w:tcW w:w="532" w:type="dxa"/>
                  <w:shd w:val="clear" w:color="auto" w:fill="auto"/>
                  <w:vAlign w:val="center"/>
                </w:tcPr>
                <w:p w14:paraId="5693C8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532" w:type="dxa"/>
                  <w:shd w:val="clear" w:color="auto" w:fill="auto"/>
                  <w:vAlign w:val="center"/>
                </w:tcPr>
                <w:p w14:paraId="1551BC9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2" w:type="dxa"/>
                  <w:shd w:val="clear" w:color="auto" w:fill="auto"/>
                  <w:vAlign w:val="center"/>
                </w:tcPr>
                <w:p w14:paraId="5B8EA7A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2" w:type="dxa"/>
                  <w:shd w:val="clear" w:color="auto" w:fill="auto"/>
                  <w:vAlign w:val="center"/>
                </w:tcPr>
                <w:p w14:paraId="1C01B8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8" w:type="dxa"/>
                  <w:shd w:val="clear" w:color="auto" w:fill="auto"/>
                  <w:vAlign w:val="center"/>
                </w:tcPr>
                <w:p w14:paraId="2BAA898B">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729" w:type="dxa"/>
                  <w:shd w:val="clear" w:color="auto" w:fill="auto"/>
                  <w:vAlign w:val="center"/>
                </w:tcPr>
                <w:p w14:paraId="7FD80D4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223</w:t>
                  </w:r>
                </w:p>
              </w:tc>
              <w:tc>
                <w:tcPr>
                  <w:tcW w:w="729" w:type="dxa"/>
                  <w:shd w:val="clear" w:color="auto" w:fill="auto"/>
                  <w:vAlign w:val="center"/>
                </w:tcPr>
                <w:p w14:paraId="42DD4F3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0.049</w:t>
                  </w:r>
                </w:p>
              </w:tc>
              <w:tc>
                <w:tcPr>
                  <w:tcW w:w="729" w:type="dxa"/>
                  <w:vAlign w:val="center"/>
                </w:tcPr>
                <w:p w14:paraId="33D01D7D">
                  <w:pPr>
                    <w:jc w:val="center"/>
                    <w:textAlignment w:val="bottom"/>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0.272</w:t>
                  </w:r>
                </w:p>
              </w:tc>
            </w:tr>
            <w:tr w14:paraId="3FC2D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7" w:type="dxa"/>
                  <w:shd w:val="clear" w:color="auto" w:fill="auto"/>
                  <w:vAlign w:val="center"/>
                </w:tcPr>
                <w:p w14:paraId="5D4987F2">
                  <w:pPr>
                    <w:pStyle w:val="118"/>
                    <w:numPr>
                      <w:ilvl w:val="0"/>
                      <w:numId w:val="19"/>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910" w:type="dxa"/>
                  <w:shd w:val="clear" w:color="auto" w:fill="auto"/>
                  <w:vAlign w:val="center"/>
                </w:tcPr>
                <w:p w14:paraId="25A6761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发烟硫酸/98%硫酸</w:t>
                  </w:r>
                </w:p>
              </w:tc>
              <w:tc>
                <w:tcPr>
                  <w:tcW w:w="985" w:type="dxa"/>
                  <w:shd w:val="clear" w:color="auto" w:fill="auto"/>
                  <w:vAlign w:val="center"/>
                </w:tcPr>
                <w:p w14:paraId="42A0469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硫酸雾</w:t>
                  </w:r>
                </w:p>
              </w:tc>
              <w:tc>
                <w:tcPr>
                  <w:tcW w:w="668" w:type="dxa"/>
                  <w:shd w:val="clear" w:color="auto" w:fill="auto"/>
                  <w:vAlign w:val="center"/>
                </w:tcPr>
                <w:p w14:paraId="0444FEE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98.08</w:t>
                  </w:r>
                </w:p>
              </w:tc>
              <w:tc>
                <w:tcPr>
                  <w:tcW w:w="532" w:type="dxa"/>
                  <w:shd w:val="clear" w:color="auto" w:fill="auto"/>
                  <w:vAlign w:val="center"/>
                </w:tcPr>
                <w:p w14:paraId="63615AE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w:t>
                  </w:r>
                </w:p>
              </w:tc>
              <w:tc>
                <w:tcPr>
                  <w:tcW w:w="532" w:type="dxa"/>
                  <w:shd w:val="clear" w:color="auto" w:fill="auto"/>
                  <w:vAlign w:val="center"/>
                </w:tcPr>
                <w:p w14:paraId="72B78CD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w:t>
                  </w:r>
                </w:p>
              </w:tc>
              <w:tc>
                <w:tcPr>
                  <w:tcW w:w="532" w:type="dxa"/>
                  <w:shd w:val="clear" w:color="auto" w:fill="auto"/>
                  <w:vAlign w:val="center"/>
                </w:tcPr>
                <w:p w14:paraId="70862AA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1.78</w:t>
                  </w:r>
                </w:p>
              </w:tc>
              <w:tc>
                <w:tcPr>
                  <w:tcW w:w="532" w:type="dxa"/>
                  <w:shd w:val="clear" w:color="auto" w:fill="auto"/>
                  <w:vAlign w:val="center"/>
                </w:tcPr>
                <w:p w14:paraId="4C53C37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532" w:type="dxa"/>
                  <w:shd w:val="clear" w:color="auto" w:fill="auto"/>
                  <w:vAlign w:val="center"/>
                </w:tcPr>
                <w:p w14:paraId="4761A99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2" w:type="dxa"/>
                  <w:shd w:val="clear" w:color="auto" w:fill="auto"/>
                  <w:vAlign w:val="center"/>
                </w:tcPr>
                <w:p w14:paraId="7571DE1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2" w:type="dxa"/>
                  <w:shd w:val="clear" w:color="auto" w:fill="auto"/>
                  <w:vAlign w:val="center"/>
                </w:tcPr>
                <w:p w14:paraId="6742D6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8" w:type="dxa"/>
                  <w:shd w:val="clear" w:color="auto" w:fill="auto"/>
                  <w:vAlign w:val="center"/>
                </w:tcPr>
                <w:p w14:paraId="015A51CA">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729" w:type="dxa"/>
                  <w:shd w:val="clear" w:color="auto" w:fill="auto"/>
                  <w:vAlign w:val="center"/>
                </w:tcPr>
                <w:p w14:paraId="3B2DF3B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w:t>
                  </w:r>
                  <w:r>
                    <w:rPr>
                      <w:rFonts w:hint="eastAsia" w:ascii="Times New Roman" w:hAnsi="Times New Roman" w:cs="Times New Roman"/>
                      <w:color w:val="000000" w:themeColor="text1"/>
                      <w:sz w:val="21"/>
                      <w:szCs w:val="21"/>
                      <w14:textFill>
                        <w14:solidFill>
                          <w14:schemeClr w14:val="tx1"/>
                        </w14:solidFill>
                      </w14:textFill>
                    </w:rPr>
                    <w:t>58</w:t>
                  </w:r>
                </w:p>
              </w:tc>
              <w:tc>
                <w:tcPr>
                  <w:tcW w:w="729" w:type="dxa"/>
                  <w:shd w:val="clear" w:color="auto" w:fill="auto"/>
                  <w:vAlign w:val="center"/>
                </w:tcPr>
                <w:p w14:paraId="39299C4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149</w:t>
                  </w:r>
                </w:p>
              </w:tc>
              <w:tc>
                <w:tcPr>
                  <w:tcW w:w="729" w:type="dxa"/>
                  <w:vAlign w:val="center"/>
                </w:tcPr>
                <w:p w14:paraId="69C97003">
                  <w:pPr>
                    <w:jc w:val="center"/>
                    <w:textAlignment w:val="bottom"/>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0.207</w:t>
                  </w:r>
                </w:p>
              </w:tc>
            </w:tr>
            <w:tr w14:paraId="03D05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7" w:type="dxa"/>
                  <w:shd w:val="clear" w:color="auto" w:fill="auto"/>
                  <w:vAlign w:val="center"/>
                </w:tcPr>
                <w:p w14:paraId="7729856B">
                  <w:pPr>
                    <w:pStyle w:val="118"/>
                    <w:numPr>
                      <w:ilvl w:val="0"/>
                      <w:numId w:val="19"/>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910" w:type="dxa"/>
                  <w:shd w:val="clear" w:color="auto" w:fill="auto"/>
                  <w:vAlign w:val="center"/>
                </w:tcPr>
                <w:p w14:paraId="185E787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苯酚</w:t>
                  </w:r>
                </w:p>
              </w:tc>
              <w:tc>
                <w:tcPr>
                  <w:tcW w:w="985" w:type="dxa"/>
                  <w:shd w:val="clear" w:color="auto" w:fill="auto"/>
                  <w:vAlign w:val="center"/>
                </w:tcPr>
                <w:p w14:paraId="6583271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668" w:type="dxa"/>
                  <w:shd w:val="clear" w:color="auto" w:fill="auto"/>
                  <w:vAlign w:val="center"/>
                </w:tcPr>
                <w:p w14:paraId="4C52BE2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94.12</w:t>
                  </w:r>
                </w:p>
              </w:tc>
              <w:tc>
                <w:tcPr>
                  <w:tcW w:w="532" w:type="dxa"/>
                  <w:shd w:val="clear" w:color="auto" w:fill="auto"/>
                  <w:vAlign w:val="center"/>
                </w:tcPr>
                <w:p w14:paraId="0B4F471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130</w:t>
                  </w:r>
                </w:p>
              </w:tc>
              <w:tc>
                <w:tcPr>
                  <w:tcW w:w="532" w:type="dxa"/>
                  <w:shd w:val="clear" w:color="auto" w:fill="auto"/>
                  <w:vAlign w:val="center"/>
                </w:tcPr>
                <w:p w14:paraId="4D83918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w:t>
                  </w:r>
                </w:p>
              </w:tc>
              <w:tc>
                <w:tcPr>
                  <w:tcW w:w="532" w:type="dxa"/>
                  <w:shd w:val="clear" w:color="auto" w:fill="auto"/>
                  <w:vAlign w:val="center"/>
                </w:tcPr>
                <w:p w14:paraId="6DE3452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1.78</w:t>
                  </w:r>
                </w:p>
              </w:tc>
              <w:tc>
                <w:tcPr>
                  <w:tcW w:w="532" w:type="dxa"/>
                  <w:shd w:val="clear" w:color="auto" w:fill="auto"/>
                  <w:vAlign w:val="center"/>
                </w:tcPr>
                <w:p w14:paraId="3745B21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532" w:type="dxa"/>
                  <w:shd w:val="clear" w:color="auto" w:fill="auto"/>
                  <w:vAlign w:val="center"/>
                </w:tcPr>
                <w:p w14:paraId="5705DA3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2" w:type="dxa"/>
                  <w:shd w:val="clear" w:color="auto" w:fill="auto"/>
                  <w:vAlign w:val="center"/>
                </w:tcPr>
                <w:p w14:paraId="4D0D575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2" w:type="dxa"/>
                  <w:shd w:val="clear" w:color="auto" w:fill="auto"/>
                  <w:vAlign w:val="center"/>
                </w:tcPr>
                <w:p w14:paraId="3B46595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8" w:type="dxa"/>
                  <w:shd w:val="clear" w:color="auto" w:fill="auto"/>
                  <w:vAlign w:val="center"/>
                </w:tcPr>
                <w:p w14:paraId="4FDD2605">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729" w:type="dxa"/>
                  <w:shd w:val="clear" w:color="auto" w:fill="auto"/>
                  <w:vAlign w:val="center"/>
                </w:tcPr>
                <w:p w14:paraId="73CA546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0.957</w:t>
                  </w:r>
                </w:p>
              </w:tc>
              <w:tc>
                <w:tcPr>
                  <w:tcW w:w="729" w:type="dxa"/>
                  <w:shd w:val="clear" w:color="auto" w:fill="auto"/>
                  <w:vAlign w:val="center"/>
                </w:tcPr>
                <w:p w14:paraId="68ECC95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0.143</w:t>
                  </w:r>
                </w:p>
              </w:tc>
              <w:tc>
                <w:tcPr>
                  <w:tcW w:w="729" w:type="dxa"/>
                  <w:vAlign w:val="center"/>
                </w:tcPr>
                <w:p w14:paraId="40394D72">
                  <w:pPr>
                    <w:jc w:val="center"/>
                    <w:textAlignment w:val="bottom"/>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1.1</w:t>
                  </w:r>
                  <w:r>
                    <w:rPr>
                      <w:rFonts w:hint="eastAsia" w:ascii="Times New Roman" w:hAnsi="Times New Roman" w:cs="Times New Roman"/>
                      <w:color w:val="000000"/>
                      <w:sz w:val="21"/>
                      <w:szCs w:val="21"/>
                      <w:lang w:bidi="ar"/>
                    </w:rPr>
                    <w:t>00</w:t>
                  </w:r>
                </w:p>
              </w:tc>
            </w:tr>
            <w:tr w14:paraId="3432E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7" w:type="dxa"/>
                  <w:shd w:val="clear" w:color="auto" w:fill="auto"/>
                  <w:vAlign w:val="center"/>
                </w:tcPr>
                <w:p w14:paraId="4606A8D6">
                  <w:pPr>
                    <w:pStyle w:val="118"/>
                    <w:numPr>
                      <w:ilvl w:val="0"/>
                      <w:numId w:val="19"/>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910" w:type="dxa"/>
                  <w:shd w:val="clear" w:color="auto" w:fill="auto"/>
                  <w:vAlign w:val="center"/>
                </w:tcPr>
                <w:p w14:paraId="69929C1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己内酰胺</w:t>
                  </w:r>
                </w:p>
              </w:tc>
              <w:tc>
                <w:tcPr>
                  <w:tcW w:w="985" w:type="dxa"/>
                  <w:shd w:val="clear" w:color="auto" w:fill="auto"/>
                  <w:vAlign w:val="center"/>
                </w:tcPr>
                <w:p w14:paraId="3E8FDFC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668" w:type="dxa"/>
                  <w:shd w:val="clear" w:color="auto" w:fill="auto"/>
                  <w:vAlign w:val="center"/>
                </w:tcPr>
                <w:p w14:paraId="4D78133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113.12</w:t>
                  </w:r>
                </w:p>
              </w:tc>
              <w:tc>
                <w:tcPr>
                  <w:tcW w:w="532" w:type="dxa"/>
                  <w:shd w:val="clear" w:color="auto" w:fill="auto"/>
                  <w:vAlign w:val="center"/>
                </w:tcPr>
                <w:p w14:paraId="7A373D1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224</w:t>
                  </w:r>
                </w:p>
              </w:tc>
              <w:tc>
                <w:tcPr>
                  <w:tcW w:w="532" w:type="dxa"/>
                  <w:shd w:val="clear" w:color="auto" w:fill="auto"/>
                  <w:vAlign w:val="center"/>
                </w:tcPr>
                <w:p w14:paraId="5F65460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30</w:t>
                  </w:r>
                </w:p>
              </w:tc>
              <w:tc>
                <w:tcPr>
                  <w:tcW w:w="532" w:type="dxa"/>
                  <w:shd w:val="clear" w:color="auto" w:fill="auto"/>
                  <w:vAlign w:val="center"/>
                </w:tcPr>
                <w:p w14:paraId="776A9E9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1.78</w:t>
                  </w:r>
                </w:p>
              </w:tc>
              <w:tc>
                <w:tcPr>
                  <w:tcW w:w="532" w:type="dxa"/>
                  <w:shd w:val="clear" w:color="auto" w:fill="auto"/>
                  <w:vAlign w:val="center"/>
                </w:tcPr>
                <w:p w14:paraId="2387942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532" w:type="dxa"/>
                  <w:shd w:val="clear" w:color="auto" w:fill="auto"/>
                  <w:vAlign w:val="center"/>
                </w:tcPr>
                <w:p w14:paraId="098ED74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2" w:type="dxa"/>
                  <w:shd w:val="clear" w:color="auto" w:fill="auto"/>
                  <w:vAlign w:val="center"/>
                </w:tcPr>
                <w:p w14:paraId="098AB37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2" w:type="dxa"/>
                  <w:shd w:val="clear" w:color="auto" w:fill="auto"/>
                  <w:vAlign w:val="center"/>
                </w:tcPr>
                <w:p w14:paraId="02A15AB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38" w:type="dxa"/>
                  <w:shd w:val="clear" w:color="auto" w:fill="auto"/>
                  <w:vAlign w:val="center"/>
                </w:tcPr>
                <w:p w14:paraId="62CB77B3">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729" w:type="dxa"/>
                  <w:shd w:val="clear" w:color="auto" w:fill="auto"/>
                  <w:vAlign w:val="center"/>
                </w:tcPr>
                <w:p w14:paraId="284DF84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2.324</w:t>
                  </w:r>
                </w:p>
              </w:tc>
              <w:tc>
                <w:tcPr>
                  <w:tcW w:w="729" w:type="dxa"/>
                  <w:shd w:val="clear" w:color="auto" w:fill="auto"/>
                  <w:vAlign w:val="center"/>
                </w:tcPr>
                <w:p w14:paraId="0C071E8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0.461</w:t>
                  </w:r>
                </w:p>
              </w:tc>
              <w:tc>
                <w:tcPr>
                  <w:tcW w:w="729" w:type="dxa"/>
                  <w:vAlign w:val="center"/>
                </w:tcPr>
                <w:p w14:paraId="160220AD">
                  <w:pPr>
                    <w:jc w:val="center"/>
                    <w:textAlignment w:val="bottom"/>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2.785</w:t>
                  </w:r>
                </w:p>
              </w:tc>
            </w:tr>
          </w:tbl>
          <w:p w14:paraId="22264BCF">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p>
          <w:p w14:paraId="51023DE9">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根据上述计算，本项目储罐大小呼吸废气中物料量为：升华硫（颗粒物）0.272t/a、硫酸雾0.207t/a、苯酚1.100t/a、己内酰胺</w:t>
            </w:r>
            <w:r>
              <w:rPr>
                <w:rFonts w:hint="eastAsia" w:ascii="Times New Roman" w:hAnsi="Times New Roman" w:cs="Times New Roman"/>
                <w:color w:val="000000" w:themeColor="text1"/>
                <w:kern w:val="21"/>
                <w14:textFill>
                  <w14:solidFill>
                    <w14:schemeClr w14:val="tx1"/>
                  </w14:solidFill>
                </w14:textFill>
              </w:rPr>
              <w:t>2.785</w:t>
            </w:r>
            <w:r>
              <w:rPr>
                <w:rFonts w:ascii="Times New Roman" w:hAnsi="Times New Roman" w:cs="Times New Roman"/>
                <w:color w:val="000000" w:themeColor="text1"/>
                <w:kern w:val="21"/>
                <w14:textFill>
                  <w14:solidFill>
                    <w14:schemeClr w14:val="tx1"/>
                  </w14:solidFill>
                </w14:textFill>
              </w:rPr>
              <w:t>t/a。</w:t>
            </w:r>
          </w:p>
          <w:p w14:paraId="5813BDFC">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除液碱储罐外，企业还对储存物料的储罐采取氮封措施，氮封装置由供氮阀、泄氮阀、呼吸阀组成，供氮阀由指挥器和主阀两部分组成；泄氮阀由内反馈的压开型微压调节阀组成，通过氮封装置精确控制。当储罐进液阀开启，向罐内添加物料时，液面上升，气相部分容积减小，压力升高，当罐内压力升至高于泄氮阀压力设定值时，泄氮阀打开，向外界释放氮气，使罐内压力下降，降至泄氮阀压力设定点时，自动关闭。当储罐出液阀开启放料时，液面下降，气相部分容积增大，罐内压力降低，供氮阀开启，向储罐内注入氮气，使罐内压力上升，升至供氮阀压力设定点，自动关闭。通过氮封装置可保持储罐顶部保护气的压力恒定，以避免储存货种与空气直接接触，以减少挥发量，储罐呼吸排放量可削减60%以上。因此，除液碱储罐外，本项目储罐呼吸排放量为：升华硫（颗粒物）0.109t/a、硫酸雾（SO</w:t>
            </w:r>
            <w:r>
              <w:rPr>
                <w:rFonts w:ascii="Times New Roman" w:hAnsi="Times New Roman" w:cs="Times New Roman"/>
                <w:color w:val="000000" w:themeColor="text1"/>
                <w:kern w:val="21"/>
                <w:vertAlign w:val="subscript"/>
                <w14:textFill>
                  <w14:solidFill>
                    <w14:schemeClr w14:val="tx1"/>
                  </w14:solidFill>
                </w14:textFill>
              </w:rPr>
              <w:t>3</w:t>
            </w:r>
            <w:r>
              <w:rPr>
                <w:rFonts w:ascii="Times New Roman" w:hAnsi="Times New Roman" w:cs="Times New Roman"/>
                <w:color w:val="000000" w:themeColor="text1"/>
                <w:kern w:val="21"/>
                <w14:textFill>
                  <w14:solidFill>
                    <w14:schemeClr w14:val="tx1"/>
                  </w14:solidFill>
                </w14:textFill>
              </w:rPr>
              <w:t>以硫酸计）0.083t/a、酚类0.440t/a、己内酰胺</w:t>
            </w:r>
            <w:r>
              <w:rPr>
                <w:rFonts w:hint="eastAsia" w:ascii="Times New Roman" w:hAnsi="Times New Roman" w:cs="Times New Roman"/>
                <w:color w:val="000000" w:themeColor="text1"/>
                <w:kern w:val="21"/>
                <w14:textFill>
                  <w14:solidFill>
                    <w14:schemeClr w14:val="tx1"/>
                  </w14:solidFill>
                </w14:textFill>
              </w:rPr>
              <w:t>1.114</w:t>
            </w:r>
            <w:r>
              <w:rPr>
                <w:rFonts w:ascii="Times New Roman" w:hAnsi="Times New Roman" w:cs="Times New Roman"/>
                <w:color w:val="000000" w:themeColor="text1"/>
                <w:kern w:val="21"/>
                <w14:textFill>
                  <w14:solidFill>
                    <w14:schemeClr w14:val="tx1"/>
                  </w14:solidFill>
                </w14:textFill>
              </w:rPr>
              <w:t>t/a。</w:t>
            </w:r>
            <w:r>
              <w:rPr>
                <w:rFonts w:ascii="Times New Roman" w:hAnsi="Times New Roman" w:cs="Times New Roman"/>
                <w:color w:val="EE0000"/>
                <w:kern w:val="21"/>
              </w:rPr>
              <w:t xml:space="preserve">  </w:t>
            </w:r>
          </w:p>
          <w:p w14:paraId="4263285C">
            <w:pPr>
              <w:numPr>
                <w:ilvl w:val="0"/>
                <w:numId w:val="20"/>
              </w:numPr>
              <w:adjustRightInd w:val="0"/>
              <w:snapToGrid w:val="0"/>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hint="eastAsia" w:ascii="Times New Roman" w:hAnsi="Times New Roman" w:cs="Times New Roman"/>
                <w:color w:val="000000" w:themeColor="text1"/>
                <w:kern w:val="21"/>
                <w14:textFill>
                  <w14:solidFill>
                    <w14:schemeClr w14:val="tx1"/>
                  </w14:solidFill>
                </w14:textFill>
              </w:rPr>
              <w:t>呼吸废气量</w:t>
            </w:r>
          </w:p>
          <w:p w14:paraId="0EEC9694">
            <w:pPr>
              <w:adjustRightInd w:val="0"/>
              <w:snapToGrid w:val="0"/>
              <w:spacing w:line="360" w:lineRule="auto"/>
              <w:ind w:firstLine="480"/>
              <w:jc w:val="both"/>
              <w:rPr>
                <w:rFonts w:ascii="Times New Roman" w:hAnsi="Times New Roman" w:cs="Times New Roman"/>
                <w:color w:val="000000" w:themeColor="text1"/>
                <w:kern w:val="21"/>
                <w14:textFill>
                  <w14:solidFill>
                    <w14:schemeClr w14:val="tx1"/>
                  </w14:solidFill>
                </w14:textFill>
              </w:rPr>
            </w:pPr>
            <w:r>
              <w:rPr>
                <w:rFonts w:hint="eastAsia" w:ascii="Times New Roman" w:hAnsi="Times New Roman" w:cs="Times New Roman"/>
                <w:color w:val="000000" w:themeColor="text1"/>
                <w:kern w:val="21"/>
                <w14:textFill>
                  <w14:solidFill>
                    <w14:schemeClr w14:val="tx1"/>
                  </w14:solidFill>
                </w14:textFill>
              </w:rPr>
              <w:t>储罐大呼吸是指固定顶储罐在收发物料作业过程中，因罐内液面升降变化导致的气体排放或吸入，大呼吸排气工况体积等于液体体积。储罐小呼吸是指因外界环境温度、大气压变化，导致罐内气相空间内的气体因热胀冷缩而被呼出或吸入的现象。本项目储罐呼吸废气量如下表所示。</w:t>
            </w:r>
          </w:p>
          <w:p w14:paraId="4DBEE438">
            <w:pPr>
              <w:adjustRightInd w:val="0"/>
              <w:snapToGrid w:val="0"/>
              <w:spacing w:line="360" w:lineRule="auto"/>
              <w:jc w:val="center"/>
              <w:rPr>
                <w:rFonts w:ascii="Times New Roman" w:hAnsi="Times New Roman" w:cs="Times New Roman"/>
                <w:b/>
                <w:bCs/>
                <w:color w:val="000000" w:themeColor="text1"/>
                <w:kern w:val="21"/>
                <w14:textFill>
                  <w14:solidFill>
                    <w14:schemeClr w14:val="tx1"/>
                  </w14:solidFill>
                </w14:textFill>
              </w:rPr>
            </w:pPr>
            <w:r>
              <w:rPr>
                <w:rFonts w:hint="eastAsia" w:ascii="Times New Roman" w:hAnsi="Times New Roman" w:cs="Times New Roman"/>
                <w:b/>
                <w:bCs/>
                <w:color w:val="000000" w:themeColor="text1"/>
                <w:kern w:val="21"/>
                <w14:textFill>
                  <w14:solidFill>
                    <w14:schemeClr w14:val="tx1"/>
                  </w14:solidFill>
                </w14:textFill>
              </w:rPr>
              <w:t>表4-9  储罐呼吸废气量一览表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59"/>
              <w:gridCol w:w="906"/>
              <w:gridCol w:w="986"/>
              <w:gridCol w:w="759"/>
              <w:gridCol w:w="667"/>
              <w:gridCol w:w="719"/>
              <w:gridCol w:w="465"/>
              <w:gridCol w:w="699"/>
              <w:gridCol w:w="699"/>
              <w:gridCol w:w="533"/>
              <w:gridCol w:w="783"/>
              <w:gridCol w:w="783"/>
              <w:gridCol w:w="941"/>
            </w:tblGrid>
            <w:tr w14:paraId="1A2CC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59" w:type="dxa"/>
                  <w:shd w:val="clear" w:color="auto" w:fill="auto"/>
                  <w:vAlign w:val="center"/>
                </w:tcPr>
                <w:p w14:paraId="0B8263D8">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906" w:type="dxa"/>
                  <w:shd w:val="clear" w:color="auto" w:fill="auto"/>
                  <w:vAlign w:val="center"/>
                </w:tcPr>
                <w:p w14:paraId="3AE8A3CF">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货种名称</w:t>
                  </w:r>
                </w:p>
              </w:tc>
              <w:tc>
                <w:tcPr>
                  <w:tcW w:w="986" w:type="dxa"/>
                  <w:shd w:val="clear" w:color="auto" w:fill="auto"/>
                  <w:vAlign w:val="center"/>
                </w:tcPr>
                <w:p w14:paraId="5CD24B3C">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储罐体积</w:t>
                  </w:r>
                </w:p>
                <w:p w14:paraId="54D97B3D">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759" w:type="dxa"/>
                  <w:shd w:val="clear" w:color="auto" w:fill="auto"/>
                  <w:vAlign w:val="center"/>
                </w:tcPr>
                <w:p w14:paraId="23BA807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周转量</w:t>
                  </w:r>
                </w:p>
                <w:p w14:paraId="4AE33D9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（t/a）</w:t>
                  </w:r>
                </w:p>
              </w:tc>
              <w:tc>
                <w:tcPr>
                  <w:tcW w:w="667" w:type="dxa"/>
                  <w:shd w:val="clear" w:color="auto" w:fill="auto"/>
                  <w:vAlign w:val="center"/>
                </w:tcPr>
                <w:p w14:paraId="103FE7B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储存温度℃</w:t>
                  </w:r>
                </w:p>
              </w:tc>
              <w:tc>
                <w:tcPr>
                  <w:tcW w:w="719" w:type="dxa"/>
                  <w:shd w:val="clear" w:color="auto" w:fill="auto"/>
                  <w:vAlign w:val="center"/>
                </w:tcPr>
                <w:p w14:paraId="28DD6E1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密度ρ（g/ml）</w:t>
                  </w:r>
                </w:p>
              </w:tc>
              <w:tc>
                <w:tcPr>
                  <w:tcW w:w="465" w:type="dxa"/>
                  <w:shd w:val="clear" w:color="auto" w:fill="auto"/>
                  <w:vAlign w:val="center"/>
                </w:tcPr>
                <w:p w14:paraId="0FB2D53E">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充装率</w:t>
                  </w:r>
                </w:p>
              </w:tc>
              <w:tc>
                <w:tcPr>
                  <w:tcW w:w="699" w:type="dxa"/>
                  <w:shd w:val="clear" w:color="auto" w:fill="auto"/>
                  <w:vAlign w:val="center"/>
                </w:tcPr>
                <w:p w14:paraId="23B0E3D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液体体积V</w:t>
                  </w:r>
                  <w:r>
                    <w:rPr>
                      <w:rFonts w:ascii="Times New Roman" w:hAnsi="Times New Roman" w:cs="Times New Roman"/>
                      <w:color w:val="000000" w:themeColor="text1"/>
                      <w:sz w:val="21"/>
                      <w:szCs w:val="21"/>
                      <w:vertAlign w:val="subscript"/>
                      <w14:textFill>
                        <w14:solidFill>
                          <w14:schemeClr w14:val="tx1"/>
                        </w14:solidFill>
                      </w14:textFill>
                    </w:rPr>
                    <w:t>L</w:t>
                  </w:r>
                  <w:r>
                    <w:rPr>
                      <w:rFonts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kern w:val="21"/>
                      <w:sz w:val="21"/>
                      <w:szCs w:val="21"/>
                      <w14:textFill>
                        <w14:solidFill>
                          <w14:schemeClr w14:val="tx1"/>
                        </w14:solidFill>
                      </w14:textFill>
                    </w:rPr>
                    <w:t>m</w:t>
                  </w:r>
                  <w:r>
                    <w:rPr>
                      <w:rFonts w:ascii="Times New Roman" w:hAnsi="Times New Roman" w:cs="Times New Roman"/>
                      <w:color w:val="000000" w:themeColor="text1"/>
                      <w:kern w:val="2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699" w:type="dxa"/>
                  <w:shd w:val="clear" w:color="auto" w:fill="auto"/>
                  <w:vAlign w:val="center"/>
                </w:tcPr>
                <w:p w14:paraId="22631DE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气相空间V</w:t>
                  </w:r>
                  <w:r>
                    <w:rPr>
                      <w:rFonts w:ascii="Times New Roman" w:hAnsi="Times New Roman" w:cs="Times New Roman"/>
                      <w:color w:val="000000" w:themeColor="text1"/>
                      <w:sz w:val="21"/>
                      <w:szCs w:val="21"/>
                      <w:vertAlign w:val="subscript"/>
                      <w14:textFill>
                        <w14:solidFill>
                          <w14:schemeClr w14:val="tx1"/>
                        </w14:solidFill>
                      </w14:textFill>
                    </w:rPr>
                    <w:t>G</w:t>
                  </w:r>
                </w:p>
                <w:p w14:paraId="4E40A9B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kern w:val="21"/>
                      <w:sz w:val="21"/>
                      <w:szCs w:val="21"/>
                      <w14:textFill>
                        <w14:solidFill>
                          <w14:schemeClr w14:val="tx1"/>
                        </w14:solidFill>
                      </w14:textFill>
                    </w:rPr>
                    <w:t>m</w:t>
                  </w:r>
                  <w:r>
                    <w:rPr>
                      <w:rFonts w:ascii="Times New Roman" w:hAnsi="Times New Roman" w:cs="Times New Roman"/>
                      <w:color w:val="000000" w:themeColor="text1"/>
                      <w:kern w:val="2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533" w:type="dxa"/>
                  <w:shd w:val="clear" w:color="auto" w:fill="auto"/>
                  <w:vAlign w:val="center"/>
                </w:tcPr>
                <w:p w14:paraId="555033C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日温差△T</w:t>
                  </w:r>
                </w:p>
                <w:p w14:paraId="53325F8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783" w:type="dxa"/>
                  <w:shd w:val="clear" w:color="auto" w:fill="auto"/>
                  <w:vAlign w:val="center"/>
                </w:tcPr>
                <w:p w14:paraId="6BB54A2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大呼吸(Nm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/a)</w:t>
                  </w:r>
                </w:p>
              </w:tc>
              <w:tc>
                <w:tcPr>
                  <w:tcW w:w="783" w:type="dxa"/>
                  <w:shd w:val="clear" w:color="auto" w:fill="auto"/>
                  <w:vAlign w:val="center"/>
                </w:tcPr>
                <w:p w14:paraId="3552C54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小呼吸</w:t>
                  </w:r>
                </w:p>
                <w:p w14:paraId="3221A39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/a)</w:t>
                  </w:r>
                </w:p>
              </w:tc>
              <w:tc>
                <w:tcPr>
                  <w:tcW w:w="941" w:type="dxa"/>
                  <w:shd w:val="clear" w:color="auto" w:fill="auto"/>
                  <w:vAlign w:val="center"/>
                </w:tcPr>
                <w:p w14:paraId="7AEE759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呼吸废气(Nm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/a)</w:t>
                  </w:r>
                </w:p>
              </w:tc>
            </w:tr>
            <w:tr w14:paraId="114CC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359" w:type="dxa"/>
                  <w:shd w:val="clear" w:color="auto" w:fill="auto"/>
                  <w:vAlign w:val="center"/>
                </w:tcPr>
                <w:p w14:paraId="7031754A">
                  <w:pPr>
                    <w:pStyle w:val="145"/>
                    <w:numPr>
                      <w:ilvl w:val="0"/>
                      <w:numId w:val="21"/>
                    </w:numPr>
                    <w:adjustRightInd/>
                    <w:snapToGrid/>
                    <w:spacing w:beforeLines="0" w:afterLines="0" w:line="240" w:lineRule="auto"/>
                    <w:rPr>
                      <w:rFonts w:ascii="Times New Roman" w:hAnsi="Times New Roman" w:cs="Times New Roman"/>
                      <w:color w:val="000000" w:themeColor="text1"/>
                      <w:szCs w:val="21"/>
                      <w14:textFill>
                        <w14:solidFill>
                          <w14:schemeClr w14:val="tx1"/>
                        </w14:solidFill>
                      </w14:textFill>
                    </w:rPr>
                  </w:pPr>
                </w:p>
              </w:tc>
              <w:tc>
                <w:tcPr>
                  <w:tcW w:w="906" w:type="dxa"/>
                  <w:shd w:val="clear" w:color="auto" w:fill="auto"/>
                  <w:vAlign w:val="center"/>
                </w:tcPr>
                <w:p w14:paraId="4568A43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986" w:type="dxa"/>
                  <w:shd w:val="clear" w:color="auto" w:fill="auto"/>
                  <w:vAlign w:val="center"/>
                </w:tcPr>
                <w:p w14:paraId="7926A12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759" w:type="dxa"/>
                  <w:shd w:val="clear" w:color="auto" w:fill="auto"/>
                  <w:vAlign w:val="center"/>
                </w:tcPr>
                <w:p w14:paraId="3AD3D9FE">
                  <w:pPr>
                    <w:pStyle w:val="34"/>
                    <w:snapToGrid/>
                    <w:spacing w:line="240" w:lineRule="auto"/>
                    <w:jc w:val="center"/>
                    <w:rPr>
                      <w:rFonts w:ascii="Times New Roman" w:hAnsi="Times New Roman" w:cs="Times New Roman"/>
                      <w:sz w:val="21"/>
                      <w:szCs w:val="21"/>
                    </w:rPr>
                  </w:pPr>
                  <w:r>
                    <w:rPr>
                      <w:rFonts w:ascii="Times New Roman" w:hAnsi="Times New Roman" w:cs="Times New Roman"/>
                      <w:sz w:val="21"/>
                      <w:szCs w:val="21"/>
                    </w:rPr>
                    <w:t>240000</w:t>
                  </w:r>
                </w:p>
              </w:tc>
              <w:tc>
                <w:tcPr>
                  <w:tcW w:w="667" w:type="dxa"/>
                  <w:shd w:val="clear" w:color="auto" w:fill="auto"/>
                  <w:vAlign w:val="center"/>
                </w:tcPr>
                <w:p w14:paraId="626A7A1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140</w:t>
                  </w:r>
                </w:p>
              </w:tc>
              <w:tc>
                <w:tcPr>
                  <w:tcW w:w="719" w:type="dxa"/>
                  <w:shd w:val="clear" w:color="auto" w:fill="auto"/>
                  <w:vAlign w:val="center"/>
                </w:tcPr>
                <w:p w14:paraId="7A799CC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1.92</w:t>
                  </w:r>
                </w:p>
              </w:tc>
              <w:tc>
                <w:tcPr>
                  <w:tcW w:w="465" w:type="dxa"/>
                  <w:shd w:val="clear" w:color="auto" w:fill="auto"/>
                  <w:vAlign w:val="center"/>
                </w:tcPr>
                <w:p w14:paraId="749000B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0.75</w:t>
                  </w:r>
                </w:p>
              </w:tc>
              <w:tc>
                <w:tcPr>
                  <w:tcW w:w="699" w:type="dxa"/>
                  <w:shd w:val="clear" w:color="auto" w:fill="auto"/>
                  <w:vAlign w:val="center"/>
                </w:tcPr>
                <w:p w14:paraId="0C2774F7">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3750</w:t>
                  </w:r>
                </w:p>
              </w:tc>
              <w:tc>
                <w:tcPr>
                  <w:tcW w:w="699" w:type="dxa"/>
                  <w:shd w:val="clear" w:color="auto" w:fill="auto"/>
                  <w:vAlign w:val="center"/>
                </w:tcPr>
                <w:p w14:paraId="042B2527">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1250</w:t>
                  </w:r>
                </w:p>
              </w:tc>
              <w:tc>
                <w:tcPr>
                  <w:tcW w:w="533" w:type="dxa"/>
                  <w:shd w:val="clear" w:color="auto" w:fill="auto"/>
                  <w:vAlign w:val="center"/>
                </w:tcPr>
                <w:p w14:paraId="7669F59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783" w:type="dxa"/>
                  <w:shd w:val="clear" w:color="auto" w:fill="auto"/>
                  <w:vAlign w:val="center"/>
                </w:tcPr>
                <w:p w14:paraId="687003E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82662.5</w:t>
                  </w:r>
                </w:p>
              </w:tc>
              <w:tc>
                <w:tcPr>
                  <w:tcW w:w="783" w:type="dxa"/>
                  <w:shd w:val="clear" w:color="auto" w:fill="auto"/>
                  <w:vAlign w:val="center"/>
                </w:tcPr>
                <w:p w14:paraId="420560F4">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等线" w:cs="Times New Roman"/>
                      <w:color w:val="000000"/>
                      <w:sz w:val="21"/>
                      <w:szCs w:val="21"/>
                      <w:lang w:bidi="ar"/>
                    </w:rPr>
                    <w:t>6601.0</w:t>
                  </w:r>
                </w:p>
              </w:tc>
              <w:tc>
                <w:tcPr>
                  <w:tcW w:w="941" w:type="dxa"/>
                  <w:shd w:val="clear" w:color="auto" w:fill="auto"/>
                  <w:vAlign w:val="center"/>
                </w:tcPr>
                <w:p w14:paraId="58E25993">
                  <w:pPr>
                    <w:jc w:val="center"/>
                    <w:textAlignment w:val="bottom"/>
                    <w:rPr>
                      <w:rFonts w:ascii="Times New Roman" w:hAnsi="Times New Roman" w:eastAsia="等线" w:cs="Times New Roman"/>
                      <w:color w:val="000000"/>
                      <w:sz w:val="21"/>
                      <w:szCs w:val="21"/>
                      <w:lang w:bidi="ar"/>
                    </w:rPr>
                  </w:pPr>
                  <w:r>
                    <w:rPr>
                      <w:rFonts w:ascii="Times New Roman" w:hAnsi="Times New Roman" w:eastAsia="等线" w:cs="Times New Roman"/>
                      <w:color w:val="000000"/>
                      <w:sz w:val="21"/>
                      <w:szCs w:val="21"/>
                      <w:lang w:bidi="ar"/>
                    </w:rPr>
                    <w:t>89263.5</w:t>
                  </w:r>
                </w:p>
              </w:tc>
            </w:tr>
            <w:tr w14:paraId="4A886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59" w:type="dxa"/>
                  <w:shd w:val="clear" w:color="auto" w:fill="auto"/>
                  <w:vAlign w:val="center"/>
                </w:tcPr>
                <w:p w14:paraId="02CD581A">
                  <w:pPr>
                    <w:pStyle w:val="118"/>
                    <w:numPr>
                      <w:ilvl w:val="0"/>
                      <w:numId w:val="21"/>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906" w:type="dxa"/>
                  <w:shd w:val="clear" w:color="auto" w:fill="auto"/>
                  <w:vAlign w:val="center"/>
                </w:tcPr>
                <w:p w14:paraId="78312E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发烟硫酸/98%硫酸</w:t>
                  </w:r>
                </w:p>
              </w:tc>
              <w:tc>
                <w:tcPr>
                  <w:tcW w:w="986" w:type="dxa"/>
                  <w:shd w:val="clear" w:color="auto" w:fill="auto"/>
                  <w:vAlign w:val="center"/>
                </w:tcPr>
                <w:p w14:paraId="6E74821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759" w:type="dxa"/>
                  <w:shd w:val="clear" w:color="auto" w:fill="auto"/>
                  <w:vAlign w:val="center"/>
                </w:tcPr>
                <w:p w14:paraId="751DA3D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20000</w:t>
                  </w:r>
                </w:p>
              </w:tc>
              <w:tc>
                <w:tcPr>
                  <w:tcW w:w="667" w:type="dxa"/>
                  <w:shd w:val="clear" w:color="auto" w:fill="auto"/>
                  <w:vAlign w:val="center"/>
                </w:tcPr>
                <w:p w14:paraId="3FFFE96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719" w:type="dxa"/>
                  <w:shd w:val="clear" w:color="auto" w:fill="auto"/>
                  <w:vAlign w:val="center"/>
                </w:tcPr>
                <w:p w14:paraId="779B118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1.84</w:t>
                  </w:r>
                </w:p>
              </w:tc>
              <w:tc>
                <w:tcPr>
                  <w:tcW w:w="465" w:type="dxa"/>
                  <w:shd w:val="clear" w:color="auto" w:fill="auto"/>
                  <w:vAlign w:val="center"/>
                </w:tcPr>
                <w:p w14:paraId="7CC4D1A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0.75</w:t>
                  </w:r>
                </w:p>
              </w:tc>
              <w:tc>
                <w:tcPr>
                  <w:tcW w:w="699" w:type="dxa"/>
                  <w:shd w:val="clear" w:color="auto" w:fill="auto"/>
                  <w:vAlign w:val="center"/>
                </w:tcPr>
                <w:p w14:paraId="21D0AED7">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3750</w:t>
                  </w:r>
                </w:p>
              </w:tc>
              <w:tc>
                <w:tcPr>
                  <w:tcW w:w="699" w:type="dxa"/>
                  <w:shd w:val="clear" w:color="auto" w:fill="auto"/>
                  <w:vAlign w:val="center"/>
                </w:tcPr>
                <w:p w14:paraId="4952C774">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1250</w:t>
                  </w:r>
                </w:p>
              </w:tc>
              <w:tc>
                <w:tcPr>
                  <w:tcW w:w="533" w:type="dxa"/>
                  <w:shd w:val="clear" w:color="auto" w:fill="auto"/>
                  <w:vAlign w:val="center"/>
                </w:tcPr>
                <w:p w14:paraId="55BC1C4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783" w:type="dxa"/>
                  <w:shd w:val="clear" w:color="auto" w:fill="auto"/>
                  <w:vAlign w:val="center"/>
                </w:tcPr>
                <w:p w14:paraId="7C2B52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9472.5</w:t>
                  </w:r>
                </w:p>
              </w:tc>
              <w:tc>
                <w:tcPr>
                  <w:tcW w:w="783" w:type="dxa"/>
                  <w:shd w:val="clear" w:color="auto" w:fill="auto"/>
                  <w:vAlign w:val="center"/>
                </w:tcPr>
                <w:p w14:paraId="23612537">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等线" w:cs="Times New Roman"/>
                      <w:color w:val="000000"/>
                      <w:sz w:val="21"/>
                      <w:szCs w:val="21"/>
                      <w:lang w:bidi="ar"/>
                    </w:rPr>
                    <w:t>11490.0</w:t>
                  </w:r>
                </w:p>
              </w:tc>
              <w:tc>
                <w:tcPr>
                  <w:tcW w:w="941" w:type="dxa"/>
                  <w:shd w:val="clear" w:color="auto" w:fill="auto"/>
                  <w:vAlign w:val="center"/>
                </w:tcPr>
                <w:p w14:paraId="125A3814">
                  <w:pPr>
                    <w:jc w:val="center"/>
                    <w:textAlignment w:val="bottom"/>
                    <w:rPr>
                      <w:rFonts w:ascii="Times New Roman" w:hAnsi="Times New Roman" w:eastAsia="等线" w:cs="Times New Roman"/>
                      <w:color w:val="000000"/>
                      <w:sz w:val="21"/>
                      <w:szCs w:val="21"/>
                      <w:lang w:bidi="ar"/>
                    </w:rPr>
                  </w:pPr>
                  <w:r>
                    <w:rPr>
                      <w:rFonts w:ascii="Times New Roman" w:hAnsi="Times New Roman" w:eastAsia="等线" w:cs="Times New Roman"/>
                      <w:color w:val="000000"/>
                      <w:sz w:val="21"/>
                      <w:szCs w:val="21"/>
                      <w:lang w:bidi="ar"/>
                    </w:rPr>
                    <w:t>20962.5</w:t>
                  </w:r>
                </w:p>
              </w:tc>
            </w:tr>
            <w:tr w14:paraId="1102F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59" w:type="dxa"/>
                  <w:shd w:val="clear" w:color="auto" w:fill="auto"/>
                  <w:vAlign w:val="center"/>
                </w:tcPr>
                <w:p w14:paraId="0EB2D747">
                  <w:pPr>
                    <w:pStyle w:val="118"/>
                    <w:numPr>
                      <w:ilvl w:val="0"/>
                      <w:numId w:val="21"/>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906" w:type="dxa"/>
                  <w:shd w:val="clear" w:color="auto" w:fill="auto"/>
                  <w:vAlign w:val="center"/>
                </w:tcPr>
                <w:p w14:paraId="6A8CBEC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苯酚</w:t>
                  </w:r>
                </w:p>
              </w:tc>
              <w:tc>
                <w:tcPr>
                  <w:tcW w:w="986" w:type="dxa"/>
                  <w:shd w:val="clear" w:color="auto" w:fill="auto"/>
                  <w:vAlign w:val="center"/>
                </w:tcPr>
                <w:p w14:paraId="78CCE1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10000</w:t>
                  </w:r>
                </w:p>
                <w:p w14:paraId="0110D8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（5000×2）</w:t>
                  </w:r>
                </w:p>
              </w:tc>
              <w:tc>
                <w:tcPr>
                  <w:tcW w:w="759" w:type="dxa"/>
                  <w:shd w:val="clear" w:color="auto" w:fill="auto"/>
                  <w:vAlign w:val="center"/>
                </w:tcPr>
                <w:p w14:paraId="33AA58C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200000</w:t>
                  </w:r>
                </w:p>
              </w:tc>
              <w:tc>
                <w:tcPr>
                  <w:tcW w:w="667" w:type="dxa"/>
                  <w:shd w:val="clear" w:color="auto" w:fill="auto"/>
                  <w:vAlign w:val="center"/>
                </w:tcPr>
                <w:p w14:paraId="1DA68F0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55</w:t>
                  </w:r>
                </w:p>
              </w:tc>
              <w:tc>
                <w:tcPr>
                  <w:tcW w:w="719" w:type="dxa"/>
                  <w:shd w:val="clear" w:color="auto" w:fill="auto"/>
                  <w:vAlign w:val="center"/>
                </w:tcPr>
                <w:p w14:paraId="132BFC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1.071</w:t>
                  </w:r>
                </w:p>
              </w:tc>
              <w:tc>
                <w:tcPr>
                  <w:tcW w:w="465" w:type="dxa"/>
                  <w:shd w:val="clear" w:color="auto" w:fill="auto"/>
                  <w:vAlign w:val="center"/>
                </w:tcPr>
                <w:p w14:paraId="1C12A43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0.90</w:t>
                  </w:r>
                </w:p>
              </w:tc>
              <w:tc>
                <w:tcPr>
                  <w:tcW w:w="699" w:type="dxa"/>
                  <w:shd w:val="clear" w:color="auto" w:fill="auto"/>
                  <w:vAlign w:val="center"/>
                </w:tcPr>
                <w:p w14:paraId="5CEE260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9000</w:t>
                  </w:r>
                </w:p>
              </w:tc>
              <w:tc>
                <w:tcPr>
                  <w:tcW w:w="699" w:type="dxa"/>
                  <w:shd w:val="clear" w:color="auto" w:fill="auto"/>
                  <w:vAlign w:val="center"/>
                </w:tcPr>
                <w:p w14:paraId="42CE8AB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533" w:type="dxa"/>
                  <w:shd w:val="clear" w:color="auto" w:fill="auto"/>
                  <w:vAlign w:val="center"/>
                </w:tcPr>
                <w:p w14:paraId="738100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783" w:type="dxa"/>
                  <w:shd w:val="clear" w:color="auto" w:fill="auto"/>
                  <w:vAlign w:val="center"/>
                </w:tcPr>
                <w:p w14:paraId="1D5F06D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155442</w:t>
                  </w:r>
                </w:p>
              </w:tc>
              <w:tc>
                <w:tcPr>
                  <w:tcW w:w="783" w:type="dxa"/>
                  <w:shd w:val="clear" w:color="auto" w:fill="auto"/>
                  <w:vAlign w:val="center"/>
                </w:tcPr>
                <w:p w14:paraId="6DB4C270">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等线" w:cs="Times New Roman"/>
                      <w:color w:val="000000"/>
                      <w:sz w:val="21"/>
                      <w:szCs w:val="21"/>
                      <w:lang w:bidi="ar"/>
                    </w:rPr>
                    <w:t>8370.9</w:t>
                  </w:r>
                </w:p>
              </w:tc>
              <w:tc>
                <w:tcPr>
                  <w:tcW w:w="941" w:type="dxa"/>
                  <w:shd w:val="clear" w:color="auto" w:fill="auto"/>
                  <w:vAlign w:val="center"/>
                </w:tcPr>
                <w:p w14:paraId="51EA0C34">
                  <w:pPr>
                    <w:jc w:val="center"/>
                    <w:textAlignment w:val="bottom"/>
                    <w:rPr>
                      <w:rFonts w:ascii="Times New Roman" w:hAnsi="Times New Roman" w:eastAsia="等线" w:cs="Times New Roman"/>
                      <w:color w:val="000000"/>
                      <w:sz w:val="21"/>
                      <w:szCs w:val="21"/>
                      <w:lang w:bidi="ar"/>
                    </w:rPr>
                  </w:pPr>
                  <w:r>
                    <w:rPr>
                      <w:rFonts w:ascii="Times New Roman" w:hAnsi="Times New Roman" w:eastAsia="等线" w:cs="Times New Roman"/>
                      <w:color w:val="000000"/>
                      <w:sz w:val="21"/>
                      <w:szCs w:val="21"/>
                      <w:lang w:bidi="ar"/>
                    </w:rPr>
                    <w:t>163812.9</w:t>
                  </w:r>
                </w:p>
              </w:tc>
            </w:tr>
            <w:tr w14:paraId="2B146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59" w:type="dxa"/>
                  <w:shd w:val="clear" w:color="auto" w:fill="auto"/>
                  <w:vAlign w:val="center"/>
                </w:tcPr>
                <w:p w14:paraId="763DFAB7">
                  <w:pPr>
                    <w:pStyle w:val="118"/>
                    <w:numPr>
                      <w:ilvl w:val="0"/>
                      <w:numId w:val="21"/>
                    </w:numPr>
                    <w:spacing w:line="240" w:lineRule="auto"/>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906" w:type="dxa"/>
                  <w:shd w:val="clear" w:color="auto" w:fill="auto"/>
                  <w:vAlign w:val="center"/>
                </w:tcPr>
                <w:p w14:paraId="7458870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己内酰胺</w:t>
                  </w:r>
                </w:p>
              </w:tc>
              <w:tc>
                <w:tcPr>
                  <w:tcW w:w="986" w:type="dxa"/>
                  <w:shd w:val="clear" w:color="auto" w:fill="auto"/>
                  <w:vAlign w:val="center"/>
                </w:tcPr>
                <w:p w14:paraId="10F10F6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15000</w:t>
                  </w:r>
                </w:p>
              </w:tc>
              <w:tc>
                <w:tcPr>
                  <w:tcW w:w="759" w:type="dxa"/>
                  <w:shd w:val="clear" w:color="auto" w:fill="auto"/>
                  <w:vAlign w:val="center"/>
                </w:tcPr>
                <w:p w14:paraId="53DCF29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224000</w:t>
                  </w:r>
                </w:p>
              </w:tc>
              <w:tc>
                <w:tcPr>
                  <w:tcW w:w="667" w:type="dxa"/>
                  <w:shd w:val="clear" w:color="auto" w:fill="auto"/>
                  <w:vAlign w:val="center"/>
                </w:tcPr>
                <w:p w14:paraId="3D1481F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w:t>
                  </w:r>
                </w:p>
              </w:tc>
              <w:tc>
                <w:tcPr>
                  <w:tcW w:w="719" w:type="dxa"/>
                  <w:shd w:val="clear" w:color="auto" w:fill="auto"/>
                  <w:vAlign w:val="center"/>
                </w:tcPr>
                <w:p w14:paraId="5496291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1.023</w:t>
                  </w:r>
                </w:p>
              </w:tc>
              <w:tc>
                <w:tcPr>
                  <w:tcW w:w="465" w:type="dxa"/>
                  <w:shd w:val="clear" w:color="auto" w:fill="auto"/>
                  <w:vAlign w:val="center"/>
                </w:tcPr>
                <w:p w14:paraId="1A195B8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0.90</w:t>
                  </w:r>
                </w:p>
              </w:tc>
              <w:tc>
                <w:tcPr>
                  <w:tcW w:w="699" w:type="dxa"/>
                  <w:shd w:val="clear" w:color="auto" w:fill="auto"/>
                  <w:vAlign w:val="center"/>
                </w:tcPr>
                <w:p w14:paraId="37DD267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13500</w:t>
                  </w:r>
                </w:p>
              </w:tc>
              <w:tc>
                <w:tcPr>
                  <w:tcW w:w="699" w:type="dxa"/>
                  <w:shd w:val="clear" w:color="auto" w:fill="auto"/>
                  <w:vAlign w:val="center"/>
                </w:tcPr>
                <w:p w14:paraId="547BC65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w:t>
                  </w:r>
                </w:p>
              </w:tc>
              <w:tc>
                <w:tcPr>
                  <w:tcW w:w="533" w:type="dxa"/>
                  <w:shd w:val="clear" w:color="auto" w:fill="auto"/>
                  <w:vAlign w:val="center"/>
                </w:tcPr>
                <w:p w14:paraId="6DA3F14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783" w:type="dxa"/>
                  <w:shd w:val="clear" w:color="auto" w:fill="auto"/>
                  <w:vAlign w:val="center"/>
                </w:tcPr>
                <w:p w14:paraId="0B6A965A">
                  <w:pPr>
                    <w:tabs>
                      <w:tab w:val="left" w:pos="416"/>
                    </w:tab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169362</w:t>
                  </w:r>
                </w:p>
              </w:tc>
              <w:tc>
                <w:tcPr>
                  <w:tcW w:w="783" w:type="dxa"/>
                  <w:shd w:val="clear" w:color="auto" w:fill="auto"/>
                  <w:vAlign w:val="center"/>
                </w:tcPr>
                <w:p w14:paraId="1A314BFB">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等线" w:cs="Times New Roman"/>
                      <w:color w:val="000000"/>
                      <w:sz w:val="21"/>
                      <w:szCs w:val="21"/>
                      <w:lang w:bidi="ar"/>
                    </w:rPr>
                    <w:t>10841.5</w:t>
                  </w:r>
                </w:p>
              </w:tc>
              <w:tc>
                <w:tcPr>
                  <w:tcW w:w="941" w:type="dxa"/>
                  <w:shd w:val="clear" w:color="auto" w:fill="auto"/>
                  <w:vAlign w:val="center"/>
                </w:tcPr>
                <w:p w14:paraId="39A25413">
                  <w:pPr>
                    <w:jc w:val="center"/>
                    <w:textAlignment w:val="bottom"/>
                    <w:rPr>
                      <w:rFonts w:ascii="Times New Roman" w:hAnsi="Times New Roman" w:eastAsia="等线" w:cs="Times New Roman"/>
                      <w:color w:val="000000"/>
                      <w:sz w:val="21"/>
                      <w:szCs w:val="21"/>
                      <w:lang w:bidi="ar"/>
                    </w:rPr>
                  </w:pPr>
                  <w:r>
                    <w:rPr>
                      <w:rFonts w:ascii="Times New Roman" w:hAnsi="Times New Roman" w:eastAsia="等线" w:cs="Times New Roman"/>
                      <w:color w:val="000000"/>
                      <w:sz w:val="21"/>
                      <w:szCs w:val="21"/>
                      <w:lang w:bidi="ar"/>
                    </w:rPr>
                    <w:t>180203.5</w:t>
                  </w:r>
                </w:p>
              </w:tc>
            </w:tr>
          </w:tbl>
          <w:p w14:paraId="2DD119D6">
            <w:pPr>
              <w:adjustRightInd w:val="0"/>
              <w:snapToGrid w:val="0"/>
              <w:spacing w:line="360" w:lineRule="auto"/>
              <w:jc w:val="center"/>
              <w:rPr>
                <w:rFonts w:ascii="Times New Roman" w:hAnsi="Times New Roman" w:cs="Times New Roman"/>
                <w:color w:val="000000" w:themeColor="text1"/>
                <w:kern w:val="21"/>
                <w14:textFill>
                  <w14:solidFill>
                    <w14:schemeClr w14:val="tx1"/>
                  </w14:solidFill>
                </w14:textFill>
              </w:rPr>
            </w:pPr>
          </w:p>
          <w:p w14:paraId="37E01FF2">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）装置密封点挥发废气</w:t>
            </w:r>
          </w:p>
          <w:p w14:paraId="644849D8">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在温度压力、振动、摩擦和腐蚀的影响下，槽罐阀门和法兰接头、泵的转动与壳体的接触处等密封设施密封不严等因素会导致溢出废气而得不到100%密封控制，在此情况下将产生无组织废气逸散，生产过程中管道的跑冒、滴、漏等损失的无组织排放废气按照静密封泄漏率计算。参考《排污许可证申请与核发技术规范 石化工业》（HJ853-2017），设备与管线组件密封点挥发性有机物排放量可按下式计算：</w:t>
            </w:r>
          </w:p>
          <w:p w14:paraId="5F101416">
            <w:pPr>
              <w:spacing w:line="360" w:lineRule="auto"/>
              <w:jc w:val="center"/>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2837815" cy="663575"/>
                  <wp:effectExtent l="0" t="0" r="635"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9"/>
                          <a:stretch>
                            <a:fillRect/>
                          </a:stretch>
                        </pic:blipFill>
                        <pic:spPr>
                          <a:xfrm>
                            <a:off x="0" y="0"/>
                            <a:ext cx="2846407" cy="665809"/>
                          </a:xfrm>
                          <a:prstGeom prst="rect">
                            <a:avLst/>
                          </a:prstGeom>
                        </pic:spPr>
                      </pic:pic>
                    </a:graphicData>
                  </a:graphic>
                </wp:inline>
              </w:drawing>
            </w:r>
          </w:p>
          <w:p w14:paraId="488125E9">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式中：E</w:t>
            </w:r>
            <w:r>
              <w:rPr>
                <w:rFonts w:ascii="Times New Roman" w:hAnsi="Times New Roman" w:cs="Times New Roman"/>
                <w:color w:val="000000" w:themeColor="text1"/>
                <w:kern w:val="21"/>
                <w:vertAlign w:val="subscript"/>
                <w14:textFill>
                  <w14:solidFill>
                    <w14:schemeClr w14:val="tx1"/>
                  </w14:solidFill>
                </w14:textFill>
              </w:rPr>
              <w:t>设备</w:t>
            </w:r>
            <w:r>
              <w:rPr>
                <w:rFonts w:ascii="Times New Roman" w:hAnsi="Times New Roman" w:cs="Times New Roman"/>
                <w:color w:val="000000" w:themeColor="text1"/>
                <w:kern w:val="21"/>
                <w14:textFill>
                  <w14:solidFill>
                    <w14:schemeClr w14:val="tx1"/>
                  </w14:solidFill>
                </w14:textFill>
              </w:rPr>
              <w:t>——核算时段内设备与管线组件密封点泄漏的挥发性有机物的量，kg/a；</w:t>
            </w:r>
          </w:p>
          <w:p w14:paraId="4710D16D">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t</w:t>
            </w:r>
            <w:r>
              <w:rPr>
                <w:rFonts w:ascii="Times New Roman" w:hAnsi="Times New Roman" w:cs="Times New Roman"/>
                <w:color w:val="000000" w:themeColor="text1"/>
                <w:kern w:val="21"/>
                <w:vertAlign w:val="subscript"/>
                <w14:textFill>
                  <w14:solidFill>
                    <w14:schemeClr w14:val="tx1"/>
                  </w14:solidFill>
                </w14:textFill>
              </w:rPr>
              <w:t xml:space="preserve"> i</w:t>
            </w:r>
            <w:r>
              <w:rPr>
                <w:rFonts w:ascii="Times New Roman" w:hAnsi="Times New Roman" w:cs="Times New Roman"/>
                <w:color w:val="000000" w:themeColor="text1"/>
                <w:kern w:val="21"/>
                <w14:textFill>
                  <w14:solidFill>
                    <w14:schemeClr w14:val="tx1"/>
                  </w14:solidFill>
                </w14:textFill>
              </w:rPr>
              <w:t>——核算时段内密封点i的运行时间，h/a，管线等设备只在装卸料过程中会产生废气；</w:t>
            </w:r>
          </w:p>
          <w:p w14:paraId="6E0E9AB0">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m:oMath>
              <m:sSub>
                <m:sSubPr>
                  <m:ctrlPr>
                    <w:rPr>
                      <w:rFonts w:ascii="Cambria Math" w:hAnsi="Cambria Math" w:cs="Times New Roman"/>
                      <w:color w:val="000000" w:themeColor="text1"/>
                      <w:kern w:val="21"/>
                      <w14:textFill>
                        <w14:solidFill>
                          <w14:schemeClr w14:val="tx1"/>
                        </w14:solidFill>
                      </w14:textFill>
                    </w:rPr>
                  </m:ctrlPr>
                </m:sSubPr>
                <m:e>
                  <m:r>
                    <m:rPr/>
                    <w:rPr>
                      <w:rFonts w:ascii="Cambria Math" w:hAnsi="Cambria Math" w:cs="Times New Roman"/>
                      <w:color w:val="000000" w:themeColor="text1"/>
                      <w:kern w:val="21"/>
                      <w14:textFill>
                        <w14:solidFill>
                          <w14:schemeClr w14:val="tx1"/>
                        </w14:solidFill>
                      </w14:textFill>
                    </w:rPr>
                    <m:t>e</m:t>
                  </m:r>
                  <m:ctrlPr>
                    <w:rPr>
                      <w:rFonts w:ascii="Cambria Math" w:hAnsi="Cambria Math" w:cs="Times New Roman"/>
                      <w:color w:val="000000" w:themeColor="text1"/>
                      <w:kern w:val="21"/>
                      <w14:textFill>
                        <w14:solidFill>
                          <w14:schemeClr w14:val="tx1"/>
                        </w14:solidFill>
                      </w14:textFill>
                    </w:rPr>
                  </m:ctrlPr>
                </m:e>
                <m:sub>
                  <m:r>
                    <m:rPr>
                      <m:sty m:val="p"/>
                    </m:rPr>
                    <w:rPr>
                      <w:rFonts w:ascii="Cambria Math" w:hAnsi="Cambria Math" w:cs="Times New Roman"/>
                      <w:color w:val="000000" w:themeColor="text1"/>
                      <w:kern w:val="21"/>
                      <w:vertAlign w:val="subscript"/>
                      <w14:textFill>
                        <w14:solidFill>
                          <w14:schemeClr w14:val="tx1"/>
                        </w14:solidFill>
                      </w14:textFill>
                    </w:rPr>
                    <m:t>TOC，i</m:t>
                  </m:r>
                  <m:ctrlPr>
                    <w:rPr>
                      <w:rFonts w:ascii="Cambria Math" w:hAnsi="Cambria Math" w:cs="Times New Roman"/>
                      <w:color w:val="000000" w:themeColor="text1"/>
                      <w:kern w:val="21"/>
                      <w14:textFill>
                        <w14:solidFill>
                          <w14:schemeClr w14:val="tx1"/>
                        </w14:solidFill>
                      </w14:textFill>
                    </w:rPr>
                  </m:ctrlPr>
                </m:sub>
              </m:sSub>
            </m:oMath>
            <w:r>
              <w:rPr>
                <w:rFonts w:ascii="Times New Roman" w:hAnsi="Times New Roman" w:cs="Times New Roman"/>
                <w:color w:val="000000" w:themeColor="text1"/>
                <w:kern w:val="21"/>
                <w14:textFill>
                  <w14:solidFill>
                    <w14:schemeClr w14:val="tx1"/>
                  </w14:solidFill>
                </w14:textFill>
              </w:rPr>
              <w:t>——密封点i的总有机碳（TOC）排放速率，kg/h，参考（HJ853-2017）表4；</w:t>
            </w:r>
          </w:p>
          <w:p w14:paraId="3E2A64A9">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WF</w:t>
            </w:r>
            <w:r>
              <w:rPr>
                <w:rFonts w:ascii="Times New Roman" w:hAnsi="Times New Roman" w:cs="Times New Roman"/>
                <w:color w:val="000000" w:themeColor="text1"/>
                <w:kern w:val="21"/>
                <w:vertAlign w:val="subscript"/>
                <w14:textFill>
                  <w14:solidFill>
                    <w14:schemeClr w14:val="tx1"/>
                  </w14:solidFill>
                </w14:textFill>
              </w:rPr>
              <w:t>VOCs，i</w:t>
            </w:r>
            <w:r>
              <w:rPr>
                <w:rFonts w:ascii="Times New Roman" w:hAnsi="Times New Roman" w:cs="Times New Roman"/>
                <w:color w:val="000000" w:themeColor="text1"/>
                <w:kern w:val="21"/>
                <w14:textFill>
                  <w14:solidFill>
                    <w14:schemeClr w14:val="tx1"/>
                  </w14:solidFill>
                </w14:textFill>
              </w:rPr>
              <w:t>——流经密封点i的物料中挥发性有机物的设计平均质量分数，取100%；</w:t>
            </w:r>
          </w:p>
          <w:p w14:paraId="32517684">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WF</w:t>
            </w:r>
            <w:r>
              <w:rPr>
                <w:rFonts w:ascii="Times New Roman" w:hAnsi="Times New Roman" w:cs="Times New Roman"/>
                <w:color w:val="000000" w:themeColor="text1"/>
                <w:kern w:val="21"/>
                <w:vertAlign w:val="subscript"/>
                <w14:textFill>
                  <w14:solidFill>
                    <w14:schemeClr w14:val="tx1"/>
                  </w14:solidFill>
                </w14:textFill>
              </w:rPr>
              <w:t>TOC，i</w:t>
            </w:r>
            <w:r>
              <w:rPr>
                <w:rFonts w:ascii="Times New Roman" w:hAnsi="Times New Roman" w:cs="Times New Roman"/>
                <w:color w:val="000000" w:themeColor="text1"/>
                <w:kern w:val="21"/>
                <w14:textFill>
                  <w14:solidFill>
                    <w14:schemeClr w14:val="tx1"/>
                  </w14:solidFill>
                </w14:textFill>
              </w:rPr>
              <w:t>——流经密封点i的物料中总有机碳（TOC）的设计平均质量分数；</w:t>
            </w:r>
          </w:p>
          <w:p w14:paraId="4E15182E">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n——挥发性有机物流经的设备与管线组件密封点数；</w:t>
            </w:r>
          </w:p>
          <w:p w14:paraId="05810F13">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根据《上海市工业企业挥发性有机物排放量通用计算方法》，</w:t>
            </w:r>
            <w:r>
              <w:rPr>
                <w:rFonts w:hint="eastAsia" w:ascii="Times New Roman" w:hAnsi="Times New Roman" w:cs="Times New Roman"/>
                <w:color w:val="000000" w:themeColor="text1"/>
                <w:kern w:val="21"/>
                <w14:textFill>
                  <w14:solidFill>
                    <w14:schemeClr w14:val="tx1"/>
                  </w14:solidFill>
                </w14:textFill>
              </w:rPr>
              <w:t>无机</w:t>
            </w:r>
            <w:r>
              <w:rPr>
                <w:rFonts w:ascii="Times New Roman" w:hAnsi="Times New Roman" w:cs="Times New Roman"/>
                <w:color w:val="000000" w:themeColor="text1"/>
                <w:kern w:val="21"/>
                <w14:textFill>
                  <w14:solidFill>
                    <w14:schemeClr w14:val="tx1"/>
                  </w14:solidFill>
                </w14:textFill>
              </w:rPr>
              <w:t>物料中VOCs的平均质量分数，则WF</w:t>
            </w:r>
            <w:r>
              <w:rPr>
                <w:rFonts w:ascii="Times New Roman" w:hAnsi="Times New Roman" w:cs="Times New Roman"/>
                <w:color w:val="000000" w:themeColor="text1"/>
                <w:kern w:val="21"/>
                <w:vertAlign w:val="subscript"/>
                <w14:textFill>
                  <w14:solidFill>
                    <w14:schemeClr w14:val="tx1"/>
                  </w14:solidFill>
                </w14:textFill>
              </w:rPr>
              <w:t xml:space="preserve">VOCs，i </w:t>
            </w:r>
            <w:r>
              <w:rPr>
                <w:rFonts w:ascii="Times New Roman" w:hAnsi="Times New Roman" w:cs="Times New Roman"/>
                <w:color w:val="000000" w:themeColor="text1"/>
                <w:kern w:val="21"/>
                <w14:textFill>
                  <w14:solidFill>
                    <w14:schemeClr w14:val="tx1"/>
                  </w14:solidFill>
                </w14:textFill>
              </w:rPr>
              <w:t>/ WF</w:t>
            </w:r>
            <w:r>
              <w:rPr>
                <w:rFonts w:ascii="Times New Roman" w:hAnsi="Times New Roman" w:cs="Times New Roman"/>
                <w:color w:val="000000" w:themeColor="text1"/>
                <w:kern w:val="21"/>
                <w:vertAlign w:val="subscript"/>
                <w14:textFill>
                  <w14:solidFill>
                    <w14:schemeClr w14:val="tx1"/>
                  </w14:solidFill>
                </w14:textFill>
              </w:rPr>
              <w:t>TOC，i</w:t>
            </w:r>
            <w:r>
              <w:rPr>
                <w:rFonts w:ascii="Times New Roman" w:hAnsi="Times New Roman" w:cs="Times New Roman"/>
                <w:color w:val="000000" w:themeColor="text1"/>
                <w:kern w:val="21"/>
                <w14:textFill>
                  <w14:solidFill>
                    <w14:schemeClr w14:val="tx1"/>
                  </w14:solidFill>
                </w14:textFill>
              </w:rPr>
              <w:t>按1计。</w:t>
            </w:r>
          </w:p>
          <w:p w14:paraId="3F038E23">
            <w:pPr>
              <w:jc w:val="center"/>
              <w:rPr>
                <w:rFonts w:ascii="Times New Roman" w:hAnsi="Times New Roman" w:cs="Times New Roman"/>
                <w:b/>
                <w:bCs/>
                <w:color w:val="000000" w:themeColor="text1"/>
                <w:kern w:val="21"/>
                <w14:textFill>
                  <w14:solidFill>
                    <w14:schemeClr w14:val="tx1"/>
                  </w14:solidFill>
                </w14:textFill>
              </w:rPr>
            </w:pPr>
            <w:r>
              <w:rPr>
                <w:rFonts w:ascii="Times New Roman" w:hAnsi="Times New Roman" w:cs="Times New Roman"/>
                <w:b/>
                <w:bCs/>
                <w:color w:val="000000" w:themeColor="text1"/>
                <w:kern w:val="21"/>
                <w14:textFill>
                  <w14:solidFill>
                    <w14:schemeClr w14:val="tx1"/>
                  </w14:solidFill>
                </w14:textFill>
              </w:rPr>
              <w:t>表4-</w:t>
            </w:r>
            <w:r>
              <w:rPr>
                <w:rFonts w:hint="eastAsia" w:ascii="Times New Roman" w:hAnsi="Times New Roman" w:cs="Times New Roman"/>
                <w:b/>
                <w:bCs/>
                <w:color w:val="000000" w:themeColor="text1"/>
                <w:kern w:val="21"/>
                <w14:textFill>
                  <w14:solidFill>
                    <w14:schemeClr w14:val="tx1"/>
                  </w14:solidFill>
                </w14:textFill>
              </w:rPr>
              <w:t>10</w:t>
            </w:r>
            <w:r>
              <w:rPr>
                <w:rFonts w:ascii="Times New Roman" w:hAnsi="Times New Roman" w:cs="Times New Roman"/>
                <w:b/>
                <w:bCs/>
                <w:color w:val="000000" w:themeColor="text1"/>
                <w:kern w:val="21"/>
                <w14:textFill>
                  <w14:solidFill>
                    <w14:schemeClr w14:val="tx1"/>
                  </w14:solidFill>
                </w14:textFill>
              </w:rPr>
              <w:t xml:space="preserve"> 项目</w:t>
            </w:r>
            <w:r>
              <w:rPr>
                <w:rFonts w:ascii="Times New Roman" w:hAnsi="Times New Roman" w:cs="Times New Roman"/>
                <w:b/>
                <w:bCs/>
                <w:color w:val="000000" w:themeColor="text1"/>
                <w14:textFill>
                  <w14:solidFill>
                    <w14:schemeClr w14:val="tx1"/>
                  </w14:solidFill>
                </w14:textFill>
              </w:rPr>
              <w:t>密封点挥发废气计算结果表</w:t>
            </w:r>
          </w:p>
          <w:tbl>
            <w:tblPr>
              <w:tblStyle w:val="89"/>
              <w:tblW w:w="92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422"/>
              <w:gridCol w:w="1597"/>
              <w:gridCol w:w="1389"/>
              <w:gridCol w:w="851"/>
              <w:gridCol w:w="992"/>
              <w:gridCol w:w="1445"/>
              <w:gridCol w:w="1532"/>
            </w:tblGrid>
            <w:tr w14:paraId="0DC66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Align w:val="center"/>
                </w:tcPr>
                <w:p w14:paraId="4773B69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货种名称</w:t>
                  </w:r>
                </w:p>
              </w:tc>
              <w:tc>
                <w:tcPr>
                  <w:tcW w:w="1597" w:type="dxa"/>
                  <w:vAlign w:val="center"/>
                </w:tcPr>
                <w:p w14:paraId="3D5E68B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污染物名称</w:t>
                  </w:r>
                </w:p>
              </w:tc>
              <w:tc>
                <w:tcPr>
                  <w:tcW w:w="1389" w:type="dxa"/>
                  <w:vAlign w:val="center"/>
                </w:tcPr>
                <w:p w14:paraId="4737C90D">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密封点类型</w:t>
                  </w:r>
                </w:p>
              </w:tc>
              <w:tc>
                <w:tcPr>
                  <w:tcW w:w="851" w:type="dxa"/>
                  <w:vAlign w:val="center"/>
                </w:tcPr>
                <w:p w14:paraId="20FD84A5">
                  <w:pPr>
                    <w:jc w:val="center"/>
                    <w:rPr>
                      <w:rFonts w:ascii="Times New Roman" w:hAnsi="Times New Roman" w:cs="Times New Roman"/>
                      <w:color w:val="000000" w:themeColor="text1"/>
                      <w:kern w:val="21"/>
                      <w:sz w:val="21"/>
                      <w:szCs w:val="21"/>
                      <w14:textFill>
                        <w14:solidFill>
                          <w14:schemeClr w14:val="tx1"/>
                        </w14:solidFill>
                      </w14:textFill>
                    </w:rPr>
                  </w:pPr>
                  <m:oMathPara>
                    <m:oMath>
                      <m:sSub>
                        <m:sSubPr>
                          <m:ctrlPr>
                            <w:rPr>
                              <w:rFonts w:ascii="Cambria Math" w:hAnsi="Cambria Math" w:cs="Times New Roman"/>
                              <w:color w:val="000000" w:themeColor="text1"/>
                              <w:kern w:val="21"/>
                              <w:sz w:val="21"/>
                              <w:szCs w:val="21"/>
                              <w14:textFill>
                                <w14:solidFill>
                                  <w14:schemeClr w14:val="tx1"/>
                                </w14:solidFill>
                              </w14:textFill>
                            </w:rPr>
                          </m:ctrlPr>
                        </m:sSubPr>
                        <m:e>
                          <m:r>
                            <m:rPr/>
                            <w:rPr>
                              <w:rFonts w:ascii="Cambria Math" w:hAnsi="Cambria Math" w:cs="Times New Roman"/>
                              <w:color w:val="000000" w:themeColor="text1"/>
                              <w:kern w:val="21"/>
                              <w:sz w:val="21"/>
                              <w:szCs w:val="21"/>
                              <w14:textFill>
                                <w14:solidFill>
                                  <w14:schemeClr w14:val="tx1"/>
                                </w14:solidFill>
                              </w14:textFill>
                            </w:rPr>
                            <m:t>e</m:t>
                          </m:r>
                          <m:ctrlPr>
                            <w:rPr>
                              <w:rFonts w:ascii="Cambria Math" w:hAnsi="Cambria Math" w:cs="Times New Roman"/>
                              <w:color w:val="000000" w:themeColor="text1"/>
                              <w:kern w:val="21"/>
                              <w:sz w:val="21"/>
                              <w:szCs w:val="21"/>
                              <w14:textFill>
                                <w14:solidFill>
                                  <w14:schemeClr w14:val="tx1"/>
                                </w14:solidFill>
                              </w14:textFill>
                            </w:rPr>
                          </m:ctrlPr>
                        </m:e>
                        <m:sub>
                          <m:r>
                            <m:rPr>
                              <m:sty m:val="p"/>
                            </m:rPr>
                            <w:rPr>
                              <w:rFonts w:ascii="Cambria Math" w:hAnsi="Cambria Math" w:cs="Times New Roman"/>
                              <w:color w:val="000000" w:themeColor="text1"/>
                              <w:kern w:val="21"/>
                              <w:sz w:val="21"/>
                              <w:szCs w:val="21"/>
                              <w:vertAlign w:val="subscript"/>
                              <w14:textFill>
                                <w14:solidFill>
                                  <w14:schemeClr w14:val="tx1"/>
                                </w14:solidFill>
                              </w14:textFill>
                            </w:rPr>
                            <m:t>TOC，i</m:t>
                          </m:r>
                          <m:ctrlPr>
                            <w:rPr>
                              <w:rFonts w:ascii="Cambria Math" w:hAnsi="Cambria Math" w:cs="Times New Roman"/>
                              <w:color w:val="000000" w:themeColor="text1"/>
                              <w:kern w:val="21"/>
                              <w:sz w:val="21"/>
                              <w:szCs w:val="21"/>
                              <w14:textFill>
                                <w14:solidFill>
                                  <w14:schemeClr w14:val="tx1"/>
                                </w14:solidFill>
                              </w14:textFill>
                            </w:rPr>
                          </m:ctrlPr>
                        </m:sub>
                      </m:sSub>
                    </m:oMath>
                  </m:oMathPara>
                </w:p>
              </w:tc>
              <w:tc>
                <w:tcPr>
                  <w:tcW w:w="992" w:type="dxa"/>
                  <w:vAlign w:val="center"/>
                </w:tcPr>
                <w:p w14:paraId="557B5CB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数量（个）</w:t>
                  </w:r>
                </w:p>
              </w:tc>
              <w:tc>
                <w:tcPr>
                  <w:tcW w:w="1445" w:type="dxa"/>
                  <w:vAlign w:val="center"/>
                </w:tcPr>
                <w:p w14:paraId="1C0997A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运行时间（h/a）</w:t>
                  </w:r>
                </w:p>
              </w:tc>
              <w:tc>
                <w:tcPr>
                  <w:tcW w:w="1532" w:type="dxa"/>
                  <w:vAlign w:val="center"/>
                </w:tcPr>
                <w:p w14:paraId="2C28554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排放量（t/a）</w:t>
                  </w:r>
                </w:p>
              </w:tc>
            </w:tr>
            <w:tr w14:paraId="41D93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restart"/>
                  <w:vAlign w:val="center"/>
                </w:tcPr>
                <w:p w14:paraId="187738BB">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液硫</w:t>
                  </w:r>
                </w:p>
              </w:tc>
              <w:tc>
                <w:tcPr>
                  <w:tcW w:w="1597" w:type="dxa"/>
                  <w:vMerge w:val="restart"/>
                  <w:vAlign w:val="center"/>
                </w:tcPr>
                <w:p w14:paraId="3B411C7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升华硫</w:t>
                  </w:r>
                </w:p>
                <w:p w14:paraId="7564DA46">
                  <w:pPr>
                    <w:pStyle w:val="34"/>
                    <w:jc w:val="center"/>
                  </w:pPr>
                  <w:r>
                    <w:rPr>
                      <w:rFonts w:hint="eastAsia" w:ascii="Times New Roman" w:hAnsi="Times New Roman" w:cs="Times New Roman"/>
                      <w:color w:val="000000" w:themeColor="text1"/>
                      <w:kern w:val="21"/>
                      <w:sz w:val="21"/>
                      <w:szCs w:val="21"/>
                      <w14:textFill>
                        <w14:solidFill>
                          <w14:schemeClr w14:val="tx1"/>
                        </w14:solidFill>
                      </w14:textFill>
                    </w:rPr>
                    <w:t>（颗粒物）</w:t>
                  </w:r>
                </w:p>
              </w:tc>
              <w:tc>
                <w:tcPr>
                  <w:tcW w:w="1389" w:type="dxa"/>
                  <w:vAlign w:val="center"/>
                </w:tcPr>
                <w:p w14:paraId="66E5E365">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阀门</w:t>
                  </w:r>
                </w:p>
              </w:tc>
              <w:tc>
                <w:tcPr>
                  <w:tcW w:w="851" w:type="dxa"/>
                  <w:vAlign w:val="center"/>
                </w:tcPr>
                <w:p w14:paraId="324124A8">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0.036</w:t>
                  </w:r>
                </w:p>
              </w:tc>
              <w:tc>
                <w:tcPr>
                  <w:tcW w:w="992" w:type="dxa"/>
                  <w:vAlign w:val="center"/>
                </w:tcPr>
                <w:p w14:paraId="69569687">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14</w:t>
                  </w:r>
                </w:p>
              </w:tc>
              <w:tc>
                <w:tcPr>
                  <w:tcW w:w="1445" w:type="dxa"/>
                  <w:vMerge w:val="restart"/>
                  <w:vAlign w:val="center"/>
                </w:tcPr>
                <w:p w14:paraId="76837374">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4000</w:t>
                  </w:r>
                </w:p>
              </w:tc>
              <w:tc>
                <w:tcPr>
                  <w:tcW w:w="1532" w:type="dxa"/>
                  <w:vAlign w:val="center"/>
                </w:tcPr>
                <w:p w14:paraId="12085BC1">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0.0060</w:t>
                  </w:r>
                </w:p>
              </w:tc>
            </w:tr>
            <w:tr w14:paraId="59A15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continue"/>
                  <w:vAlign w:val="center"/>
                </w:tcPr>
                <w:p w14:paraId="100098B4">
                  <w:pPr>
                    <w:jc w:val="center"/>
                    <w:rPr>
                      <w:rFonts w:ascii="Times New Roman" w:hAnsi="Times New Roman" w:cs="Times New Roman"/>
                      <w:color w:val="000000" w:themeColor="text1"/>
                      <w:kern w:val="21"/>
                      <w:sz w:val="21"/>
                      <w:szCs w:val="21"/>
                      <w14:textFill>
                        <w14:solidFill>
                          <w14:schemeClr w14:val="tx1"/>
                        </w14:solidFill>
                      </w14:textFill>
                    </w:rPr>
                  </w:pPr>
                </w:p>
              </w:tc>
              <w:tc>
                <w:tcPr>
                  <w:tcW w:w="1597" w:type="dxa"/>
                  <w:vMerge w:val="continue"/>
                  <w:vAlign w:val="center"/>
                </w:tcPr>
                <w:p w14:paraId="272499ED">
                  <w:pPr>
                    <w:jc w:val="center"/>
                    <w:rPr>
                      <w:rFonts w:ascii="Times New Roman" w:hAnsi="Times New Roman" w:cs="Times New Roman"/>
                      <w:color w:val="000000" w:themeColor="text1"/>
                      <w:kern w:val="21"/>
                      <w:sz w:val="21"/>
                      <w:szCs w:val="21"/>
                      <w14:textFill>
                        <w14:solidFill>
                          <w14:schemeClr w14:val="tx1"/>
                        </w14:solidFill>
                      </w14:textFill>
                    </w:rPr>
                  </w:pPr>
                </w:p>
              </w:tc>
              <w:tc>
                <w:tcPr>
                  <w:tcW w:w="1389" w:type="dxa"/>
                  <w:vAlign w:val="center"/>
                </w:tcPr>
                <w:p w14:paraId="4476FFA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法兰或连接件</w:t>
                  </w:r>
                </w:p>
              </w:tc>
              <w:tc>
                <w:tcPr>
                  <w:tcW w:w="851" w:type="dxa"/>
                  <w:vAlign w:val="center"/>
                </w:tcPr>
                <w:p w14:paraId="462EF18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0.044</w:t>
                  </w:r>
                </w:p>
              </w:tc>
              <w:tc>
                <w:tcPr>
                  <w:tcW w:w="992" w:type="dxa"/>
                  <w:vAlign w:val="center"/>
                </w:tcPr>
                <w:p w14:paraId="5840C5E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28</w:t>
                  </w:r>
                </w:p>
              </w:tc>
              <w:tc>
                <w:tcPr>
                  <w:tcW w:w="1445" w:type="dxa"/>
                  <w:vMerge w:val="continue"/>
                  <w:vAlign w:val="center"/>
                </w:tcPr>
                <w:p w14:paraId="440F62D0">
                  <w:pPr>
                    <w:jc w:val="center"/>
                    <w:rPr>
                      <w:rFonts w:ascii="Times New Roman" w:hAnsi="Times New Roman" w:cs="Times New Roman"/>
                      <w:color w:val="000000" w:themeColor="text1"/>
                      <w:kern w:val="21"/>
                      <w:sz w:val="21"/>
                      <w:szCs w:val="21"/>
                      <w14:textFill>
                        <w14:solidFill>
                          <w14:schemeClr w14:val="tx1"/>
                        </w14:solidFill>
                      </w14:textFill>
                    </w:rPr>
                  </w:pPr>
                </w:p>
              </w:tc>
              <w:tc>
                <w:tcPr>
                  <w:tcW w:w="1532" w:type="dxa"/>
                  <w:vAlign w:val="center"/>
                </w:tcPr>
                <w:p w14:paraId="164DA13E">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0.0148</w:t>
                  </w:r>
                </w:p>
              </w:tc>
            </w:tr>
            <w:tr w14:paraId="01C12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continue"/>
                  <w:vAlign w:val="center"/>
                </w:tcPr>
                <w:p w14:paraId="3126495D">
                  <w:pPr>
                    <w:jc w:val="center"/>
                    <w:rPr>
                      <w:rFonts w:ascii="Times New Roman" w:hAnsi="Times New Roman" w:cs="Times New Roman"/>
                      <w:color w:val="000000" w:themeColor="text1"/>
                      <w:kern w:val="21"/>
                      <w:sz w:val="21"/>
                      <w:szCs w:val="21"/>
                      <w14:textFill>
                        <w14:solidFill>
                          <w14:schemeClr w14:val="tx1"/>
                        </w14:solidFill>
                      </w14:textFill>
                    </w:rPr>
                  </w:pPr>
                </w:p>
              </w:tc>
              <w:tc>
                <w:tcPr>
                  <w:tcW w:w="1597" w:type="dxa"/>
                  <w:vMerge w:val="continue"/>
                  <w:vAlign w:val="center"/>
                </w:tcPr>
                <w:p w14:paraId="63BC5B37">
                  <w:pPr>
                    <w:jc w:val="center"/>
                    <w:rPr>
                      <w:rFonts w:ascii="Times New Roman" w:hAnsi="Times New Roman" w:cs="Times New Roman"/>
                      <w:color w:val="000000" w:themeColor="text1"/>
                      <w:kern w:val="21"/>
                      <w:sz w:val="21"/>
                      <w:szCs w:val="21"/>
                      <w14:textFill>
                        <w14:solidFill>
                          <w14:schemeClr w14:val="tx1"/>
                        </w14:solidFill>
                      </w14:textFill>
                    </w:rPr>
                  </w:pPr>
                </w:p>
              </w:tc>
              <w:tc>
                <w:tcPr>
                  <w:tcW w:w="1389" w:type="dxa"/>
                  <w:vAlign w:val="center"/>
                </w:tcPr>
                <w:p w14:paraId="128C0115">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泵</w:t>
                  </w:r>
                </w:p>
              </w:tc>
              <w:tc>
                <w:tcPr>
                  <w:tcW w:w="851" w:type="dxa"/>
                  <w:vAlign w:val="center"/>
                </w:tcPr>
                <w:p w14:paraId="7BB03F6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0.14</w:t>
                  </w:r>
                </w:p>
              </w:tc>
              <w:tc>
                <w:tcPr>
                  <w:tcW w:w="992" w:type="dxa"/>
                  <w:vAlign w:val="center"/>
                </w:tcPr>
                <w:p w14:paraId="6E8D4F8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2</w:t>
                  </w:r>
                </w:p>
              </w:tc>
              <w:tc>
                <w:tcPr>
                  <w:tcW w:w="1445" w:type="dxa"/>
                  <w:vMerge w:val="continue"/>
                  <w:vAlign w:val="center"/>
                </w:tcPr>
                <w:p w14:paraId="4D4BB888">
                  <w:pPr>
                    <w:jc w:val="center"/>
                    <w:rPr>
                      <w:rFonts w:ascii="Times New Roman" w:hAnsi="Times New Roman" w:cs="Times New Roman"/>
                      <w:color w:val="000000" w:themeColor="text1"/>
                      <w:kern w:val="21"/>
                      <w:sz w:val="21"/>
                      <w:szCs w:val="21"/>
                      <w14:textFill>
                        <w14:solidFill>
                          <w14:schemeClr w14:val="tx1"/>
                        </w14:solidFill>
                      </w14:textFill>
                    </w:rPr>
                  </w:pPr>
                </w:p>
              </w:tc>
              <w:tc>
                <w:tcPr>
                  <w:tcW w:w="1532" w:type="dxa"/>
                  <w:vAlign w:val="center"/>
                </w:tcPr>
                <w:p w14:paraId="2036EE26">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0.0034</w:t>
                  </w:r>
                </w:p>
              </w:tc>
            </w:tr>
            <w:tr w14:paraId="40534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restart"/>
                  <w:vAlign w:val="center"/>
                </w:tcPr>
                <w:p w14:paraId="55AE5479">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发烟硫酸/98%硫酸</w:t>
                  </w:r>
                </w:p>
              </w:tc>
              <w:tc>
                <w:tcPr>
                  <w:tcW w:w="1597" w:type="dxa"/>
                  <w:vMerge w:val="restart"/>
                  <w:vAlign w:val="center"/>
                </w:tcPr>
                <w:p w14:paraId="15E8DBA8">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硫酸雾</w:t>
                  </w:r>
                </w:p>
              </w:tc>
              <w:tc>
                <w:tcPr>
                  <w:tcW w:w="1389" w:type="dxa"/>
                  <w:vAlign w:val="center"/>
                </w:tcPr>
                <w:p w14:paraId="591DFD4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阀门</w:t>
                  </w:r>
                </w:p>
              </w:tc>
              <w:tc>
                <w:tcPr>
                  <w:tcW w:w="851" w:type="dxa"/>
                  <w:vAlign w:val="center"/>
                </w:tcPr>
                <w:p w14:paraId="27105E0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0.036</w:t>
                  </w:r>
                </w:p>
              </w:tc>
              <w:tc>
                <w:tcPr>
                  <w:tcW w:w="992" w:type="dxa"/>
                  <w:vAlign w:val="center"/>
                </w:tcPr>
                <w:p w14:paraId="6D4ED93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14</w:t>
                  </w:r>
                </w:p>
              </w:tc>
              <w:tc>
                <w:tcPr>
                  <w:tcW w:w="1445" w:type="dxa"/>
                  <w:vMerge w:val="restart"/>
                  <w:vAlign w:val="center"/>
                </w:tcPr>
                <w:p w14:paraId="4BCA1E0A">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400</w:t>
                  </w:r>
                </w:p>
              </w:tc>
              <w:tc>
                <w:tcPr>
                  <w:tcW w:w="1532" w:type="dxa"/>
                  <w:vAlign w:val="center"/>
                </w:tcPr>
                <w:p w14:paraId="62D565DD">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0.0006</w:t>
                  </w:r>
                </w:p>
              </w:tc>
            </w:tr>
            <w:tr w14:paraId="5C07F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 w:hRule="atLeast"/>
              </w:trPr>
              <w:tc>
                <w:tcPr>
                  <w:tcW w:w="1422" w:type="dxa"/>
                  <w:vMerge w:val="continue"/>
                  <w:vAlign w:val="center"/>
                </w:tcPr>
                <w:p w14:paraId="2D227292">
                  <w:pPr>
                    <w:jc w:val="center"/>
                    <w:rPr>
                      <w:rFonts w:ascii="Times New Roman" w:hAnsi="Times New Roman" w:cs="Times New Roman"/>
                      <w:color w:val="000000" w:themeColor="text1"/>
                      <w:kern w:val="21"/>
                      <w:sz w:val="21"/>
                      <w:szCs w:val="21"/>
                      <w14:textFill>
                        <w14:solidFill>
                          <w14:schemeClr w14:val="tx1"/>
                        </w14:solidFill>
                      </w14:textFill>
                    </w:rPr>
                  </w:pPr>
                </w:p>
              </w:tc>
              <w:tc>
                <w:tcPr>
                  <w:tcW w:w="1597" w:type="dxa"/>
                  <w:vMerge w:val="continue"/>
                  <w:vAlign w:val="center"/>
                </w:tcPr>
                <w:p w14:paraId="0ADBBD84">
                  <w:pPr>
                    <w:jc w:val="center"/>
                    <w:rPr>
                      <w:rFonts w:ascii="Times New Roman" w:hAnsi="Times New Roman" w:cs="Times New Roman"/>
                      <w:color w:val="000000" w:themeColor="text1"/>
                      <w:kern w:val="21"/>
                      <w:sz w:val="21"/>
                      <w:szCs w:val="21"/>
                      <w14:textFill>
                        <w14:solidFill>
                          <w14:schemeClr w14:val="tx1"/>
                        </w14:solidFill>
                      </w14:textFill>
                    </w:rPr>
                  </w:pPr>
                </w:p>
              </w:tc>
              <w:tc>
                <w:tcPr>
                  <w:tcW w:w="1389" w:type="dxa"/>
                  <w:vAlign w:val="center"/>
                </w:tcPr>
                <w:p w14:paraId="5796B6D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法兰或连接件</w:t>
                  </w:r>
                </w:p>
              </w:tc>
              <w:tc>
                <w:tcPr>
                  <w:tcW w:w="851" w:type="dxa"/>
                  <w:vAlign w:val="center"/>
                </w:tcPr>
                <w:p w14:paraId="40F409B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0.044</w:t>
                  </w:r>
                </w:p>
              </w:tc>
              <w:tc>
                <w:tcPr>
                  <w:tcW w:w="992" w:type="dxa"/>
                  <w:vAlign w:val="center"/>
                </w:tcPr>
                <w:p w14:paraId="4661CF66">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28</w:t>
                  </w:r>
                </w:p>
              </w:tc>
              <w:tc>
                <w:tcPr>
                  <w:tcW w:w="1445" w:type="dxa"/>
                  <w:vMerge w:val="continue"/>
                  <w:vAlign w:val="center"/>
                </w:tcPr>
                <w:p w14:paraId="3AE109A6">
                  <w:pPr>
                    <w:jc w:val="center"/>
                    <w:rPr>
                      <w:rFonts w:ascii="Times New Roman" w:hAnsi="Times New Roman" w:cs="Times New Roman"/>
                      <w:color w:val="000000" w:themeColor="text1"/>
                      <w:kern w:val="21"/>
                      <w:sz w:val="21"/>
                      <w:szCs w:val="21"/>
                      <w14:textFill>
                        <w14:solidFill>
                          <w14:schemeClr w14:val="tx1"/>
                        </w14:solidFill>
                      </w14:textFill>
                    </w:rPr>
                  </w:pPr>
                </w:p>
              </w:tc>
              <w:tc>
                <w:tcPr>
                  <w:tcW w:w="1532" w:type="dxa"/>
                  <w:vAlign w:val="center"/>
                </w:tcPr>
                <w:p w14:paraId="4F4F8C92">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0.0015</w:t>
                  </w:r>
                </w:p>
              </w:tc>
            </w:tr>
            <w:tr w14:paraId="5119D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continue"/>
                  <w:vAlign w:val="center"/>
                </w:tcPr>
                <w:p w14:paraId="76ECDB7D">
                  <w:pPr>
                    <w:jc w:val="center"/>
                    <w:rPr>
                      <w:rFonts w:ascii="Times New Roman" w:hAnsi="Times New Roman" w:cs="Times New Roman"/>
                      <w:color w:val="000000" w:themeColor="text1"/>
                      <w:kern w:val="21"/>
                      <w:sz w:val="21"/>
                      <w:szCs w:val="21"/>
                      <w14:textFill>
                        <w14:solidFill>
                          <w14:schemeClr w14:val="tx1"/>
                        </w14:solidFill>
                      </w14:textFill>
                    </w:rPr>
                  </w:pPr>
                </w:p>
              </w:tc>
              <w:tc>
                <w:tcPr>
                  <w:tcW w:w="1597" w:type="dxa"/>
                  <w:vMerge w:val="continue"/>
                  <w:vAlign w:val="center"/>
                </w:tcPr>
                <w:p w14:paraId="35F17281">
                  <w:pPr>
                    <w:jc w:val="center"/>
                    <w:rPr>
                      <w:rFonts w:ascii="Times New Roman" w:hAnsi="Times New Roman" w:cs="Times New Roman"/>
                      <w:color w:val="000000" w:themeColor="text1"/>
                      <w:kern w:val="21"/>
                      <w:sz w:val="21"/>
                      <w:szCs w:val="21"/>
                      <w14:textFill>
                        <w14:solidFill>
                          <w14:schemeClr w14:val="tx1"/>
                        </w14:solidFill>
                      </w14:textFill>
                    </w:rPr>
                  </w:pPr>
                </w:p>
              </w:tc>
              <w:tc>
                <w:tcPr>
                  <w:tcW w:w="1389" w:type="dxa"/>
                  <w:vAlign w:val="center"/>
                </w:tcPr>
                <w:p w14:paraId="1FCC4C7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泵</w:t>
                  </w:r>
                </w:p>
              </w:tc>
              <w:tc>
                <w:tcPr>
                  <w:tcW w:w="851" w:type="dxa"/>
                  <w:vAlign w:val="center"/>
                </w:tcPr>
                <w:p w14:paraId="6F2E2AE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0.14</w:t>
                  </w:r>
                </w:p>
              </w:tc>
              <w:tc>
                <w:tcPr>
                  <w:tcW w:w="992" w:type="dxa"/>
                  <w:vAlign w:val="center"/>
                </w:tcPr>
                <w:p w14:paraId="59DE8936">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w:t>
                  </w:r>
                </w:p>
              </w:tc>
              <w:tc>
                <w:tcPr>
                  <w:tcW w:w="1445" w:type="dxa"/>
                  <w:vMerge w:val="continue"/>
                  <w:vAlign w:val="center"/>
                </w:tcPr>
                <w:p w14:paraId="3505A664">
                  <w:pPr>
                    <w:jc w:val="center"/>
                    <w:rPr>
                      <w:rFonts w:ascii="Times New Roman" w:hAnsi="Times New Roman" w:cs="Times New Roman"/>
                      <w:color w:val="000000" w:themeColor="text1"/>
                      <w:kern w:val="21"/>
                      <w:sz w:val="21"/>
                      <w:szCs w:val="21"/>
                      <w14:textFill>
                        <w14:solidFill>
                          <w14:schemeClr w14:val="tx1"/>
                        </w14:solidFill>
                      </w14:textFill>
                    </w:rPr>
                  </w:pPr>
                </w:p>
              </w:tc>
              <w:tc>
                <w:tcPr>
                  <w:tcW w:w="1532" w:type="dxa"/>
                  <w:vAlign w:val="center"/>
                </w:tcPr>
                <w:p w14:paraId="7679AD53">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0.0002</w:t>
                  </w:r>
                </w:p>
              </w:tc>
            </w:tr>
            <w:tr w14:paraId="3CE1F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restart"/>
                  <w:vAlign w:val="center"/>
                </w:tcPr>
                <w:p w14:paraId="552163E3">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苯酚</w:t>
                  </w:r>
                </w:p>
              </w:tc>
              <w:tc>
                <w:tcPr>
                  <w:tcW w:w="1597" w:type="dxa"/>
                  <w:vMerge w:val="restart"/>
                  <w:vAlign w:val="center"/>
                </w:tcPr>
                <w:p w14:paraId="4FD5E62C">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苯酚</w:t>
                  </w:r>
                </w:p>
              </w:tc>
              <w:tc>
                <w:tcPr>
                  <w:tcW w:w="1389" w:type="dxa"/>
                  <w:vAlign w:val="center"/>
                </w:tcPr>
                <w:p w14:paraId="3791164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阀门</w:t>
                  </w:r>
                </w:p>
              </w:tc>
              <w:tc>
                <w:tcPr>
                  <w:tcW w:w="851" w:type="dxa"/>
                  <w:vAlign w:val="center"/>
                </w:tcPr>
                <w:p w14:paraId="23B4309E">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0.036</w:t>
                  </w:r>
                </w:p>
              </w:tc>
              <w:tc>
                <w:tcPr>
                  <w:tcW w:w="992" w:type="dxa"/>
                  <w:vAlign w:val="center"/>
                </w:tcPr>
                <w:p w14:paraId="462CE63A">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28</w:t>
                  </w:r>
                </w:p>
              </w:tc>
              <w:tc>
                <w:tcPr>
                  <w:tcW w:w="1445" w:type="dxa"/>
                  <w:vMerge w:val="restart"/>
                  <w:vAlign w:val="center"/>
                </w:tcPr>
                <w:p w14:paraId="6AE01159">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3333</w:t>
                  </w:r>
                </w:p>
              </w:tc>
              <w:tc>
                <w:tcPr>
                  <w:tcW w:w="1532" w:type="dxa"/>
                  <w:vAlign w:val="center"/>
                </w:tcPr>
                <w:p w14:paraId="53E4AE27">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0.0101</w:t>
                  </w:r>
                </w:p>
              </w:tc>
            </w:tr>
            <w:tr w14:paraId="548F2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continue"/>
                  <w:vAlign w:val="center"/>
                </w:tcPr>
                <w:p w14:paraId="7076573D">
                  <w:pPr>
                    <w:jc w:val="center"/>
                    <w:rPr>
                      <w:rFonts w:ascii="Times New Roman" w:hAnsi="Times New Roman" w:cs="Times New Roman"/>
                      <w:color w:val="000000" w:themeColor="text1"/>
                      <w:kern w:val="21"/>
                      <w:sz w:val="21"/>
                      <w:szCs w:val="21"/>
                      <w14:textFill>
                        <w14:solidFill>
                          <w14:schemeClr w14:val="tx1"/>
                        </w14:solidFill>
                      </w14:textFill>
                    </w:rPr>
                  </w:pPr>
                </w:p>
              </w:tc>
              <w:tc>
                <w:tcPr>
                  <w:tcW w:w="1597" w:type="dxa"/>
                  <w:vMerge w:val="continue"/>
                  <w:vAlign w:val="center"/>
                </w:tcPr>
                <w:p w14:paraId="19F06397">
                  <w:pPr>
                    <w:jc w:val="center"/>
                    <w:rPr>
                      <w:rFonts w:ascii="Times New Roman" w:hAnsi="Times New Roman" w:cs="Times New Roman"/>
                      <w:color w:val="000000" w:themeColor="text1"/>
                      <w:kern w:val="21"/>
                      <w:sz w:val="21"/>
                      <w:szCs w:val="21"/>
                      <w14:textFill>
                        <w14:solidFill>
                          <w14:schemeClr w14:val="tx1"/>
                        </w14:solidFill>
                      </w14:textFill>
                    </w:rPr>
                  </w:pPr>
                </w:p>
              </w:tc>
              <w:tc>
                <w:tcPr>
                  <w:tcW w:w="1389" w:type="dxa"/>
                  <w:vAlign w:val="center"/>
                </w:tcPr>
                <w:p w14:paraId="4C10AA6E">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法兰或连接件</w:t>
                  </w:r>
                </w:p>
              </w:tc>
              <w:tc>
                <w:tcPr>
                  <w:tcW w:w="851" w:type="dxa"/>
                  <w:vAlign w:val="center"/>
                </w:tcPr>
                <w:p w14:paraId="50FBC080">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0.044</w:t>
                  </w:r>
                </w:p>
              </w:tc>
              <w:tc>
                <w:tcPr>
                  <w:tcW w:w="992" w:type="dxa"/>
                  <w:vAlign w:val="center"/>
                </w:tcPr>
                <w:p w14:paraId="2B405D96">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56</w:t>
                  </w:r>
                </w:p>
              </w:tc>
              <w:tc>
                <w:tcPr>
                  <w:tcW w:w="1445" w:type="dxa"/>
                  <w:vMerge w:val="continue"/>
                  <w:vAlign w:val="center"/>
                </w:tcPr>
                <w:p w14:paraId="6ABE989C">
                  <w:pPr>
                    <w:jc w:val="center"/>
                    <w:rPr>
                      <w:rFonts w:ascii="Times New Roman" w:hAnsi="Times New Roman" w:cs="Times New Roman"/>
                      <w:color w:val="000000" w:themeColor="text1"/>
                      <w:kern w:val="21"/>
                      <w:sz w:val="21"/>
                      <w:szCs w:val="21"/>
                      <w14:textFill>
                        <w14:solidFill>
                          <w14:schemeClr w14:val="tx1"/>
                        </w14:solidFill>
                      </w14:textFill>
                    </w:rPr>
                  </w:pPr>
                </w:p>
              </w:tc>
              <w:tc>
                <w:tcPr>
                  <w:tcW w:w="1532" w:type="dxa"/>
                  <w:vAlign w:val="center"/>
                </w:tcPr>
                <w:p w14:paraId="31CACD82">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0.0246</w:t>
                  </w:r>
                </w:p>
              </w:tc>
            </w:tr>
            <w:tr w14:paraId="365C6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continue"/>
                  <w:vAlign w:val="center"/>
                </w:tcPr>
                <w:p w14:paraId="16B5B671">
                  <w:pPr>
                    <w:jc w:val="center"/>
                    <w:rPr>
                      <w:rFonts w:ascii="Times New Roman" w:hAnsi="Times New Roman" w:cs="Times New Roman"/>
                      <w:color w:val="000000" w:themeColor="text1"/>
                      <w:kern w:val="21"/>
                      <w:sz w:val="21"/>
                      <w:szCs w:val="21"/>
                      <w14:textFill>
                        <w14:solidFill>
                          <w14:schemeClr w14:val="tx1"/>
                        </w14:solidFill>
                      </w14:textFill>
                    </w:rPr>
                  </w:pPr>
                </w:p>
              </w:tc>
              <w:tc>
                <w:tcPr>
                  <w:tcW w:w="1597" w:type="dxa"/>
                  <w:vMerge w:val="continue"/>
                  <w:vAlign w:val="center"/>
                </w:tcPr>
                <w:p w14:paraId="268DDD68">
                  <w:pPr>
                    <w:jc w:val="center"/>
                    <w:rPr>
                      <w:rFonts w:ascii="Times New Roman" w:hAnsi="Times New Roman" w:cs="Times New Roman"/>
                      <w:color w:val="000000" w:themeColor="text1"/>
                      <w:kern w:val="21"/>
                      <w:sz w:val="21"/>
                      <w:szCs w:val="21"/>
                      <w14:textFill>
                        <w14:solidFill>
                          <w14:schemeClr w14:val="tx1"/>
                        </w14:solidFill>
                      </w14:textFill>
                    </w:rPr>
                  </w:pPr>
                </w:p>
              </w:tc>
              <w:tc>
                <w:tcPr>
                  <w:tcW w:w="1389" w:type="dxa"/>
                  <w:vAlign w:val="center"/>
                </w:tcPr>
                <w:p w14:paraId="0231D2C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泵</w:t>
                  </w:r>
                </w:p>
              </w:tc>
              <w:tc>
                <w:tcPr>
                  <w:tcW w:w="851" w:type="dxa"/>
                  <w:vAlign w:val="center"/>
                </w:tcPr>
                <w:p w14:paraId="6E313D95">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0.14</w:t>
                  </w:r>
                </w:p>
              </w:tc>
              <w:tc>
                <w:tcPr>
                  <w:tcW w:w="992" w:type="dxa"/>
                  <w:vAlign w:val="center"/>
                </w:tcPr>
                <w:p w14:paraId="2B8FB3F5">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2</w:t>
                  </w:r>
                </w:p>
              </w:tc>
              <w:tc>
                <w:tcPr>
                  <w:tcW w:w="1445" w:type="dxa"/>
                  <w:vMerge w:val="continue"/>
                  <w:vAlign w:val="center"/>
                </w:tcPr>
                <w:p w14:paraId="1C3FEB8A">
                  <w:pPr>
                    <w:jc w:val="center"/>
                    <w:rPr>
                      <w:rFonts w:ascii="Times New Roman" w:hAnsi="Times New Roman" w:cs="Times New Roman"/>
                      <w:color w:val="000000" w:themeColor="text1"/>
                      <w:kern w:val="21"/>
                      <w:sz w:val="21"/>
                      <w:szCs w:val="21"/>
                      <w14:textFill>
                        <w14:solidFill>
                          <w14:schemeClr w14:val="tx1"/>
                        </w14:solidFill>
                      </w14:textFill>
                    </w:rPr>
                  </w:pPr>
                </w:p>
              </w:tc>
              <w:tc>
                <w:tcPr>
                  <w:tcW w:w="1532" w:type="dxa"/>
                  <w:vAlign w:val="center"/>
                </w:tcPr>
                <w:p w14:paraId="60249A8E">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0.0028</w:t>
                  </w:r>
                </w:p>
              </w:tc>
            </w:tr>
            <w:tr w14:paraId="11E3A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restart"/>
                  <w:vAlign w:val="center"/>
                </w:tcPr>
                <w:p w14:paraId="64EF975A">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己内酰胺</w:t>
                  </w:r>
                </w:p>
              </w:tc>
              <w:tc>
                <w:tcPr>
                  <w:tcW w:w="1597" w:type="dxa"/>
                  <w:vMerge w:val="restart"/>
                  <w:vAlign w:val="center"/>
                </w:tcPr>
                <w:p w14:paraId="656F43A6">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己内酰胺</w:t>
                  </w:r>
                </w:p>
              </w:tc>
              <w:tc>
                <w:tcPr>
                  <w:tcW w:w="1389" w:type="dxa"/>
                  <w:vAlign w:val="center"/>
                </w:tcPr>
                <w:p w14:paraId="0BBBC877">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阀门</w:t>
                  </w:r>
                </w:p>
              </w:tc>
              <w:tc>
                <w:tcPr>
                  <w:tcW w:w="851" w:type="dxa"/>
                  <w:vAlign w:val="center"/>
                </w:tcPr>
                <w:p w14:paraId="2138275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0.036</w:t>
                  </w:r>
                </w:p>
              </w:tc>
              <w:tc>
                <w:tcPr>
                  <w:tcW w:w="992" w:type="dxa"/>
                  <w:vAlign w:val="center"/>
                </w:tcPr>
                <w:p w14:paraId="6EE5D1D5">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14</w:t>
                  </w:r>
                </w:p>
              </w:tc>
              <w:tc>
                <w:tcPr>
                  <w:tcW w:w="1445" w:type="dxa"/>
                  <w:vMerge w:val="restart"/>
                  <w:vAlign w:val="center"/>
                </w:tcPr>
                <w:p w14:paraId="10AA44A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1867</w:t>
                  </w:r>
                </w:p>
              </w:tc>
              <w:tc>
                <w:tcPr>
                  <w:tcW w:w="1532" w:type="dxa"/>
                  <w:vAlign w:val="center"/>
                </w:tcPr>
                <w:p w14:paraId="37D7CFD8">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0.0028</w:t>
                  </w:r>
                </w:p>
              </w:tc>
            </w:tr>
            <w:tr w14:paraId="31992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continue"/>
                  <w:vAlign w:val="center"/>
                </w:tcPr>
                <w:p w14:paraId="5B1F3DDD">
                  <w:pPr>
                    <w:jc w:val="center"/>
                    <w:rPr>
                      <w:rFonts w:ascii="Times New Roman" w:hAnsi="Times New Roman" w:cs="Times New Roman"/>
                      <w:color w:val="000000" w:themeColor="text1"/>
                      <w:kern w:val="21"/>
                      <w:sz w:val="21"/>
                      <w:szCs w:val="21"/>
                      <w14:textFill>
                        <w14:solidFill>
                          <w14:schemeClr w14:val="tx1"/>
                        </w14:solidFill>
                      </w14:textFill>
                    </w:rPr>
                  </w:pPr>
                </w:p>
              </w:tc>
              <w:tc>
                <w:tcPr>
                  <w:tcW w:w="1597" w:type="dxa"/>
                  <w:vMerge w:val="continue"/>
                  <w:vAlign w:val="center"/>
                </w:tcPr>
                <w:p w14:paraId="7CE4049D">
                  <w:pPr>
                    <w:jc w:val="center"/>
                    <w:rPr>
                      <w:rFonts w:ascii="Times New Roman" w:hAnsi="Times New Roman" w:cs="Times New Roman"/>
                      <w:color w:val="000000" w:themeColor="text1"/>
                      <w:kern w:val="21"/>
                      <w:sz w:val="21"/>
                      <w:szCs w:val="21"/>
                      <w14:textFill>
                        <w14:solidFill>
                          <w14:schemeClr w14:val="tx1"/>
                        </w14:solidFill>
                      </w14:textFill>
                    </w:rPr>
                  </w:pPr>
                </w:p>
              </w:tc>
              <w:tc>
                <w:tcPr>
                  <w:tcW w:w="1389" w:type="dxa"/>
                  <w:vAlign w:val="center"/>
                </w:tcPr>
                <w:p w14:paraId="235CFB7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法兰或连接件</w:t>
                  </w:r>
                </w:p>
              </w:tc>
              <w:tc>
                <w:tcPr>
                  <w:tcW w:w="851" w:type="dxa"/>
                  <w:vAlign w:val="center"/>
                </w:tcPr>
                <w:p w14:paraId="3064BF78">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0.044</w:t>
                  </w:r>
                </w:p>
              </w:tc>
              <w:tc>
                <w:tcPr>
                  <w:tcW w:w="992" w:type="dxa"/>
                  <w:vAlign w:val="center"/>
                </w:tcPr>
                <w:p w14:paraId="5799ACD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28</w:t>
                  </w:r>
                </w:p>
              </w:tc>
              <w:tc>
                <w:tcPr>
                  <w:tcW w:w="1445" w:type="dxa"/>
                  <w:vMerge w:val="continue"/>
                  <w:vAlign w:val="center"/>
                </w:tcPr>
                <w:p w14:paraId="3804FDF7">
                  <w:pPr>
                    <w:jc w:val="center"/>
                    <w:rPr>
                      <w:rFonts w:ascii="Times New Roman" w:hAnsi="Times New Roman" w:cs="Times New Roman"/>
                      <w:color w:val="FF0000"/>
                      <w:kern w:val="21"/>
                      <w:sz w:val="21"/>
                      <w:szCs w:val="21"/>
                    </w:rPr>
                  </w:pPr>
                </w:p>
              </w:tc>
              <w:tc>
                <w:tcPr>
                  <w:tcW w:w="1532" w:type="dxa"/>
                  <w:vAlign w:val="center"/>
                </w:tcPr>
                <w:p w14:paraId="11A6B0AB">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0.0069</w:t>
                  </w:r>
                </w:p>
              </w:tc>
            </w:tr>
            <w:tr w14:paraId="226E0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422" w:type="dxa"/>
                  <w:vMerge w:val="continue"/>
                  <w:vAlign w:val="center"/>
                </w:tcPr>
                <w:p w14:paraId="5EFB937B">
                  <w:pPr>
                    <w:jc w:val="center"/>
                    <w:rPr>
                      <w:rFonts w:ascii="Times New Roman" w:hAnsi="Times New Roman" w:cs="Times New Roman"/>
                      <w:color w:val="000000" w:themeColor="text1"/>
                      <w:kern w:val="21"/>
                      <w:sz w:val="21"/>
                      <w:szCs w:val="21"/>
                      <w14:textFill>
                        <w14:solidFill>
                          <w14:schemeClr w14:val="tx1"/>
                        </w14:solidFill>
                      </w14:textFill>
                    </w:rPr>
                  </w:pPr>
                </w:p>
              </w:tc>
              <w:tc>
                <w:tcPr>
                  <w:tcW w:w="1597" w:type="dxa"/>
                  <w:vMerge w:val="continue"/>
                  <w:vAlign w:val="center"/>
                </w:tcPr>
                <w:p w14:paraId="09D36FE9">
                  <w:pPr>
                    <w:jc w:val="center"/>
                    <w:rPr>
                      <w:rFonts w:ascii="Times New Roman" w:hAnsi="Times New Roman" w:cs="Times New Roman"/>
                      <w:color w:val="000000" w:themeColor="text1"/>
                      <w:kern w:val="21"/>
                      <w:sz w:val="21"/>
                      <w:szCs w:val="21"/>
                      <w14:textFill>
                        <w14:solidFill>
                          <w14:schemeClr w14:val="tx1"/>
                        </w14:solidFill>
                      </w14:textFill>
                    </w:rPr>
                  </w:pPr>
                </w:p>
              </w:tc>
              <w:tc>
                <w:tcPr>
                  <w:tcW w:w="1389" w:type="dxa"/>
                  <w:vAlign w:val="center"/>
                </w:tcPr>
                <w:p w14:paraId="03AE8245">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泵</w:t>
                  </w:r>
                </w:p>
              </w:tc>
              <w:tc>
                <w:tcPr>
                  <w:tcW w:w="851" w:type="dxa"/>
                  <w:vAlign w:val="center"/>
                </w:tcPr>
                <w:p w14:paraId="5735793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0.14</w:t>
                  </w:r>
                </w:p>
              </w:tc>
              <w:tc>
                <w:tcPr>
                  <w:tcW w:w="992" w:type="dxa"/>
                  <w:vAlign w:val="center"/>
                </w:tcPr>
                <w:p w14:paraId="75AB8C1B">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4</w:t>
                  </w:r>
                </w:p>
              </w:tc>
              <w:tc>
                <w:tcPr>
                  <w:tcW w:w="1445" w:type="dxa"/>
                  <w:vMerge w:val="continue"/>
                  <w:vAlign w:val="center"/>
                </w:tcPr>
                <w:p w14:paraId="49D28989">
                  <w:pPr>
                    <w:jc w:val="center"/>
                    <w:rPr>
                      <w:rFonts w:ascii="Times New Roman" w:hAnsi="Times New Roman" w:cs="Times New Roman"/>
                      <w:color w:val="FF0000"/>
                      <w:kern w:val="21"/>
                      <w:sz w:val="21"/>
                      <w:szCs w:val="21"/>
                    </w:rPr>
                  </w:pPr>
                </w:p>
              </w:tc>
              <w:tc>
                <w:tcPr>
                  <w:tcW w:w="1532" w:type="dxa"/>
                  <w:vAlign w:val="center"/>
                </w:tcPr>
                <w:p w14:paraId="587F27E7">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0.0031</w:t>
                  </w:r>
                </w:p>
              </w:tc>
            </w:tr>
          </w:tbl>
          <w:p w14:paraId="6810681D">
            <w:pPr>
              <w:spacing w:line="360" w:lineRule="auto"/>
              <w:ind w:firstLine="480" w:firstLineChars="200"/>
              <w:jc w:val="both"/>
              <w:rPr>
                <w:rFonts w:ascii="Times New Roman" w:hAnsi="Times New Roman" w:cs="Times New Roman"/>
                <w:color w:val="000000" w:themeColor="text1"/>
                <w:kern w:val="21"/>
                <w:u w:val="single"/>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项目生产装置密封点</w:t>
            </w:r>
            <w:r>
              <w:rPr>
                <w:rFonts w:hint="eastAsia" w:ascii="Times New Roman" w:hAnsi="Times New Roman" w:cs="Times New Roman"/>
                <w:color w:val="000000" w:themeColor="text1"/>
                <w:kern w:val="21"/>
                <w14:textFill>
                  <w14:solidFill>
                    <w14:schemeClr w14:val="tx1"/>
                  </w14:solidFill>
                </w14:textFill>
              </w:rPr>
              <w:t>升华硫（颗粒物）</w:t>
            </w:r>
            <w:r>
              <w:rPr>
                <w:rFonts w:ascii="Times New Roman" w:hAnsi="Times New Roman" w:cs="Times New Roman"/>
                <w:color w:val="000000" w:themeColor="text1"/>
                <w:kern w:val="21"/>
                <w14:textFill>
                  <w14:solidFill>
                    <w14:schemeClr w14:val="tx1"/>
                  </w14:solidFill>
                </w14:textFill>
              </w:rPr>
              <w:t>产生量为</w:t>
            </w:r>
            <w:r>
              <w:rPr>
                <w:rFonts w:hint="eastAsia" w:ascii="Times New Roman" w:hAnsi="Times New Roman" w:cs="Times New Roman"/>
                <w:color w:val="000000" w:themeColor="text1"/>
                <w:kern w:val="21"/>
                <w14:textFill>
                  <w14:solidFill>
                    <w14:schemeClr w14:val="tx1"/>
                  </w14:solidFill>
                </w14:textFill>
              </w:rPr>
              <w:t>0.0242</w:t>
            </w:r>
            <w:r>
              <w:rPr>
                <w:rFonts w:ascii="Times New Roman" w:hAnsi="Times New Roman" w:cs="Times New Roman"/>
                <w:color w:val="000000" w:themeColor="text1"/>
                <w:kern w:val="21"/>
                <w14:textFill>
                  <w14:solidFill>
                    <w14:schemeClr w14:val="tx1"/>
                  </w14:solidFill>
                </w14:textFill>
              </w:rPr>
              <w:t>t/a，硫酸雾产生量为</w:t>
            </w:r>
            <w:r>
              <w:rPr>
                <w:rFonts w:hint="eastAsia" w:ascii="Times New Roman" w:hAnsi="Times New Roman" w:cs="Times New Roman"/>
                <w:color w:val="000000" w:themeColor="text1"/>
                <w:kern w:val="21"/>
                <w14:textFill>
                  <w14:solidFill>
                    <w14:schemeClr w14:val="tx1"/>
                  </w14:solidFill>
                </w14:textFill>
              </w:rPr>
              <w:t>0.0023</w:t>
            </w:r>
            <w:r>
              <w:rPr>
                <w:rFonts w:ascii="Times New Roman" w:hAnsi="Times New Roman" w:cs="Times New Roman"/>
                <w:color w:val="000000" w:themeColor="text1"/>
                <w:kern w:val="21"/>
                <w14:textFill>
                  <w14:solidFill>
                    <w14:schemeClr w14:val="tx1"/>
                  </w14:solidFill>
                </w14:textFill>
              </w:rPr>
              <w:t>t/a</w:t>
            </w:r>
            <w:r>
              <w:rPr>
                <w:rFonts w:hint="eastAsia" w:ascii="Times New Roman" w:hAnsi="Times New Roman" w:cs="Times New Roman"/>
                <w:color w:val="000000" w:themeColor="text1"/>
                <w:kern w:val="21"/>
                <w14:textFill>
                  <w14:solidFill>
                    <w14:schemeClr w14:val="tx1"/>
                  </w14:solidFill>
                </w14:textFill>
              </w:rPr>
              <w:t>，苯酚的产生量为0.0375t/a，己内酰胺的产生量为0.0128t/a</w:t>
            </w:r>
            <w:r>
              <w:rPr>
                <w:rFonts w:ascii="Times New Roman" w:hAnsi="Times New Roman" w:cs="Times New Roman"/>
                <w:color w:val="000000" w:themeColor="text1"/>
                <w:kern w:val="21"/>
                <w14:textFill>
                  <w14:solidFill>
                    <w14:schemeClr w14:val="tx1"/>
                  </w14:solidFill>
                </w14:textFill>
              </w:rPr>
              <w:t>。阀门和法兰接头、泵等密封点挥发废气无组织排放到厂区中</w:t>
            </w:r>
            <w:r>
              <w:rPr>
                <w:rFonts w:hint="eastAsia" w:ascii="Times New Roman" w:hAnsi="Times New Roman" w:cs="Times New Roman"/>
                <w:color w:val="000000" w:themeColor="text1"/>
                <w:kern w:val="21"/>
                <w14:textFill>
                  <w14:solidFill>
                    <w14:schemeClr w14:val="tx1"/>
                  </w14:solidFill>
                </w14:textFill>
              </w:rPr>
              <w:t>。</w:t>
            </w:r>
          </w:p>
          <w:p w14:paraId="1E0D180B">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w:t>
            </w:r>
            <w:r>
              <w:rPr>
                <w:rFonts w:hint="eastAsia" w:ascii="Times New Roman" w:hAnsi="Times New Roman" w:cs="Times New Roman"/>
                <w:color w:val="000000" w:themeColor="text1"/>
                <w:kern w:val="21"/>
                <w14:textFill>
                  <w14:solidFill>
                    <w14:schemeClr w14:val="tx1"/>
                  </w14:solidFill>
                </w14:textFill>
              </w:rPr>
              <w:t>4</w:t>
            </w:r>
            <w:r>
              <w:rPr>
                <w:rFonts w:ascii="Times New Roman" w:hAnsi="Times New Roman" w:cs="Times New Roman"/>
                <w:color w:val="000000" w:themeColor="text1"/>
                <w:kern w:val="21"/>
                <w14:textFill>
                  <w14:solidFill>
                    <w14:schemeClr w14:val="tx1"/>
                  </w14:solidFill>
                </w14:textFill>
              </w:rPr>
              <w:t>）扫线废气</w:t>
            </w:r>
          </w:p>
          <w:p w14:paraId="4D68964C">
            <w:pPr>
              <w:pStyle w:val="21"/>
              <w:spacing w:line="360" w:lineRule="auto"/>
              <w:ind w:left="0" w:firstLine="480" w:firstLineChars="200"/>
              <w:jc w:val="both"/>
              <w:rPr>
                <w:rFonts w:ascii="Times New Roman" w:hAnsi="Times New Roman" w:cs="Times New Roman"/>
                <w:snapToGrid w:val="0"/>
                <w:color w:val="000000" w:themeColor="text1"/>
                <w:sz w:val="24"/>
                <w:lang w:bidi="zh-CN"/>
                <w14:textFill>
                  <w14:solidFill>
                    <w14:schemeClr w14:val="tx1"/>
                  </w14:solidFill>
                </w14:textFill>
              </w:rPr>
            </w:pPr>
            <w:r>
              <w:rPr>
                <w:rFonts w:hint="eastAsia" w:ascii="Times New Roman" w:hAnsi="Times New Roman" w:cs="Times New Roman"/>
                <w:snapToGrid w:val="0"/>
                <w:color w:val="000000" w:themeColor="text1"/>
                <w:sz w:val="24"/>
                <w:lang w:bidi="zh-CN"/>
                <w14:textFill>
                  <w14:solidFill>
                    <w14:schemeClr w14:val="tx1"/>
                  </w14:solidFill>
                </w14:textFill>
              </w:rPr>
              <w:t>本项目发烟硫酸和98%硫酸两个货种共用一套储罐及管线，切换过程中不需清扫；液硫、液碱、苯酚、己内酰胺分别专用一套储罐及管线，正常使用过程中不需对设备和管道进行清扫。</w:t>
            </w:r>
          </w:p>
          <w:p w14:paraId="1125B33A">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hint="eastAsia" w:ascii="Times New Roman" w:hAnsi="Times New Roman" w:cs="Times New Roman"/>
                <w:color w:val="000000" w:themeColor="text1"/>
                <w:kern w:val="21"/>
                <w14:textFill>
                  <w14:solidFill>
                    <w14:schemeClr w14:val="tx1"/>
                  </w14:solidFill>
                </w14:textFill>
              </w:rPr>
              <w:t>（5）</w:t>
            </w:r>
            <w:r>
              <w:rPr>
                <w:rFonts w:ascii="Times New Roman" w:hAnsi="Times New Roman" w:cs="Times New Roman"/>
                <w:color w:val="000000" w:themeColor="text1"/>
                <w:kern w:val="21"/>
                <w14:textFill>
                  <w14:solidFill>
                    <w14:schemeClr w14:val="tx1"/>
                  </w14:solidFill>
                </w14:textFill>
              </w:rPr>
              <w:t>废气污染防治措施</w:t>
            </w:r>
          </w:p>
          <w:p w14:paraId="0C590CC1">
            <w:pPr>
              <w:adjustRightInd w:val="0"/>
              <w:snapToGrid w:val="0"/>
              <w:spacing w:line="360" w:lineRule="auto"/>
              <w:ind w:firstLine="480" w:firstLineChars="200"/>
              <w:jc w:val="both"/>
              <w:rPr>
                <w:rFonts w:ascii="Times New Roman" w:hAnsi="Times New Roman" w:cs="Times New Roman"/>
                <w:color w:val="2B02FC"/>
              </w:rPr>
            </w:pPr>
            <w:r>
              <w:rPr>
                <w:rFonts w:hint="eastAsia" w:ascii="Times New Roman" w:hAnsi="Times New Roman" w:cs="Times New Roman"/>
                <w:color w:val="000000" w:themeColor="text1"/>
                <w:kern w:val="21"/>
                <w14:textFill>
                  <w14:solidFill>
                    <w14:schemeClr w14:val="tx1"/>
                  </w14:solidFill>
                </w14:textFill>
              </w:rPr>
              <w:t>液硫储罐呼吸废气：在液硫储罐上设置氮封系统，并在呼吸口处设置升华硫回收装置，防止硫粉末外溢，</w:t>
            </w:r>
            <w:r>
              <w:rPr>
                <w:rFonts w:hint="eastAsia" w:ascii="Times New Roman" w:hAnsi="Times New Roman" w:cs="Times New Roman"/>
                <w:bCs/>
                <w:color w:val="000000" w:themeColor="text1"/>
                <w14:textFill>
                  <w14:solidFill>
                    <w14:schemeClr w14:val="tx1"/>
                  </w14:solidFill>
                </w14:textFill>
              </w:rPr>
              <w:t>尾气经排气筒DA001（H=15m）排放。升华硫回收器对升华硫（颗粒物）的回收率为98%，则尾气中升华硫（颗粒物）的浓度为24.4mg/Nm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（＜120mg/m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），升华硫（颗粒物）排放量为0.00025kg/h（＜3.5kg/h），满足《大气污染物综合排放标准》(GB16297-1996)表2新污染源大气污染物排放限值标准。</w:t>
            </w:r>
          </w:p>
          <w:p w14:paraId="6321C57A">
            <w:pPr>
              <w:spacing w:line="360" w:lineRule="auto"/>
              <w:ind w:firstLine="480" w:firstLineChars="200"/>
              <w:jc w:val="both"/>
              <w:rPr>
                <w:rFonts w:ascii="Times New Roman" w:hAnsi="Times New Roman" w:cs="Times New Roman"/>
                <w:color w:val="FF0000"/>
                <w:kern w:val="21"/>
              </w:rPr>
            </w:pPr>
            <w:r>
              <w:rPr>
                <w:rFonts w:hint="eastAsia" w:ascii="Times New Roman" w:hAnsi="Times New Roman" w:cs="Times New Roman"/>
                <w:color w:val="000000" w:themeColor="text1"/>
                <w:kern w:val="21"/>
                <w14:textFill>
                  <w14:solidFill>
                    <w14:schemeClr w14:val="tx1"/>
                  </w14:solidFill>
                </w14:textFill>
              </w:rPr>
              <w:t>发烟硫酸/98%硫酸储罐呼吸废气：设置液封及三氧化硫吸收装置，防止三氧化硫外溢。硫酸罐上设置氮封系统，气相管设置液封，正负压液封（V-401液封介质采用98%硫酸），负压水封气相出口送至二级三氧化硫吸收塔进行吸收，吸收后尾气经排气筒DA002（H=15m）排放。一级吸收塔（C-401）吸收介质采用68%~98%浓硫酸，二级吸收塔（C-402）吸收介质为0~50%的稀硫酸。当一级吸收塔内浓硫酸浓度达到98%，将部分浓硫酸送至硫酸储罐内，由二级吸收塔进行补充、稀释至68%左右；二级吸收塔补充水。二级吸收塔对硫酸雾（SO</w:t>
            </w:r>
            <w:r>
              <w:rPr>
                <w:rFonts w:hint="eastAsia" w:ascii="Times New Roman" w:hAnsi="Times New Roman" w:cs="Times New Roman"/>
                <w:color w:val="000000" w:themeColor="text1"/>
                <w:kern w:val="21"/>
                <w:vertAlign w:val="sub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以硫酸计）的去除效率为99.5%。吸收塔尾气中的硫酸雾浓度为19.7mg/m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（＜45mg/m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），硫酸雾的排放量为0.00005kg/h（＜1.5kg/h），满足</w:t>
            </w:r>
            <w:r>
              <w:rPr>
                <w:rFonts w:hint="eastAsia" w:ascii="Times New Roman" w:hAnsi="Times New Roman" w:cs="Times New Roman"/>
                <w:bCs/>
                <w:color w:val="000000" w:themeColor="text1"/>
                <w14:textFill>
                  <w14:solidFill>
                    <w14:schemeClr w14:val="tx1"/>
                  </w14:solidFill>
                </w14:textFill>
              </w:rPr>
              <w:t>《大气污染物综合排放标准》(GB16297-1996)表2新污染源大气污染物排放限值标准。</w:t>
            </w:r>
          </w:p>
          <w:p w14:paraId="74C5B2C3">
            <w:pPr>
              <w:spacing w:line="360" w:lineRule="auto"/>
              <w:ind w:firstLine="480" w:firstLineChars="200"/>
              <w:jc w:val="both"/>
              <w:rPr>
                <w:rFonts w:ascii="Times New Roman" w:hAnsi="Times New Roman" w:cs="Times New Roman"/>
                <w:color w:val="FF0000"/>
                <w:kern w:val="21"/>
              </w:rPr>
            </w:pPr>
            <w:r>
              <w:rPr>
                <w:rFonts w:hint="eastAsia" w:ascii="Times New Roman" w:hAnsi="Times New Roman" w:cs="Times New Roman"/>
                <w:color w:val="000000" w:themeColor="text1"/>
                <w:kern w:val="21"/>
                <w14:textFill>
                  <w14:solidFill>
                    <w14:schemeClr w14:val="tx1"/>
                  </w14:solidFill>
                </w14:textFill>
              </w:rPr>
              <w:t>苯酚储罐呼吸废气：设置氮封装置，储罐呼吸废气经油气回收装置后，再经活性炭吸附后尾气</w:t>
            </w:r>
            <w:r>
              <w:rPr>
                <w:rFonts w:hint="eastAsia" w:ascii="Times New Roman" w:hAnsi="Times New Roman" w:cs="Times New Roman"/>
                <w:bCs/>
                <w:color w:val="000000" w:themeColor="text1"/>
                <w14:textFill>
                  <w14:solidFill>
                    <w14:schemeClr w14:val="tx1"/>
                  </w14:solidFill>
                </w14:textFill>
              </w:rPr>
              <w:t>经排气筒DA003（H=15m）高空排放。尾气中</w:t>
            </w:r>
            <w:r>
              <w:rPr>
                <w:rFonts w:hint="eastAsia" w:ascii="Times New Roman" w:hAnsi="Times New Roman" w:cs="Times New Roman"/>
                <w:color w:val="000000" w:themeColor="text1"/>
                <w:kern w:val="21"/>
                <w14:textFill>
                  <w14:solidFill>
                    <w14:schemeClr w14:val="tx1"/>
                  </w14:solidFill>
                </w14:textFill>
              </w:rPr>
              <w:t>苯酚浓度为26.9mg/Nm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（＜100mg/m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w:t>
            </w:r>
            <w:r>
              <w:rPr>
                <w:rFonts w:hint="eastAsia" w:ascii="Times New Roman" w:hAnsi="Times New Roman" w:cs="Times New Roman"/>
                <w:bCs/>
                <w:color w:val="000000" w:themeColor="text1"/>
                <w14:textFill>
                  <w14:solidFill>
                    <w14:schemeClr w14:val="tx1"/>
                  </w14:solidFill>
                </w14:textFill>
              </w:rPr>
              <w:t>排放量为0.00050kg/h（＜0.1kg/h），满足《大气污染物综合排放标准》(GB16297-1996)表2新污染源大气污染物排放限值标准。</w:t>
            </w:r>
          </w:p>
          <w:p w14:paraId="43E802BE">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hint="eastAsia" w:ascii="Times New Roman" w:hAnsi="Times New Roman" w:cs="Times New Roman"/>
                <w:color w:val="000000" w:themeColor="text1"/>
                <w:kern w:val="21"/>
                <w14:textFill>
                  <w14:solidFill>
                    <w14:schemeClr w14:val="tx1"/>
                  </w14:solidFill>
                </w14:textFill>
              </w:rPr>
              <w:t>己内酰胺储罐呼吸废气：设置氮封装置，储罐呼吸废气经水洗塔吸收后，尾气中非甲烷总烃的浓度为61.7mg/Nm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（＜120mg/m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w:t>
            </w:r>
            <w:r>
              <w:rPr>
                <w:rFonts w:hint="eastAsia" w:ascii="Times New Roman" w:hAnsi="Times New Roman" w:cs="Times New Roman"/>
                <w:bCs/>
                <w:color w:val="000000" w:themeColor="text1"/>
                <w14:textFill>
                  <w14:solidFill>
                    <w14:schemeClr w14:val="tx1"/>
                  </w14:solidFill>
                </w14:textFill>
              </w:rPr>
              <w:t>排放量为0.00127kg/h（＜10kg/h），尾气经排气筒DA003（H=15m）高空排放，满足《大气污染物综合排放标准》(GB16297-1996)表2新污染源大气污染物排放限值标准。</w:t>
            </w:r>
          </w:p>
          <w:p w14:paraId="5CE222FD">
            <w:pPr>
              <w:spacing w:line="360" w:lineRule="auto"/>
              <w:ind w:firstLine="480" w:firstLineChars="200"/>
              <w:jc w:val="both"/>
              <w:rPr>
                <w:rFonts w:ascii="Times New Roman" w:hAnsi="Times New Roman" w:cs="Times New Roman"/>
                <w:color w:val="FF0000"/>
                <w:kern w:val="21"/>
              </w:rPr>
            </w:pPr>
          </w:p>
          <w:p w14:paraId="7E28419A">
            <w:pPr>
              <w:pStyle w:val="86"/>
              <w:ind w:firstLine="240"/>
            </w:pPr>
          </w:p>
        </w:tc>
      </w:tr>
    </w:tbl>
    <w:p w14:paraId="5F8E7FDD">
      <w:pPr>
        <w:adjustRightInd w:val="0"/>
        <w:snapToGrid w:val="0"/>
        <w:jc w:val="center"/>
        <w:rPr>
          <w:rFonts w:ascii="Times New Roman" w:hAnsi="Times New Roman" w:cs="Times New Roman"/>
          <w:bCs/>
          <w:color w:val="FF0000"/>
          <w:szCs w:val="21"/>
        </w:rPr>
        <w:sectPr>
          <w:pgSz w:w="11907" w:h="16840"/>
          <w:pgMar w:top="1213" w:right="1304" w:bottom="1208" w:left="1304" w:header="851" w:footer="851" w:gutter="0"/>
          <w:cols w:space="720" w:num="1"/>
          <w:docGrid w:linePitch="312" w:charSpace="0"/>
        </w:sectPr>
      </w:pPr>
    </w:p>
    <w:tbl>
      <w:tblPr>
        <w:tblStyle w:val="88"/>
        <w:tblW w:w="139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5"/>
        <w:gridCol w:w="13487"/>
      </w:tblGrid>
      <w:tr w14:paraId="6FC220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tcMar>
              <w:left w:w="28" w:type="dxa"/>
              <w:right w:w="28" w:type="dxa"/>
            </w:tcMar>
            <w:vAlign w:val="center"/>
          </w:tcPr>
          <w:p w14:paraId="11B1C07C">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运营</w:t>
            </w:r>
          </w:p>
          <w:p w14:paraId="3C041BBA">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期环</w:t>
            </w:r>
          </w:p>
          <w:p w14:paraId="5B8A33C0">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境影</w:t>
            </w:r>
          </w:p>
          <w:p w14:paraId="4EE8F5E8">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响和</w:t>
            </w:r>
          </w:p>
          <w:p w14:paraId="4921CF68">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保护</w:t>
            </w:r>
          </w:p>
          <w:p w14:paraId="408DDC26">
            <w:pPr>
              <w:adjustRightInd w:val="0"/>
              <w:snapToGrid w:val="0"/>
              <w:jc w:val="center"/>
              <w:rPr>
                <w:rFonts w:ascii="Times New Roman" w:hAnsi="Times New Roman" w:cs="Times New Roman"/>
                <w:bCs/>
                <w:color w:val="FF0000"/>
                <w:szCs w:val="21"/>
              </w:rPr>
            </w:pPr>
            <w:r>
              <w:rPr>
                <w:rFonts w:ascii="Times New Roman" w:hAnsi="Times New Roman" w:cs="Times New Roman"/>
                <w:bCs/>
                <w:color w:val="000000" w:themeColor="text1"/>
                <w:szCs w:val="21"/>
                <w14:textFill>
                  <w14:solidFill>
                    <w14:schemeClr w14:val="tx1"/>
                  </w14:solidFill>
                </w14:textFill>
              </w:rPr>
              <w:t>措施</w:t>
            </w:r>
          </w:p>
        </w:tc>
        <w:tc>
          <w:tcPr>
            <w:tcW w:w="13487" w:type="dxa"/>
            <w:vAlign w:val="center"/>
          </w:tcPr>
          <w:p w14:paraId="68C1AEFF">
            <w:pPr>
              <w:spacing w:line="360" w:lineRule="auto"/>
              <w:ind w:firstLine="480" w:firstLineChars="200"/>
              <w:jc w:val="both"/>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（8）汇总</w:t>
            </w:r>
          </w:p>
          <w:p w14:paraId="259602A2">
            <w:pPr>
              <w:jc w:val="center"/>
              <w:rPr>
                <w:rFonts w:ascii="Times New Roman" w:hAnsi="Times New Roman" w:cs="Times New Roman"/>
                <w:b/>
                <w:bCs/>
                <w:color w:val="FF0000"/>
                <w:kern w:val="21"/>
              </w:rPr>
            </w:pPr>
            <w:r>
              <w:rPr>
                <w:rFonts w:ascii="Times New Roman" w:hAnsi="Times New Roman" w:cs="Times New Roman"/>
                <w:b/>
                <w:bCs/>
                <w:color w:val="000000" w:themeColor="text1"/>
                <w:kern w:val="21"/>
                <w14:textFill>
                  <w14:solidFill>
                    <w14:schemeClr w14:val="tx1"/>
                  </w14:solidFill>
                </w14:textFill>
              </w:rPr>
              <w:t>表4-</w:t>
            </w:r>
            <w:r>
              <w:rPr>
                <w:rFonts w:hint="eastAsia" w:ascii="Times New Roman" w:hAnsi="Times New Roman" w:cs="Times New Roman"/>
                <w:b/>
                <w:bCs/>
                <w:color w:val="000000" w:themeColor="text1"/>
                <w:kern w:val="21"/>
                <w14:textFill>
                  <w14:solidFill>
                    <w14:schemeClr w14:val="tx1"/>
                  </w14:solidFill>
                </w14:textFill>
              </w:rPr>
              <w:t>11</w:t>
            </w:r>
            <w:r>
              <w:rPr>
                <w:rFonts w:ascii="Times New Roman" w:hAnsi="Times New Roman" w:cs="Times New Roman"/>
                <w:b/>
                <w:bCs/>
                <w:color w:val="000000" w:themeColor="text1"/>
                <w:kern w:val="21"/>
                <w14:textFill>
                  <w14:solidFill>
                    <w14:schemeClr w14:val="tx1"/>
                  </w14:solidFill>
                </w14:textFill>
              </w:rPr>
              <w:t>项目废气污染物产生量及排放量汇总表</w:t>
            </w:r>
          </w:p>
          <w:tbl>
            <w:tblPr>
              <w:tblStyle w:val="88"/>
              <w:tblW w:w="132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483"/>
              <w:gridCol w:w="704"/>
              <w:gridCol w:w="927"/>
              <w:gridCol w:w="986"/>
              <w:gridCol w:w="801"/>
              <w:gridCol w:w="572"/>
              <w:gridCol w:w="709"/>
              <w:gridCol w:w="921"/>
              <w:gridCol w:w="900"/>
              <w:gridCol w:w="750"/>
              <w:gridCol w:w="653"/>
              <w:gridCol w:w="737"/>
              <w:gridCol w:w="641"/>
              <w:gridCol w:w="778"/>
              <w:gridCol w:w="954"/>
              <w:gridCol w:w="915"/>
              <w:gridCol w:w="847"/>
            </w:tblGrid>
            <w:tr w14:paraId="5D663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restart"/>
                  <w:vAlign w:val="center"/>
                </w:tcPr>
                <w:p w14:paraId="6D8DB091">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工序/生产线</w:t>
                  </w:r>
                </w:p>
              </w:tc>
              <w:tc>
                <w:tcPr>
                  <w:tcW w:w="704" w:type="dxa"/>
                  <w:vMerge w:val="restart"/>
                  <w:vAlign w:val="center"/>
                </w:tcPr>
                <w:p w14:paraId="7449EBCD">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装置</w:t>
                  </w:r>
                </w:p>
              </w:tc>
              <w:tc>
                <w:tcPr>
                  <w:tcW w:w="927" w:type="dxa"/>
                  <w:vMerge w:val="restart"/>
                  <w:vAlign w:val="center"/>
                </w:tcPr>
                <w:p w14:paraId="69858646">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污染源</w:t>
                  </w:r>
                </w:p>
              </w:tc>
              <w:tc>
                <w:tcPr>
                  <w:tcW w:w="986" w:type="dxa"/>
                  <w:vMerge w:val="restart"/>
                  <w:vAlign w:val="center"/>
                </w:tcPr>
                <w:p w14:paraId="0EC801C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污染物</w:t>
                  </w:r>
                </w:p>
              </w:tc>
              <w:tc>
                <w:tcPr>
                  <w:tcW w:w="3903" w:type="dxa"/>
                  <w:gridSpan w:val="5"/>
                  <w:vAlign w:val="center"/>
                </w:tcPr>
                <w:p w14:paraId="4328EC9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污染物产生情况</w:t>
                  </w:r>
                </w:p>
              </w:tc>
              <w:tc>
                <w:tcPr>
                  <w:tcW w:w="1403" w:type="dxa"/>
                  <w:gridSpan w:val="2"/>
                  <w:vAlign w:val="center"/>
                </w:tcPr>
                <w:p w14:paraId="3F17466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治理措施</w:t>
                  </w:r>
                </w:p>
              </w:tc>
              <w:tc>
                <w:tcPr>
                  <w:tcW w:w="4025" w:type="dxa"/>
                  <w:gridSpan w:val="5"/>
                  <w:vAlign w:val="center"/>
                </w:tcPr>
                <w:p w14:paraId="250F424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污染物排放情况</w:t>
                  </w:r>
                </w:p>
              </w:tc>
              <w:tc>
                <w:tcPr>
                  <w:tcW w:w="847" w:type="dxa"/>
                  <w:vMerge w:val="restart"/>
                  <w:vAlign w:val="center"/>
                </w:tcPr>
                <w:p w14:paraId="1C2CFF34">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排放时间h</w:t>
                  </w:r>
                </w:p>
              </w:tc>
            </w:tr>
            <w:tr w14:paraId="6F787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continue"/>
                  <w:vAlign w:val="center"/>
                </w:tcPr>
                <w:p w14:paraId="35041125">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716B71C4">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Merge w:val="continue"/>
                  <w:vAlign w:val="center"/>
                </w:tcPr>
                <w:p w14:paraId="39312B4B">
                  <w:pPr>
                    <w:jc w:val="center"/>
                    <w:rPr>
                      <w:rFonts w:ascii="Times New Roman" w:hAnsi="Times New Roman" w:cs="Times New Roman"/>
                      <w:color w:val="000000" w:themeColor="text1"/>
                      <w:kern w:val="21"/>
                      <w:sz w:val="21"/>
                      <w:szCs w:val="21"/>
                      <w14:textFill>
                        <w14:solidFill>
                          <w14:schemeClr w14:val="tx1"/>
                        </w14:solidFill>
                      </w14:textFill>
                    </w:rPr>
                  </w:pPr>
                </w:p>
              </w:tc>
              <w:tc>
                <w:tcPr>
                  <w:tcW w:w="986" w:type="dxa"/>
                  <w:vMerge w:val="continue"/>
                  <w:vAlign w:val="center"/>
                </w:tcPr>
                <w:p w14:paraId="40706C71">
                  <w:pPr>
                    <w:jc w:val="center"/>
                    <w:rPr>
                      <w:rFonts w:ascii="Times New Roman" w:hAnsi="Times New Roman" w:cs="Times New Roman"/>
                      <w:color w:val="000000" w:themeColor="text1"/>
                      <w:kern w:val="21"/>
                      <w:sz w:val="21"/>
                      <w:szCs w:val="21"/>
                      <w14:textFill>
                        <w14:solidFill>
                          <w14:schemeClr w14:val="tx1"/>
                        </w14:solidFill>
                      </w14:textFill>
                    </w:rPr>
                  </w:pPr>
                </w:p>
              </w:tc>
              <w:tc>
                <w:tcPr>
                  <w:tcW w:w="801" w:type="dxa"/>
                  <w:vAlign w:val="center"/>
                </w:tcPr>
                <w:p w14:paraId="62E04EF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废气量（</w:t>
                  </w:r>
                  <w:r>
                    <w:rPr>
                      <w:rFonts w:hint="eastAsia" w:ascii="Times New Roman" w:hAnsi="Times New Roman" w:cs="Times New Roman"/>
                      <w:color w:val="000000" w:themeColor="text1"/>
                      <w:kern w:val="21"/>
                      <w:sz w:val="21"/>
                      <w:szCs w:val="21"/>
                      <w14:textFill>
                        <w14:solidFill>
                          <w14:schemeClr w14:val="tx1"/>
                        </w14:solidFill>
                      </w14:textFill>
                    </w:rPr>
                    <w:t>N</w:t>
                  </w:r>
                  <w:r>
                    <w:rPr>
                      <w:rFonts w:ascii="Times New Roman" w:hAnsi="Times New Roman" w:cs="Times New Roman"/>
                      <w:color w:val="000000" w:themeColor="text1"/>
                      <w:kern w:val="21"/>
                      <w:sz w:val="21"/>
                      <w:szCs w:val="21"/>
                      <w14:textFill>
                        <w14:solidFill>
                          <w14:schemeClr w14:val="tx1"/>
                        </w14:solidFill>
                      </w14:textFill>
                    </w:rPr>
                    <w:t>m</w:t>
                  </w:r>
                  <w:r>
                    <w:rPr>
                      <w:rFonts w:ascii="Times New Roman" w:hAnsi="Times New Roman" w:cs="Times New Roman"/>
                      <w:color w:val="000000" w:themeColor="text1"/>
                      <w:kern w:val="21"/>
                      <w:sz w:val="21"/>
                      <w:szCs w:val="21"/>
                      <w:vertAlign w:val="superscript"/>
                      <w14:textFill>
                        <w14:solidFill>
                          <w14:schemeClr w14:val="tx1"/>
                        </w14:solidFill>
                      </w14:textFill>
                    </w:rPr>
                    <w:t>3</w:t>
                  </w:r>
                  <w:r>
                    <w:rPr>
                      <w:rFonts w:ascii="Times New Roman" w:hAnsi="Times New Roman" w:cs="Times New Roman"/>
                      <w:color w:val="000000" w:themeColor="text1"/>
                      <w:kern w:val="21"/>
                      <w:sz w:val="21"/>
                      <w:szCs w:val="21"/>
                      <w14:textFill>
                        <w14:solidFill>
                          <w14:schemeClr w14:val="tx1"/>
                        </w14:solidFill>
                      </w14:textFill>
                    </w:rPr>
                    <w:t>/h）</w:t>
                  </w:r>
                </w:p>
              </w:tc>
              <w:tc>
                <w:tcPr>
                  <w:tcW w:w="572" w:type="dxa"/>
                  <w:vAlign w:val="center"/>
                </w:tcPr>
                <w:p w14:paraId="4B25404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核算方法</w:t>
                  </w:r>
                </w:p>
              </w:tc>
              <w:tc>
                <w:tcPr>
                  <w:tcW w:w="709" w:type="dxa"/>
                  <w:vAlign w:val="center"/>
                </w:tcPr>
                <w:p w14:paraId="31A34D61">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浓度mg/m</w:t>
                  </w:r>
                  <w:r>
                    <w:rPr>
                      <w:rFonts w:ascii="Times New Roman" w:hAnsi="Times New Roman" w:cs="Times New Roman"/>
                      <w:color w:val="000000" w:themeColor="text1"/>
                      <w:kern w:val="21"/>
                      <w:sz w:val="21"/>
                      <w:szCs w:val="21"/>
                      <w:vertAlign w:val="superscript"/>
                      <w14:textFill>
                        <w14:solidFill>
                          <w14:schemeClr w14:val="tx1"/>
                        </w14:solidFill>
                      </w14:textFill>
                    </w:rPr>
                    <w:t>3</w:t>
                  </w:r>
                </w:p>
              </w:tc>
              <w:tc>
                <w:tcPr>
                  <w:tcW w:w="921" w:type="dxa"/>
                  <w:vAlign w:val="center"/>
                </w:tcPr>
                <w:p w14:paraId="0E332F76">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速率</w:t>
                  </w:r>
                </w:p>
                <w:p w14:paraId="2C90B7F1">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kg/h</w:t>
                  </w:r>
                </w:p>
              </w:tc>
              <w:tc>
                <w:tcPr>
                  <w:tcW w:w="900" w:type="dxa"/>
                  <w:vAlign w:val="center"/>
                </w:tcPr>
                <w:p w14:paraId="7E7933D1">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产生量</w:t>
                  </w:r>
                </w:p>
                <w:p w14:paraId="083A965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t/a</w:t>
                  </w:r>
                </w:p>
              </w:tc>
              <w:tc>
                <w:tcPr>
                  <w:tcW w:w="750" w:type="dxa"/>
                  <w:vAlign w:val="center"/>
                </w:tcPr>
                <w:p w14:paraId="365D1398">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工艺</w:t>
                  </w:r>
                </w:p>
              </w:tc>
              <w:tc>
                <w:tcPr>
                  <w:tcW w:w="653" w:type="dxa"/>
                  <w:vAlign w:val="center"/>
                </w:tcPr>
                <w:p w14:paraId="7BAF71F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效率%</w:t>
                  </w:r>
                </w:p>
              </w:tc>
              <w:tc>
                <w:tcPr>
                  <w:tcW w:w="737" w:type="dxa"/>
                  <w:vAlign w:val="center"/>
                </w:tcPr>
                <w:p w14:paraId="6F62B78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废气量（</w:t>
                  </w:r>
                  <w:r>
                    <w:rPr>
                      <w:rFonts w:hint="eastAsia" w:ascii="Times New Roman" w:hAnsi="Times New Roman" w:cs="Times New Roman"/>
                      <w:color w:val="000000" w:themeColor="text1"/>
                      <w:kern w:val="21"/>
                      <w:sz w:val="21"/>
                      <w:szCs w:val="21"/>
                      <w14:textFill>
                        <w14:solidFill>
                          <w14:schemeClr w14:val="tx1"/>
                        </w14:solidFill>
                      </w14:textFill>
                    </w:rPr>
                    <w:t>N</w:t>
                  </w:r>
                  <w:r>
                    <w:rPr>
                      <w:rFonts w:ascii="Times New Roman" w:hAnsi="Times New Roman" w:cs="Times New Roman"/>
                      <w:color w:val="000000" w:themeColor="text1"/>
                      <w:kern w:val="21"/>
                      <w:sz w:val="21"/>
                      <w:szCs w:val="21"/>
                      <w14:textFill>
                        <w14:solidFill>
                          <w14:schemeClr w14:val="tx1"/>
                        </w14:solidFill>
                      </w14:textFill>
                    </w:rPr>
                    <w:t>m</w:t>
                  </w:r>
                  <w:r>
                    <w:rPr>
                      <w:rFonts w:ascii="Times New Roman" w:hAnsi="Times New Roman" w:cs="Times New Roman"/>
                      <w:color w:val="000000" w:themeColor="text1"/>
                      <w:kern w:val="21"/>
                      <w:sz w:val="21"/>
                      <w:szCs w:val="21"/>
                      <w:vertAlign w:val="superscript"/>
                      <w14:textFill>
                        <w14:solidFill>
                          <w14:schemeClr w14:val="tx1"/>
                        </w14:solidFill>
                      </w14:textFill>
                    </w:rPr>
                    <w:t>3</w:t>
                  </w:r>
                  <w:r>
                    <w:rPr>
                      <w:rFonts w:ascii="Times New Roman" w:hAnsi="Times New Roman" w:cs="Times New Roman"/>
                      <w:color w:val="000000" w:themeColor="text1"/>
                      <w:kern w:val="21"/>
                      <w:sz w:val="21"/>
                      <w:szCs w:val="21"/>
                      <w14:textFill>
                        <w14:solidFill>
                          <w14:schemeClr w14:val="tx1"/>
                        </w14:solidFill>
                      </w14:textFill>
                    </w:rPr>
                    <w:t>/h）</w:t>
                  </w:r>
                </w:p>
              </w:tc>
              <w:tc>
                <w:tcPr>
                  <w:tcW w:w="641" w:type="dxa"/>
                  <w:vAlign w:val="center"/>
                </w:tcPr>
                <w:p w14:paraId="16B3FF8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核算方法</w:t>
                  </w:r>
                </w:p>
              </w:tc>
              <w:tc>
                <w:tcPr>
                  <w:tcW w:w="778" w:type="dxa"/>
                  <w:vAlign w:val="center"/>
                </w:tcPr>
                <w:p w14:paraId="098FB2BE">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浓度mg/m</w:t>
                  </w:r>
                  <w:r>
                    <w:rPr>
                      <w:rFonts w:ascii="Times New Roman" w:hAnsi="Times New Roman" w:cs="Times New Roman"/>
                      <w:color w:val="000000" w:themeColor="text1"/>
                      <w:kern w:val="21"/>
                      <w:sz w:val="21"/>
                      <w:szCs w:val="21"/>
                      <w:vertAlign w:val="superscript"/>
                      <w14:textFill>
                        <w14:solidFill>
                          <w14:schemeClr w14:val="tx1"/>
                        </w14:solidFill>
                      </w14:textFill>
                    </w:rPr>
                    <w:t>3</w:t>
                  </w:r>
                </w:p>
              </w:tc>
              <w:tc>
                <w:tcPr>
                  <w:tcW w:w="954" w:type="dxa"/>
                  <w:vAlign w:val="center"/>
                </w:tcPr>
                <w:p w14:paraId="55D7C59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速率</w:t>
                  </w:r>
                </w:p>
                <w:p w14:paraId="39985A1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kg/h</w:t>
                  </w:r>
                </w:p>
              </w:tc>
              <w:tc>
                <w:tcPr>
                  <w:tcW w:w="915" w:type="dxa"/>
                  <w:vAlign w:val="center"/>
                </w:tcPr>
                <w:p w14:paraId="5B9D04B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排放量</w:t>
                  </w:r>
                </w:p>
                <w:p w14:paraId="7BE8A85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t/a</w:t>
                  </w:r>
                </w:p>
              </w:tc>
              <w:tc>
                <w:tcPr>
                  <w:tcW w:w="847" w:type="dxa"/>
                  <w:vMerge w:val="continue"/>
                  <w:vAlign w:val="center"/>
                </w:tcPr>
                <w:p w14:paraId="1902B758">
                  <w:pPr>
                    <w:jc w:val="center"/>
                    <w:rPr>
                      <w:rFonts w:ascii="Times New Roman" w:hAnsi="Times New Roman" w:cs="Times New Roman"/>
                      <w:color w:val="000000" w:themeColor="text1"/>
                      <w:kern w:val="21"/>
                      <w:sz w:val="21"/>
                      <w:szCs w:val="21"/>
                      <w14:textFill>
                        <w14:solidFill>
                          <w14:schemeClr w14:val="tx1"/>
                        </w14:solidFill>
                      </w14:textFill>
                    </w:rPr>
                  </w:pPr>
                </w:p>
              </w:tc>
            </w:tr>
            <w:tr w14:paraId="53F97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restart"/>
                  <w:vAlign w:val="center"/>
                </w:tcPr>
                <w:p w14:paraId="5334197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储罐大小呼吸</w:t>
                  </w:r>
                </w:p>
              </w:tc>
              <w:tc>
                <w:tcPr>
                  <w:tcW w:w="704" w:type="dxa"/>
                  <w:vMerge w:val="restart"/>
                  <w:vAlign w:val="center"/>
                </w:tcPr>
                <w:p w14:paraId="5BEE70FD">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拱顶罐</w:t>
                  </w:r>
                </w:p>
              </w:tc>
              <w:tc>
                <w:tcPr>
                  <w:tcW w:w="927" w:type="dxa"/>
                  <w:vAlign w:val="center"/>
                </w:tcPr>
                <w:p w14:paraId="0FF7CC0C">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液硫储罐</w:t>
                  </w:r>
                </w:p>
              </w:tc>
              <w:tc>
                <w:tcPr>
                  <w:tcW w:w="986" w:type="dxa"/>
                  <w:vAlign w:val="center"/>
                </w:tcPr>
                <w:p w14:paraId="5F263A1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升华硫</w:t>
                  </w:r>
                </w:p>
                <w:p w14:paraId="55DD421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（颗粒物）</w:t>
                  </w:r>
                </w:p>
              </w:tc>
              <w:tc>
                <w:tcPr>
                  <w:tcW w:w="801" w:type="dxa"/>
                  <w:vAlign w:val="center"/>
                </w:tcPr>
                <w:p w14:paraId="0317BD44">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10.2</w:t>
                  </w:r>
                </w:p>
              </w:tc>
              <w:tc>
                <w:tcPr>
                  <w:tcW w:w="572" w:type="dxa"/>
                  <w:vMerge w:val="restart"/>
                  <w:vAlign w:val="center"/>
                </w:tcPr>
                <w:p w14:paraId="5819927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公式法</w:t>
                  </w:r>
                </w:p>
              </w:tc>
              <w:tc>
                <w:tcPr>
                  <w:tcW w:w="709" w:type="dxa"/>
                  <w:vAlign w:val="center"/>
                </w:tcPr>
                <w:p w14:paraId="06B24D41">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1219.9</w:t>
                  </w:r>
                </w:p>
              </w:tc>
              <w:tc>
                <w:tcPr>
                  <w:tcW w:w="921" w:type="dxa"/>
                  <w:vAlign w:val="center"/>
                </w:tcPr>
                <w:p w14:paraId="1B60C79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0.0124</w:t>
                  </w:r>
                </w:p>
              </w:tc>
              <w:tc>
                <w:tcPr>
                  <w:tcW w:w="900" w:type="dxa"/>
                  <w:vAlign w:val="center"/>
                </w:tcPr>
                <w:p w14:paraId="762D64C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0.109</w:t>
                  </w:r>
                </w:p>
              </w:tc>
              <w:tc>
                <w:tcPr>
                  <w:tcW w:w="750" w:type="dxa"/>
                  <w:vAlign w:val="center"/>
                </w:tcPr>
                <w:p w14:paraId="6738BBD4">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升华硫回收器</w:t>
                  </w:r>
                </w:p>
              </w:tc>
              <w:tc>
                <w:tcPr>
                  <w:tcW w:w="653" w:type="dxa"/>
                  <w:vAlign w:val="center"/>
                </w:tcPr>
                <w:p w14:paraId="619921DB">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98.0</w:t>
                  </w:r>
                </w:p>
              </w:tc>
              <w:tc>
                <w:tcPr>
                  <w:tcW w:w="737" w:type="dxa"/>
                  <w:shd w:val="clear" w:color="auto" w:fill="auto"/>
                  <w:vAlign w:val="center"/>
                </w:tcPr>
                <w:p w14:paraId="7D92776C">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10.2</w:t>
                  </w:r>
                </w:p>
              </w:tc>
              <w:tc>
                <w:tcPr>
                  <w:tcW w:w="641" w:type="dxa"/>
                  <w:vMerge w:val="restart"/>
                  <w:vAlign w:val="center"/>
                </w:tcPr>
                <w:p w14:paraId="221C6C3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类比法</w:t>
                  </w:r>
                </w:p>
              </w:tc>
              <w:tc>
                <w:tcPr>
                  <w:tcW w:w="778" w:type="dxa"/>
                  <w:vAlign w:val="center"/>
                </w:tcPr>
                <w:p w14:paraId="6A50BA98">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24.4</w:t>
                  </w:r>
                </w:p>
              </w:tc>
              <w:tc>
                <w:tcPr>
                  <w:tcW w:w="954" w:type="dxa"/>
                  <w:vAlign w:val="center"/>
                </w:tcPr>
                <w:p w14:paraId="0647DF88">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0.00025</w:t>
                  </w:r>
                </w:p>
              </w:tc>
              <w:tc>
                <w:tcPr>
                  <w:tcW w:w="915" w:type="dxa"/>
                  <w:vAlign w:val="center"/>
                </w:tcPr>
                <w:p w14:paraId="521428B8">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0.00218</w:t>
                  </w:r>
                </w:p>
              </w:tc>
              <w:tc>
                <w:tcPr>
                  <w:tcW w:w="847" w:type="dxa"/>
                  <w:vAlign w:val="center"/>
                </w:tcPr>
                <w:p w14:paraId="1E0A10D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8760</w:t>
                  </w:r>
                </w:p>
              </w:tc>
            </w:tr>
            <w:tr w14:paraId="5E3A0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continue"/>
                  <w:vAlign w:val="center"/>
                </w:tcPr>
                <w:p w14:paraId="531D536E">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249CC4C0">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31ADD035">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发烟</w:t>
                  </w:r>
                  <w:r>
                    <w:rPr>
                      <w:rFonts w:ascii="Times New Roman" w:hAnsi="Times New Roman" w:cs="Times New Roman"/>
                      <w:color w:val="000000" w:themeColor="text1"/>
                      <w:kern w:val="21"/>
                      <w:sz w:val="21"/>
                      <w:szCs w:val="21"/>
                      <w14:textFill>
                        <w14:solidFill>
                          <w14:schemeClr w14:val="tx1"/>
                        </w14:solidFill>
                      </w14:textFill>
                    </w:rPr>
                    <w:t>硫酸</w:t>
                  </w:r>
                  <w:r>
                    <w:rPr>
                      <w:rFonts w:hint="eastAsia" w:ascii="Times New Roman" w:hAnsi="Times New Roman" w:cs="Times New Roman"/>
                      <w:color w:val="000000" w:themeColor="text1"/>
                      <w:kern w:val="21"/>
                      <w:sz w:val="21"/>
                      <w:szCs w:val="21"/>
                      <w14:textFill>
                        <w14:solidFill>
                          <w14:schemeClr w14:val="tx1"/>
                        </w14:solidFill>
                      </w14:textFill>
                    </w:rPr>
                    <w:t>/98%硫酸储罐</w:t>
                  </w:r>
                </w:p>
              </w:tc>
              <w:tc>
                <w:tcPr>
                  <w:tcW w:w="986" w:type="dxa"/>
                  <w:vAlign w:val="center"/>
                </w:tcPr>
                <w:p w14:paraId="1E6206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硫酸雾</w:t>
                  </w:r>
                </w:p>
              </w:tc>
              <w:tc>
                <w:tcPr>
                  <w:tcW w:w="801" w:type="dxa"/>
                  <w:vAlign w:val="center"/>
                </w:tcPr>
                <w:p w14:paraId="7758C30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w:t>
                  </w:r>
                </w:p>
              </w:tc>
              <w:tc>
                <w:tcPr>
                  <w:tcW w:w="572" w:type="dxa"/>
                  <w:vMerge w:val="continue"/>
                  <w:vAlign w:val="center"/>
                </w:tcPr>
                <w:p w14:paraId="2D633E19">
                  <w:pPr>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59E19709">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3947.9</w:t>
                  </w:r>
                </w:p>
              </w:tc>
              <w:tc>
                <w:tcPr>
                  <w:tcW w:w="921" w:type="dxa"/>
                  <w:vAlign w:val="center"/>
                </w:tcPr>
                <w:p w14:paraId="0C03BA4C">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0.0095</w:t>
                  </w:r>
                </w:p>
              </w:tc>
              <w:tc>
                <w:tcPr>
                  <w:tcW w:w="900" w:type="dxa"/>
                  <w:vAlign w:val="center"/>
                </w:tcPr>
                <w:p w14:paraId="37553E6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0.083</w:t>
                  </w:r>
                </w:p>
              </w:tc>
              <w:tc>
                <w:tcPr>
                  <w:tcW w:w="750" w:type="dxa"/>
                  <w:vAlign w:val="center"/>
                </w:tcPr>
                <w:p w14:paraId="5BE3B7C7">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二级三氧化硫吸收</w:t>
                  </w:r>
                </w:p>
              </w:tc>
              <w:tc>
                <w:tcPr>
                  <w:tcW w:w="653" w:type="dxa"/>
                  <w:vAlign w:val="center"/>
                </w:tcPr>
                <w:p w14:paraId="19E61F18">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99.5</w:t>
                  </w:r>
                </w:p>
              </w:tc>
              <w:tc>
                <w:tcPr>
                  <w:tcW w:w="737" w:type="dxa"/>
                  <w:shd w:val="clear" w:color="auto" w:fill="auto"/>
                  <w:vAlign w:val="center"/>
                </w:tcPr>
                <w:p w14:paraId="4B1C370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w:t>
                  </w:r>
                </w:p>
              </w:tc>
              <w:tc>
                <w:tcPr>
                  <w:tcW w:w="641" w:type="dxa"/>
                  <w:vMerge w:val="continue"/>
                  <w:vAlign w:val="center"/>
                </w:tcPr>
                <w:p w14:paraId="7150AF83">
                  <w:pPr>
                    <w:jc w:val="center"/>
                    <w:rPr>
                      <w:rFonts w:ascii="Times New Roman" w:hAnsi="Times New Roman" w:cs="Times New Roman"/>
                      <w:color w:val="000000" w:themeColor="text1"/>
                      <w:sz w:val="21"/>
                      <w:szCs w:val="21"/>
                      <w14:textFill>
                        <w14:solidFill>
                          <w14:schemeClr w14:val="tx1"/>
                        </w14:solidFill>
                      </w14:textFill>
                    </w:rPr>
                  </w:pPr>
                </w:p>
              </w:tc>
              <w:tc>
                <w:tcPr>
                  <w:tcW w:w="778" w:type="dxa"/>
                  <w:vAlign w:val="center"/>
                </w:tcPr>
                <w:p w14:paraId="7D3381E4">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19.7</w:t>
                  </w:r>
                </w:p>
              </w:tc>
              <w:tc>
                <w:tcPr>
                  <w:tcW w:w="954" w:type="dxa"/>
                  <w:vAlign w:val="center"/>
                </w:tcPr>
                <w:p w14:paraId="4C87DC4F">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0.00005</w:t>
                  </w:r>
                </w:p>
              </w:tc>
              <w:tc>
                <w:tcPr>
                  <w:tcW w:w="915" w:type="dxa"/>
                  <w:vAlign w:val="center"/>
                </w:tcPr>
                <w:p w14:paraId="3106DE4A">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0.00042</w:t>
                  </w:r>
                </w:p>
              </w:tc>
              <w:tc>
                <w:tcPr>
                  <w:tcW w:w="847" w:type="dxa"/>
                  <w:vAlign w:val="center"/>
                </w:tcPr>
                <w:p w14:paraId="13917E3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8760</w:t>
                  </w:r>
                </w:p>
              </w:tc>
            </w:tr>
            <w:tr w14:paraId="57295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continue"/>
                  <w:vAlign w:val="center"/>
                </w:tcPr>
                <w:p w14:paraId="0B1BB661">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7FBEE5D2">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036A83B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苯酚储罐</w:t>
                  </w:r>
                </w:p>
              </w:tc>
              <w:tc>
                <w:tcPr>
                  <w:tcW w:w="986" w:type="dxa"/>
                  <w:vAlign w:val="center"/>
                </w:tcPr>
                <w:p w14:paraId="11449ABA">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酚类</w:t>
                  </w:r>
                </w:p>
              </w:tc>
              <w:tc>
                <w:tcPr>
                  <w:tcW w:w="801" w:type="dxa"/>
                  <w:vAlign w:val="center"/>
                </w:tcPr>
                <w:p w14:paraId="62EFAA5A">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18.7</w:t>
                  </w:r>
                </w:p>
              </w:tc>
              <w:tc>
                <w:tcPr>
                  <w:tcW w:w="572" w:type="dxa"/>
                  <w:vMerge w:val="continue"/>
                  <w:vAlign w:val="center"/>
                </w:tcPr>
                <w:p w14:paraId="0FF155A9">
                  <w:pPr>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64308DF4">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2686.0</w:t>
                  </w:r>
                </w:p>
              </w:tc>
              <w:tc>
                <w:tcPr>
                  <w:tcW w:w="921" w:type="dxa"/>
                  <w:vAlign w:val="center"/>
                </w:tcPr>
                <w:p w14:paraId="6E965954">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0.0502</w:t>
                  </w:r>
                </w:p>
              </w:tc>
              <w:tc>
                <w:tcPr>
                  <w:tcW w:w="900" w:type="dxa"/>
                  <w:vAlign w:val="center"/>
                </w:tcPr>
                <w:p w14:paraId="65A90A4F">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0.440</w:t>
                  </w:r>
                </w:p>
              </w:tc>
              <w:tc>
                <w:tcPr>
                  <w:tcW w:w="750" w:type="dxa"/>
                  <w:vAlign w:val="center"/>
                </w:tcPr>
                <w:p w14:paraId="34759954">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油气回收装置+活性炭吸附</w:t>
                  </w:r>
                </w:p>
              </w:tc>
              <w:tc>
                <w:tcPr>
                  <w:tcW w:w="653" w:type="dxa"/>
                  <w:vAlign w:val="center"/>
                </w:tcPr>
                <w:p w14:paraId="6CA3FE7C">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99.0</w:t>
                  </w:r>
                </w:p>
              </w:tc>
              <w:tc>
                <w:tcPr>
                  <w:tcW w:w="737" w:type="dxa"/>
                  <w:shd w:val="clear" w:color="auto" w:fill="auto"/>
                  <w:vAlign w:val="center"/>
                </w:tcPr>
                <w:p w14:paraId="0A08CD28">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18.7</w:t>
                  </w:r>
                </w:p>
              </w:tc>
              <w:tc>
                <w:tcPr>
                  <w:tcW w:w="641" w:type="dxa"/>
                  <w:vMerge w:val="continue"/>
                  <w:vAlign w:val="center"/>
                </w:tcPr>
                <w:p w14:paraId="7F865F0F">
                  <w:pPr>
                    <w:jc w:val="center"/>
                    <w:rPr>
                      <w:rFonts w:ascii="Times New Roman" w:hAnsi="Times New Roman" w:cs="Times New Roman"/>
                      <w:color w:val="FF0000"/>
                      <w:sz w:val="21"/>
                      <w:szCs w:val="21"/>
                    </w:rPr>
                  </w:pPr>
                </w:p>
              </w:tc>
              <w:tc>
                <w:tcPr>
                  <w:tcW w:w="778" w:type="dxa"/>
                  <w:vAlign w:val="center"/>
                </w:tcPr>
                <w:p w14:paraId="533CABA0">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26.9</w:t>
                  </w:r>
                </w:p>
              </w:tc>
              <w:tc>
                <w:tcPr>
                  <w:tcW w:w="954" w:type="dxa"/>
                  <w:vAlign w:val="center"/>
                </w:tcPr>
                <w:p w14:paraId="240A1874">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0.00050</w:t>
                  </w:r>
                </w:p>
              </w:tc>
              <w:tc>
                <w:tcPr>
                  <w:tcW w:w="915" w:type="dxa"/>
                  <w:vAlign w:val="center"/>
                </w:tcPr>
                <w:p w14:paraId="5D8D3C0A">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0.00440</w:t>
                  </w:r>
                </w:p>
              </w:tc>
              <w:tc>
                <w:tcPr>
                  <w:tcW w:w="847" w:type="dxa"/>
                  <w:vAlign w:val="center"/>
                </w:tcPr>
                <w:p w14:paraId="2FC0728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8760</w:t>
                  </w:r>
                </w:p>
              </w:tc>
            </w:tr>
            <w:tr w14:paraId="0D281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continue"/>
                  <w:vAlign w:val="center"/>
                </w:tcPr>
                <w:p w14:paraId="331C240A">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60EC82DA">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46358B68">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己内酰胺储罐</w:t>
                  </w:r>
                </w:p>
              </w:tc>
              <w:tc>
                <w:tcPr>
                  <w:tcW w:w="986" w:type="dxa"/>
                  <w:vAlign w:val="center"/>
                </w:tcPr>
                <w:p w14:paraId="6CFF18B0">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非甲烷总烃</w:t>
                  </w:r>
                </w:p>
              </w:tc>
              <w:tc>
                <w:tcPr>
                  <w:tcW w:w="801" w:type="dxa"/>
                  <w:vAlign w:val="center"/>
                </w:tcPr>
                <w:p w14:paraId="49CAB6C6">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20.6</w:t>
                  </w:r>
                </w:p>
              </w:tc>
              <w:tc>
                <w:tcPr>
                  <w:tcW w:w="572" w:type="dxa"/>
                  <w:vMerge w:val="continue"/>
                  <w:vAlign w:val="center"/>
                </w:tcPr>
                <w:p w14:paraId="402CEBF1">
                  <w:pPr>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1CDE8328">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6173.2</w:t>
                  </w:r>
                </w:p>
              </w:tc>
              <w:tc>
                <w:tcPr>
                  <w:tcW w:w="921" w:type="dxa"/>
                  <w:vAlign w:val="center"/>
                </w:tcPr>
                <w:p w14:paraId="7E3A4196">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0.1272</w:t>
                  </w:r>
                </w:p>
              </w:tc>
              <w:tc>
                <w:tcPr>
                  <w:tcW w:w="900" w:type="dxa"/>
                  <w:vAlign w:val="center"/>
                </w:tcPr>
                <w:p w14:paraId="076E14D6">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1.114</w:t>
                  </w:r>
                </w:p>
              </w:tc>
              <w:tc>
                <w:tcPr>
                  <w:tcW w:w="750" w:type="dxa"/>
                  <w:vAlign w:val="center"/>
                </w:tcPr>
                <w:p w14:paraId="7A679A5A">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水喷淋吸收</w:t>
                  </w:r>
                </w:p>
              </w:tc>
              <w:tc>
                <w:tcPr>
                  <w:tcW w:w="653" w:type="dxa"/>
                  <w:vAlign w:val="center"/>
                </w:tcPr>
                <w:p w14:paraId="4D5A36F4">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99.0</w:t>
                  </w:r>
                </w:p>
              </w:tc>
              <w:tc>
                <w:tcPr>
                  <w:tcW w:w="737" w:type="dxa"/>
                  <w:shd w:val="clear" w:color="auto" w:fill="auto"/>
                  <w:vAlign w:val="center"/>
                </w:tcPr>
                <w:p w14:paraId="073FA74E">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20.6</w:t>
                  </w:r>
                </w:p>
              </w:tc>
              <w:tc>
                <w:tcPr>
                  <w:tcW w:w="641" w:type="dxa"/>
                  <w:vMerge w:val="continue"/>
                  <w:vAlign w:val="center"/>
                </w:tcPr>
                <w:p w14:paraId="0557FF49">
                  <w:pPr>
                    <w:jc w:val="center"/>
                    <w:rPr>
                      <w:rFonts w:ascii="Times New Roman" w:hAnsi="Times New Roman" w:cs="Times New Roman"/>
                      <w:color w:val="FF0000"/>
                      <w:sz w:val="21"/>
                      <w:szCs w:val="21"/>
                    </w:rPr>
                  </w:pPr>
                </w:p>
              </w:tc>
              <w:tc>
                <w:tcPr>
                  <w:tcW w:w="778" w:type="dxa"/>
                  <w:vAlign w:val="center"/>
                </w:tcPr>
                <w:p w14:paraId="3FD3B977">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61.7</w:t>
                  </w:r>
                </w:p>
              </w:tc>
              <w:tc>
                <w:tcPr>
                  <w:tcW w:w="954" w:type="dxa"/>
                  <w:vAlign w:val="center"/>
                </w:tcPr>
                <w:p w14:paraId="4438022C">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0.00127</w:t>
                  </w:r>
                </w:p>
              </w:tc>
              <w:tc>
                <w:tcPr>
                  <w:tcW w:w="915" w:type="dxa"/>
                  <w:vAlign w:val="center"/>
                </w:tcPr>
                <w:p w14:paraId="31B0D58F">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0.01114</w:t>
                  </w:r>
                </w:p>
              </w:tc>
              <w:tc>
                <w:tcPr>
                  <w:tcW w:w="847" w:type="dxa"/>
                  <w:vAlign w:val="center"/>
                </w:tcPr>
                <w:p w14:paraId="2FFC438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8760</w:t>
                  </w:r>
                </w:p>
              </w:tc>
            </w:tr>
            <w:tr w14:paraId="21741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restart"/>
                  <w:vAlign w:val="center"/>
                </w:tcPr>
                <w:p w14:paraId="54D1DD34">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密封点</w:t>
                  </w:r>
                </w:p>
              </w:tc>
              <w:tc>
                <w:tcPr>
                  <w:tcW w:w="704" w:type="dxa"/>
                  <w:vMerge w:val="restart"/>
                  <w:vAlign w:val="center"/>
                </w:tcPr>
                <w:p w14:paraId="3F74CB6D">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管线、阀门等</w:t>
                  </w:r>
                </w:p>
              </w:tc>
              <w:tc>
                <w:tcPr>
                  <w:tcW w:w="927" w:type="dxa"/>
                  <w:vAlign w:val="center"/>
                </w:tcPr>
                <w:p w14:paraId="2F113CA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液硫</w:t>
                  </w:r>
                </w:p>
              </w:tc>
              <w:tc>
                <w:tcPr>
                  <w:tcW w:w="986" w:type="dxa"/>
                  <w:vAlign w:val="center"/>
                </w:tcPr>
                <w:p w14:paraId="63FE3B4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升华硫</w:t>
                  </w:r>
                </w:p>
                <w:p w14:paraId="6448F35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（颗粒物）</w:t>
                  </w:r>
                </w:p>
              </w:tc>
              <w:tc>
                <w:tcPr>
                  <w:tcW w:w="801" w:type="dxa"/>
                  <w:vAlign w:val="center"/>
                </w:tcPr>
                <w:p w14:paraId="23AB096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72" w:type="dxa"/>
                  <w:vMerge w:val="restart"/>
                  <w:vAlign w:val="center"/>
                </w:tcPr>
                <w:p w14:paraId="544849B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公式法</w:t>
                  </w:r>
                </w:p>
              </w:tc>
              <w:tc>
                <w:tcPr>
                  <w:tcW w:w="709" w:type="dxa"/>
                  <w:vAlign w:val="center"/>
                </w:tcPr>
                <w:p w14:paraId="5D2F60A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921" w:type="dxa"/>
                  <w:vAlign w:val="center"/>
                </w:tcPr>
                <w:p w14:paraId="1CCDB684">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0.0061</w:t>
                  </w:r>
                </w:p>
              </w:tc>
              <w:tc>
                <w:tcPr>
                  <w:tcW w:w="900" w:type="dxa"/>
                  <w:vAlign w:val="center"/>
                </w:tcPr>
                <w:p w14:paraId="326E1FB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0.0242</w:t>
                  </w:r>
                </w:p>
              </w:tc>
              <w:tc>
                <w:tcPr>
                  <w:tcW w:w="750" w:type="dxa"/>
                  <w:vAlign w:val="center"/>
                </w:tcPr>
                <w:p w14:paraId="5F71F4B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53" w:type="dxa"/>
                  <w:vAlign w:val="center"/>
                </w:tcPr>
                <w:p w14:paraId="4E1D448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737" w:type="dxa"/>
                  <w:vAlign w:val="center"/>
                </w:tcPr>
                <w:p w14:paraId="0D74DD3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41" w:type="dxa"/>
                  <w:vMerge w:val="restart"/>
                  <w:vAlign w:val="center"/>
                </w:tcPr>
                <w:p w14:paraId="34B205F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公式法</w:t>
                  </w:r>
                </w:p>
              </w:tc>
              <w:tc>
                <w:tcPr>
                  <w:tcW w:w="778" w:type="dxa"/>
                  <w:vAlign w:val="center"/>
                </w:tcPr>
                <w:p w14:paraId="0F25F64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54" w:type="dxa"/>
                  <w:vAlign w:val="center"/>
                </w:tcPr>
                <w:p w14:paraId="3C55B85C">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0.0061</w:t>
                  </w:r>
                </w:p>
              </w:tc>
              <w:tc>
                <w:tcPr>
                  <w:tcW w:w="915" w:type="dxa"/>
                  <w:shd w:val="clear" w:color="auto" w:fill="auto"/>
                  <w:vAlign w:val="center"/>
                </w:tcPr>
                <w:p w14:paraId="6CAB75B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0.0242</w:t>
                  </w:r>
                </w:p>
              </w:tc>
              <w:tc>
                <w:tcPr>
                  <w:tcW w:w="847" w:type="dxa"/>
                  <w:vAlign w:val="center"/>
                </w:tcPr>
                <w:p w14:paraId="72CDA6B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r>
            <w:tr w14:paraId="03314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continue"/>
                  <w:vAlign w:val="center"/>
                </w:tcPr>
                <w:p w14:paraId="7A55ADCF">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52AB4BA1">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589D5002">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发烟</w:t>
                  </w:r>
                  <w:r>
                    <w:rPr>
                      <w:rFonts w:ascii="Times New Roman" w:hAnsi="Times New Roman" w:cs="Times New Roman"/>
                      <w:color w:val="000000" w:themeColor="text1"/>
                      <w:kern w:val="21"/>
                      <w:sz w:val="21"/>
                      <w:szCs w:val="21"/>
                      <w14:textFill>
                        <w14:solidFill>
                          <w14:schemeClr w14:val="tx1"/>
                        </w14:solidFill>
                      </w14:textFill>
                    </w:rPr>
                    <w:t>硫酸</w:t>
                  </w:r>
                  <w:r>
                    <w:rPr>
                      <w:rFonts w:hint="eastAsia" w:ascii="Times New Roman" w:hAnsi="Times New Roman" w:cs="Times New Roman"/>
                      <w:color w:val="000000" w:themeColor="text1"/>
                      <w:kern w:val="21"/>
                      <w:sz w:val="21"/>
                      <w:szCs w:val="21"/>
                      <w14:textFill>
                        <w14:solidFill>
                          <w14:schemeClr w14:val="tx1"/>
                        </w14:solidFill>
                      </w14:textFill>
                    </w:rPr>
                    <w:t>/98%硫酸</w:t>
                  </w:r>
                </w:p>
              </w:tc>
              <w:tc>
                <w:tcPr>
                  <w:tcW w:w="986" w:type="dxa"/>
                  <w:vAlign w:val="center"/>
                </w:tcPr>
                <w:p w14:paraId="1C76410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硫酸雾</w:t>
                  </w:r>
                </w:p>
              </w:tc>
              <w:tc>
                <w:tcPr>
                  <w:tcW w:w="801" w:type="dxa"/>
                  <w:vAlign w:val="center"/>
                </w:tcPr>
                <w:p w14:paraId="6EE2733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572" w:type="dxa"/>
                  <w:vMerge w:val="continue"/>
                  <w:vAlign w:val="center"/>
                </w:tcPr>
                <w:p w14:paraId="2EB03456">
                  <w:pPr>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106E23D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2A356F0A">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0.0058</w:t>
                  </w:r>
                </w:p>
              </w:tc>
              <w:tc>
                <w:tcPr>
                  <w:tcW w:w="900" w:type="dxa"/>
                  <w:vAlign w:val="center"/>
                </w:tcPr>
                <w:p w14:paraId="05056A3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0.0023</w:t>
                  </w:r>
                </w:p>
              </w:tc>
              <w:tc>
                <w:tcPr>
                  <w:tcW w:w="750" w:type="dxa"/>
                  <w:vAlign w:val="center"/>
                </w:tcPr>
                <w:p w14:paraId="19D3199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53" w:type="dxa"/>
                  <w:vAlign w:val="center"/>
                </w:tcPr>
                <w:p w14:paraId="574D126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37" w:type="dxa"/>
                  <w:vAlign w:val="center"/>
                </w:tcPr>
                <w:p w14:paraId="61FCCC6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41" w:type="dxa"/>
                  <w:vMerge w:val="continue"/>
                  <w:vAlign w:val="center"/>
                </w:tcPr>
                <w:p w14:paraId="7E53005F">
                  <w:pPr>
                    <w:jc w:val="center"/>
                    <w:rPr>
                      <w:rFonts w:ascii="Times New Roman" w:hAnsi="Times New Roman" w:cs="Times New Roman"/>
                      <w:color w:val="000000" w:themeColor="text1"/>
                      <w:sz w:val="21"/>
                      <w:szCs w:val="21"/>
                      <w14:textFill>
                        <w14:solidFill>
                          <w14:schemeClr w14:val="tx1"/>
                        </w14:solidFill>
                      </w14:textFill>
                    </w:rPr>
                  </w:pPr>
                </w:p>
              </w:tc>
              <w:tc>
                <w:tcPr>
                  <w:tcW w:w="778" w:type="dxa"/>
                  <w:vAlign w:val="center"/>
                </w:tcPr>
                <w:p w14:paraId="13CBF72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54" w:type="dxa"/>
                  <w:vAlign w:val="center"/>
                </w:tcPr>
                <w:p w14:paraId="1D5E82C4">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0.0058</w:t>
                  </w:r>
                </w:p>
              </w:tc>
              <w:tc>
                <w:tcPr>
                  <w:tcW w:w="915" w:type="dxa"/>
                  <w:shd w:val="clear" w:color="auto" w:fill="auto"/>
                  <w:vAlign w:val="center"/>
                </w:tcPr>
                <w:p w14:paraId="663A18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0.0023</w:t>
                  </w:r>
                </w:p>
              </w:tc>
              <w:tc>
                <w:tcPr>
                  <w:tcW w:w="847" w:type="dxa"/>
                  <w:vAlign w:val="center"/>
                </w:tcPr>
                <w:p w14:paraId="52F394A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r>
            <w:tr w14:paraId="254D9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continue"/>
                  <w:vAlign w:val="center"/>
                </w:tcPr>
                <w:p w14:paraId="66B3A0A1">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674B5B9C">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5C3BA7D8">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苯酚</w:t>
                  </w:r>
                </w:p>
              </w:tc>
              <w:tc>
                <w:tcPr>
                  <w:tcW w:w="986" w:type="dxa"/>
                  <w:vAlign w:val="center"/>
                </w:tcPr>
                <w:p w14:paraId="6561E2B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酚类</w:t>
                  </w:r>
                </w:p>
              </w:tc>
              <w:tc>
                <w:tcPr>
                  <w:tcW w:w="801" w:type="dxa"/>
                  <w:vAlign w:val="center"/>
                </w:tcPr>
                <w:p w14:paraId="3F2393EB">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572" w:type="dxa"/>
                  <w:vMerge w:val="continue"/>
                  <w:vAlign w:val="center"/>
                </w:tcPr>
                <w:p w14:paraId="16DE048D">
                  <w:pPr>
                    <w:jc w:val="center"/>
                    <w:rPr>
                      <w:rFonts w:ascii="Times New Roman" w:hAnsi="Times New Roman" w:cs="Times New Roman"/>
                      <w:color w:val="000000" w:themeColor="text1"/>
                      <w:sz w:val="21"/>
                      <w:szCs w:val="21"/>
                      <w14:textFill>
                        <w14:solidFill>
                          <w14:schemeClr w14:val="tx1"/>
                        </w14:solidFill>
                      </w14:textFill>
                    </w:rPr>
                  </w:pPr>
                </w:p>
              </w:tc>
              <w:tc>
                <w:tcPr>
                  <w:tcW w:w="709" w:type="dxa"/>
                  <w:shd w:val="clear" w:color="auto" w:fill="auto"/>
                  <w:vAlign w:val="center"/>
                </w:tcPr>
                <w:p w14:paraId="0D36901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921" w:type="dxa"/>
                  <w:vAlign w:val="center"/>
                </w:tcPr>
                <w:p w14:paraId="0D3F912D">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0.0113</w:t>
                  </w:r>
                </w:p>
              </w:tc>
              <w:tc>
                <w:tcPr>
                  <w:tcW w:w="900" w:type="dxa"/>
                  <w:vAlign w:val="center"/>
                </w:tcPr>
                <w:p w14:paraId="7A221EA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0.0375</w:t>
                  </w:r>
                </w:p>
              </w:tc>
              <w:tc>
                <w:tcPr>
                  <w:tcW w:w="750" w:type="dxa"/>
                  <w:vAlign w:val="center"/>
                </w:tcPr>
                <w:p w14:paraId="440E5374">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53" w:type="dxa"/>
                  <w:vAlign w:val="center"/>
                </w:tcPr>
                <w:p w14:paraId="1D2004F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737" w:type="dxa"/>
                  <w:vAlign w:val="center"/>
                </w:tcPr>
                <w:p w14:paraId="4C6D6D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41" w:type="dxa"/>
                  <w:vMerge w:val="continue"/>
                  <w:vAlign w:val="center"/>
                </w:tcPr>
                <w:p w14:paraId="0DAEAEC4">
                  <w:pPr>
                    <w:jc w:val="center"/>
                    <w:rPr>
                      <w:rFonts w:ascii="Times New Roman" w:hAnsi="Times New Roman" w:cs="Times New Roman"/>
                      <w:color w:val="000000" w:themeColor="text1"/>
                      <w:sz w:val="21"/>
                      <w:szCs w:val="21"/>
                      <w14:textFill>
                        <w14:solidFill>
                          <w14:schemeClr w14:val="tx1"/>
                        </w14:solidFill>
                      </w14:textFill>
                    </w:rPr>
                  </w:pPr>
                </w:p>
              </w:tc>
              <w:tc>
                <w:tcPr>
                  <w:tcW w:w="778" w:type="dxa"/>
                  <w:vAlign w:val="center"/>
                </w:tcPr>
                <w:p w14:paraId="6696AAA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54" w:type="dxa"/>
                  <w:vAlign w:val="center"/>
                </w:tcPr>
                <w:p w14:paraId="590CCE29">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0.0113</w:t>
                  </w:r>
                </w:p>
              </w:tc>
              <w:tc>
                <w:tcPr>
                  <w:tcW w:w="915" w:type="dxa"/>
                  <w:shd w:val="clear" w:color="auto" w:fill="auto"/>
                  <w:vAlign w:val="center"/>
                </w:tcPr>
                <w:p w14:paraId="6459859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0.0375</w:t>
                  </w:r>
                </w:p>
              </w:tc>
              <w:tc>
                <w:tcPr>
                  <w:tcW w:w="847" w:type="dxa"/>
                  <w:vAlign w:val="center"/>
                </w:tcPr>
                <w:p w14:paraId="012AC1E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3333</w:t>
                  </w:r>
                </w:p>
              </w:tc>
            </w:tr>
            <w:tr w14:paraId="6274B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continue"/>
                  <w:vAlign w:val="center"/>
                </w:tcPr>
                <w:p w14:paraId="63442D71">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643BA775">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4C1D6942">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己内酰胺</w:t>
                  </w:r>
                </w:p>
              </w:tc>
              <w:tc>
                <w:tcPr>
                  <w:tcW w:w="986" w:type="dxa"/>
                  <w:vAlign w:val="center"/>
                </w:tcPr>
                <w:p w14:paraId="15E9EAD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801" w:type="dxa"/>
                  <w:vAlign w:val="center"/>
                </w:tcPr>
                <w:p w14:paraId="4E88961C">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572" w:type="dxa"/>
                  <w:vMerge w:val="continue"/>
                  <w:vAlign w:val="center"/>
                </w:tcPr>
                <w:p w14:paraId="3569527B">
                  <w:pPr>
                    <w:jc w:val="center"/>
                    <w:rPr>
                      <w:rFonts w:ascii="Times New Roman" w:hAnsi="Times New Roman" w:cs="Times New Roman"/>
                      <w:color w:val="000000" w:themeColor="text1"/>
                      <w:sz w:val="21"/>
                      <w:szCs w:val="21"/>
                      <w14:textFill>
                        <w14:solidFill>
                          <w14:schemeClr w14:val="tx1"/>
                        </w14:solidFill>
                      </w14:textFill>
                    </w:rPr>
                  </w:pPr>
                </w:p>
              </w:tc>
              <w:tc>
                <w:tcPr>
                  <w:tcW w:w="709" w:type="dxa"/>
                  <w:shd w:val="clear" w:color="auto" w:fill="auto"/>
                  <w:vAlign w:val="center"/>
                </w:tcPr>
                <w:p w14:paraId="4E8BF12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03764643">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0.0069</w:t>
                  </w:r>
                </w:p>
              </w:tc>
              <w:tc>
                <w:tcPr>
                  <w:tcW w:w="900" w:type="dxa"/>
                  <w:vAlign w:val="center"/>
                </w:tcPr>
                <w:p w14:paraId="1A3872A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0.0128</w:t>
                  </w:r>
                </w:p>
              </w:tc>
              <w:tc>
                <w:tcPr>
                  <w:tcW w:w="750" w:type="dxa"/>
                  <w:vAlign w:val="center"/>
                </w:tcPr>
                <w:p w14:paraId="2F77EE1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53" w:type="dxa"/>
                  <w:vAlign w:val="center"/>
                </w:tcPr>
                <w:p w14:paraId="0BDEE538">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37" w:type="dxa"/>
                  <w:vAlign w:val="center"/>
                </w:tcPr>
                <w:p w14:paraId="5D9394E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41" w:type="dxa"/>
                  <w:vMerge w:val="continue"/>
                  <w:vAlign w:val="center"/>
                </w:tcPr>
                <w:p w14:paraId="2FD501DA">
                  <w:pPr>
                    <w:jc w:val="center"/>
                    <w:rPr>
                      <w:rFonts w:ascii="Times New Roman" w:hAnsi="Times New Roman" w:cs="Times New Roman"/>
                      <w:color w:val="000000" w:themeColor="text1"/>
                      <w:sz w:val="21"/>
                      <w:szCs w:val="21"/>
                      <w14:textFill>
                        <w14:solidFill>
                          <w14:schemeClr w14:val="tx1"/>
                        </w14:solidFill>
                      </w14:textFill>
                    </w:rPr>
                  </w:pPr>
                </w:p>
              </w:tc>
              <w:tc>
                <w:tcPr>
                  <w:tcW w:w="778" w:type="dxa"/>
                  <w:vAlign w:val="center"/>
                </w:tcPr>
                <w:p w14:paraId="5D0D5B7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54" w:type="dxa"/>
                  <w:vAlign w:val="center"/>
                </w:tcPr>
                <w:p w14:paraId="1CD14EDA">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0.0069</w:t>
                  </w:r>
                </w:p>
              </w:tc>
              <w:tc>
                <w:tcPr>
                  <w:tcW w:w="915" w:type="dxa"/>
                  <w:shd w:val="clear" w:color="auto" w:fill="auto"/>
                  <w:vAlign w:val="center"/>
                </w:tcPr>
                <w:p w14:paraId="005CDC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0.0128</w:t>
                  </w:r>
                </w:p>
              </w:tc>
              <w:tc>
                <w:tcPr>
                  <w:tcW w:w="847" w:type="dxa"/>
                  <w:vAlign w:val="center"/>
                </w:tcPr>
                <w:p w14:paraId="5B27CC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1867</w:t>
                  </w:r>
                </w:p>
              </w:tc>
            </w:tr>
            <w:tr w14:paraId="4B19D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 w:hRule="atLeast"/>
              </w:trPr>
              <w:tc>
                <w:tcPr>
                  <w:tcW w:w="483" w:type="dxa"/>
                  <w:vMerge w:val="restart"/>
                  <w:vAlign w:val="center"/>
                </w:tcPr>
                <w:p w14:paraId="15F000B2">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装卸料</w:t>
                  </w:r>
                </w:p>
              </w:tc>
              <w:tc>
                <w:tcPr>
                  <w:tcW w:w="704" w:type="dxa"/>
                  <w:vMerge w:val="restart"/>
                  <w:vAlign w:val="center"/>
                </w:tcPr>
                <w:p w14:paraId="5F643333">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装卸臂</w:t>
                  </w:r>
                  <w:r>
                    <w:rPr>
                      <w:rFonts w:ascii="Times New Roman" w:hAnsi="Times New Roman" w:cs="Times New Roman"/>
                      <w:color w:val="000000" w:themeColor="text1"/>
                      <w:kern w:val="21"/>
                      <w:sz w:val="21"/>
                      <w:szCs w:val="21"/>
                      <w14:textFill>
                        <w14:solidFill>
                          <w14:schemeClr w14:val="tx1"/>
                        </w14:solidFill>
                      </w14:textFill>
                    </w:rPr>
                    <w:t>、</w:t>
                  </w:r>
                  <w:r>
                    <w:rPr>
                      <w:rFonts w:hint="eastAsia" w:ascii="Times New Roman" w:hAnsi="Times New Roman" w:cs="Times New Roman"/>
                      <w:color w:val="000000" w:themeColor="text1"/>
                      <w:kern w:val="21"/>
                      <w:sz w:val="21"/>
                      <w:szCs w:val="21"/>
                      <w14:textFill>
                        <w14:solidFill>
                          <w14:schemeClr w14:val="tx1"/>
                        </w14:solidFill>
                      </w14:textFill>
                    </w:rPr>
                    <w:t>槽罐车</w:t>
                  </w:r>
                  <w:r>
                    <w:rPr>
                      <w:rFonts w:ascii="Times New Roman" w:hAnsi="Times New Roman" w:cs="Times New Roman"/>
                      <w:color w:val="000000" w:themeColor="text1"/>
                      <w:kern w:val="21"/>
                      <w:sz w:val="21"/>
                      <w:szCs w:val="21"/>
                      <w14:textFill>
                        <w14:solidFill>
                          <w14:schemeClr w14:val="tx1"/>
                        </w14:solidFill>
                      </w14:textFill>
                    </w:rPr>
                    <w:t>等</w:t>
                  </w:r>
                </w:p>
              </w:tc>
              <w:tc>
                <w:tcPr>
                  <w:tcW w:w="927" w:type="dxa"/>
                  <w:vAlign w:val="center"/>
                </w:tcPr>
                <w:p w14:paraId="0BAFB403">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液硫</w:t>
                  </w:r>
                </w:p>
              </w:tc>
              <w:tc>
                <w:tcPr>
                  <w:tcW w:w="986" w:type="dxa"/>
                  <w:vAlign w:val="center"/>
                </w:tcPr>
                <w:p w14:paraId="7B6AF6A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升华硫</w:t>
                  </w:r>
                </w:p>
                <w:p w14:paraId="2056770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（颗粒物）</w:t>
                  </w:r>
                </w:p>
              </w:tc>
              <w:tc>
                <w:tcPr>
                  <w:tcW w:w="801" w:type="dxa"/>
                  <w:vAlign w:val="center"/>
                </w:tcPr>
                <w:p w14:paraId="15C2E247">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572" w:type="dxa"/>
                  <w:vMerge w:val="restart"/>
                  <w:vAlign w:val="center"/>
                </w:tcPr>
                <w:p w14:paraId="05F7238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公式法</w:t>
                  </w:r>
                </w:p>
              </w:tc>
              <w:tc>
                <w:tcPr>
                  <w:tcW w:w="709" w:type="dxa"/>
                  <w:vAlign w:val="center"/>
                </w:tcPr>
                <w:p w14:paraId="5F8C16E5">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3B460CD2">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0.3750</w:t>
                  </w:r>
                </w:p>
              </w:tc>
              <w:tc>
                <w:tcPr>
                  <w:tcW w:w="900" w:type="dxa"/>
                  <w:vAlign w:val="center"/>
                </w:tcPr>
                <w:p w14:paraId="33BA6F68">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1.500</w:t>
                  </w:r>
                </w:p>
              </w:tc>
              <w:tc>
                <w:tcPr>
                  <w:tcW w:w="750" w:type="dxa"/>
                  <w:vAlign w:val="center"/>
                </w:tcPr>
                <w:p w14:paraId="6AA2589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气相平衡管</w:t>
                  </w:r>
                </w:p>
              </w:tc>
              <w:tc>
                <w:tcPr>
                  <w:tcW w:w="653" w:type="dxa"/>
                  <w:vAlign w:val="center"/>
                </w:tcPr>
                <w:p w14:paraId="13732DD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92</w:t>
                  </w:r>
                </w:p>
              </w:tc>
              <w:tc>
                <w:tcPr>
                  <w:tcW w:w="737" w:type="dxa"/>
                  <w:vAlign w:val="center"/>
                </w:tcPr>
                <w:p w14:paraId="242CD6E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41" w:type="dxa"/>
                  <w:vMerge w:val="restart"/>
                  <w:vAlign w:val="center"/>
                </w:tcPr>
                <w:p w14:paraId="4913385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公式法</w:t>
                  </w:r>
                </w:p>
              </w:tc>
              <w:tc>
                <w:tcPr>
                  <w:tcW w:w="778" w:type="dxa"/>
                  <w:vAlign w:val="center"/>
                </w:tcPr>
                <w:p w14:paraId="7FC7C69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54" w:type="dxa"/>
                  <w:vAlign w:val="center"/>
                </w:tcPr>
                <w:p w14:paraId="10733A5D">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0.0300</w:t>
                  </w:r>
                </w:p>
              </w:tc>
              <w:tc>
                <w:tcPr>
                  <w:tcW w:w="915" w:type="dxa"/>
                  <w:vAlign w:val="center"/>
                </w:tcPr>
                <w:p w14:paraId="2DEDA4A0">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0.120</w:t>
                  </w:r>
                </w:p>
              </w:tc>
              <w:tc>
                <w:tcPr>
                  <w:tcW w:w="847" w:type="dxa"/>
                  <w:vAlign w:val="center"/>
                </w:tcPr>
                <w:p w14:paraId="21C9833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r>
            <w:tr w14:paraId="299B9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3" w:type="dxa"/>
                  <w:vMerge w:val="continue"/>
                  <w:vAlign w:val="center"/>
                </w:tcPr>
                <w:p w14:paraId="730D05C1">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3EE49ECF">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07528432">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发烟</w:t>
                  </w:r>
                  <w:r>
                    <w:rPr>
                      <w:rFonts w:ascii="Times New Roman" w:hAnsi="Times New Roman" w:cs="Times New Roman"/>
                      <w:color w:val="000000" w:themeColor="text1"/>
                      <w:kern w:val="21"/>
                      <w:sz w:val="21"/>
                      <w:szCs w:val="21"/>
                      <w14:textFill>
                        <w14:solidFill>
                          <w14:schemeClr w14:val="tx1"/>
                        </w14:solidFill>
                      </w14:textFill>
                    </w:rPr>
                    <w:t>硫酸</w:t>
                  </w:r>
                  <w:r>
                    <w:rPr>
                      <w:rFonts w:hint="eastAsia" w:ascii="Times New Roman" w:hAnsi="Times New Roman" w:cs="Times New Roman"/>
                      <w:color w:val="000000" w:themeColor="text1"/>
                      <w:kern w:val="21"/>
                      <w:sz w:val="21"/>
                      <w:szCs w:val="21"/>
                      <w14:textFill>
                        <w14:solidFill>
                          <w14:schemeClr w14:val="tx1"/>
                        </w14:solidFill>
                      </w14:textFill>
                    </w:rPr>
                    <w:t>/98%硫酸</w:t>
                  </w:r>
                </w:p>
              </w:tc>
              <w:tc>
                <w:tcPr>
                  <w:tcW w:w="986" w:type="dxa"/>
                  <w:vAlign w:val="center"/>
                </w:tcPr>
                <w:p w14:paraId="5133587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801" w:type="dxa"/>
                  <w:vAlign w:val="center"/>
                </w:tcPr>
                <w:p w14:paraId="324C8D78">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572" w:type="dxa"/>
                  <w:vMerge w:val="continue"/>
                  <w:vAlign w:val="center"/>
                </w:tcPr>
                <w:p w14:paraId="28AE55A8">
                  <w:pPr>
                    <w:jc w:val="center"/>
                    <w:rPr>
                      <w:rFonts w:ascii="Times New Roman" w:hAnsi="Times New Roman" w:cs="Times New Roman"/>
                      <w:color w:val="000000" w:themeColor="text1"/>
                      <w:sz w:val="21"/>
                      <w:szCs w:val="21"/>
                      <w14:textFill>
                        <w14:solidFill>
                          <w14:schemeClr w14:val="tx1"/>
                        </w14:solidFill>
                      </w14:textFill>
                    </w:rPr>
                  </w:pPr>
                </w:p>
              </w:tc>
              <w:tc>
                <w:tcPr>
                  <w:tcW w:w="709" w:type="dxa"/>
                  <w:vAlign w:val="center"/>
                </w:tcPr>
                <w:p w14:paraId="1666945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37992C41">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0.1650</w:t>
                  </w:r>
                </w:p>
              </w:tc>
              <w:tc>
                <w:tcPr>
                  <w:tcW w:w="900" w:type="dxa"/>
                  <w:vAlign w:val="center"/>
                </w:tcPr>
                <w:p w14:paraId="6959244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0.066</w:t>
                  </w:r>
                </w:p>
              </w:tc>
              <w:tc>
                <w:tcPr>
                  <w:tcW w:w="750" w:type="dxa"/>
                  <w:vAlign w:val="center"/>
                </w:tcPr>
                <w:p w14:paraId="61C43647">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气相平衡管</w:t>
                  </w:r>
                </w:p>
              </w:tc>
              <w:tc>
                <w:tcPr>
                  <w:tcW w:w="653" w:type="dxa"/>
                  <w:vAlign w:val="center"/>
                </w:tcPr>
                <w:p w14:paraId="2D981EC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92</w:t>
                  </w:r>
                </w:p>
              </w:tc>
              <w:tc>
                <w:tcPr>
                  <w:tcW w:w="737" w:type="dxa"/>
                  <w:vAlign w:val="center"/>
                </w:tcPr>
                <w:p w14:paraId="2FACFD0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41" w:type="dxa"/>
                  <w:vMerge w:val="continue"/>
                  <w:vAlign w:val="center"/>
                </w:tcPr>
                <w:p w14:paraId="27C63C64">
                  <w:pPr>
                    <w:jc w:val="center"/>
                    <w:rPr>
                      <w:rFonts w:ascii="Times New Roman" w:hAnsi="Times New Roman" w:cs="Times New Roman"/>
                      <w:color w:val="000000" w:themeColor="text1"/>
                      <w:sz w:val="21"/>
                      <w:szCs w:val="21"/>
                      <w14:textFill>
                        <w14:solidFill>
                          <w14:schemeClr w14:val="tx1"/>
                        </w14:solidFill>
                      </w14:textFill>
                    </w:rPr>
                  </w:pPr>
                </w:p>
              </w:tc>
              <w:tc>
                <w:tcPr>
                  <w:tcW w:w="778" w:type="dxa"/>
                  <w:vAlign w:val="center"/>
                </w:tcPr>
                <w:p w14:paraId="5E815C4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54" w:type="dxa"/>
                  <w:vAlign w:val="center"/>
                </w:tcPr>
                <w:p w14:paraId="478FC11C">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0.0133</w:t>
                  </w:r>
                </w:p>
              </w:tc>
              <w:tc>
                <w:tcPr>
                  <w:tcW w:w="915" w:type="dxa"/>
                  <w:vAlign w:val="center"/>
                </w:tcPr>
                <w:p w14:paraId="785C956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0.0053</w:t>
                  </w:r>
                </w:p>
              </w:tc>
              <w:tc>
                <w:tcPr>
                  <w:tcW w:w="847" w:type="dxa"/>
                  <w:vAlign w:val="center"/>
                </w:tcPr>
                <w:p w14:paraId="45566DF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r>
            <w:tr w14:paraId="2C9B7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 w:hRule="atLeast"/>
              </w:trPr>
              <w:tc>
                <w:tcPr>
                  <w:tcW w:w="483" w:type="dxa"/>
                  <w:vMerge w:val="continue"/>
                  <w:vAlign w:val="center"/>
                </w:tcPr>
                <w:p w14:paraId="36DAB9DA">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2CD10C62">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59E1BC62">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苯酚</w:t>
                  </w:r>
                </w:p>
              </w:tc>
              <w:tc>
                <w:tcPr>
                  <w:tcW w:w="986" w:type="dxa"/>
                  <w:vAlign w:val="center"/>
                </w:tcPr>
                <w:p w14:paraId="12492CB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酚类</w:t>
                  </w:r>
                </w:p>
              </w:tc>
              <w:tc>
                <w:tcPr>
                  <w:tcW w:w="801" w:type="dxa"/>
                  <w:vAlign w:val="center"/>
                </w:tcPr>
                <w:p w14:paraId="3044CB16">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572" w:type="dxa"/>
                  <w:vMerge w:val="continue"/>
                  <w:vAlign w:val="center"/>
                </w:tcPr>
                <w:p w14:paraId="00E753D2">
                  <w:pPr>
                    <w:jc w:val="center"/>
                    <w:rPr>
                      <w:rFonts w:ascii="Times New Roman" w:hAnsi="Times New Roman" w:cs="Times New Roman"/>
                      <w:color w:val="FF0000"/>
                      <w:sz w:val="21"/>
                      <w:szCs w:val="21"/>
                    </w:rPr>
                  </w:pPr>
                </w:p>
              </w:tc>
              <w:tc>
                <w:tcPr>
                  <w:tcW w:w="709" w:type="dxa"/>
                  <w:shd w:val="clear" w:color="auto" w:fill="auto"/>
                  <w:vAlign w:val="center"/>
                </w:tcPr>
                <w:p w14:paraId="1EED117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21" w:type="dxa"/>
                  <w:vAlign w:val="center"/>
                </w:tcPr>
                <w:p w14:paraId="719BA04C">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0.3054</w:t>
                  </w:r>
                </w:p>
              </w:tc>
              <w:tc>
                <w:tcPr>
                  <w:tcW w:w="900" w:type="dxa"/>
                  <w:vAlign w:val="center"/>
                </w:tcPr>
                <w:p w14:paraId="12E63B8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1.018</w:t>
                  </w:r>
                </w:p>
              </w:tc>
              <w:tc>
                <w:tcPr>
                  <w:tcW w:w="750" w:type="dxa"/>
                  <w:vAlign w:val="center"/>
                </w:tcPr>
                <w:p w14:paraId="253DAB8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气相平衡管</w:t>
                  </w:r>
                </w:p>
              </w:tc>
              <w:tc>
                <w:tcPr>
                  <w:tcW w:w="653" w:type="dxa"/>
                  <w:vAlign w:val="center"/>
                </w:tcPr>
                <w:p w14:paraId="0136F2F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92</w:t>
                  </w:r>
                </w:p>
              </w:tc>
              <w:tc>
                <w:tcPr>
                  <w:tcW w:w="737" w:type="dxa"/>
                  <w:shd w:val="clear" w:color="auto" w:fill="auto"/>
                  <w:vAlign w:val="center"/>
                </w:tcPr>
                <w:p w14:paraId="038A6F3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41" w:type="dxa"/>
                  <w:vMerge w:val="continue"/>
                  <w:vAlign w:val="center"/>
                </w:tcPr>
                <w:p w14:paraId="70BC548A">
                  <w:pPr>
                    <w:jc w:val="center"/>
                    <w:rPr>
                      <w:rFonts w:ascii="Times New Roman" w:hAnsi="Times New Roman" w:cs="Times New Roman"/>
                      <w:color w:val="000000" w:themeColor="text1"/>
                      <w:sz w:val="21"/>
                      <w:szCs w:val="21"/>
                      <w14:textFill>
                        <w14:solidFill>
                          <w14:schemeClr w14:val="tx1"/>
                        </w14:solidFill>
                      </w14:textFill>
                    </w:rPr>
                  </w:pPr>
                </w:p>
              </w:tc>
              <w:tc>
                <w:tcPr>
                  <w:tcW w:w="778" w:type="dxa"/>
                  <w:vAlign w:val="center"/>
                </w:tcPr>
                <w:p w14:paraId="11003AB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54" w:type="dxa"/>
                  <w:vAlign w:val="center"/>
                </w:tcPr>
                <w:p w14:paraId="39264B1E">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0.0243</w:t>
                  </w:r>
                </w:p>
              </w:tc>
              <w:tc>
                <w:tcPr>
                  <w:tcW w:w="915" w:type="dxa"/>
                  <w:vAlign w:val="center"/>
                </w:tcPr>
                <w:p w14:paraId="4FAFE74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0.081</w:t>
                  </w:r>
                </w:p>
              </w:tc>
              <w:tc>
                <w:tcPr>
                  <w:tcW w:w="847" w:type="dxa"/>
                  <w:vAlign w:val="center"/>
                </w:tcPr>
                <w:p w14:paraId="2A6AEB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3333</w:t>
                  </w:r>
                </w:p>
              </w:tc>
            </w:tr>
            <w:tr w14:paraId="13CEF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 w:hRule="atLeast"/>
              </w:trPr>
              <w:tc>
                <w:tcPr>
                  <w:tcW w:w="483" w:type="dxa"/>
                  <w:vMerge w:val="continue"/>
                  <w:vAlign w:val="center"/>
                </w:tcPr>
                <w:p w14:paraId="68DE4FA1">
                  <w:pPr>
                    <w:jc w:val="center"/>
                    <w:rPr>
                      <w:rFonts w:ascii="Times New Roman" w:hAnsi="Times New Roman" w:cs="Times New Roman"/>
                      <w:color w:val="000000" w:themeColor="text1"/>
                      <w:kern w:val="21"/>
                      <w:sz w:val="21"/>
                      <w:szCs w:val="21"/>
                      <w14:textFill>
                        <w14:solidFill>
                          <w14:schemeClr w14:val="tx1"/>
                        </w14:solidFill>
                      </w14:textFill>
                    </w:rPr>
                  </w:pPr>
                </w:p>
              </w:tc>
              <w:tc>
                <w:tcPr>
                  <w:tcW w:w="704" w:type="dxa"/>
                  <w:vMerge w:val="continue"/>
                  <w:vAlign w:val="center"/>
                </w:tcPr>
                <w:p w14:paraId="1400FC4C">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10B006A9">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己内酰胺</w:t>
                  </w:r>
                </w:p>
              </w:tc>
              <w:tc>
                <w:tcPr>
                  <w:tcW w:w="986" w:type="dxa"/>
                  <w:vAlign w:val="center"/>
                </w:tcPr>
                <w:p w14:paraId="39707650">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非甲烷总烃</w:t>
                  </w:r>
                </w:p>
              </w:tc>
              <w:tc>
                <w:tcPr>
                  <w:tcW w:w="801" w:type="dxa"/>
                  <w:vAlign w:val="center"/>
                </w:tcPr>
                <w:p w14:paraId="42A625EB">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572" w:type="dxa"/>
                  <w:vMerge w:val="continue"/>
                  <w:vAlign w:val="center"/>
                </w:tcPr>
                <w:p w14:paraId="207DAA7F">
                  <w:pPr>
                    <w:jc w:val="center"/>
                    <w:rPr>
                      <w:rFonts w:ascii="Times New Roman" w:hAnsi="Times New Roman" w:cs="Times New Roman"/>
                      <w:color w:val="FF0000"/>
                      <w:sz w:val="21"/>
                      <w:szCs w:val="21"/>
                    </w:rPr>
                  </w:pPr>
                </w:p>
              </w:tc>
              <w:tc>
                <w:tcPr>
                  <w:tcW w:w="709" w:type="dxa"/>
                  <w:shd w:val="clear" w:color="auto" w:fill="auto"/>
                  <w:vAlign w:val="center"/>
                </w:tcPr>
                <w:p w14:paraId="53402F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68394803">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1.2116</w:t>
                  </w:r>
                </w:p>
              </w:tc>
              <w:tc>
                <w:tcPr>
                  <w:tcW w:w="900" w:type="dxa"/>
                  <w:vAlign w:val="center"/>
                </w:tcPr>
                <w:p w14:paraId="0AC2E186">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2.262</w:t>
                  </w:r>
                </w:p>
              </w:tc>
              <w:tc>
                <w:tcPr>
                  <w:tcW w:w="750" w:type="dxa"/>
                  <w:shd w:val="clear" w:color="auto" w:fill="auto"/>
                  <w:vAlign w:val="center"/>
                </w:tcPr>
                <w:p w14:paraId="7DAA8E77">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气相平衡管</w:t>
                  </w:r>
                </w:p>
              </w:tc>
              <w:tc>
                <w:tcPr>
                  <w:tcW w:w="653" w:type="dxa"/>
                  <w:shd w:val="clear" w:color="auto" w:fill="auto"/>
                  <w:vAlign w:val="center"/>
                </w:tcPr>
                <w:p w14:paraId="2224FC7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92</w:t>
                  </w:r>
                </w:p>
              </w:tc>
              <w:tc>
                <w:tcPr>
                  <w:tcW w:w="737" w:type="dxa"/>
                  <w:shd w:val="clear" w:color="auto" w:fill="auto"/>
                  <w:vAlign w:val="center"/>
                </w:tcPr>
                <w:p w14:paraId="5C4508E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41" w:type="dxa"/>
                  <w:vMerge w:val="continue"/>
                  <w:vAlign w:val="center"/>
                </w:tcPr>
                <w:p w14:paraId="659974BD">
                  <w:pPr>
                    <w:jc w:val="center"/>
                    <w:rPr>
                      <w:rFonts w:ascii="Times New Roman" w:hAnsi="Times New Roman" w:cs="Times New Roman"/>
                      <w:color w:val="000000" w:themeColor="text1"/>
                      <w:sz w:val="21"/>
                      <w:szCs w:val="21"/>
                      <w14:textFill>
                        <w14:solidFill>
                          <w14:schemeClr w14:val="tx1"/>
                        </w14:solidFill>
                      </w14:textFill>
                    </w:rPr>
                  </w:pPr>
                </w:p>
              </w:tc>
              <w:tc>
                <w:tcPr>
                  <w:tcW w:w="778" w:type="dxa"/>
                  <w:vAlign w:val="center"/>
                </w:tcPr>
                <w:p w14:paraId="2CFF66B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54" w:type="dxa"/>
                  <w:vAlign w:val="center"/>
                </w:tcPr>
                <w:p w14:paraId="59720B41">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0.0969</w:t>
                  </w:r>
                </w:p>
              </w:tc>
              <w:tc>
                <w:tcPr>
                  <w:tcW w:w="915" w:type="dxa"/>
                  <w:vAlign w:val="center"/>
                </w:tcPr>
                <w:p w14:paraId="0EE75A96">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0.181</w:t>
                  </w:r>
                </w:p>
              </w:tc>
              <w:tc>
                <w:tcPr>
                  <w:tcW w:w="847" w:type="dxa"/>
                  <w:vAlign w:val="center"/>
                </w:tcPr>
                <w:p w14:paraId="0F12732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1867</w:t>
                  </w:r>
                </w:p>
              </w:tc>
            </w:tr>
            <w:tr w14:paraId="0ADDB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187" w:type="dxa"/>
                  <w:gridSpan w:val="2"/>
                  <w:vMerge w:val="restart"/>
                  <w:vAlign w:val="center"/>
                </w:tcPr>
                <w:p w14:paraId="484DFC5D">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装卸料、储罐大小呼吸、密封点合计</w:t>
                  </w:r>
                </w:p>
              </w:tc>
              <w:tc>
                <w:tcPr>
                  <w:tcW w:w="927" w:type="dxa"/>
                  <w:vAlign w:val="center"/>
                </w:tcPr>
                <w:p w14:paraId="0D9D24FE">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液硫</w:t>
                  </w:r>
                </w:p>
              </w:tc>
              <w:tc>
                <w:tcPr>
                  <w:tcW w:w="986" w:type="dxa"/>
                  <w:vAlign w:val="center"/>
                </w:tcPr>
                <w:p w14:paraId="4EDD49E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升华硫</w:t>
                  </w:r>
                </w:p>
                <w:p w14:paraId="3B365D2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（颗粒物）</w:t>
                  </w:r>
                </w:p>
              </w:tc>
              <w:tc>
                <w:tcPr>
                  <w:tcW w:w="801" w:type="dxa"/>
                  <w:vAlign w:val="center"/>
                </w:tcPr>
                <w:p w14:paraId="262EBC9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572" w:type="dxa"/>
                  <w:vAlign w:val="center"/>
                </w:tcPr>
                <w:p w14:paraId="7DBB9B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09" w:type="dxa"/>
                  <w:vAlign w:val="center"/>
                </w:tcPr>
                <w:p w14:paraId="630567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369CA03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00" w:type="dxa"/>
                  <w:vAlign w:val="center"/>
                </w:tcPr>
                <w:p w14:paraId="746DED8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1.6332</w:t>
                  </w:r>
                </w:p>
              </w:tc>
              <w:tc>
                <w:tcPr>
                  <w:tcW w:w="750" w:type="dxa"/>
                  <w:vAlign w:val="center"/>
                </w:tcPr>
                <w:p w14:paraId="23A2EF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53" w:type="dxa"/>
                  <w:vAlign w:val="center"/>
                </w:tcPr>
                <w:p w14:paraId="473F6BA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37" w:type="dxa"/>
                  <w:vAlign w:val="center"/>
                </w:tcPr>
                <w:p w14:paraId="30D2B07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41" w:type="dxa"/>
                  <w:vAlign w:val="center"/>
                </w:tcPr>
                <w:p w14:paraId="63CAD18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78" w:type="dxa"/>
                  <w:vAlign w:val="center"/>
                </w:tcPr>
                <w:p w14:paraId="684E2F6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54" w:type="dxa"/>
                  <w:vAlign w:val="center"/>
                </w:tcPr>
                <w:p w14:paraId="1DA0C43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15" w:type="dxa"/>
                  <w:vAlign w:val="center"/>
                </w:tcPr>
                <w:p w14:paraId="4EF6041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0.1464</w:t>
                  </w:r>
                </w:p>
              </w:tc>
              <w:tc>
                <w:tcPr>
                  <w:tcW w:w="847" w:type="dxa"/>
                  <w:vAlign w:val="center"/>
                </w:tcPr>
                <w:p w14:paraId="790091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r>
            <w:tr w14:paraId="4C4F9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187" w:type="dxa"/>
                  <w:gridSpan w:val="2"/>
                  <w:vMerge w:val="continue"/>
                  <w:vAlign w:val="center"/>
                </w:tcPr>
                <w:p w14:paraId="2DDB8C1F">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5139711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发烟</w:t>
                  </w:r>
                  <w:r>
                    <w:rPr>
                      <w:rFonts w:ascii="Times New Roman" w:hAnsi="Times New Roman" w:cs="Times New Roman"/>
                      <w:color w:val="000000" w:themeColor="text1"/>
                      <w:kern w:val="21"/>
                      <w:sz w:val="21"/>
                      <w:szCs w:val="21"/>
                      <w14:textFill>
                        <w14:solidFill>
                          <w14:schemeClr w14:val="tx1"/>
                        </w14:solidFill>
                      </w14:textFill>
                    </w:rPr>
                    <w:t>硫酸</w:t>
                  </w:r>
                  <w:r>
                    <w:rPr>
                      <w:rFonts w:hint="eastAsia" w:ascii="Times New Roman" w:hAnsi="Times New Roman" w:cs="Times New Roman"/>
                      <w:color w:val="000000" w:themeColor="text1"/>
                      <w:kern w:val="21"/>
                      <w:sz w:val="21"/>
                      <w:szCs w:val="21"/>
                      <w14:textFill>
                        <w14:solidFill>
                          <w14:schemeClr w14:val="tx1"/>
                        </w14:solidFill>
                      </w14:textFill>
                    </w:rPr>
                    <w:t>/98%硫酸</w:t>
                  </w:r>
                </w:p>
              </w:tc>
              <w:tc>
                <w:tcPr>
                  <w:tcW w:w="986" w:type="dxa"/>
                  <w:vAlign w:val="center"/>
                </w:tcPr>
                <w:p w14:paraId="132A07A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硫酸雾</w:t>
                  </w:r>
                </w:p>
              </w:tc>
              <w:tc>
                <w:tcPr>
                  <w:tcW w:w="801" w:type="dxa"/>
                  <w:vAlign w:val="center"/>
                </w:tcPr>
                <w:p w14:paraId="012FD15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572" w:type="dxa"/>
                  <w:vAlign w:val="center"/>
                </w:tcPr>
                <w:p w14:paraId="0005805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09" w:type="dxa"/>
                  <w:vAlign w:val="center"/>
                </w:tcPr>
                <w:p w14:paraId="34F0BF0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6B8F0DA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00" w:type="dxa"/>
                  <w:vAlign w:val="center"/>
                </w:tcPr>
                <w:p w14:paraId="3C5074F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0.1513</w:t>
                  </w:r>
                </w:p>
              </w:tc>
              <w:tc>
                <w:tcPr>
                  <w:tcW w:w="750" w:type="dxa"/>
                  <w:vAlign w:val="center"/>
                </w:tcPr>
                <w:p w14:paraId="75599A0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53" w:type="dxa"/>
                  <w:vAlign w:val="center"/>
                </w:tcPr>
                <w:p w14:paraId="1B0B791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37" w:type="dxa"/>
                  <w:vAlign w:val="center"/>
                </w:tcPr>
                <w:p w14:paraId="2EB6E71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41" w:type="dxa"/>
                  <w:vAlign w:val="center"/>
                </w:tcPr>
                <w:p w14:paraId="466C95B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78" w:type="dxa"/>
                  <w:vAlign w:val="center"/>
                </w:tcPr>
                <w:p w14:paraId="54C9873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54" w:type="dxa"/>
                  <w:vAlign w:val="center"/>
                </w:tcPr>
                <w:p w14:paraId="1082F52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15" w:type="dxa"/>
                  <w:vAlign w:val="center"/>
                </w:tcPr>
                <w:p w14:paraId="2350C9F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0.0080</w:t>
                  </w:r>
                </w:p>
              </w:tc>
              <w:tc>
                <w:tcPr>
                  <w:tcW w:w="847" w:type="dxa"/>
                  <w:vAlign w:val="center"/>
                </w:tcPr>
                <w:p w14:paraId="63AEB84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r>
            <w:tr w14:paraId="01F74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187" w:type="dxa"/>
                  <w:gridSpan w:val="2"/>
                  <w:vMerge w:val="continue"/>
                  <w:vAlign w:val="center"/>
                </w:tcPr>
                <w:p w14:paraId="49FB9627">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1EF9F84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苯酚</w:t>
                  </w:r>
                </w:p>
              </w:tc>
              <w:tc>
                <w:tcPr>
                  <w:tcW w:w="986" w:type="dxa"/>
                  <w:vAlign w:val="center"/>
                </w:tcPr>
                <w:p w14:paraId="3CEA863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801" w:type="dxa"/>
                  <w:vAlign w:val="center"/>
                </w:tcPr>
                <w:p w14:paraId="53EABC67">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572" w:type="dxa"/>
                  <w:vAlign w:val="center"/>
                </w:tcPr>
                <w:p w14:paraId="3EE97EB4">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709" w:type="dxa"/>
                  <w:vAlign w:val="center"/>
                </w:tcPr>
                <w:p w14:paraId="1A0551A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33E7681E">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900" w:type="dxa"/>
                  <w:vAlign w:val="center"/>
                </w:tcPr>
                <w:p w14:paraId="6EB8D62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1.4955</w:t>
                  </w:r>
                </w:p>
              </w:tc>
              <w:tc>
                <w:tcPr>
                  <w:tcW w:w="750" w:type="dxa"/>
                  <w:vAlign w:val="center"/>
                </w:tcPr>
                <w:p w14:paraId="56A851B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53" w:type="dxa"/>
                  <w:vAlign w:val="center"/>
                </w:tcPr>
                <w:p w14:paraId="5F11792E">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37" w:type="dxa"/>
                  <w:vAlign w:val="center"/>
                </w:tcPr>
                <w:p w14:paraId="0258156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41" w:type="dxa"/>
                  <w:vAlign w:val="center"/>
                </w:tcPr>
                <w:p w14:paraId="7AC4C43E">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78" w:type="dxa"/>
                  <w:vAlign w:val="center"/>
                </w:tcPr>
                <w:p w14:paraId="33844D47">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54" w:type="dxa"/>
                  <w:vAlign w:val="center"/>
                </w:tcPr>
                <w:p w14:paraId="46ABE75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c>
                <w:tcPr>
                  <w:tcW w:w="915" w:type="dxa"/>
                  <w:vAlign w:val="center"/>
                </w:tcPr>
                <w:p w14:paraId="027DB7A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0.1229</w:t>
                  </w:r>
                </w:p>
              </w:tc>
              <w:tc>
                <w:tcPr>
                  <w:tcW w:w="847" w:type="dxa"/>
                  <w:vAlign w:val="center"/>
                </w:tcPr>
                <w:p w14:paraId="6A0FF475">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w:t>
                  </w:r>
                </w:p>
              </w:tc>
            </w:tr>
            <w:tr w14:paraId="0879B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1187" w:type="dxa"/>
                  <w:gridSpan w:val="2"/>
                  <w:vMerge w:val="continue"/>
                  <w:vAlign w:val="center"/>
                </w:tcPr>
                <w:p w14:paraId="040E665F">
                  <w:pPr>
                    <w:jc w:val="center"/>
                    <w:rPr>
                      <w:rFonts w:ascii="Times New Roman" w:hAnsi="Times New Roman" w:cs="Times New Roman"/>
                      <w:color w:val="000000" w:themeColor="text1"/>
                      <w:kern w:val="21"/>
                      <w:sz w:val="21"/>
                      <w:szCs w:val="21"/>
                      <w14:textFill>
                        <w14:solidFill>
                          <w14:schemeClr w14:val="tx1"/>
                        </w14:solidFill>
                      </w14:textFill>
                    </w:rPr>
                  </w:pPr>
                </w:p>
              </w:tc>
              <w:tc>
                <w:tcPr>
                  <w:tcW w:w="927" w:type="dxa"/>
                  <w:vAlign w:val="center"/>
                </w:tcPr>
                <w:p w14:paraId="1DFBD628">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己内酰胺</w:t>
                  </w:r>
                </w:p>
              </w:tc>
              <w:tc>
                <w:tcPr>
                  <w:tcW w:w="986" w:type="dxa"/>
                  <w:vAlign w:val="center"/>
                </w:tcPr>
                <w:p w14:paraId="1055C4D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801" w:type="dxa"/>
                  <w:vAlign w:val="center"/>
                </w:tcPr>
                <w:p w14:paraId="2E7377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572" w:type="dxa"/>
                  <w:vAlign w:val="center"/>
                </w:tcPr>
                <w:p w14:paraId="0F22384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09" w:type="dxa"/>
                  <w:vAlign w:val="center"/>
                </w:tcPr>
                <w:p w14:paraId="229310F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21" w:type="dxa"/>
                  <w:vAlign w:val="center"/>
                </w:tcPr>
                <w:p w14:paraId="2B39B48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00" w:type="dxa"/>
                  <w:vAlign w:val="center"/>
                </w:tcPr>
                <w:p w14:paraId="56F6CEA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3.3888</w:t>
                  </w:r>
                </w:p>
              </w:tc>
              <w:tc>
                <w:tcPr>
                  <w:tcW w:w="750" w:type="dxa"/>
                  <w:vAlign w:val="center"/>
                </w:tcPr>
                <w:p w14:paraId="0B291C2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53" w:type="dxa"/>
                  <w:vAlign w:val="center"/>
                </w:tcPr>
                <w:p w14:paraId="101DCF2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37" w:type="dxa"/>
                  <w:vAlign w:val="center"/>
                </w:tcPr>
                <w:p w14:paraId="007A7144">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641" w:type="dxa"/>
                  <w:vAlign w:val="center"/>
                </w:tcPr>
                <w:p w14:paraId="53630CE7">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778" w:type="dxa"/>
                  <w:vAlign w:val="center"/>
                </w:tcPr>
                <w:p w14:paraId="71C471E6">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54" w:type="dxa"/>
                  <w:vAlign w:val="center"/>
                </w:tcPr>
                <w:p w14:paraId="00E1E740">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915" w:type="dxa"/>
                  <w:vAlign w:val="center"/>
                </w:tcPr>
                <w:p w14:paraId="330EC48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0.2049</w:t>
                  </w:r>
                </w:p>
              </w:tc>
              <w:tc>
                <w:tcPr>
                  <w:tcW w:w="847" w:type="dxa"/>
                  <w:vAlign w:val="center"/>
                </w:tcPr>
                <w:p w14:paraId="74E29355">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r>
          </w:tbl>
          <w:p w14:paraId="439F855C">
            <w:pPr>
              <w:pStyle w:val="22"/>
              <w:jc w:val="center"/>
              <w:rPr>
                <w:rFonts w:ascii="Times New Roman" w:hAnsi="Times New Roman" w:cs="Times New Roman" w:eastAsiaTheme="minorEastAsia"/>
                <w:bCs/>
                <w:color w:val="000000" w:themeColor="text1"/>
                <w:kern w:val="2"/>
                <w:szCs w:val="21"/>
                <w14:textFill>
                  <w14:solidFill>
                    <w14:schemeClr w14:val="tx1"/>
                  </w14:solidFill>
                </w14:textFill>
              </w:rPr>
            </w:pPr>
          </w:p>
          <w:p w14:paraId="4E68F66A">
            <w:pPr>
              <w:pStyle w:val="22"/>
              <w:jc w:val="center"/>
              <w:rPr>
                <w:rFonts w:ascii="Times New Roman" w:hAnsi="Times New Roman" w:cs="Times New Roman" w:eastAsiaTheme="minorEastAsia"/>
                <w:b/>
                <w:color w:val="000000" w:themeColor="text1"/>
                <w:kern w:val="2"/>
                <w:szCs w:val="21"/>
                <w14:textFill>
                  <w14:solidFill>
                    <w14:schemeClr w14:val="tx1"/>
                  </w14:solidFill>
                </w14:textFill>
              </w:rPr>
            </w:pPr>
            <w:r>
              <w:rPr>
                <w:rFonts w:ascii="Times New Roman" w:hAnsi="Times New Roman" w:cs="Times New Roman" w:eastAsiaTheme="minorEastAsia"/>
                <w:b/>
                <w:color w:val="000000" w:themeColor="text1"/>
                <w:kern w:val="2"/>
                <w:szCs w:val="21"/>
                <w14:textFill>
                  <w14:solidFill>
                    <w14:schemeClr w14:val="tx1"/>
                  </w14:solidFill>
                </w14:textFill>
              </w:rPr>
              <w:t>表4-</w:t>
            </w:r>
            <w:r>
              <w:rPr>
                <w:rFonts w:hint="eastAsia" w:ascii="Times New Roman" w:hAnsi="Times New Roman" w:cs="Times New Roman" w:eastAsiaTheme="minorEastAsia"/>
                <w:b/>
                <w:color w:val="000000" w:themeColor="text1"/>
                <w:kern w:val="2"/>
                <w:szCs w:val="21"/>
                <w14:textFill>
                  <w14:solidFill>
                    <w14:schemeClr w14:val="tx1"/>
                  </w14:solidFill>
                </w14:textFill>
              </w:rPr>
              <w:t>12</w:t>
            </w:r>
            <w:r>
              <w:rPr>
                <w:rFonts w:ascii="Times New Roman" w:hAnsi="Times New Roman" w:cs="Times New Roman" w:eastAsiaTheme="minorEastAsia"/>
                <w:b/>
                <w:color w:val="000000" w:themeColor="text1"/>
                <w:kern w:val="2"/>
                <w:szCs w:val="21"/>
                <w14:textFill>
                  <w14:solidFill>
                    <w14:schemeClr w14:val="tx1"/>
                  </w14:solidFill>
                </w14:textFill>
              </w:rPr>
              <w:t>废气产污环节、污染物项目、排放形式及污染防治设施一览表</w:t>
            </w:r>
          </w:p>
          <w:tbl>
            <w:tblPr>
              <w:tblStyle w:val="88"/>
              <w:tblW w:w="13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 w:type="dxa"/>
                <w:bottom w:w="0" w:type="dxa"/>
                <w:right w:w="6" w:type="dxa"/>
              </w:tblCellMar>
            </w:tblPr>
            <w:tblGrid>
              <w:gridCol w:w="447"/>
              <w:gridCol w:w="863"/>
              <w:gridCol w:w="941"/>
              <w:gridCol w:w="1250"/>
              <w:gridCol w:w="709"/>
              <w:gridCol w:w="991"/>
              <w:gridCol w:w="991"/>
              <w:gridCol w:w="994"/>
              <w:gridCol w:w="850"/>
              <w:gridCol w:w="853"/>
              <w:gridCol w:w="1134"/>
              <w:gridCol w:w="991"/>
              <w:gridCol w:w="996"/>
              <w:gridCol w:w="729"/>
              <w:gridCol w:w="567"/>
            </w:tblGrid>
            <w:tr w14:paraId="53AB2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0" w:hRule="atLeast"/>
              </w:trPr>
              <w:tc>
                <w:tcPr>
                  <w:tcW w:w="447" w:type="dxa"/>
                  <w:vMerge w:val="restart"/>
                  <w:vAlign w:val="center"/>
                </w:tcPr>
                <w:p w14:paraId="2C6571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863" w:type="dxa"/>
                  <w:vMerge w:val="restart"/>
                  <w:vAlign w:val="center"/>
                </w:tcPr>
                <w:p w14:paraId="79ABEC6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产污设施名称</w:t>
                  </w:r>
                </w:p>
              </w:tc>
              <w:tc>
                <w:tcPr>
                  <w:tcW w:w="941" w:type="dxa"/>
                  <w:vMerge w:val="restart"/>
                  <w:vAlign w:val="center"/>
                </w:tcPr>
                <w:p w14:paraId="5357856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产污环节名称</w:t>
                  </w:r>
                </w:p>
              </w:tc>
              <w:tc>
                <w:tcPr>
                  <w:tcW w:w="1250" w:type="dxa"/>
                  <w:vMerge w:val="restart"/>
                  <w:vAlign w:val="center"/>
                </w:tcPr>
                <w:p w14:paraId="7488B9D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污染物种类</w:t>
                  </w:r>
                </w:p>
              </w:tc>
              <w:tc>
                <w:tcPr>
                  <w:tcW w:w="709" w:type="dxa"/>
                  <w:vMerge w:val="restart"/>
                  <w:vAlign w:val="center"/>
                </w:tcPr>
                <w:p w14:paraId="6B03D0C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w:t>
                  </w:r>
                </w:p>
                <w:p w14:paraId="4B90FA1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形式</w:t>
                  </w:r>
                </w:p>
              </w:tc>
              <w:tc>
                <w:tcPr>
                  <w:tcW w:w="4679" w:type="dxa"/>
                  <w:gridSpan w:val="5"/>
                  <w:vAlign w:val="center"/>
                </w:tcPr>
                <w:p w14:paraId="206CC8C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污染治理设施</w:t>
                  </w:r>
                </w:p>
              </w:tc>
              <w:tc>
                <w:tcPr>
                  <w:tcW w:w="1134" w:type="dxa"/>
                  <w:vMerge w:val="restart"/>
                  <w:vAlign w:val="center"/>
                </w:tcPr>
                <w:p w14:paraId="771B87D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有组织排放口编号</w:t>
                  </w:r>
                </w:p>
              </w:tc>
              <w:tc>
                <w:tcPr>
                  <w:tcW w:w="991" w:type="dxa"/>
                  <w:vMerge w:val="restart"/>
                  <w:vAlign w:val="center"/>
                </w:tcPr>
                <w:p w14:paraId="4B48173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有组织排放口名称</w:t>
                  </w:r>
                </w:p>
              </w:tc>
              <w:tc>
                <w:tcPr>
                  <w:tcW w:w="996" w:type="dxa"/>
                  <w:vMerge w:val="restart"/>
                  <w:vAlign w:val="center"/>
                </w:tcPr>
                <w:p w14:paraId="6F6D83A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排放口设置是否符合要求</w:t>
                  </w:r>
                </w:p>
              </w:tc>
              <w:tc>
                <w:tcPr>
                  <w:tcW w:w="729" w:type="dxa"/>
                  <w:vMerge w:val="restart"/>
                  <w:vAlign w:val="center"/>
                </w:tcPr>
                <w:p w14:paraId="416712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排放口类型</w:t>
                  </w:r>
                </w:p>
              </w:tc>
              <w:tc>
                <w:tcPr>
                  <w:tcW w:w="567" w:type="dxa"/>
                  <w:vMerge w:val="restart"/>
                  <w:vAlign w:val="center"/>
                </w:tcPr>
                <w:p w14:paraId="3DEA027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备注</w:t>
                  </w:r>
                </w:p>
              </w:tc>
            </w:tr>
            <w:tr w14:paraId="5E406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0" w:hRule="atLeast"/>
              </w:trPr>
              <w:tc>
                <w:tcPr>
                  <w:tcW w:w="447" w:type="dxa"/>
                  <w:vMerge w:val="continue"/>
                  <w:vAlign w:val="center"/>
                </w:tcPr>
                <w:p w14:paraId="15991C10">
                  <w:pPr>
                    <w:jc w:val="center"/>
                    <w:rPr>
                      <w:rFonts w:ascii="Times New Roman" w:hAnsi="Times New Roman" w:cs="Times New Roman"/>
                      <w:color w:val="000000" w:themeColor="text1"/>
                      <w:sz w:val="21"/>
                      <w:szCs w:val="21"/>
                      <w14:textFill>
                        <w14:solidFill>
                          <w14:schemeClr w14:val="tx1"/>
                        </w14:solidFill>
                      </w14:textFill>
                    </w:rPr>
                  </w:pPr>
                </w:p>
              </w:tc>
              <w:tc>
                <w:tcPr>
                  <w:tcW w:w="863" w:type="dxa"/>
                  <w:vMerge w:val="continue"/>
                  <w:vAlign w:val="center"/>
                </w:tcPr>
                <w:p w14:paraId="1657F5D5">
                  <w:pPr>
                    <w:jc w:val="center"/>
                    <w:rPr>
                      <w:rFonts w:ascii="Times New Roman" w:hAnsi="Times New Roman" w:cs="Times New Roman"/>
                      <w:color w:val="000000" w:themeColor="text1"/>
                      <w:sz w:val="21"/>
                      <w:szCs w:val="21"/>
                      <w14:textFill>
                        <w14:solidFill>
                          <w14:schemeClr w14:val="tx1"/>
                        </w14:solidFill>
                      </w14:textFill>
                    </w:rPr>
                  </w:pPr>
                </w:p>
              </w:tc>
              <w:tc>
                <w:tcPr>
                  <w:tcW w:w="941" w:type="dxa"/>
                  <w:vMerge w:val="continue"/>
                  <w:vAlign w:val="center"/>
                </w:tcPr>
                <w:p w14:paraId="1883CE4C">
                  <w:pPr>
                    <w:jc w:val="center"/>
                    <w:rPr>
                      <w:rFonts w:ascii="Times New Roman" w:hAnsi="Times New Roman" w:cs="Times New Roman"/>
                      <w:color w:val="000000" w:themeColor="text1"/>
                      <w:sz w:val="21"/>
                      <w:szCs w:val="21"/>
                      <w14:textFill>
                        <w14:solidFill>
                          <w14:schemeClr w14:val="tx1"/>
                        </w14:solidFill>
                      </w14:textFill>
                    </w:rPr>
                  </w:pPr>
                </w:p>
              </w:tc>
              <w:tc>
                <w:tcPr>
                  <w:tcW w:w="1250" w:type="dxa"/>
                  <w:vMerge w:val="continue"/>
                  <w:vAlign w:val="center"/>
                </w:tcPr>
                <w:p w14:paraId="7714F698">
                  <w:pPr>
                    <w:jc w:val="center"/>
                    <w:rPr>
                      <w:rFonts w:ascii="Times New Roman" w:hAnsi="Times New Roman" w:cs="Times New Roman"/>
                      <w:color w:val="000000" w:themeColor="text1"/>
                      <w:sz w:val="21"/>
                      <w:szCs w:val="21"/>
                      <w14:textFill>
                        <w14:solidFill>
                          <w14:schemeClr w14:val="tx1"/>
                        </w14:solidFill>
                      </w14:textFill>
                    </w:rPr>
                  </w:pPr>
                </w:p>
              </w:tc>
              <w:tc>
                <w:tcPr>
                  <w:tcW w:w="709" w:type="dxa"/>
                  <w:vMerge w:val="continue"/>
                  <w:vAlign w:val="center"/>
                </w:tcPr>
                <w:p w14:paraId="458A97B9">
                  <w:pPr>
                    <w:jc w:val="center"/>
                    <w:rPr>
                      <w:rFonts w:ascii="Times New Roman" w:hAnsi="Times New Roman" w:cs="Times New Roman"/>
                      <w:color w:val="000000" w:themeColor="text1"/>
                      <w:sz w:val="21"/>
                      <w:szCs w:val="21"/>
                      <w14:textFill>
                        <w14:solidFill>
                          <w14:schemeClr w14:val="tx1"/>
                        </w14:solidFill>
                      </w14:textFill>
                    </w:rPr>
                  </w:pPr>
                </w:p>
              </w:tc>
              <w:tc>
                <w:tcPr>
                  <w:tcW w:w="991" w:type="dxa"/>
                  <w:vAlign w:val="center"/>
                </w:tcPr>
                <w:p w14:paraId="13698D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污染防治设施编号</w:t>
                  </w:r>
                </w:p>
              </w:tc>
              <w:tc>
                <w:tcPr>
                  <w:tcW w:w="991" w:type="dxa"/>
                  <w:vAlign w:val="center"/>
                </w:tcPr>
                <w:p w14:paraId="2776698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污染防治设施名称</w:t>
                  </w:r>
                </w:p>
              </w:tc>
              <w:tc>
                <w:tcPr>
                  <w:tcW w:w="994" w:type="dxa"/>
                  <w:vAlign w:val="center"/>
                </w:tcPr>
                <w:p w14:paraId="1EAC877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污染防治设施工艺</w:t>
                  </w:r>
                </w:p>
              </w:tc>
              <w:tc>
                <w:tcPr>
                  <w:tcW w:w="850" w:type="dxa"/>
                  <w:vAlign w:val="center"/>
                </w:tcPr>
                <w:p w14:paraId="5BD188C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是否可行技术</w:t>
                  </w:r>
                </w:p>
              </w:tc>
              <w:tc>
                <w:tcPr>
                  <w:tcW w:w="853" w:type="dxa"/>
                  <w:vAlign w:val="center"/>
                </w:tcPr>
                <w:p w14:paraId="2B12DF7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处理效率%</w:t>
                  </w:r>
                </w:p>
              </w:tc>
              <w:tc>
                <w:tcPr>
                  <w:tcW w:w="1134" w:type="dxa"/>
                  <w:vMerge w:val="continue"/>
                  <w:vAlign w:val="center"/>
                </w:tcPr>
                <w:p w14:paraId="00E7C012">
                  <w:pPr>
                    <w:jc w:val="center"/>
                    <w:rPr>
                      <w:rFonts w:ascii="Times New Roman" w:hAnsi="Times New Roman" w:cs="Times New Roman"/>
                      <w:color w:val="000000" w:themeColor="text1"/>
                      <w:sz w:val="21"/>
                      <w:szCs w:val="21"/>
                      <w14:textFill>
                        <w14:solidFill>
                          <w14:schemeClr w14:val="tx1"/>
                        </w14:solidFill>
                      </w14:textFill>
                    </w:rPr>
                  </w:pPr>
                </w:p>
              </w:tc>
              <w:tc>
                <w:tcPr>
                  <w:tcW w:w="991" w:type="dxa"/>
                  <w:vMerge w:val="continue"/>
                  <w:vAlign w:val="center"/>
                </w:tcPr>
                <w:p w14:paraId="4BE177E7">
                  <w:pPr>
                    <w:jc w:val="center"/>
                    <w:rPr>
                      <w:rFonts w:ascii="Times New Roman" w:hAnsi="Times New Roman" w:cs="Times New Roman"/>
                      <w:color w:val="000000" w:themeColor="text1"/>
                      <w:sz w:val="21"/>
                      <w:szCs w:val="21"/>
                      <w14:textFill>
                        <w14:solidFill>
                          <w14:schemeClr w14:val="tx1"/>
                        </w14:solidFill>
                      </w14:textFill>
                    </w:rPr>
                  </w:pPr>
                </w:p>
              </w:tc>
              <w:tc>
                <w:tcPr>
                  <w:tcW w:w="996" w:type="dxa"/>
                  <w:vMerge w:val="continue"/>
                  <w:vAlign w:val="center"/>
                </w:tcPr>
                <w:p w14:paraId="17F7EDC4">
                  <w:pPr>
                    <w:jc w:val="center"/>
                    <w:rPr>
                      <w:rFonts w:ascii="Times New Roman" w:hAnsi="Times New Roman" w:cs="Times New Roman"/>
                      <w:color w:val="000000" w:themeColor="text1"/>
                      <w:sz w:val="21"/>
                      <w:szCs w:val="21"/>
                      <w14:textFill>
                        <w14:solidFill>
                          <w14:schemeClr w14:val="tx1"/>
                        </w14:solidFill>
                      </w14:textFill>
                    </w:rPr>
                  </w:pPr>
                </w:p>
              </w:tc>
              <w:tc>
                <w:tcPr>
                  <w:tcW w:w="729" w:type="dxa"/>
                  <w:vMerge w:val="continue"/>
                  <w:vAlign w:val="center"/>
                </w:tcPr>
                <w:p w14:paraId="5B4C686F">
                  <w:pPr>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7A249755">
                  <w:pPr>
                    <w:jc w:val="center"/>
                    <w:rPr>
                      <w:rFonts w:ascii="Times New Roman" w:hAnsi="Times New Roman" w:cs="Times New Roman"/>
                      <w:color w:val="000000" w:themeColor="text1"/>
                      <w:sz w:val="21"/>
                      <w:szCs w:val="21"/>
                      <w14:textFill>
                        <w14:solidFill>
                          <w14:schemeClr w14:val="tx1"/>
                        </w14:solidFill>
                      </w14:textFill>
                    </w:rPr>
                  </w:pPr>
                </w:p>
              </w:tc>
            </w:tr>
            <w:tr w14:paraId="4E979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0" w:hRule="atLeast"/>
              </w:trPr>
              <w:tc>
                <w:tcPr>
                  <w:tcW w:w="447" w:type="dxa"/>
                  <w:vAlign w:val="center"/>
                </w:tcPr>
                <w:p w14:paraId="2F2BD27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863" w:type="dxa"/>
                  <w:vAlign w:val="center"/>
                </w:tcPr>
                <w:p w14:paraId="0666F0C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液硫储罐</w:t>
                  </w:r>
                </w:p>
              </w:tc>
              <w:tc>
                <w:tcPr>
                  <w:tcW w:w="941" w:type="dxa"/>
                  <w:vAlign w:val="center"/>
                </w:tcPr>
                <w:p w14:paraId="667C07F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大小呼吸</w:t>
                  </w:r>
                </w:p>
              </w:tc>
              <w:tc>
                <w:tcPr>
                  <w:tcW w:w="1250" w:type="dxa"/>
                  <w:vAlign w:val="center"/>
                </w:tcPr>
                <w:p w14:paraId="1F8A444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升华硫</w:t>
                  </w:r>
                </w:p>
                <w:p w14:paraId="553A989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（颗粒物）</w:t>
                  </w:r>
                </w:p>
              </w:tc>
              <w:tc>
                <w:tcPr>
                  <w:tcW w:w="709" w:type="dxa"/>
                  <w:vAlign w:val="center"/>
                </w:tcPr>
                <w:p w14:paraId="1ADC4F6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有组织</w:t>
                  </w:r>
                </w:p>
              </w:tc>
              <w:tc>
                <w:tcPr>
                  <w:tcW w:w="991" w:type="dxa"/>
                  <w:vAlign w:val="center"/>
                </w:tcPr>
                <w:p w14:paraId="28A67C3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91" w:type="dxa"/>
                  <w:vAlign w:val="center"/>
                </w:tcPr>
                <w:p w14:paraId="0B5806C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升华硫回收装置</w:t>
                  </w:r>
                </w:p>
              </w:tc>
              <w:tc>
                <w:tcPr>
                  <w:tcW w:w="994" w:type="dxa"/>
                  <w:vAlign w:val="center"/>
                </w:tcPr>
                <w:p w14:paraId="0B49B50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冷凝</w:t>
                  </w:r>
                </w:p>
              </w:tc>
              <w:tc>
                <w:tcPr>
                  <w:tcW w:w="850" w:type="dxa"/>
                  <w:vAlign w:val="center"/>
                </w:tcPr>
                <w:p w14:paraId="5DEEE38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c>
                <w:tcPr>
                  <w:tcW w:w="853" w:type="dxa"/>
                  <w:vAlign w:val="center"/>
                </w:tcPr>
                <w:p w14:paraId="0C4B2F5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98.0</w:t>
                  </w:r>
                </w:p>
              </w:tc>
              <w:tc>
                <w:tcPr>
                  <w:tcW w:w="1134" w:type="dxa"/>
                  <w:vAlign w:val="center"/>
                </w:tcPr>
                <w:p w14:paraId="56BF863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DA001</w:t>
                  </w:r>
                </w:p>
              </w:tc>
              <w:tc>
                <w:tcPr>
                  <w:tcW w:w="991" w:type="dxa"/>
                  <w:vAlign w:val="center"/>
                </w:tcPr>
                <w:p w14:paraId="44D175B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液硫储罐呼吸废气排放口</w:t>
                  </w:r>
                </w:p>
              </w:tc>
              <w:tc>
                <w:tcPr>
                  <w:tcW w:w="996" w:type="dxa"/>
                  <w:vAlign w:val="center"/>
                </w:tcPr>
                <w:p w14:paraId="1DA5B848">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eastAsia="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是</w:t>
                  </w:r>
                </w:p>
                <w:p w14:paraId="5003665C">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否</w:t>
                  </w:r>
                </w:p>
              </w:tc>
              <w:tc>
                <w:tcPr>
                  <w:tcW w:w="729" w:type="dxa"/>
                  <w:vAlign w:val="center"/>
                </w:tcPr>
                <w:p w14:paraId="7BDE984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一般排放口</w:t>
                  </w:r>
                </w:p>
              </w:tc>
              <w:tc>
                <w:tcPr>
                  <w:tcW w:w="567" w:type="dxa"/>
                  <w:vAlign w:val="center"/>
                </w:tcPr>
                <w:p w14:paraId="59DA9FF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新增</w:t>
                  </w:r>
                </w:p>
              </w:tc>
            </w:tr>
            <w:tr w14:paraId="480D9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0" w:hRule="atLeast"/>
              </w:trPr>
              <w:tc>
                <w:tcPr>
                  <w:tcW w:w="447" w:type="dxa"/>
                  <w:vAlign w:val="center"/>
                </w:tcPr>
                <w:p w14:paraId="58C3677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863" w:type="dxa"/>
                  <w:vAlign w:val="center"/>
                </w:tcPr>
                <w:p w14:paraId="010B001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发烟硫酸/98%硫酸</w:t>
                  </w:r>
                </w:p>
              </w:tc>
              <w:tc>
                <w:tcPr>
                  <w:tcW w:w="941" w:type="dxa"/>
                  <w:vAlign w:val="center"/>
                </w:tcPr>
                <w:p w14:paraId="6AFDBAF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大小呼吸</w:t>
                  </w:r>
                </w:p>
              </w:tc>
              <w:tc>
                <w:tcPr>
                  <w:tcW w:w="1250" w:type="dxa"/>
                  <w:vAlign w:val="center"/>
                </w:tcPr>
                <w:p w14:paraId="66C2BF3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709" w:type="dxa"/>
                  <w:vAlign w:val="center"/>
                </w:tcPr>
                <w:p w14:paraId="647AD9E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有组织</w:t>
                  </w:r>
                </w:p>
              </w:tc>
              <w:tc>
                <w:tcPr>
                  <w:tcW w:w="991" w:type="dxa"/>
                  <w:vAlign w:val="center"/>
                </w:tcPr>
                <w:p w14:paraId="3FA8A7F1">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C-401、C-402</w:t>
                  </w:r>
                </w:p>
              </w:tc>
              <w:tc>
                <w:tcPr>
                  <w:tcW w:w="991" w:type="dxa"/>
                  <w:vAlign w:val="center"/>
                </w:tcPr>
                <w:p w14:paraId="17C509D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二级三氧化硫吸收装置</w:t>
                  </w:r>
                </w:p>
              </w:tc>
              <w:tc>
                <w:tcPr>
                  <w:tcW w:w="994" w:type="dxa"/>
                  <w:vAlign w:val="center"/>
                </w:tcPr>
                <w:p w14:paraId="3E75496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稀硫酸、浓硫酸二级吸收工艺</w:t>
                  </w:r>
                </w:p>
              </w:tc>
              <w:tc>
                <w:tcPr>
                  <w:tcW w:w="850" w:type="dxa"/>
                  <w:vAlign w:val="center"/>
                </w:tcPr>
                <w:p w14:paraId="4AD091B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c>
                <w:tcPr>
                  <w:tcW w:w="853" w:type="dxa"/>
                  <w:vAlign w:val="center"/>
                </w:tcPr>
                <w:p w14:paraId="17FB64A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99.5</w:t>
                  </w:r>
                </w:p>
              </w:tc>
              <w:tc>
                <w:tcPr>
                  <w:tcW w:w="1134" w:type="dxa"/>
                  <w:vAlign w:val="center"/>
                </w:tcPr>
                <w:p w14:paraId="5C46FA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DA002</w:t>
                  </w:r>
                </w:p>
              </w:tc>
              <w:tc>
                <w:tcPr>
                  <w:tcW w:w="991" w:type="dxa"/>
                  <w:vAlign w:val="center"/>
                </w:tcPr>
                <w:p w14:paraId="05EE2DE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三氧化硫吸收塔</w:t>
                  </w:r>
                  <w:r>
                    <w:rPr>
                      <w:rFonts w:ascii="Times New Roman" w:hAnsi="Times New Roman" w:cs="Times New Roman"/>
                      <w:color w:val="000000" w:themeColor="text1"/>
                      <w:sz w:val="21"/>
                      <w:szCs w:val="21"/>
                      <w14:textFill>
                        <w14:solidFill>
                          <w14:schemeClr w14:val="tx1"/>
                        </w14:solidFill>
                      </w14:textFill>
                    </w:rPr>
                    <w:t>排放口</w:t>
                  </w:r>
                </w:p>
              </w:tc>
              <w:tc>
                <w:tcPr>
                  <w:tcW w:w="996" w:type="dxa"/>
                  <w:vAlign w:val="center"/>
                </w:tcPr>
                <w:p w14:paraId="56475745">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eastAsia="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是</w:t>
                  </w:r>
                </w:p>
                <w:p w14:paraId="4C82F401">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否</w:t>
                  </w:r>
                </w:p>
              </w:tc>
              <w:tc>
                <w:tcPr>
                  <w:tcW w:w="729" w:type="dxa"/>
                  <w:vAlign w:val="center"/>
                </w:tcPr>
                <w:p w14:paraId="7682AE6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一般排放口</w:t>
                  </w:r>
                </w:p>
              </w:tc>
              <w:tc>
                <w:tcPr>
                  <w:tcW w:w="567" w:type="dxa"/>
                  <w:vAlign w:val="center"/>
                </w:tcPr>
                <w:p w14:paraId="4A418E8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新增</w:t>
                  </w:r>
                </w:p>
              </w:tc>
            </w:tr>
            <w:tr w14:paraId="79608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0" w:hRule="atLeast"/>
              </w:trPr>
              <w:tc>
                <w:tcPr>
                  <w:tcW w:w="447" w:type="dxa"/>
                  <w:vAlign w:val="center"/>
                </w:tcPr>
                <w:p w14:paraId="2FBAE6E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w:t>
                  </w:r>
                </w:p>
              </w:tc>
              <w:tc>
                <w:tcPr>
                  <w:tcW w:w="863" w:type="dxa"/>
                  <w:vAlign w:val="center"/>
                </w:tcPr>
                <w:p w14:paraId="5294B22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w:t>
                  </w:r>
                </w:p>
              </w:tc>
              <w:tc>
                <w:tcPr>
                  <w:tcW w:w="941" w:type="dxa"/>
                  <w:vAlign w:val="center"/>
                </w:tcPr>
                <w:p w14:paraId="4E533EE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大小呼吸</w:t>
                  </w:r>
                </w:p>
              </w:tc>
              <w:tc>
                <w:tcPr>
                  <w:tcW w:w="1250" w:type="dxa"/>
                  <w:vAlign w:val="center"/>
                </w:tcPr>
                <w:p w14:paraId="52BFA89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709" w:type="dxa"/>
                  <w:vAlign w:val="center"/>
                </w:tcPr>
                <w:p w14:paraId="2B76B63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有组织</w:t>
                  </w:r>
                </w:p>
              </w:tc>
              <w:tc>
                <w:tcPr>
                  <w:tcW w:w="991" w:type="dxa"/>
                  <w:vAlign w:val="center"/>
                </w:tcPr>
                <w:p w14:paraId="37BE190F">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w:t>
                  </w:r>
                </w:p>
              </w:tc>
              <w:tc>
                <w:tcPr>
                  <w:tcW w:w="991" w:type="dxa"/>
                  <w:vAlign w:val="center"/>
                </w:tcPr>
                <w:p w14:paraId="54C5952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活性炭吸附</w:t>
                  </w:r>
                </w:p>
              </w:tc>
              <w:tc>
                <w:tcPr>
                  <w:tcW w:w="994" w:type="dxa"/>
                  <w:vAlign w:val="center"/>
                </w:tcPr>
                <w:p w14:paraId="45C72A1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活性炭吸附</w:t>
                  </w:r>
                </w:p>
              </w:tc>
              <w:tc>
                <w:tcPr>
                  <w:tcW w:w="850" w:type="dxa"/>
                  <w:vAlign w:val="center"/>
                </w:tcPr>
                <w:p w14:paraId="227BD40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是</w:t>
                  </w:r>
                </w:p>
              </w:tc>
              <w:tc>
                <w:tcPr>
                  <w:tcW w:w="853" w:type="dxa"/>
                  <w:vAlign w:val="center"/>
                </w:tcPr>
                <w:p w14:paraId="5569D33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99.0</w:t>
                  </w:r>
                </w:p>
              </w:tc>
              <w:tc>
                <w:tcPr>
                  <w:tcW w:w="1134" w:type="dxa"/>
                  <w:vAlign w:val="center"/>
                </w:tcPr>
                <w:p w14:paraId="5388977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DA003</w:t>
                  </w:r>
                </w:p>
              </w:tc>
              <w:tc>
                <w:tcPr>
                  <w:tcW w:w="991" w:type="dxa"/>
                  <w:vAlign w:val="center"/>
                </w:tcPr>
                <w:p w14:paraId="692C44B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活性炭吸附装置废气排放口</w:t>
                  </w:r>
                </w:p>
              </w:tc>
              <w:tc>
                <w:tcPr>
                  <w:tcW w:w="996" w:type="dxa"/>
                  <w:vAlign w:val="center"/>
                </w:tcPr>
                <w:p w14:paraId="4338BD95">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eastAsia="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是</w:t>
                  </w:r>
                </w:p>
                <w:p w14:paraId="2C56F11E">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否</w:t>
                  </w:r>
                </w:p>
              </w:tc>
              <w:tc>
                <w:tcPr>
                  <w:tcW w:w="729" w:type="dxa"/>
                  <w:vAlign w:val="center"/>
                </w:tcPr>
                <w:p w14:paraId="0B08D21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一般排放口</w:t>
                  </w:r>
                </w:p>
              </w:tc>
              <w:tc>
                <w:tcPr>
                  <w:tcW w:w="567" w:type="dxa"/>
                  <w:vAlign w:val="center"/>
                </w:tcPr>
                <w:p w14:paraId="79C5DE7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新增</w:t>
                  </w:r>
                </w:p>
              </w:tc>
            </w:tr>
            <w:tr w14:paraId="400C7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0" w:hRule="atLeast"/>
              </w:trPr>
              <w:tc>
                <w:tcPr>
                  <w:tcW w:w="447" w:type="dxa"/>
                  <w:vAlign w:val="center"/>
                </w:tcPr>
                <w:p w14:paraId="08DF53B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w:t>
                  </w:r>
                </w:p>
              </w:tc>
              <w:tc>
                <w:tcPr>
                  <w:tcW w:w="863" w:type="dxa"/>
                  <w:vAlign w:val="center"/>
                </w:tcPr>
                <w:p w14:paraId="77E09CD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己内酰胺储罐</w:t>
                  </w:r>
                </w:p>
              </w:tc>
              <w:tc>
                <w:tcPr>
                  <w:tcW w:w="941" w:type="dxa"/>
                  <w:vAlign w:val="center"/>
                </w:tcPr>
                <w:p w14:paraId="0237B0B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大小呼吸</w:t>
                  </w:r>
                </w:p>
              </w:tc>
              <w:tc>
                <w:tcPr>
                  <w:tcW w:w="1250" w:type="dxa"/>
                  <w:vAlign w:val="center"/>
                </w:tcPr>
                <w:p w14:paraId="6F8D25D7">
                  <w:pPr>
                    <w:jc w:val="center"/>
                    <w:rPr>
                      <w:rFonts w:ascii="Times New Roman" w:hAnsi="Times New Roman" w:cs="Times New Roman"/>
                      <w:color w:val="0D0D0D" w:themeColor="text1" w:themeTint="F2"/>
                      <w:sz w:val="21"/>
                      <w:szCs w:val="21"/>
                      <w14:textFill>
                        <w14:solidFill>
                          <w14:schemeClr w14:val="tx1">
                            <w14:lumMod w14:val="95000"/>
                            <w14:lumOff w14:val="5000"/>
                          </w14:schemeClr>
                        </w14:solidFill>
                      </w14:textFill>
                    </w:rPr>
                  </w:pPr>
                  <w:r>
                    <w:rPr>
                      <w:rFonts w:hint="eastAsia" w:ascii="Times New Roman" w:hAnsi="Times New Roman" w:cs="Times New Roman"/>
                      <w:color w:val="0D0D0D" w:themeColor="text1" w:themeTint="F2"/>
                      <w:sz w:val="21"/>
                      <w:szCs w:val="21"/>
                      <w14:textFill>
                        <w14:solidFill>
                          <w14:schemeClr w14:val="tx1">
                            <w14:lumMod w14:val="95000"/>
                            <w14:lumOff w14:val="5000"/>
                          </w14:schemeClr>
                        </w14:solidFill>
                      </w14:textFill>
                    </w:rPr>
                    <w:t>己内酰胺</w:t>
                  </w:r>
                </w:p>
              </w:tc>
              <w:tc>
                <w:tcPr>
                  <w:tcW w:w="709" w:type="dxa"/>
                  <w:vAlign w:val="center"/>
                </w:tcPr>
                <w:p w14:paraId="4BDFBB93">
                  <w:pPr>
                    <w:jc w:val="center"/>
                    <w:rPr>
                      <w:rFonts w:ascii="Times New Roman" w:hAnsi="Times New Roman" w:cs="Times New Roman"/>
                      <w:color w:val="0D0D0D" w:themeColor="text1" w:themeTint="F2"/>
                      <w:sz w:val="21"/>
                      <w:szCs w:val="21"/>
                      <w14:textFill>
                        <w14:solidFill>
                          <w14:schemeClr w14:val="tx1">
                            <w14:lumMod w14:val="95000"/>
                            <w14:lumOff w14:val="5000"/>
                          </w14:schemeClr>
                        </w14:solidFill>
                      </w14:textFill>
                    </w:rPr>
                  </w:pPr>
                  <w:r>
                    <w:rPr>
                      <w:rFonts w:ascii="Times New Roman" w:hAnsi="Times New Roman" w:cs="Times New Roman"/>
                      <w:color w:val="0D0D0D" w:themeColor="text1" w:themeTint="F2"/>
                      <w:sz w:val="21"/>
                      <w:szCs w:val="21"/>
                      <w14:textFill>
                        <w14:solidFill>
                          <w14:schemeClr w14:val="tx1">
                            <w14:lumMod w14:val="95000"/>
                            <w14:lumOff w14:val="5000"/>
                          </w14:schemeClr>
                        </w14:solidFill>
                      </w14:textFill>
                    </w:rPr>
                    <w:t>有组织</w:t>
                  </w:r>
                </w:p>
              </w:tc>
              <w:tc>
                <w:tcPr>
                  <w:tcW w:w="991" w:type="dxa"/>
                  <w:vAlign w:val="center"/>
                </w:tcPr>
                <w:p w14:paraId="675DC27D">
                  <w:pPr>
                    <w:jc w:val="center"/>
                    <w:rPr>
                      <w:rFonts w:ascii="Times New Roman" w:hAnsi="Times New Roman" w:cs="Times New Roman"/>
                      <w:color w:val="0D0D0D" w:themeColor="text1" w:themeTint="F2"/>
                      <w:sz w:val="21"/>
                      <w14:textFill>
                        <w14:solidFill>
                          <w14:schemeClr w14:val="tx1">
                            <w14:lumMod w14:val="95000"/>
                            <w14:lumOff w14:val="5000"/>
                          </w14:schemeClr>
                        </w14:solidFill>
                      </w14:textFill>
                    </w:rPr>
                  </w:pPr>
                  <w:r>
                    <w:rPr>
                      <w:rFonts w:hint="eastAsia" w:ascii="Times New Roman" w:hAnsi="Times New Roman" w:cs="Times New Roman"/>
                      <w:color w:val="0D0D0D" w:themeColor="text1" w:themeTint="F2"/>
                      <w:sz w:val="21"/>
                      <w14:textFill>
                        <w14:solidFill>
                          <w14:schemeClr w14:val="tx1">
                            <w14:lumMod w14:val="95000"/>
                            <w14:lumOff w14:val="5000"/>
                          </w14:schemeClr>
                        </w14:solidFill>
                      </w14:textFill>
                    </w:rPr>
                    <w:t>/</w:t>
                  </w:r>
                </w:p>
              </w:tc>
              <w:tc>
                <w:tcPr>
                  <w:tcW w:w="991" w:type="dxa"/>
                  <w:vAlign w:val="center"/>
                </w:tcPr>
                <w:p w14:paraId="2B812906">
                  <w:pPr>
                    <w:jc w:val="center"/>
                    <w:rPr>
                      <w:rFonts w:ascii="Times New Roman" w:hAnsi="Times New Roman" w:cs="Times New Roman"/>
                      <w:color w:val="0D0D0D" w:themeColor="text1" w:themeTint="F2"/>
                      <w:sz w:val="21"/>
                      <w:szCs w:val="21"/>
                      <w14:textFill>
                        <w14:solidFill>
                          <w14:schemeClr w14:val="tx1">
                            <w14:lumMod w14:val="95000"/>
                            <w14:lumOff w14:val="5000"/>
                          </w14:schemeClr>
                        </w14:solidFill>
                      </w14:textFill>
                    </w:rPr>
                  </w:pPr>
                  <w:r>
                    <w:rPr>
                      <w:rFonts w:hint="eastAsia" w:ascii="Times New Roman" w:hAnsi="Times New Roman" w:cs="Times New Roman"/>
                      <w:color w:val="0D0D0D" w:themeColor="text1" w:themeTint="F2"/>
                      <w:sz w:val="21"/>
                      <w:szCs w:val="21"/>
                      <w14:textFill>
                        <w14:solidFill>
                          <w14:schemeClr w14:val="tx1">
                            <w14:lumMod w14:val="95000"/>
                            <w14:lumOff w14:val="5000"/>
                          </w14:schemeClr>
                        </w14:solidFill>
                      </w14:textFill>
                    </w:rPr>
                    <w:t>水洗塔</w:t>
                  </w:r>
                </w:p>
              </w:tc>
              <w:tc>
                <w:tcPr>
                  <w:tcW w:w="994" w:type="dxa"/>
                  <w:vAlign w:val="center"/>
                </w:tcPr>
                <w:p w14:paraId="5D75A0F7">
                  <w:pPr>
                    <w:jc w:val="center"/>
                    <w:rPr>
                      <w:rFonts w:ascii="Times New Roman" w:hAnsi="Times New Roman" w:cs="Times New Roman"/>
                      <w:color w:val="0D0D0D" w:themeColor="text1" w:themeTint="F2"/>
                      <w:sz w:val="21"/>
                      <w:szCs w:val="21"/>
                      <w14:textFill>
                        <w14:solidFill>
                          <w14:schemeClr w14:val="tx1">
                            <w14:lumMod w14:val="95000"/>
                            <w14:lumOff w14:val="5000"/>
                          </w14:schemeClr>
                        </w14:solidFill>
                      </w14:textFill>
                    </w:rPr>
                  </w:pPr>
                  <w:r>
                    <w:rPr>
                      <w:rFonts w:hint="eastAsia" w:ascii="Times New Roman" w:hAnsi="Times New Roman" w:cs="Times New Roman"/>
                      <w:color w:val="0D0D0D" w:themeColor="text1" w:themeTint="F2"/>
                      <w:sz w:val="21"/>
                      <w:szCs w:val="21"/>
                      <w14:textFill>
                        <w14:solidFill>
                          <w14:schemeClr w14:val="tx1">
                            <w14:lumMod w14:val="95000"/>
                            <w14:lumOff w14:val="5000"/>
                          </w14:schemeClr>
                        </w14:solidFill>
                      </w14:textFill>
                    </w:rPr>
                    <w:t>水吸收</w:t>
                  </w:r>
                </w:p>
              </w:tc>
              <w:tc>
                <w:tcPr>
                  <w:tcW w:w="850" w:type="dxa"/>
                  <w:vAlign w:val="center"/>
                </w:tcPr>
                <w:p w14:paraId="7B3A018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是</w:t>
                  </w:r>
                </w:p>
              </w:tc>
              <w:tc>
                <w:tcPr>
                  <w:tcW w:w="853" w:type="dxa"/>
                  <w:vAlign w:val="center"/>
                </w:tcPr>
                <w:p w14:paraId="62ADB12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99.0</w:t>
                  </w:r>
                </w:p>
              </w:tc>
              <w:tc>
                <w:tcPr>
                  <w:tcW w:w="1134" w:type="dxa"/>
                  <w:vAlign w:val="center"/>
                </w:tcPr>
                <w:p w14:paraId="00B2A139">
                  <w:pPr>
                    <w:jc w:val="center"/>
                    <w:rPr>
                      <w:rFonts w:ascii="Times New Roman" w:hAnsi="Times New Roman" w:cs="Times New Roman"/>
                      <w:color w:val="0D0D0D" w:themeColor="text1" w:themeTint="F2"/>
                      <w:sz w:val="21"/>
                      <w:szCs w:val="21"/>
                      <w14:textFill>
                        <w14:solidFill>
                          <w14:schemeClr w14:val="tx1">
                            <w14:lumMod w14:val="95000"/>
                            <w14:lumOff w14:val="5000"/>
                          </w14:schemeClr>
                        </w14:solidFill>
                      </w14:textFill>
                    </w:rPr>
                  </w:pPr>
                  <w:r>
                    <w:rPr>
                      <w:rFonts w:hint="eastAsia" w:ascii="Times New Roman" w:hAnsi="Times New Roman" w:cs="Times New Roman"/>
                      <w:color w:val="0D0D0D" w:themeColor="text1" w:themeTint="F2"/>
                      <w:sz w:val="21"/>
                      <w:szCs w:val="21"/>
                      <w14:textFill>
                        <w14:solidFill>
                          <w14:schemeClr w14:val="tx1">
                            <w14:lumMod w14:val="95000"/>
                            <w14:lumOff w14:val="5000"/>
                          </w14:schemeClr>
                        </w14:solidFill>
                      </w14:textFill>
                    </w:rPr>
                    <w:t>DA004</w:t>
                  </w:r>
                </w:p>
              </w:tc>
              <w:tc>
                <w:tcPr>
                  <w:tcW w:w="991" w:type="dxa"/>
                  <w:vAlign w:val="center"/>
                </w:tcPr>
                <w:p w14:paraId="2CAA8426">
                  <w:pPr>
                    <w:jc w:val="center"/>
                    <w:rPr>
                      <w:rFonts w:ascii="Times New Roman" w:hAnsi="Times New Roman" w:cs="Times New Roman"/>
                      <w:color w:val="0D0D0D" w:themeColor="text1" w:themeTint="F2"/>
                      <w:sz w:val="21"/>
                      <w:szCs w:val="21"/>
                      <w14:textFill>
                        <w14:solidFill>
                          <w14:schemeClr w14:val="tx1">
                            <w14:lumMod w14:val="95000"/>
                            <w14:lumOff w14:val="5000"/>
                          </w14:schemeClr>
                        </w14:solidFill>
                      </w14:textFill>
                    </w:rPr>
                  </w:pPr>
                  <w:r>
                    <w:rPr>
                      <w:rFonts w:hint="eastAsia" w:ascii="Times New Roman" w:hAnsi="Times New Roman" w:cs="Times New Roman"/>
                      <w:color w:val="0D0D0D" w:themeColor="text1" w:themeTint="F2"/>
                      <w:sz w:val="21"/>
                      <w:szCs w:val="21"/>
                      <w14:textFill>
                        <w14:solidFill>
                          <w14:schemeClr w14:val="tx1">
                            <w14:lumMod w14:val="95000"/>
                            <w14:lumOff w14:val="5000"/>
                          </w14:schemeClr>
                        </w14:solidFill>
                      </w14:textFill>
                    </w:rPr>
                    <w:t>己内酰胺储罐尾气水洗塔排放口</w:t>
                  </w:r>
                </w:p>
              </w:tc>
              <w:tc>
                <w:tcPr>
                  <w:tcW w:w="996" w:type="dxa"/>
                  <w:vAlign w:val="center"/>
                </w:tcPr>
                <w:p w14:paraId="30074D61">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eastAsia="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是</w:t>
                  </w:r>
                </w:p>
                <w:p w14:paraId="35918888">
                  <w:pPr>
                    <w:jc w:val="center"/>
                    <w:rPr>
                      <w:rFonts w:ascii="Times New Roman" w:hAnsi="Times New Roman" w:cs="Times New Roman"/>
                      <w:color w:val="000000" w:themeColor="text1"/>
                      <w:sz w:val="21"/>
                      <w:szCs w:val="21"/>
                      <w14:textFill>
                        <w14:solidFill>
                          <w14:schemeClr w14:val="tx1"/>
                        </w14:solidFill>
                      </w14:textFill>
                    </w:rPr>
                  </w:pPr>
                  <w:r>
                    <w:rPr>
                      <w:rFonts w:hint="eastAsia" w:ascii="MS Mincho" w:hAnsi="MS Mincho" w:cs="MS Mincho"/>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否</w:t>
                  </w:r>
                </w:p>
              </w:tc>
              <w:tc>
                <w:tcPr>
                  <w:tcW w:w="729" w:type="dxa"/>
                  <w:vAlign w:val="center"/>
                </w:tcPr>
                <w:p w14:paraId="57C75FC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一般排放口</w:t>
                  </w:r>
                </w:p>
              </w:tc>
              <w:tc>
                <w:tcPr>
                  <w:tcW w:w="567" w:type="dxa"/>
                  <w:vAlign w:val="center"/>
                </w:tcPr>
                <w:p w14:paraId="759B9DD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新增</w:t>
                  </w:r>
                </w:p>
              </w:tc>
            </w:tr>
          </w:tbl>
          <w:p w14:paraId="5A779F58">
            <w:pPr>
              <w:jc w:val="center"/>
              <w:rPr>
                <w:rFonts w:ascii="Times New Roman" w:hAnsi="Times New Roman" w:cs="Times New Roman"/>
                <w:color w:val="000000" w:themeColor="text1"/>
                <w:kern w:val="21"/>
                <w14:textFill>
                  <w14:solidFill>
                    <w14:schemeClr w14:val="tx1"/>
                  </w14:solidFill>
                </w14:textFill>
              </w:rPr>
            </w:pPr>
          </w:p>
          <w:p w14:paraId="1559A6C4">
            <w:pPr>
              <w:jc w:val="center"/>
              <w:rPr>
                <w:rFonts w:ascii="Times New Roman" w:hAnsi="Times New Roman" w:cs="Times New Roman"/>
                <w:b/>
                <w:bCs/>
                <w:color w:val="000000" w:themeColor="text1"/>
                <w:kern w:val="21"/>
                <w14:textFill>
                  <w14:solidFill>
                    <w14:schemeClr w14:val="tx1"/>
                  </w14:solidFill>
                </w14:textFill>
              </w:rPr>
            </w:pPr>
            <w:r>
              <w:rPr>
                <w:rFonts w:ascii="Times New Roman" w:hAnsi="Times New Roman" w:cs="Times New Roman"/>
                <w:b/>
                <w:bCs/>
                <w:color w:val="000000" w:themeColor="text1"/>
                <w:kern w:val="21"/>
                <w14:textFill>
                  <w14:solidFill>
                    <w14:schemeClr w14:val="tx1"/>
                  </w14:solidFill>
                </w14:textFill>
              </w:rPr>
              <w:t>表4-</w:t>
            </w:r>
            <w:r>
              <w:rPr>
                <w:rFonts w:hint="eastAsia" w:ascii="Times New Roman" w:hAnsi="Times New Roman" w:cs="Times New Roman"/>
                <w:b/>
                <w:bCs/>
                <w:color w:val="000000" w:themeColor="text1"/>
                <w:kern w:val="21"/>
                <w14:textFill>
                  <w14:solidFill>
                    <w14:schemeClr w14:val="tx1"/>
                  </w14:solidFill>
                </w14:textFill>
              </w:rPr>
              <w:t>13</w:t>
            </w:r>
            <w:r>
              <w:rPr>
                <w:rFonts w:ascii="Times New Roman" w:hAnsi="Times New Roman" w:cs="Times New Roman"/>
                <w:b/>
                <w:bCs/>
                <w:color w:val="000000" w:themeColor="text1"/>
                <w:kern w:val="21"/>
                <w14:textFill>
                  <w14:solidFill>
                    <w14:schemeClr w14:val="tx1"/>
                  </w14:solidFill>
                </w14:textFill>
              </w:rPr>
              <w:t>废气排放口基本情况</w:t>
            </w:r>
          </w:p>
          <w:tbl>
            <w:tblPr>
              <w:tblStyle w:val="88"/>
              <w:tblW w:w="132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
            <w:tblGrid>
              <w:gridCol w:w="832"/>
              <w:gridCol w:w="1417"/>
              <w:gridCol w:w="1559"/>
              <w:gridCol w:w="1499"/>
              <w:gridCol w:w="808"/>
              <w:gridCol w:w="1011"/>
              <w:gridCol w:w="808"/>
              <w:gridCol w:w="1011"/>
              <w:gridCol w:w="936"/>
              <w:gridCol w:w="567"/>
              <w:gridCol w:w="890"/>
              <w:gridCol w:w="1094"/>
              <w:gridCol w:w="851"/>
            </w:tblGrid>
            <w:tr w14:paraId="6240F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c>
                <w:tcPr>
                  <w:tcW w:w="832" w:type="dxa"/>
                  <w:vMerge w:val="restart"/>
                  <w:vAlign w:val="center"/>
                </w:tcPr>
                <w:p w14:paraId="149429D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编号</w:t>
                  </w:r>
                </w:p>
              </w:tc>
              <w:tc>
                <w:tcPr>
                  <w:tcW w:w="1417" w:type="dxa"/>
                  <w:vMerge w:val="restart"/>
                  <w:vAlign w:val="center"/>
                </w:tcPr>
                <w:p w14:paraId="3FD0C9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污染源名称</w:t>
                  </w:r>
                </w:p>
              </w:tc>
              <w:tc>
                <w:tcPr>
                  <w:tcW w:w="3058" w:type="dxa"/>
                  <w:gridSpan w:val="2"/>
                  <w:vAlign w:val="center"/>
                </w:tcPr>
                <w:p w14:paraId="04724ACD">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坐标(</w:t>
                  </w:r>
                  <w:r>
                    <w:rPr>
                      <w:rFonts w:ascii="Times New Roman" w:hAnsi="Times New Roman" w:cs="Times New Roman"/>
                      <w:color w:val="000000" w:themeColor="text1"/>
                      <w:sz w:val="21"/>
                      <w:szCs w:val="21"/>
                      <w:vertAlign w:val="superscript"/>
                      <w14:textFill>
                        <w14:solidFill>
                          <w14:schemeClr w14:val="tx1"/>
                        </w14:solidFill>
                      </w14:textFill>
                    </w:rPr>
                    <w:t>o</w:t>
                  </w:r>
                  <w:r>
                    <w:rPr>
                      <w:rFonts w:ascii="Times New Roman" w:hAnsi="Times New Roman" w:cs="Times New Roman"/>
                      <w:color w:val="000000" w:themeColor="text1"/>
                      <w:sz w:val="21"/>
                      <w:szCs w:val="21"/>
                      <w14:textFill>
                        <w14:solidFill>
                          <w14:schemeClr w14:val="tx1"/>
                        </w14:solidFill>
                      </w14:textFill>
                    </w:rPr>
                    <w:t>)</w:t>
                  </w:r>
                </w:p>
              </w:tc>
              <w:tc>
                <w:tcPr>
                  <w:tcW w:w="3638" w:type="dxa"/>
                  <w:gridSpan w:val="4"/>
                  <w:vAlign w:val="center"/>
                </w:tcPr>
                <w:p w14:paraId="3A8D845C">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排气筒参数</w:t>
                  </w:r>
                </w:p>
              </w:tc>
              <w:tc>
                <w:tcPr>
                  <w:tcW w:w="936" w:type="dxa"/>
                  <w:vMerge w:val="restart"/>
                  <w:vAlign w:val="center"/>
                </w:tcPr>
                <w:p w14:paraId="4A6BEADC">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年排放小时数/h</w:t>
                  </w:r>
                </w:p>
              </w:tc>
              <w:tc>
                <w:tcPr>
                  <w:tcW w:w="567" w:type="dxa"/>
                  <w:vMerge w:val="restart"/>
                  <w:vAlign w:val="center"/>
                </w:tcPr>
                <w:p w14:paraId="2FFFA622">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排放工况</w:t>
                  </w:r>
                </w:p>
              </w:tc>
              <w:tc>
                <w:tcPr>
                  <w:tcW w:w="890" w:type="dxa"/>
                  <w:vMerge w:val="restart"/>
                  <w:vAlign w:val="center"/>
                </w:tcPr>
                <w:p w14:paraId="02E44587">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w:t>
                  </w:r>
                </w:p>
                <w:p w14:paraId="7CDBCAAA">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类型</w:t>
                  </w:r>
                </w:p>
              </w:tc>
              <w:tc>
                <w:tcPr>
                  <w:tcW w:w="1094" w:type="dxa"/>
                  <w:vMerge w:val="restart"/>
                  <w:vAlign w:val="center"/>
                </w:tcPr>
                <w:p w14:paraId="2BD0F9F4">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p w14:paraId="6E201934">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名称</w:t>
                  </w:r>
                </w:p>
              </w:tc>
              <w:tc>
                <w:tcPr>
                  <w:tcW w:w="851" w:type="dxa"/>
                  <w:vMerge w:val="restart"/>
                  <w:vAlign w:val="center"/>
                </w:tcPr>
                <w:p w14:paraId="7FC0A412">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排放速率（kg/h）</w:t>
                  </w:r>
                </w:p>
              </w:tc>
            </w:tr>
            <w:tr w14:paraId="2AFFD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c>
                <w:tcPr>
                  <w:tcW w:w="832" w:type="dxa"/>
                  <w:vMerge w:val="continue"/>
                  <w:vAlign w:val="center"/>
                </w:tcPr>
                <w:p w14:paraId="013A9100">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417" w:type="dxa"/>
                  <w:vMerge w:val="continue"/>
                  <w:vAlign w:val="center"/>
                </w:tcPr>
                <w:p w14:paraId="3999252C">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559" w:type="dxa"/>
                  <w:vAlign w:val="center"/>
                </w:tcPr>
                <w:p w14:paraId="76CF80B5">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经度</w:t>
                  </w:r>
                </w:p>
              </w:tc>
              <w:tc>
                <w:tcPr>
                  <w:tcW w:w="1499" w:type="dxa"/>
                  <w:vAlign w:val="center"/>
                </w:tcPr>
                <w:p w14:paraId="0FEC6370">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经度</w:t>
                  </w:r>
                </w:p>
              </w:tc>
              <w:tc>
                <w:tcPr>
                  <w:tcW w:w="808" w:type="dxa"/>
                  <w:vAlign w:val="center"/>
                </w:tcPr>
                <w:p w14:paraId="37ED2286">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高度(m)</w:t>
                  </w:r>
                </w:p>
              </w:tc>
              <w:tc>
                <w:tcPr>
                  <w:tcW w:w="1011" w:type="dxa"/>
                  <w:vAlign w:val="center"/>
                </w:tcPr>
                <w:p w14:paraId="2E6642DA">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内径(m)</w:t>
                  </w:r>
                </w:p>
              </w:tc>
              <w:tc>
                <w:tcPr>
                  <w:tcW w:w="808" w:type="dxa"/>
                  <w:vAlign w:val="center"/>
                </w:tcPr>
                <w:p w14:paraId="2994179A">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温度(</w:t>
                  </w: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w:t>
                  </w:r>
                </w:p>
              </w:tc>
              <w:tc>
                <w:tcPr>
                  <w:tcW w:w="1011" w:type="dxa"/>
                  <w:vAlign w:val="center"/>
                </w:tcPr>
                <w:p w14:paraId="076A9F6E">
                  <w:pPr>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流速(m/s)</w:t>
                  </w:r>
                </w:p>
              </w:tc>
              <w:tc>
                <w:tcPr>
                  <w:tcW w:w="936" w:type="dxa"/>
                  <w:vMerge w:val="continue"/>
                  <w:vAlign w:val="center"/>
                </w:tcPr>
                <w:p w14:paraId="01F75759">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567" w:type="dxa"/>
                  <w:vMerge w:val="continue"/>
                  <w:vAlign w:val="center"/>
                </w:tcPr>
                <w:p w14:paraId="442BC83B">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890" w:type="dxa"/>
                  <w:vMerge w:val="continue"/>
                  <w:vAlign w:val="center"/>
                </w:tcPr>
                <w:p w14:paraId="25186730">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1094" w:type="dxa"/>
                  <w:vMerge w:val="continue"/>
                  <w:vAlign w:val="center"/>
                </w:tcPr>
                <w:p w14:paraId="51C7BD26">
                  <w:pPr>
                    <w:snapToGrid w:val="0"/>
                    <w:jc w:val="center"/>
                    <w:rPr>
                      <w:rFonts w:ascii="Times New Roman" w:hAnsi="Times New Roman" w:cs="Times New Roman"/>
                      <w:color w:val="000000" w:themeColor="text1"/>
                      <w:sz w:val="21"/>
                      <w:szCs w:val="21"/>
                      <w14:textFill>
                        <w14:solidFill>
                          <w14:schemeClr w14:val="tx1"/>
                        </w14:solidFill>
                      </w14:textFill>
                    </w:rPr>
                  </w:pPr>
                </w:p>
              </w:tc>
              <w:tc>
                <w:tcPr>
                  <w:tcW w:w="851" w:type="dxa"/>
                  <w:vMerge w:val="continue"/>
                  <w:vAlign w:val="center"/>
                </w:tcPr>
                <w:p w14:paraId="0CD1ED48">
                  <w:pPr>
                    <w:snapToGrid w:val="0"/>
                    <w:jc w:val="center"/>
                    <w:rPr>
                      <w:rFonts w:ascii="Times New Roman" w:hAnsi="Times New Roman" w:cs="Times New Roman"/>
                      <w:color w:val="000000" w:themeColor="text1"/>
                      <w:sz w:val="21"/>
                      <w:szCs w:val="21"/>
                      <w14:textFill>
                        <w14:solidFill>
                          <w14:schemeClr w14:val="tx1"/>
                        </w14:solidFill>
                      </w14:textFill>
                    </w:rPr>
                  </w:pPr>
                </w:p>
              </w:tc>
            </w:tr>
            <w:tr w14:paraId="76CC4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trHeight w:val="267" w:hRule="atLeast"/>
              </w:trPr>
              <w:tc>
                <w:tcPr>
                  <w:tcW w:w="832" w:type="dxa"/>
                  <w:vAlign w:val="center"/>
                </w:tcPr>
                <w:p w14:paraId="1D71B6E1">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DA00</w:t>
                  </w:r>
                  <w:r>
                    <w:rPr>
                      <w:rFonts w:hint="eastAsia" w:ascii="Times New Roman" w:hAnsi="Times New Roman" w:cs="Times New Roman"/>
                      <w:color w:val="000000" w:themeColor="text1"/>
                      <w:kern w:val="21"/>
                      <w:sz w:val="21"/>
                      <w:szCs w:val="21"/>
                      <w14:textFill>
                        <w14:solidFill>
                          <w14:schemeClr w14:val="tx1"/>
                        </w14:solidFill>
                      </w14:textFill>
                    </w:rPr>
                    <w:t>1</w:t>
                  </w:r>
                </w:p>
              </w:tc>
              <w:tc>
                <w:tcPr>
                  <w:tcW w:w="1417" w:type="dxa"/>
                  <w:vAlign w:val="center"/>
                </w:tcPr>
                <w:p w14:paraId="5768758E">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液硫储罐呼吸废气排放口</w:t>
                  </w:r>
                </w:p>
              </w:tc>
              <w:tc>
                <w:tcPr>
                  <w:tcW w:w="1559" w:type="dxa"/>
                  <w:vAlign w:val="center"/>
                </w:tcPr>
                <w:p w14:paraId="0D55AF8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E108°27′44.680″</w:t>
                  </w:r>
                </w:p>
              </w:tc>
              <w:tc>
                <w:tcPr>
                  <w:tcW w:w="1499" w:type="dxa"/>
                  <w:vAlign w:val="center"/>
                </w:tcPr>
                <w:p w14:paraId="6F384E17">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N21°43′2.698″</w:t>
                  </w:r>
                </w:p>
              </w:tc>
              <w:tc>
                <w:tcPr>
                  <w:tcW w:w="808" w:type="dxa"/>
                  <w:vAlign w:val="center"/>
                </w:tcPr>
                <w:p w14:paraId="0A2D79E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15</w:t>
                  </w:r>
                </w:p>
              </w:tc>
              <w:tc>
                <w:tcPr>
                  <w:tcW w:w="1011" w:type="dxa"/>
                  <w:vAlign w:val="center"/>
                </w:tcPr>
                <w:p w14:paraId="473D1192">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0.</w:t>
                  </w:r>
                  <w:r>
                    <w:rPr>
                      <w:rFonts w:hint="eastAsia" w:ascii="Times New Roman" w:hAnsi="Times New Roman" w:cs="Times New Roman"/>
                      <w:color w:val="000000" w:themeColor="text1"/>
                      <w:kern w:val="21"/>
                      <w:sz w:val="21"/>
                      <w:szCs w:val="21"/>
                      <w14:textFill>
                        <w14:solidFill>
                          <w14:schemeClr w14:val="tx1"/>
                        </w14:solidFill>
                      </w14:textFill>
                    </w:rPr>
                    <w:t>11</w:t>
                  </w:r>
                </w:p>
              </w:tc>
              <w:tc>
                <w:tcPr>
                  <w:tcW w:w="808" w:type="dxa"/>
                  <w:vAlign w:val="center"/>
                </w:tcPr>
                <w:p w14:paraId="4779F30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140</w:t>
                  </w:r>
                </w:p>
              </w:tc>
              <w:tc>
                <w:tcPr>
                  <w:tcW w:w="1011" w:type="dxa"/>
                  <w:vAlign w:val="center"/>
                </w:tcPr>
                <w:p w14:paraId="0B3E531E">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0.30</w:t>
                  </w:r>
                </w:p>
              </w:tc>
              <w:tc>
                <w:tcPr>
                  <w:tcW w:w="936" w:type="dxa"/>
                  <w:vAlign w:val="center"/>
                </w:tcPr>
                <w:p w14:paraId="4D611AE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8760</w:t>
                  </w:r>
                </w:p>
              </w:tc>
              <w:tc>
                <w:tcPr>
                  <w:tcW w:w="567" w:type="dxa"/>
                  <w:vAlign w:val="center"/>
                </w:tcPr>
                <w:p w14:paraId="257ED4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正常</w:t>
                  </w:r>
                </w:p>
              </w:tc>
              <w:tc>
                <w:tcPr>
                  <w:tcW w:w="890" w:type="dxa"/>
                  <w:vAlign w:val="center"/>
                </w:tcPr>
                <w:p w14:paraId="7A52FD7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一般</w:t>
                  </w:r>
                </w:p>
                <w:p w14:paraId="090B631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排放口</w:t>
                  </w:r>
                </w:p>
              </w:tc>
              <w:tc>
                <w:tcPr>
                  <w:tcW w:w="1094" w:type="dxa"/>
                  <w:vAlign w:val="center"/>
                </w:tcPr>
                <w:p w14:paraId="21515FA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升华硫</w:t>
                  </w:r>
                </w:p>
                <w:p w14:paraId="0498290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（颗粒物）</w:t>
                  </w:r>
                </w:p>
              </w:tc>
              <w:tc>
                <w:tcPr>
                  <w:tcW w:w="851" w:type="dxa"/>
                  <w:vAlign w:val="center"/>
                </w:tcPr>
                <w:p w14:paraId="7E2AF0F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0.00025</w:t>
                  </w:r>
                </w:p>
              </w:tc>
            </w:tr>
            <w:tr w14:paraId="02EFE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trHeight w:val="140" w:hRule="atLeast"/>
              </w:trPr>
              <w:tc>
                <w:tcPr>
                  <w:tcW w:w="832" w:type="dxa"/>
                  <w:vAlign w:val="center"/>
                </w:tcPr>
                <w:p w14:paraId="208A608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DA002</w:t>
                  </w:r>
                </w:p>
              </w:tc>
              <w:tc>
                <w:tcPr>
                  <w:tcW w:w="1417" w:type="dxa"/>
                  <w:vAlign w:val="center"/>
                </w:tcPr>
                <w:p w14:paraId="615B2CE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硫酸储罐呼吸</w:t>
                  </w:r>
                  <w:r>
                    <w:rPr>
                      <w:rFonts w:ascii="Times New Roman" w:hAnsi="Times New Roman" w:cs="Times New Roman"/>
                      <w:color w:val="000000" w:themeColor="text1"/>
                      <w:sz w:val="21"/>
                      <w:szCs w:val="21"/>
                      <w14:textFill>
                        <w14:solidFill>
                          <w14:schemeClr w14:val="tx1"/>
                        </w14:solidFill>
                      </w14:textFill>
                    </w:rPr>
                    <w:t>废气排放口</w:t>
                  </w:r>
                </w:p>
              </w:tc>
              <w:tc>
                <w:tcPr>
                  <w:tcW w:w="1559" w:type="dxa"/>
                  <w:vAlign w:val="center"/>
                </w:tcPr>
                <w:p w14:paraId="3E2693A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E108°3</w:t>
                  </w:r>
                  <w:r>
                    <w:rPr>
                      <w:rFonts w:hint="eastAsia" w:ascii="Times New Roman" w:hAnsi="Times New Roman" w:cs="Times New Roman"/>
                      <w:color w:val="000000" w:themeColor="text1"/>
                      <w:sz w:val="21"/>
                      <w:szCs w:val="21"/>
                      <w14:textFill>
                        <w14:solidFill>
                          <w14:schemeClr w14:val="tx1"/>
                        </w14:solidFill>
                      </w14:textFill>
                    </w:rPr>
                    <w:t>7</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45.820</w:t>
                  </w:r>
                  <w:r>
                    <w:rPr>
                      <w:rFonts w:ascii="Times New Roman" w:hAnsi="Times New Roman" w:cs="Times New Roman"/>
                      <w:color w:val="000000" w:themeColor="text1"/>
                      <w:sz w:val="21"/>
                      <w:szCs w:val="21"/>
                      <w14:textFill>
                        <w14:solidFill>
                          <w14:schemeClr w14:val="tx1"/>
                        </w14:solidFill>
                      </w14:textFill>
                    </w:rPr>
                    <w:t>"</w:t>
                  </w:r>
                </w:p>
              </w:tc>
              <w:tc>
                <w:tcPr>
                  <w:tcW w:w="1499" w:type="dxa"/>
                  <w:vAlign w:val="center"/>
                </w:tcPr>
                <w:p w14:paraId="4782AE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N21°4</w:t>
                  </w:r>
                  <w:r>
                    <w:rPr>
                      <w:rFonts w:hint="eastAsia" w:ascii="Times New Roman" w:hAnsi="Times New Roman" w:cs="Times New Roman"/>
                      <w:color w:val="000000" w:themeColor="text1"/>
                      <w:sz w:val="21"/>
                      <w:szCs w:val="21"/>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2.215</w:t>
                  </w:r>
                  <w:r>
                    <w:rPr>
                      <w:rFonts w:ascii="Times New Roman" w:hAnsi="Times New Roman" w:cs="Times New Roman"/>
                      <w:color w:val="000000" w:themeColor="text1"/>
                      <w:sz w:val="21"/>
                      <w:szCs w:val="21"/>
                      <w14:textFill>
                        <w14:solidFill>
                          <w14:schemeClr w14:val="tx1"/>
                        </w14:solidFill>
                      </w14:textFill>
                    </w:rPr>
                    <w:t>"</w:t>
                  </w:r>
                </w:p>
              </w:tc>
              <w:tc>
                <w:tcPr>
                  <w:tcW w:w="808" w:type="dxa"/>
                  <w:vAlign w:val="center"/>
                </w:tcPr>
                <w:p w14:paraId="56745DB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1011" w:type="dxa"/>
                  <w:vAlign w:val="center"/>
                </w:tcPr>
                <w:p w14:paraId="23759BE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0.11</w:t>
                  </w:r>
                </w:p>
              </w:tc>
              <w:tc>
                <w:tcPr>
                  <w:tcW w:w="808" w:type="dxa"/>
                  <w:vAlign w:val="center"/>
                </w:tcPr>
                <w:p w14:paraId="520BCF5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1011" w:type="dxa"/>
                  <w:vAlign w:val="center"/>
                </w:tcPr>
                <w:p w14:paraId="5A72B7CF">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0.07</w:t>
                  </w:r>
                </w:p>
              </w:tc>
              <w:tc>
                <w:tcPr>
                  <w:tcW w:w="936" w:type="dxa"/>
                  <w:vAlign w:val="center"/>
                </w:tcPr>
                <w:p w14:paraId="4380C6C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8760</w:t>
                  </w:r>
                </w:p>
              </w:tc>
              <w:tc>
                <w:tcPr>
                  <w:tcW w:w="567" w:type="dxa"/>
                  <w:vAlign w:val="center"/>
                </w:tcPr>
                <w:p w14:paraId="4448982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正常</w:t>
                  </w:r>
                </w:p>
              </w:tc>
              <w:tc>
                <w:tcPr>
                  <w:tcW w:w="890" w:type="dxa"/>
                  <w:vAlign w:val="center"/>
                </w:tcPr>
                <w:p w14:paraId="18EB60B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一般</w:t>
                  </w:r>
                </w:p>
                <w:p w14:paraId="0E961C1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排放口</w:t>
                  </w:r>
                </w:p>
              </w:tc>
              <w:tc>
                <w:tcPr>
                  <w:tcW w:w="1094" w:type="dxa"/>
                  <w:vAlign w:val="center"/>
                </w:tcPr>
                <w:p w14:paraId="252ADAB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851" w:type="dxa"/>
                  <w:vAlign w:val="center"/>
                </w:tcPr>
                <w:p w14:paraId="73CC1C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0.00005</w:t>
                  </w:r>
                </w:p>
              </w:tc>
            </w:tr>
            <w:tr w14:paraId="38935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trHeight w:val="140" w:hRule="atLeast"/>
              </w:trPr>
              <w:tc>
                <w:tcPr>
                  <w:tcW w:w="832" w:type="dxa"/>
                  <w:vAlign w:val="center"/>
                </w:tcPr>
                <w:p w14:paraId="237135C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DA003</w:t>
                  </w:r>
                </w:p>
              </w:tc>
              <w:tc>
                <w:tcPr>
                  <w:tcW w:w="1417" w:type="dxa"/>
                  <w:vAlign w:val="center"/>
                </w:tcPr>
                <w:p w14:paraId="2DEF58C4">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苯酚储罐废气活性炭吸附装置排放口</w:t>
                  </w:r>
                </w:p>
              </w:tc>
              <w:tc>
                <w:tcPr>
                  <w:tcW w:w="1559" w:type="dxa"/>
                  <w:vAlign w:val="center"/>
                </w:tcPr>
                <w:p w14:paraId="1FE11CC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E108°37′46.250″</w:t>
                  </w:r>
                </w:p>
              </w:tc>
              <w:tc>
                <w:tcPr>
                  <w:tcW w:w="1499" w:type="dxa"/>
                  <w:vAlign w:val="center"/>
                </w:tcPr>
                <w:p w14:paraId="6A0783C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N21°43′9.161″</w:t>
                  </w:r>
                </w:p>
              </w:tc>
              <w:tc>
                <w:tcPr>
                  <w:tcW w:w="808" w:type="dxa"/>
                  <w:vAlign w:val="center"/>
                </w:tcPr>
                <w:p w14:paraId="179C470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1011" w:type="dxa"/>
                  <w:vAlign w:val="center"/>
                </w:tcPr>
                <w:p w14:paraId="5827864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0.11</w:t>
                  </w:r>
                </w:p>
              </w:tc>
              <w:tc>
                <w:tcPr>
                  <w:tcW w:w="808" w:type="dxa"/>
                  <w:vAlign w:val="center"/>
                </w:tcPr>
                <w:p w14:paraId="0B9EF28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1011" w:type="dxa"/>
                  <w:vAlign w:val="center"/>
                </w:tcPr>
                <w:p w14:paraId="362F9AE4">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0.55</w:t>
                  </w:r>
                </w:p>
              </w:tc>
              <w:tc>
                <w:tcPr>
                  <w:tcW w:w="936" w:type="dxa"/>
                  <w:vAlign w:val="center"/>
                </w:tcPr>
                <w:p w14:paraId="5A10D9A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8760</w:t>
                  </w:r>
                </w:p>
              </w:tc>
              <w:tc>
                <w:tcPr>
                  <w:tcW w:w="567" w:type="dxa"/>
                  <w:vAlign w:val="center"/>
                </w:tcPr>
                <w:p w14:paraId="7EEDF7B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正常</w:t>
                  </w:r>
                </w:p>
              </w:tc>
              <w:tc>
                <w:tcPr>
                  <w:tcW w:w="890" w:type="dxa"/>
                  <w:vAlign w:val="center"/>
                </w:tcPr>
                <w:p w14:paraId="1C1F66A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一般</w:t>
                  </w:r>
                </w:p>
                <w:p w14:paraId="1DABCB6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排放口</w:t>
                  </w:r>
                </w:p>
              </w:tc>
              <w:tc>
                <w:tcPr>
                  <w:tcW w:w="1094" w:type="dxa"/>
                  <w:vAlign w:val="center"/>
                </w:tcPr>
                <w:p w14:paraId="7968B60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851" w:type="dxa"/>
                  <w:vAlign w:val="center"/>
                </w:tcPr>
                <w:p w14:paraId="092E9647">
                  <w:pPr>
                    <w:jc w:val="center"/>
                    <w:rPr>
                      <w:rFonts w:ascii="Times New Roman" w:hAnsi="Times New Roman" w:cs="Times New Roman"/>
                      <w:color w:val="FF0000"/>
                      <w:sz w:val="21"/>
                      <w:szCs w:val="21"/>
                      <w:u w:val="single"/>
                    </w:rPr>
                  </w:pPr>
                  <w:r>
                    <w:rPr>
                      <w:rFonts w:ascii="Times New Roman" w:hAnsi="Times New Roman" w:cs="Times New Roman"/>
                      <w:color w:val="000000"/>
                      <w:sz w:val="21"/>
                      <w:szCs w:val="21"/>
                      <w:lang w:bidi="ar"/>
                    </w:rPr>
                    <w:t>0.00050</w:t>
                  </w:r>
                </w:p>
              </w:tc>
            </w:tr>
            <w:tr w14:paraId="76740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trHeight w:val="140" w:hRule="atLeast"/>
              </w:trPr>
              <w:tc>
                <w:tcPr>
                  <w:tcW w:w="832" w:type="dxa"/>
                  <w:vAlign w:val="center"/>
                </w:tcPr>
                <w:p w14:paraId="639F8F5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DA004</w:t>
                  </w:r>
                </w:p>
              </w:tc>
              <w:tc>
                <w:tcPr>
                  <w:tcW w:w="1417" w:type="dxa"/>
                  <w:vAlign w:val="center"/>
                </w:tcPr>
                <w:p w14:paraId="11517C1C">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己内酰胺废气水洗塔排放口</w:t>
                  </w:r>
                </w:p>
              </w:tc>
              <w:tc>
                <w:tcPr>
                  <w:tcW w:w="1559" w:type="dxa"/>
                  <w:vAlign w:val="center"/>
                </w:tcPr>
                <w:p w14:paraId="0BFD05C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E108°37′39.071″</w:t>
                  </w:r>
                </w:p>
              </w:tc>
              <w:tc>
                <w:tcPr>
                  <w:tcW w:w="1499" w:type="dxa"/>
                  <w:vAlign w:val="center"/>
                </w:tcPr>
                <w:p w14:paraId="1DB2B4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N21°43′7.360″</w:t>
                  </w:r>
                </w:p>
              </w:tc>
              <w:tc>
                <w:tcPr>
                  <w:tcW w:w="808" w:type="dxa"/>
                  <w:vAlign w:val="center"/>
                </w:tcPr>
                <w:p w14:paraId="61B8C0E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1011" w:type="dxa"/>
                  <w:vAlign w:val="center"/>
                </w:tcPr>
                <w:p w14:paraId="5A20B7C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0.11</w:t>
                  </w:r>
                </w:p>
              </w:tc>
              <w:tc>
                <w:tcPr>
                  <w:tcW w:w="808" w:type="dxa"/>
                  <w:vAlign w:val="center"/>
                </w:tcPr>
                <w:p w14:paraId="5EFCC84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1011" w:type="dxa"/>
                  <w:vAlign w:val="center"/>
                </w:tcPr>
                <w:p w14:paraId="402306BF">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0.60</w:t>
                  </w:r>
                </w:p>
              </w:tc>
              <w:tc>
                <w:tcPr>
                  <w:tcW w:w="936" w:type="dxa"/>
                  <w:vAlign w:val="center"/>
                </w:tcPr>
                <w:p w14:paraId="27A3F21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8760</w:t>
                  </w:r>
                </w:p>
              </w:tc>
              <w:tc>
                <w:tcPr>
                  <w:tcW w:w="567" w:type="dxa"/>
                  <w:vAlign w:val="center"/>
                </w:tcPr>
                <w:p w14:paraId="2087FF0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正常</w:t>
                  </w:r>
                </w:p>
              </w:tc>
              <w:tc>
                <w:tcPr>
                  <w:tcW w:w="890" w:type="dxa"/>
                  <w:vAlign w:val="center"/>
                </w:tcPr>
                <w:p w14:paraId="59F9DC9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一般</w:t>
                  </w:r>
                </w:p>
                <w:p w14:paraId="101CAC3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排放口</w:t>
                  </w:r>
                </w:p>
              </w:tc>
              <w:tc>
                <w:tcPr>
                  <w:tcW w:w="1094" w:type="dxa"/>
                  <w:vAlign w:val="center"/>
                </w:tcPr>
                <w:p w14:paraId="5F7A75A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851" w:type="dxa"/>
                  <w:vAlign w:val="center"/>
                </w:tcPr>
                <w:p w14:paraId="5861092D">
                  <w:pPr>
                    <w:jc w:val="center"/>
                    <w:rPr>
                      <w:rFonts w:ascii="Times New Roman" w:hAnsi="Times New Roman" w:cs="Times New Roman"/>
                      <w:color w:val="FF0000"/>
                      <w:sz w:val="21"/>
                      <w:szCs w:val="21"/>
                      <w:u w:val="single"/>
                    </w:rPr>
                  </w:pPr>
                  <w:r>
                    <w:rPr>
                      <w:rFonts w:ascii="Times New Roman" w:hAnsi="Times New Roman" w:cs="Times New Roman"/>
                      <w:color w:val="000000"/>
                      <w:sz w:val="21"/>
                      <w:szCs w:val="21"/>
                      <w:lang w:bidi="ar"/>
                    </w:rPr>
                    <w:t>0.00127</w:t>
                  </w:r>
                </w:p>
              </w:tc>
            </w:tr>
          </w:tbl>
          <w:p w14:paraId="63779BD3">
            <w:pPr>
              <w:pStyle w:val="86"/>
              <w:ind w:firstLine="241"/>
              <w:rPr>
                <w:rFonts w:ascii="Times New Roman" w:hAnsi="Times New Roman" w:cs="Times New Roman"/>
                <w:b/>
                <w:bCs/>
                <w:color w:val="000000" w:themeColor="text1"/>
                <w:kern w:val="21"/>
                <w14:textFill>
                  <w14:solidFill>
                    <w14:schemeClr w14:val="tx1"/>
                  </w14:solidFill>
                </w14:textFill>
              </w:rPr>
            </w:pPr>
          </w:p>
          <w:p w14:paraId="6DBBC966">
            <w:pPr>
              <w:rPr>
                <w:rFonts w:ascii="Times New Roman" w:hAnsi="Times New Roman" w:cs="Times New Roman"/>
                <w:b/>
                <w:bCs/>
                <w:color w:val="000000" w:themeColor="text1"/>
                <w:kern w:val="21"/>
                <w14:textFill>
                  <w14:solidFill>
                    <w14:schemeClr w14:val="tx1"/>
                  </w14:solidFill>
                </w14:textFill>
              </w:rPr>
            </w:pPr>
          </w:p>
          <w:p w14:paraId="3B9D5518">
            <w:pPr>
              <w:pStyle w:val="86"/>
              <w:ind w:firstLine="241"/>
              <w:rPr>
                <w:rFonts w:ascii="Times New Roman" w:hAnsi="Times New Roman" w:cs="Times New Roman"/>
                <w:b/>
                <w:bCs/>
                <w:color w:val="000000" w:themeColor="text1"/>
                <w:kern w:val="21"/>
                <w14:textFill>
                  <w14:solidFill>
                    <w14:schemeClr w14:val="tx1"/>
                  </w14:solidFill>
                </w14:textFill>
              </w:rPr>
            </w:pPr>
          </w:p>
          <w:p w14:paraId="5CCB38C1"/>
          <w:p w14:paraId="59E970DC">
            <w:pPr>
              <w:rPr>
                <w:rFonts w:ascii="Times New Roman" w:hAnsi="Times New Roman" w:cs="Times New Roman"/>
                <w:color w:val="FF0000"/>
              </w:rPr>
            </w:pPr>
          </w:p>
        </w:tc>
      </w:tr>
    </w:tbl>
    <w:p w14:paraId="34003E8D">
      <w:pPr>
        <w:rPr>
          <w:rFonts w:ascii="Times New Roman" w:hAnsi="Times New Roman" w:cs="Times New Roman"/>
          <w:color w:val="FF0000"/>
        </w:rPr>
        <w:sectPr>
          <w:pgSz w:w="16840" w:h="11907" w:orient="landscape"/>
          <w:pgMar w:top="1213" w:right="1304" w:bottom="1208" w:left="1304" w:header="851" w:footer="851" w:gutter="0"/>
          <w:cols w:space="720" w:num="1"/>
          <w:docGrid w:linePitch="326" w:charSpace="0"/>
        </w:sectPr>
      </w:pPr>
    </w:p>
    <w:tbl>
      <w:tblPr>
        <w:tblStyle w:val="88"/>
        <w:tblW w:w="100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5"/>
        <w:gridCol w:w="9525"/>
      </w:tblGrid>
      <w:tr w14:paraId="5E472D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tcMar>
              <w:left w:w="28" w:type="dxa"/>
              <w:right w:w="28" w:type="dxa"/>
            </w:tcMar>
            <w:vAlign w:val="center"/>
          </w:tcPr>
          <w:p w14:paraId="1D376135">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运营</w:t>
            </w:r>
          </w:p>
          <w:p w14:paraId="6EFE9034">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期环</w:t>
            </w:r>
          </w:p>
          <w:p w14:paraId="765AAA7F">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境影</w:t>
            </w:r>
          </w:p>
          <w:p w14:paraId="0D37371F">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响和</w:t>
            </w:r>
          </w:p>
          <w:p w14:paraId="205ED5BC">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保护</w:t>
            </w:r>
          </w:p>
          <w:p w14:paraId="56313DB1">
            <w:pPr>
              <w:adjustRightInd w:val="0"/>
              <w:snapToGrid w:val="0"/>
              <w:jc w:val="center"/>
              <w:rPr>
                <w:rFonts w:ascii="Times New Roman" w:hAnsi="Times New Roman" w:cs="Times New Roman"/>
                <w:bCs/>
                <w:color w:val="FF0000"/>
                <w:szCs w:val="21"/>
              </w:rPr>
            </w:pPr>
            <w:r>
              <w:rPr>
                <w:rFonts w:ascii="Times New Roman" w:hAnsi="Times New Roman" w:cs="Times New Roman"/>
                <w:bCs/>
                <w:color w:val="000000" w:themeColor="text1"/>
                <w:szCs w:val="21"/>
                <w14:textFill>
                  <w14:solidFill>
                    <w14:schemeClr w14:val="tx1"/>
                  </w14:solidFill>
                </w14:textFill>
              </w:rPr>
              <w:t>措施</w:t>
            </w:r>
          </w:p>
        </w:tc>
        <w:tc>
          <w:tcPr>
            <w:tcW w:w="9525" w:type="dxa"/>
            <w:vAlign w:val="center"/>
          </w:tcPr>
          <w:p w14:paraId="3D5F1F2E">
            <w:pPr>
              <w:pStyle w:val="118"/>
              <w:ind w:firstLine="482"/>
              <w:rPr>
                <w:rFonts w:ascii="Times New Roman" w:hAnsi="Times New Roman" w:cs="Times New Roman"/>
                <w:b/>
                <w:color w:val="FF0000"/>
              </w:rPr>
            </w:pPr>
            <w:r>
              <w:rPr>
                <w:rFonts w:ascii="Times New Roman" w:hAnsi="Times New Roman" w:cs="Times New Roman"/>
                <w:b/>
                <w:color w:val="000000" w:themeColor="text1"/>
                <w14:textFill>
                  <w14:solidFill>
                    <w14:schemeClr w14:val="tx1"/>
                  </w14:solidFill>
                </w14:textFill>
              </w:rPr>
              <w:t>2.2 废气治理措施可行性分析</w:t>
            </w:r>
          </w:p>
          <w:p w14:paraId="5BE92E80">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液硫储罐设置氮封系统，呼吸废气经升华硫回收器后在罐顶排放。发烟硫酸/98%硫酸储罐设置氮封系统，呼吸废气经二级三氧化硫吸收塔处理后，在吸收塔顶部排气口排放。装卸站装卸产生的废气经气相平衡管返回到储罐内，再由储罐出口废气系统处理后排放。项目废气治理措施可行性分析如下：</w:t>
            </w:r>
          </w:p>
          <w:p w14:paraId="6342328E">
            <w:pPr>
              <w:pStyle w:val="118"/>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（1）液硫储罐呼吸废气的升华硫回收器</w:t>
            </w:r>
          </w:p>
          <w:p w14:paraId="1D0CC533">
            <w:pPr>
              <w:spacing w:line="360" w:lineRule="auto"/>
              <w:ind w:firstLine="480" w:firstLineChars="200"/>
              <w:rPr>
                <w:rFonts w:ascii="Times New Roman" w:hAnsi="Times New Roman" w:cs="Times New Roman"/>
                <w:color w:val="000000" w:themeColor="text1"/>
                <w:szCs w:val="20"/>
                <w14:textFill>
                  <w14:solidFill>
                    <w14:schemeClr w14:val="tx1"/>
                  </w14:solidFill>
                </w14:textFill>
              </w:rPr>
            </w:pPr>
            <w:r>
              <w:rPr>
                <w:rFonts w:ascii="Times New Roman" w:hAnsi="Times New Roman" w:cs="Times New Roman"/>
                <w:color w:val="000000" w:themeColor="text1"/>
                <w:szCs w:val="20"/>
                <w14:textFill>
                  <w14:solidFill>
                    <w14:schemeClr w14:val="tx1"/>
                  </w14:solidFill>
                </w14:textFill>
              </w:rPr>
              <w:t>升华硫回收器是一种用于回收硫磺制酸或熔硫过程中产生的升华硫（即气态硫磺）的设备，其核心工作原理是通过‌物理降温冷凝‌的方式，将高温气态硫磺转化为固态细小颗粒并进行收集，从而实现资源回收和减少环境污染。其工作原理如下：①温度控制与冷凝回收‌：液硫储罐在昼夜温差或环境温度变化下，罐内气相发生热胀冷缩，导致含有硫蒸气的废气通过呼吸阀排出。当这些高温硫蒸气进入回收器后，设备通过‌精确控制内部温度‌（通常采用蒸汽加热或电磁加热），使硫蒸气在特定温度区域（略低于其沸点但高于其凝固点）发生‌冷凝‌，由气态转化为液态或固态硫，从而实现回收。该过程避免了硫蒸气直接排放到大气中。②多级过滤与除雾捕集‌：回收器内部通常设计有多层过滤结构和‌多层除雾叶片‌。当含硫蒸气的废气流经这些结构时，细小的硫颗粒或粉尘会被叶片拦截、碰撞并聚集，最终在重力作用下回落至储罐或收集槽中，实现气固分离。这种设计能有效捕集微米级的升华硫粉尘，减少外排。因此，本项目液硫储罐呼吸废气治理技术是可行的。</w:t>
            </w:r>
          </w:p>
          <w:p w14:paraId="2FE82238">
            <w:pPr>
              <w:numPr>
                <w:ilvl w:val="0"/>
                <w:numId w:val="22"/>
              </w:num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发烟硫酸/98%硫酸储罐呼吸废气的二级吸收工艺</w:t>
            </w:r>
          </w:p>
          <w:p w14:paraId="78E3445B">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工艺原理：发烟硫酸在储存过程中会释放出三氧化硫，为避免三氧化硫对环境产生污染、对周边设施产生腐蚀，发烟硫酸储罐气相管设置了正负压液封（V-401液封介质采用98%硫酸），负压水封气相出口送至二级三氧化硫吸收塔进行吸收，吸收后可以达标排放。一级吸收塔（C-401）吸收介质采用68%~98%浓硫酸，二级吸收塔（C-402）吸收介质为0~50%的稀硫酸。当一级吸收塔内浓硫酸浓度达到98%，将部分浓硫酸送至硫酸储罐内，由二级吸收塔进行补充、稀释至68%左右；二级吸收塔补充水。</w:t>
            </w:r>
          </w:p>
          <w:p w14:paraId="1121BF77">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第一级吸收（主要吸收阶段）‌：通常使用浓度约为98%的硫酸作为吸收剂。98%的硫酸浓度高，含水量极低，其吸水性弱。当废气中的SO</w:t>
            </w:r>
            <w:r>
              <w:rPr>
                <w:rFonts w:ascii="Times New Roman" w:hAnsi="Times New Roman" w:cs="Times New Roman"/>
                <w:iCs/>
                <w:color w:val="000000" w:themeColor="text1"/>
                <w:vertAlign w:val="subscript"/>
                <w14:textFill>
                  <w14:solidFill>
                    <w14:schemeClr w14:val="tx1"/>
                  </w14:solidFill>
                </w14:textFill>
              </w:rPr>
              <w:t>3</w:t>
            </w:r>
            <w:r>
              <w:rPr>
                <w:rFonts w:ascii="Times New Roman" w:hAnsi="Times New Roman" w:cs="Times New Roman"/>
                <w:iCs/>
                <w:color w:val="000000" w:themeColor="text1"/>
                <w14:textFill>
                  <w14:solidFill>
                    <w14:schemeClr w14:val="tx1"/>
                  </w14:solidFill>
                </w14:textFill>
              </w:rPr>
              <w:t>与98%的硫酸接触时，两者可直接反应生成发烟硫酸（H</w:t>
            </w:r>
            <w:r>
              <w:rPr>
                <w:rFonts w:ascii="Times New Roman" w:hAnsi="Times New Roman" w:cs="Times New Roman"/>
                <w:iCs/>
                <w:color w:val="000000" w:themeColor="text1"/>
                <w:vertAlign w:val="subscript"/>
                <w14:textFill>
                  <w14:solidFill>
                    <w14:schemeClr w14:val="tx1"/>
                  </w14:solidFill>
                </w14:textFill>
              </w:rPr>
              <w:t>2</w:t>
            </w:r>
            <w:r>
              <w:rPr>
                <w:rFonts w:ascii="Times New Roman" w:hAnsi="Times New Roman" w:cs="Times New Roman"/>
                <w:iCs/>
                <w:color w:val="000000" w:themeColor="text1"/>
                <w14:textFill>
                  <w14:solidFill>
                    <w14:schemeClr w14:val="tx1"/>
                  </w14:solidFill>
                </w14:textFill>
              </w:rPr>
              <w:t>S</w:t>
            </w:r>
            <w:r>
              <w:rPr>
                <w:rFonts w:ascii="Times New Roman" w:hAnsi="Times New Roman" w:cs="Times New Roman"/>
                <w:iCs/>
                <w:color w:val="000000" w:themeColor="text1"/>
                <w:vertAlign w:val="subscript"/>
                <w14:textFill>
                  <w14:solidFill>
                    <w14:schemeClr w14:val="tx1"/>
                  </w14:solidFill>
                </w14:textFill>
              </w:rPr>
              <w:t>2</w:t>
            </w:r>
            <w:r>
              <w:rPr>
                <w:rFonts w:ascii="Times New Roman" w:hAnsi="Times New Roman" w:cs="Times New Roman"/>
                <w:iCs/>
                <w:color w:val="000000" w:themeColor="text1"/>
                <w14:textFill>
                  <w14:solidFill>
                    <w14:schemeClr w14:val="tx1"/>
                  </w14:solidFill>
                </w14:textFill>
              </w:rPr>
              <w:t>O</w:t>
            </w:r>
            <w:r>
              <w:rPr>
                <w:rFonts w:ascii="Times New Roman" w:hAnsi="Times New Roman" w:cs="Times New Roman"/>
                <w:iCs/>
                <w:color w:val="000000" w:themeColor="text1"/>
                <w:vertAlign w:val="subscript"/>
                <w14:textFill>
                  <w14:solidFill>
                    <w14:schemeClr w14:val="tx1"/>
                  </w14:solidFill>
                </w14:textFill>
              </w:rPr>
              <w:t>3</w:t>
            </w:r>
            <w:r>
              <w:rPr>
                <w:rFonts w:ascii="Times New Roman" w:hAnsi="Times New Roman" w:cs="Times New Roman"/>
                <w:iCs/>
                <w:color w:val="000000" w:themeColor="text1"/>
                <w14:textFill>
                  <w14:solidFill>
                    <w14:schemeClr w14:val="tx1"/>
                  </w14:solidFill>
                </w14:textFill>
              </w:rPr>
              <w:t>），反应式为：SO</w:t>
            </w:r>
            <w:r>
              <w:rPr>
                <w:rFonts w:ascii="Times New Roman" w:hAnsi="Times New Roman" w:cs="Times New Roman"/>
                <w:iCs/>
                <w:color w:val="000000" w:themeColor="text1"/>
                <w:vertAlign w:val="subscript"/>
                <w14:textFill>
                  <w14:solidFill>
                    <w14:schemeClr w14:val="tx1"/>
                  </w14:solidFill>
                </w14:textFill>
              </w:rPr>
              <w:t>3</w:t>
            </w:r>
            <w:r>
              <w:rPr>
                <w:rFonts w:ascii="Times New Roman" w:hAnsi="Times New Roman" w:cs="Times New Roman"/>
                <w:iCs/>
                <w:color w:val="000000" w:themeColor="text1"/>
                <w14:textFill>
                  <w14:solidFill>
                    <w14:schemeClr w14:val="tx1"/>
                  </w14:solidFill>
                </w14:textFill>
              </w:rPr>
              <w:t xml:space="preserve"> + H</w:t>
            </w:r>
            <w:r>
              <w:rPr>
                <w:rFonts w:ascii="Times New Roman" w:hAnsi="Times New Roman" w:cs="Times New Roman"/>
                <w:iCs/>
                <w:color w:val="000000" w:themeColor="text1"/>
                <w:vertAlign w:val="subscript"/>
                <w14:textFill>
                  <w14:solidFill>
                    <w14:schemeClr w14:val="tx1"/>
                  </w14:solidFill>
                </w14:textFill>
              </w:rPr>
              <w:t>2</w:t>
            </w:r>
            <w:r>
              <w:rPr>
                <w:rFonts w:ascii="Times New Roman" w:hAnsi="Times New Roman" w:cs="Times New Roman"/>
                <w:iCs/>
                <w:color w:val="000000" w:themeColor="text1"/>
                <w14:textFill>
                  <w14:solidFill>
                    <w14:schemeClr w14:val="tx1"/>
                  </w14:solidFill>
                </w14:textFill>
              </w:rPr>
              <w:t>SO</w:t>
            </w:r>
            <w:r>
              <w:rPr>
                <w:rFonts w:ascii="Times New Roman" w:hAnsi="Times New Roman" w:cs="Times New Roman"/>
                <w:iCs/>
                <w:color w:val="000000" w:themeColor="text1"/>
                <w:vertAlign w:val="subscript"/>
                <w14:textFill>
                  <w14:solidFill>
                    <w14:schemeClr w14:val="tx1"/>
                  </w14:solidFill>
                </w14:textFill>
              </w:rPr>
              <w:t>4</w:t>
            </w:r>
            <w:r>
              <w:rPr>
                <w:rFonts w:ascii="Times New Roman" w:hAnsi="Times New Roman" w:cs="Times New Roman"/>
                <w:iCs/>
                <w:color w:val="000000" w:themeColor="text1"/>
                <w14:textFill>
                  <w14:solidFill>
                    <w14:schemeClr w14:val="tx1"/>
                  </w14:solidFill>
                </w14:textFill>
              </w:rPr>
              <w:t xml:space="preserve"> → H</w:t>
            </w:r>
            <w:r>
              <w:rPr>
                <w:rFonts w:ascii="Times New Roman" w:hAnsi="Times New Roman" w:cs="Times New Roman"/>
                <w:iCs/>
                <w:color w:val="000000" w:themeColor="text1"/>
                <w:vertAlign w:val="subscript"/>
                <w14:textFill>
                  <w14:solidFill>
                    <w14:schemeClr w14:val="tx1"/>
                  </w14:solidFill>
                </w14:textFill>
              </w:rPr>
              <w:t>2</w:t>
            </w:r>
            <w:r>
              <w:rPr>
                <w:rFonts w:ascii="Times New Roman" w:hAnsi="Times New Roman" w:cs="Times New Roman"/>
                <w:iCs/>
                <w:color w:val="000000" w:themeColor="text1"/>
                <w14:textFill>
                  <w14:solidFill>
                    <w14:schemeClr w14:val="tx1"/>
                  </w14:solidFill>
                </w14:textFill>
              </w:rPr>
              <w:t>S</w:t>
            </w:r>
            <w:r>
              <w:rPr>
                <w:rFonts w:ascii="Times New Roman" w:hAnsi="Times New Roman" w:cs="Times New Roman"/>
                <w:iCs/>
                <w:color w:val="000000" w:themeColor="text1"/>
                <w:vertAlign w:val="subscript"/>
                <w14:textFill>
                  <w14:solidFill>
                    <w14:schemeClr w14:val="tx1"/>
                  </w14:solidFill>
                </w14:textFill>
              </w:rPr>
              <w:t>2</w:t>
            </w:r>
            <w:r>
              <w:rPr>
                <w:rFonts w:ascii="Times New Roman" w:hAnsi="Times New Roman" w:cs="Times New Roman"/>
                <w:iCs/>
                <w:color w:val="000000" w:themeColor="text1"/>
                <w14:textFill>
                  <w14:solidFill>
                    <w14:schemeClr w14:val="tx1"/>
                  </w14:solidFill>
                </w14:textFill>
              </w:rPr>
              <w:t>O</w:t>
            </w:r>
            <w:r>
              <w:rPr>
                <w:rFonts w:ascii="Times New Roman" w:hAnsi="Times New Roman" w:cs="Times New Roman"/>
                <w:iCs/>
                <w:color w:val="000000" w:themeColor="text1"/>
                <w:vertAlign w:val="subscript"/>
                <w14:textFill>
                  <w14:solidFill>
                    <w14:schemeClr w14:val="tx1"/>
                  </w14:solidFill>
                </w14:textFill>
              </w:rPr>
              <w:t>3</w:t>
            </w:r>
            <w:r>
              <w:rPr>
                <w:rFonts w:ascii="Times New Roman" w:hAnsi="Times New Roman" w:cs="Times New Roman"/>
                <w:iCs/>
                <w:color w:val="000000" w:themeColor="text1"/>
                <w14:textFill>
                  <w14:solidFill>
                    <w14:schemeClr w14:val="tx1"/>
                  </w14:solidFill>
                </w14:textFill>
              </w:rPr>
              <w:t>。此过程释放热量相对温和，且不会因大量水蒸气存在而形成难以捕集的酸雾，从而实现了对SO</w:t>
            </w:r>
            <w:r>
              <w:rPr>
                <w:rFonts w:ascii="Times New Roman" w:hAnsi="Times New Roman" w:cs="Times New Roman"/>
                <w:iCs/>
                <w:color w:val="000000" w:themeColor="text1"/>
                <w:vertAlign w:val="subscript"/>
                <w14:textFill>
                  <w14:solidFill>
                    <w14:schemeClr w14:val="tx1"/>
                  </w14:solidFill>
                </w14:textFill>
              </w:rPr>
              <w:t>3</w:t>
            </w:r>
            <w:r>
              <w:rPr>
                <w:rFonts w:ascii="Times New Roman" w:hAnsi="Times New Roman" w:cs="Times New Roman"/>
                <w:iCs/>
                <w:color w:val="000000" w:themeColor="text1"/>
                <w14:textFill>
                  <w14:solidFill>
                    <w14:schemeClr w14:val="tx1"/>
                  </w14:solidFill>
                </w14:textFill>
              </w:rPr>
              <w:t>的高效、清洁吸收。经过第一级吸收后，废气中残余的微量SO</w:t>
            </w:r>
            <w:r>
              <w:rPr>
                <w:rFonts w:ascii="Times New Roman" w:hAnsi="Times New Roman" w:cs="Times New Roman"/>
                <w:iCs/>
                <w:color w:val="000000" w:themeColor="text1"/>
                <w:vertAlign w:val="subscript"/>
                <w14:textFill>
                  <w14:solidFill>
                    <w14:schemeClr w14:val="tx1"/>
                  </w14:solidFill>
                </w14:textFill>
              </w:rPr>
              <w:t>3</w:t>
            </w:r>
            <w:r>
              <w:rPr>
                <w:rFonts w:ascii="Times New Roman" w:hAnsi="Times New Roman" w:cs="Times New Roman"/>
                <w:iCs/>
                <w:color w:val="000000" w:themeColor="text1"/>
                <w14:textFill>
                  <w14:solidFill>
                    <w14:schemeClr w14:val="tx1"/>
                  </w14:solidFill>
                </w14:textFill>
              </w:rPr>
              <w:t>或可能夹带的酸雾进入第二级。此级吸收剂通常采用清水或较低浓度的硫酸。清水或稀硫酸在此阶段主要起到洗涤和进一步捕获残余酸性物质的作用，作为对一级吸收的补充保障，确保废气经过两级处理后达标排放。</w:t>
            </w:r>
          </w:p>
          <w:p w14:paraId="1C13B0E0">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综上，采用清水、稀硫酸作为吸收剂吸收发烟硫酸/98%硫酸的呼吸废气中的三氧化硫及硫酸雾在技术上是可行的。</w:t>
            </w:r>
          </w:p>
          <w:p w14:paraId="7245820E">
            <w:pPr>
              <w:numPr>
                <w:ilvl w:val="0"/>
                <w:numId w:val="22"/>
              </w:num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苯酚储罐呼吸废气的油气回收装置</w:t>
            </w:r>
          </w:p>
          <w:p w14:paraId="3EBD4F6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根据建设单位提供的资料，苯酚从码头卸船进罐，进罐油气量最大为850Nm³/h。本项目在苯酚储罐防火堤外设置一套1000Nm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油气回收装置，处理规模满足要求。油气回收装置是根据《油气回收处理设施技术标准》（GB/T50759-2022）要求设计，油气回收处理效率达到95%以上，满足《储油库大气污染物排放标准》（GB20950-2020）中油气回收装置的处理效率要求。</w:t>
            </w:r>
          </w:p>
          <w:p w14:paraId="3D36B0AE">
            <w:pPr>
              <w:spacing w:line="360" w:lineRule="auto"/>
              <w:jc w:val="center"/>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object>
                <v:shape id="_x0000_i1031" o:spt="75" type="#_x0000_t75" style="height:30pt;width:465.75pt;" o:ole="t" filled="f" o:preferrelative="t" stroked="f" coordsize="21600,21600">
                  <v:path/>
                  <v:fill on="f" focussize="0,0"/>
                  <v:stroke on="f" joinstyle="miter"/>
                  <v:imagedata r:id="rId51" o:title=""/>
                  <o:lock v:ext="edit" aspectratio="t"/>
                  <w10:wrap type="none"/>
                  <w10:anchorlock/>
                </v:shape>
                <o:OLEObject Type="Embed" ProgID="Visio.Drawing.11" ShapeID="_x0000_i1031" DrawAspect="Content" ObjectID="_1468075731" r:id="rId50">
                  <o:LockedField>false</o:LockedField>
                </o:OLEObject>
              </w:object>
            </w:r>
            <w:r>
              <w:rPr>
                <w:rFonts w:ascii="Times New Roman" w:hAnsi="Times New Roman" w:cs="Times New Roman"/>
                <w:color w:val="000000" w:themeColor="text1"/>
                <w14:textFill>
                  <w14:solidFill>
                    <w14:schemeClr w14:val="tx1"/>
                  </w14:solidFill>
                </w14:textFill>
              </w:rPr>
              <w:t>图4-4 油气回收装置工艺流程图</w:t>
            </w:r>
          </w:p>
          <w:p w14:paraId="6696F529">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苯酚储罐在装料时，随着新的物料进入储罐，储罐中的苯酚蒸汽会排入空气中，油气回收系统就是用导管将逃逸的苯酚蒸汽收集输送至油气回收装置，减少苯酚蒸汽向外界逸散。</w:t>
            </w:r>
          </w:p>
          <w:p w14:paraId="5A54A35B">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油气回收至油气回收系统后经过冷凝进行气液分离，分离之后的液体进入零位罐区的油罐中，气体进入吸附单元，采用活性炭进行吸附，最后油气进入零位罐区的油罐中，通过油罐的呼吸口进行排放。</w:t>
            </w:r>
          </w:p>
          <w:p w14:paraId="02DB0A1F">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冷凝单元的基本原理：回收的油气进入冷凝单元中，温度降低，当气体与低于其结露露点温度的表面接触时即会发生相变之结露冷凝作用，使其中的绝大部分油气组分冷凝为液体，气体本身的体积也减少，从而降低油气的排放，冷凝后的尾气进入吸附单元吸附。</w:t>
            </w:r>
          </w:p>
          <w:p w14:paraId="7B039A27">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回收吸附单元：以活性炭作为吸附材料，活性炭的特性是单位体积有着极大的表面积，可以有效地吸附油气中的烃。</w:t>
            </w:r>
          </w:p>
          <w:p w14:paraId="372E291C">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根据《排污许可证申请与核发技术规范 储油库、加油站》（HJ1118-2020）表2，挥发性有机液体装载污染治理设施为油气回收，工艺为冷凝、吸附等。本项目苯酚废气采用油气回收系统回收后经“冷凝+吸附”处理后无组织排放，符合《排污许可证申请与核发技术规范 储油库、加油站》（HJ1118-2020）表2所列的液体装载污染防治可行技术。</w:t>
            </w:r>
          </w:p>
          <w:p w14:paraId="43F6EEF9">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（4）己内酰胺储罐呼吸废气</w:t>
            </w:r>
          </w:p>
          <w:p w14:paraId="7C7429AB">
            <w:pPr>
              <w:spacing w:line="360" w:lineRule="auto"/>
              <w:ind w:firstLine="480" w:firstLineChars="200"/>
              <w:rPr>
                <w:rFonts w:ascii="Times New Roman" w:hAnsi="Times New Roman" w:cs="Times New Roman"/>
                <w:iCs/>
                <w:color w:val="FF0000"/>
              </w:rPr>
            </w:pPr>
            <w:r>
              <w:rPr>
                <w:rFonts w:ascii="Times New Roman" w:hAnsi="Times New Roman" w:cs="Times New Roman"/>
                <w:iCs/>
                <w:color w:val="000000" w:themeColor="text1"/>
                <w14:textFill>
                  <w14:solidFill>
                    <w14:schemeClr w14:val="tx1"/>
                  </w14:solidFill>
                </w14:textFill>
              </w:rPr>
              <w:t>本项目己内酰胺储罐设置氮封装置，呼吸废气经水洗塔进行吸收。</w:t>
            </w:r>
            <w:r>
              <w:rPr>
                <w:rFonts w:hint="eastAsia" w:ascii="Times New Roman" w:hAnsi="Times New Roman" w:cs="Times New Roman"/>
                <w:iCs/>
                <w:color w:val="000000" w:themeColor="text1"/>
                <w14:textFill>
                  <w14:solidFill>
                    <w14:schemeClr w14:val="tx1"/>
                  </w14:solidFill>
                </w14:textFill>
              </w:rPr>
              <w:t>己内酰胺极易溶于水，通过控制10 g/L的循环浓度远低于饱和溶解度（4500 g/L），吸收水无结晶风险；低浓度操作条件下，气液传质推动力充足，99%去除率可实现。因此，本项目采用水洗塔对己内酰胺呼吸废气进行吸收在技术上是可行的。</w:t>
            </w:r>
            <w:r>
              <w:rPr>
                <w:rFonts w:hint="eastAsia" w:ascii="Times New Roman" w:hAnsi="Times New Roman" w:cs="Times New Roman"/>
                <w:iCs/>
                <w:color w:val="FF0000"/>
              </w:rPr>
              <w:t>‌</w:t>
            </w:r>
          </w:p>
          <w:p w14:paraId="3C2FAF57">
            <w:pPr>
              <w:spacing w:line="360" w:lineRule="auto"/>
              <w:ind w:firstLine="480" w:firstLineChars="200"/>
              <w:rPr>
                <w:rFonts w:ascii="Times New Roman" w:hAnsi="Times New Roman" w:cs="Times New Roman"/>
                <w:iCs/>
                <w:color w:val="000000" w:themeColor="text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w:t>
            </w:r>
            <w:r>
              <w:rPr>
                <w:rFonts w:hint="eastAsia" w:ascii="Times New Roman" w:hAnsi="Times New Roman" w:cs="Times New Roman"/>
                <w:iCs/>
                <w:color w:val="000000" w:themeColor="text1"/>
                <w14:textFill>
                  <w14:solidFill>
                    <w14:schemeClr w14:val="tx1"/>
                  </w14:solidFill>
                </w14:textFill>
              </w:rPr>
              <w:t>5</w:t>
            </w:r>
            <w:r>
              <w:rPr>
                <w:rFonts w:ascii="Times New Roman" w:hAnsi="Times New Roman" w:cs="Times New Roman"/>
                <w:iCs/>
                <w:color w:val="000000" w:themeColor="text1"/>
                <w14:textFill>
                  <w14:solidFill>
                    <w14:schemeClr w14:val="tx1"/>
                  </w14:solidFill>
                </w14:textFill>
              </w:rPr>
              <w:t>）废气无组织排放控制措施</w:t>
            </w:r>
          </w:p>
          <w:p w14:paraId="3AD54DC2">
            <w:pPr>
              <w:spacing w:line="360" w:lineRule="auto"/>
              <w:ind w:firstLine="480" w:firstLineChars="200"/>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iCs/>
                <w:color w:val="000000" w:themeColor="text1"/>
                <w14:textFill>
                  <w14:solidFill>
                    <w14:schemeClr w14:val="tx1"/>
                  </w14:solidFill>
                </w14:textFill>
              </w:rPr>
              <w:t>本项目采用</w:t>
            </w:r>
            <w:r>
              <w:rPr>
                <w:rFonts w:hint="eastAsia" w:ascii="Times New Roman" w:hAnsi="Times New Roman" w:cs="Times New Roman"/>
                <w:iCs/>
                <w:color w:val="000000" w:themeColor="text1"/>
                <w14:textFill>
                  <w14:solidFill>
                    <w14:schemeClr w14:val="tx1"/>
                  </w14:solidFill>
                </w14:textFill>
              </w:rPr>
              <w:t>常压拱顶</w:t>
            </w:r>
            <w:r>
              <w:rPr>
                <w:rFonts w:ascii="Times New Roman" w:hAnsi="Times New Roman" w:cs="Times New Roman"/>
                <w:iCs/>
                <w:color w:val="000000" w:themeColor="text1"/>
                <w14:textFill>
                  <w14:solidFill>
                    <w14:schemeClr w14:val="tx1"/>
                  </w14:solidFill>
                </w14:textFill>
              </w:rPr>
              <w:t>罐储存物料，</w:t>
            </w:r>
            <w:r>
              <w:rPr>
                <w:rFonts w:hint="eastAsia" w:ascii="Times New Roman" w:hAnsi="Times New Roman" w:cs="Times New Roman"/>
                <w:iCs/>
                <w:color w:val="000000" w:themeColor="text1"/>
                <w14:textFill>
                  <w14:solidFill>
                    <w14:schemeClr w14:val="tx1"/>
                  </w14:solidFill>
                </w14:textFill>
              </w:rPr>
              <w:t>储存的货种为：液体硫磺、发烟硫酸/98%硫酸、液碱、苯酚、己内酰胺，</w:t>
            </w:r>
            <w:r>
              <w:rPr>
                <w:rFonts w:ascii="Times New Roman" w:hAnsi="Times New Roman" w:cs="Times New Roman"/>
                <w:iCs/>
                <w:color w:val="000000" w:themeColor="text1"/>
                <w14:textFill>
                  <w14:solidFill>
                    <w14:schemeClr w14:val="tx1"/>
                  </w14:solidFill>
                </w14:textFill>
              </w:rPr>
              <w:t>根据项目储存的物种理化性质分析，</w:t>
            </w:r>
            <w:r>
              <w:rPr>
                <w:rFonts w:hint="eastAsia" w:ascii="Times New Roman" w:hAnsi="Times New Roman" w:cs="Times New Roman"/>
                <w:iCs/>
                <w:color w:val="000000" w:themeColor="text1"/>
                <w14:textFill>
                  <w14:solidFill>
                    <w14:schemeClr w14:val="tx1"/>
                  </w14:solidFill>
                </w14:textFill>
              </w:rPr>
              <w:t>固定顶罐</w:t>
            </w:r>
            <w:r>
              <w:rPr>
                <w:rFonts w:ascii="Times New Roman" w:hAnsi="Times New Roman" w:cs="Times New Roman"/>
                <w:iCs/>
                <w:color w:val="000000" w:themeColor="text1"/>
                <w14:textFill>
                  <w14:solidFill>
                    <w14:schemeClr w14:val="tx1"/>
                  </w14:solidFill>
                </w14:textFill>
              </w:rPr>
              <w:t>储存货种的蒸气压大致在</w:t>
            </w:r>
            <w:r>
              <w:rPr>
                <w:rFonts w:hint="eastAsia" w:ascii="Times New Roman" w:hAnsi="Times New Roman" w:cs="Times New Roman"/>
                <w:iCs/>
                <w:color w:val="000000" w:themeColor="text1"/>
                <w14:textFill>
                  <w14:solidFill>
                    <w14:schemeClr w14:val="tx1"/>
                  </w14:solidFill>
                </w14:textFill>
              </w:rPr>
              <w:t>0.02~0.5</w:t>
            </w:r>
            <w:r>
              <w:rPr>
                <w:rFonts w:ascii="Times New Roman" w:hAnsi="Times New Roman" w:cs="Times New Roman"/>
                <w:iCs/>
                <w:color w:val="000000" w:themeColor="text1"/>
                <w14:textFill>
                  <w14:solidFill>
                    <w14:schemeClr w14:val="tx1"/>
                  </w14:solidFill>
                </w14:textFill>
              </w:rPr>
              <w:t xml:space="preserve"> kPa之间</w:t>
            </w:r>
            <w:r>
              <w:rPr>
                <w:rFonts w:hint="eastAsia" w:ascii="Times New Roman" w:hAnsi="Times New Roman" w:cs="Times New Roman"/>
                <w:iCs/>
                <w:color w:val="000000" w:themeColor="text1"/>
                <w14:textFill>
                  <w14:solidFill>
                    <w14:schemeClr w14:val="tx1"/>
                  </w14:solidFill>
                </w14:textFill>
              </w:rPr>
              <w:t>，不在储罐特别管控要求的蒸气压范围内。除液碱储罐外，其他</w:t>
            </w:r>
            <w:r>
              <w:rPr>
                <w:rFonts w:ascii="Times New Roman" w:hAnsi="Times New Roman" w:cs="Times New Roman"/>
                <w:iCs/>
                <w:color w:val="000000" w:themeColor="text1"/>
                <w14:textFill>
                  <w14:solidFill>
                    <w14:schemeClr w14:val="tx1"/>
                  </w14:solidFill>
                </w14:textFill>
              </w:rPr>
              <w:t>储罐均采用氮封措施，当</w:t>
            </w:r>
            <w:r>
              <w:rPr>
                <w:rFonts w:ascii="Times New Roman" w:hAnsi="Times New Roman" w:cs="Times New Roman"/>
                <w:color w:val="000000" w:themeColor="text1"/>
                <w:kern w:val="21"/>
                <w14:textFill>
                  <w14:solidFill>
                    <w14:schemeClr w14:val="tx1"/>
                  </w14:solidFill>
                </w14:textFill>
              </w:rPr>
              <w:t>罐内压力升至高于泄氮阀压力设定值时，泄氮阀打开，向外界释放氮气，使罐内压力下降，降至泄氮阀压力设定点时，自动关闭。</w:t>
            </w:r>
          </w:p>
          <w:p w14:paraId="039ED065">
            <w:pPr>
              <w:spacing w:line="360" w:lineRule="auto"/>
              <w:ind w:firstLine="480" w:firstLineChars="200"/>
              <w:rPr>
                <w:rFonts w:ascii="Times New Roman" w:hAnsi="Times New Roman" w:cs="Times New Roman"/>
                <w:color w:val="000000" w:themeColor="text1"/>
                <w:kern w:val="21"/>
                <w14:textFill>
                  <w14:solidFill>
                    <w14:schemeClr w14:val="tx1"/>
                  </w14:solidFill>
                </w14:textFill>
              </w:rPr>
            </w:pPr>
            <w:r>
              <w:rPr>
                <w:rFonts w:hint="eastAsia" w:ascii="Times New Roman" w:hAnsi="Times New Roman" w:cs="Times New Roman"/>
                <w:color w:val="000000" w:themeColor="text1"/>
                <w:kern w:val="21"/>
                <w14:textFill>
                  <w14:solidFill>
                    <w14:schemeClr w14:val="tx1"/>
                  </w14:solidFill>
                </w14:textFill>
              </w:rPr>
              <w:t>项目货种的装卸等过程均采用密闭管道进行输送，装载方式均为</w:t>
            </w:r>
            <w:r>
              <w:rPr>
                <w:rFonts w:hint="eastAsia" w:ascii="Times New Roman" w:hAnsi="Times New Roman" w:cs="Times New Roman"/>
                <w:iCs/>
                <w:color w:val="000000" w:themeColor="text1"/>
                <w14:textFill>
                  <w14:solidFill>
                    <w14:schemeClr w14:val="tx1"/>
                  </w14:solidFill>
                </w14:textFill>
              </w:rPr>
              <w:t>浸没式装载，出料管口与槽（罐）底部高度应小于</w:t>
            </w:r>
            <w:r>
              <w:rPr>
                <w:rFonts w:ascii="Times New Roman" w:hAnsi="Times New Roman" w:cs="Times New Roman"/>
                <w:iCs/>
                <w:color w:val="000000" w:themeColor="text1"/>
                <w14:textFill>
                  <w14:solidFill>
                    <w14:schemeClr w14:val="tx1"/>
                  </w14:solidFill>
                </w14:textFill>
              </w:rPr>
              <w:t>200mm</w:t>
            </w:r>
            <w:r>
              <w:rPr>
                <w:rFonts w:hint="eastAsia" w:ascii="Times New Roman" w:hAnsi="Times New Roman" w:cs="Times New Roman"/>
                <w:iCs/>
                <w:color w:val="000000" w:themeColor="text1"/>
                <w14:textFill>
                  <w14:solidFill>
                    <w14:schemeClr w14:val="tx1"/>
                  </w14:solidFill>
                </w14:textFill>
              </w:rPr>
              <w:t>。项目装卸的货种蒸汽压在0.0038~46.5kPa之间，在</w:t>
            </w:r>
            <w:r>
              <w:rPr>
                <w:rFonts w:ascii="Times New Roman" w:hAnsi="Times New Roman" w:cs="Times New Roman"/>
                <w:iCs/>
                <w:color w:val="000000" w:themeColor="text1"/>
                <w14:textFill>
                  <w14:solidFill>
                    <w14:schemeClr w14:val="tx1"/>
                  </w14:solidFill>
                </w14:textFill>
              </w:rPr>
              <w:t>GB 37822—2019</w:t>
            </w:r>
            <w:r>
              <w:rPr>
                <w:rFonts w:hint="eastAsia" w:ascii="Times New Roman" w:hAnsi="Times New Roman" w:cs="Times New Roman"/>
                <w:iCs/>
                <w:color w:val="000000" w:themeColor="text1"/>
                <w14:textFill>
                  <w14:solidFill>
                    <w14:schemeClr w14:val="tx1"/>
                  </w14:solidFill>
                </w14:textFill>
              </w:rPr>
              <w:t>装载特别控制要求的蒸气压范围内，</w:t>
            </w:r>
            <w:r>
              <w:rPr>
                <w:rFonts w:hint="eastAsia" w:ascii="Times New Roman" w:hAnsi="Times New Roman" w:cs="Times New Roman"/>
                <w:color w:val="000000" w:themeColor="text1"/>
                <w:kern w:val="21"/>
                <w14:textFill>
                  <w14:solidFill>
                    <w14:schemeClr w14:val="tx1"/>
                  </w14:solidFill>
                </w14:textFill>
              </w:rPr>
              <w:t>在装卸过程中采取气相平衡系统。因此，项目废气无组织排放</w:t>
            </w:r>
            <w:r>
              <w:rPr>
                <w:rFonts w:ascii="Times New Roman" w:hAnsi="Times New Roman" w:cs="Times New Roman"/>
                <w:color w:val="000000" w:themeColor="text1"/>
                <w:kern w:val="21"/>
                <w14:textFill>
                  <w14:solidFill>
                    <w14:schemeClr w14:val="tx1"/>
                  </w14:solidFill>
                </w14:textFill>
              </w:rPr>
              <w:t>满足《挥发性有机物无组织排放控制标准》（GB 37822</w:t>
            </w:r>
            <w:r>
              <w:rPr>
                <w:rFonts w:hint="eastAsia" w:ascii="Times New Roman" w:hAnsi="Times New Roman" w:cs="Times New Roman"/>
                <w:color w:val="000000" w:themeColor="text1"/>
                <w:kern w:val="21"/>
                <w14:textFill>
                  <w14:solidFill>
                    <w14:schemeClr w14:val="tx1"/>
                  </w14:solidFill>
                </w14:textFill>
              </w:rPr>
              <w:t>—</w:t>
            </w:r>
            <w:r>
              <w:rPr>
                <w:rFonts w:ascii="Times New Roman" w:hAnsi="Times New Roman" w:cs="Times New Roman"/>
                <w:color w:val="000000" w:themeColor="text1"/>
                <w:kern w:val="21"/>
                <w14:textFill>
                  <w14:solidFill>
                    <w14:schemeClr w14:val="tx1"/>
                  </w14:solidFill>
                </w14:textFill>
              </w:rPr>
              <w:t>2019）</w:t>
            </w:r>
            <w:r>
              <w:rPr>
                <w:rFonts w:hint="eastAsia" w:ascii="Times New Roman" w:hAnsi="Times New Roman" w:cs="Times New Roman"/>
                <w:color w:val="000000" w:themeColor="text1"/>
                <w:kern w:val="21"/>
                <w14:textFill>
                  <w14:solidFill>
                    <w14:schemeClr w14:val="tx1"/>
                  </w14:solidFill>
                </w14:textFill>
              </w:rPr>
              <w:t>的无组织排放控制要求</w:t>
            </w:r>
            <w:r>
              <w:rPr>
                <w:rFonts w:ascii="Times New Roman" w:hAnsi="Times New Roman" w:cs="Times New Roman"/>
                <w:color w:val="000000" w:themeColor="text1"/>
                <w:kern w:val="21"/>
                <w14:textFill>
                  <w14:solidFill>
                    <w14:schemeClr w14:val="tx1"/>
                  </w14:solidFill>
                </w14:textFill>
              </w:rPr>
              <w:t>。</w:t>
            </w:r>
          </w:p>
          <w:p w14:paraId="1C35C070">
            <w:pPr>
              <w:spacing w:line="360" w:lineRule="auto"/>
              <w:ind w:firstLine="482" w:firstLineChars="200"/>
              <w:rPr>
                <w:rFonts w:ascii="Times New Roman" w:hAnsi="Times New Roman" w:cs="Times New Roman"/>
                <w:b/>
                <w:bCs/>
                <w:iCs/>
                <w:color w:val="000000" w:themeColor="text1"/>
                <w14:textFill>
                  <w14:solidFill>
                    <w14:schemeClr w14:val="tx1"/>
                  </w14:solidFill>
                </w14:textFill>
              </w:rPr>
            </w:pPr>
            <w:r>
              <w:rPr>
                <w:rFonts w:ascii="Times New Roman" w:hAnsi="Times New Roman" w:cs="Times New Roman"/>
                <w:b/>
                <w:bCs/>
                <w:iCs/>
                <w:color w:val="000000" w:themeColor="text1"/>
                <w14:textFill>
                  <w14:solidFill>
                    <w14:schemeClr w14:val="tx1"/>
                  </w14:solidFill>
                </w14:textFill>
              </w:rPr>
              <w:t>2.</w:t>
            </w:r>
            <w:r>
              <w:rPr>
                <w:rFonts w:hint="eastAsia" w:ascii="Times New Roman" w:hAnsi="Times New Roman" w:cs="Times New Roman"/>
                <w:b/>
                <w:bCs/>
                <w:iCs/>
                <w:color w:val="000000" w:themeColor="text1"/>
                <w14:textFill>
                  <w14:solidFill>
                    <w14:schemeClr w14:val="tx1"/>
                  </w14:solidFill>
                </w14:textFill>
              </w:rPr>
              <w:t>3</w:t>
            </w:r>
            <w:r>
              <w:rPr>
                <w:rFonts w:ascii="Times New Roman" w:hAnsi="Times New Roman" w:cs="Times New Roman"/>
                <w:b/>
                <w:bCs/>
                <w:iCs/>
                <w:color w:val="000000" w:themeColor="text1"/>
                <w14:textFill>
                  <w14:solidFill>
                    <w14:schemeClr w14:val="tx1"/>
                  </w14:solidFill>
                </w14:textFill>
              </w:rPr>
              <w:t>废气影响分析</w:t>
            </w:r>
          </w:p>
          <w:p w14:paraId="1DCF902C">
            <w:pPr>
              <w:adjustRightInd w:val="0"/>
              <w:snapToGrid w:val="0"/>
              <w:spacing w:line="360" w:lineRule="auto"/>
              <w:ind w:firstLine="480" w:firstLineChars="200"/>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项目所在区域的环境质量现状均为达标情况，</w:t>
            </w:r>
            <w:r>
              <w:rPr>
                <w:rFonts w:ascii="Times New Roman" w:hAnsi="Times New Roman" w:cs="Times New Roman"/>
                <w:bCs/>
                <w:color w:val="000000" w:themeColor="text1"/>
                <w14:textFill>
                  <w14:solidFill>
                    <w14:schemeClr w14:val="tx1"/>
                  </w14:solidFill>
                </w14:textFill>
              </w:rPr>
              <w:t>厂界外500m范围内</w:t>
            </w:r>
            <w:r>
              <w:rPr>
                <w:rFonts w:ascii="Times New Roman" w:hAnsi="Times New Roman" w:cs="Times New Roman"/>
                <w:color w:val="000000" w:themeColor="text1"/>
                <w14:textFill>
                  <w14:solidFill>
                    <w14:schemeClr w14:val="tx1"/>
                  </w14:solidFill>
                </w14:textFill>
              </w:rPr>
              <w:t>无环境保护目标。</w:t>
            </w:r>
          </w:p>
          <w:p w14:paraId="5EA9DC0B">
            <w:pPr>
              <w:adjustRightInd w:val="0"/>
              <w:snapToGrid w:val="0"/>
              <w:spacing w:line="360" w:lineRule="auto"/>
              <w:ind w:firstLine="480" w:firstLineChars="200"/>
              <w:jc w:val="both"/>
              <w:rPr>
                <w:rFonts w:ascii="Times New Roman" w:hAnsi="Times New Roman" w:cs="Times New Roman"/>
                <w:bCs/>
                <w:color w:val="0000FF"/>
              </w:rPr>
            </w:pPr>
            <w:r>
              <w:rPr>
                <w:rFonts w:hint="eastAsia" w:ascii="Times New Roman" w:hAnsi="Times New Roman" w:cs="Times New Roman"/>
                <w:color w:val="000000" w:themeColor="text1"/>
                <w14:textFill>
                  <w14:solidFill>
                    <w14:schemeClr w14:val="tx1"/>
                  </w14:solidFill>
                </w14:textFill>
              </w:rPr>
              <w:t>液硫储罐设置氮封系统，储罐呼吸废气经升华硫回收器处理后，经罐顶排气口（DA001，H=15m）排放。</w:t>
            </w:r>
            <w:r>
              <w:rPr>
                <w:rFonts w:hint="eastAsia" w:ascii="Times New Roman" w:hAnsi="Times New Roman" w:cs="Times New Roman"/>
                <w:bCs/>
                <w:color w:val="000000" w:themeColor="text1"/>
                <w14:textFill>
                  <w14:solidFill>
                    <w14:schemeClr w14:val="tx1"/>
                  </w14:solidFill>
                </w14:textFill>
              </w:rPr>
              <w:t>升华硫回收器对升华硫（颗粒物）的回收率为98%，则尾气中升华硫（颗粒物）的浓度为24.4mg/Nm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（＜120mg/m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），升华硫（颗粒物）排放量为0.00025kg/h（＜3.5kg/h），满足《大气污染物综合排放标准》(GB16297-1996)表2新污染源大气污染物排放限值标准。</w:t>
            </w:r>
          </w:p>
          <w:p w14:paraId="3FE71F2B">
            <w:pPr>
              <w:adjustRightInd w:val="0"/>
              <w:snapToGrid w:val="0"/>
              <w:spacing w:line="360" w:lineRule="auto"/>
              <w:ind w:firstLine="480" w:firstLineChars="200"/>
              <w:textAlignment w:val="baseline"/>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发烟硫酸/98%硫酸储罐设置氮封系统，储罐呼吸废气经二级三氧化硫吸收装置处理后的</w:t>
            </w:r>
            <w:r>
              <w:rPr>
                <w:rFonts w:hint="eastAsia" w:ascii="Times New Roman" w:hAnsi="Times New Roman" w:cs="Times New Roman"/>
                <w:color w:val="000000" w:themeColor="text1"/>
                <w:kern w:val="21"/>
                <w14:textFill>
                  <w14:solidFill>
                    <w14:schemeClr w14:val="tx1"/>
                  </w14:solidFill>
                </w14:textFill>
              </w:rPr>
              <w:t>尾气经排气筒DA002（H=15m）排放，尾气中的硫酸雾浓度为19.7mg/m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（＜45mg/m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），硫酸雾的排放量为0.00005kg/h（＜1.5kg/h），满足</w:t>
            </w:r>
            <w:r>
              <w:rPr>
                <w:rFonts w:hint="eastAsia" w:ascii="Times New Roman" w:hAnsi="Times New Roman" w:cs="Times New Roman"/>
                <w:bCs/>
                <w:color w:val="000000" w:themeColor="text1"/>
                <w14:textFill>
                  <w14:solidFill>
                    <w14:schemeClr w14:val="tx1"/>
                  </w14:solidFill>
                </w14:textFill>
              </w:rPr>
              <w:t>《大气污染物综合排放标准》(GB16297-1996)表2新污染源大气污染物排放限值标准。</w:t>
            </w:r>
          </w:p>
          <w:p w14:paraId="7424D659">
            <w:pPr>
              <w:spacing w:line="360" w:lineRule="auto"/>
              <w:ind w:firstLine="480" w:firstLineChars="200"/>
              <w:jc w:val="both"/>
              <w:rPr>
                <w:rFonts w:ascii="Times New Roman" w:hAnsi="Times New Roman" w:cs="Times New Roman"/>
                <w:color w:val="FF0000"/>
                <w:kern w:val="21"/>
              </w:rPr>
            </w:pPr>
            <w:r>
              <w:rPr>
                <w:rFonts w:hint="eastAsia" w:ascii="Times New Roman" w:hAnsi="Times New Roman" w:cs="Times New Roman"/>
                <w:color w:val="000000" w:themeColor="text1"/>
                <w:kern w:val="21"/>
                <w14:textFill>
                  <w14:solidFill>
                    <w14:schemeClr w14:val="tx1"/>
                  </w14:solidFill>
                </w14:textFill>
              </w:rPr>
              <w:t>苯酚储罐呼吸废气：设置氮封装置，储罐呼吸废气经油气回收装置后，再经活性炭吸附后尾气</w:t>
            </w:r>
            <w:r>
              <w:rPr>
                <w:rFonts w:hint="eastAsia" w:ascii="Times New Roman" w:hAnsi="Times New Roman" w:cs="Times New Roman"/>
                <w:bCs/>
                <w:color w:val="000000" w:themeColor="text1"/>
                <w14:textFill>
                  <w14:solidFill>
                    <w14:schemeClr w14:val="tx1"/>
                  </w14:solidFill>
                </w14:textFill>
              </w:rPr>
              <w:t>经排气筒DA003（H=15m）高空排放。尾气中</w:t>
            </w:r>
            <w:r>
              <w:rPr>
                <w:rFonts w:hint="eastAsia" w:ascii="Times New Roman" w:hAnsi="Times New Roman" w:cs="Times New Roman"/>
                <w:color w:val="000000" w:themeColor="text1"/>
                <w:kern w:val="21"/>
                <w14:textFill>
                  <w14:solidFill>
                    <w14:schemeClr w14:val="tx1"/>
                  </w14:solidFill>
                </w14:textFill>
              </w:rPr>
              <w:t>苯酚浓度为26.9mg/Nm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（＜100mg/m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w:t>
            </w:r>
            <w:r>
              <w:rPr>
                <w:rFonts w:hint="eastAsia" w:ascii="Times New Roman" w:hAnsi="Times New Roman" w:cs="Times New Roman"/>
                <w:bCs/>
                <w:color w:val="000000" w:themeColor="text1"/>
                <w14:textFill>
                  <w14:solidFill>
                    <w14:schemeClr w14:val="tx1"/>
                  </w14:solidFill>
                </w14:textFill>
              </w:rPr>
              <w:t>排放量为0.00050kg/h（＜0.1kg/h），满足《大气污染物综合排放标准》(GB16297-1996)表2新污染源大气污染物排放限值标准。</w:t>
            </w:r>
          </w:p>
          <w:p w14:paraId="22AE15EF">
            <w:pPr>
              <w:adjustRightInd w:val="0"/>
              <w:snapToGrid w:val="0"/>
              <w:spacing w:line="360" w:lineRule="auto"/>
              <w:ind w:firstLine="480" w:firstLineChars="200"/>
              <w:textAlignment w:val="baseline"/>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color w:val="000000" w:themeColor="text1"/>
                <w:kern w:val="21"/>
                <w14:textFill>
                  <w14:solidFill>
                    <w14:schemeClr w14:val="tx1"/>
                  </w14:solidFill>
                </w14:textFill>
              </w:rPr>
              <w:t>己内酰胺储罐呼吸废气：设置氮封装置，储罐呼吸废气经水洗塔吸收后，尾气中非甲烷总烃的浓度为61.7mg/Nm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（＜120mg/m</w:t>
            </w:r>
            <w:r>
              <w:rPr>
                <w:rFonts w:hint="eastAsia" w:ascii="Times New Roman" w:hAnsi="Times New Roman" w:cs="Times New Roman"/>
                <w:color w:val="000000" w:themeColor="text1"/>
                <w:kern w:val="21"/>
                <w:vertAlign w:val="superscript"/>
                <w14:textFill>
                  <w14:solidFill>
                    <w14:schemeClr w14:val="tx1"/>
                  </w14:solidFill>
                </w14:textFill>
              </w:rPr>
              <w:t>3</w:t>
            </w:r>
            <w:r>
              <w:rPr>
                <w:rFonts w:hint="eastAsia" w:ascii="Times New Roman" w:hAnsi="Times New Roman" w:cs="Times New Roman"/>
                <w:color w:val="000000" w:themeColor="text1"/>
                <w:kern w:val="21"/>
                <w14:textFill>
                  <w14:solidFill>
                    <w14:schemeClr w14:val="tx1"/>
                  </w14:solidFill>
                </w14:textFill>
              </w:rPr>
              <w:t>），</w:t>
            </w:r>
            <w:r>
              <w:rPr>
                <w:rFonts w:hint="eastAsia" w:ascii="Times New Roman" w:hAnsi="Times New Roman" w:cs="Times New Roman"/>
                <w:bCs/>
                <w:color w:val="000000" w:themeColor="text1"/>
                <w14:textFill>
                  <w14:solidFill>
                    <w14:schemeClr w14:val="tx1"/>
                  </w14:solidFill>
                </w14:textFill>
              </w:rPr>
              <w:t>排放量为0.00127kg/h（＜10kg/h），尾气经排气筒DA003（H=15m）高空排放，满足《大气污染物综合排放标准》(GB16297-1996)表2新污染源大气污染物排放限值标准。</w:t>
            </w:r>
          </w:p>
          <w:p w14:paraId="7F93678A">
            <w:pPr>
              <w:adjustRightInd w:val="0"/>
              <w:snapToGrid w:val="0"/>
              <w:spacing w:line="360" w:lineRule="auto"/>
              <w:ind w:firstLine="480" w:firstLineChars="200"/>
              <w:textAlignment w:val="baseline"/>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本项目货种装卸料、装置密封点挥发废气经周围大气稀释扩散，可</w:t>
            </w:r>
            <w:r>
              <w:rPr>
                <w:rFonts w:ascii="Times New Roman" w:hAnsi="Times New Roman" w:cs="Times New Roman"/>
                <w:bCs/>
                <w:color w:val="000000" w:themeColor="text1"/>
                <w14:textFill>
                  <w14:solidFill>
                    <w14:schemeClr w14:val="tx1"/>
                  </w14:solidFill>
                </w14:textFill>
              </w:rPr>
              <w:t>达到《大气污染物综合排放标准》(GB16297-1996)表2新污染源大气污染物无组织排放限值标准。</w:t>
            </w:r>
          </w:p>
          <w:p w14:paraId="1BF4AE9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（2）废气影响控制措施</w:t>
            </w:r>
          </w:p>
          <w:p w14:paraId="4105ADE2">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本项目在储罐采取氮封的同时，本项目提出以下措施，进一步减少项目废气对周围环境的影响：</w:t>
            </w:r>
          </w:p>
          <w:p w14:paraId="1D0CF40E">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1）采用低泄漏的储罐呼吸阀和紧急泄压阀；</w:t>
            </w:r>
          </w:p>
          <w:p w14:paraId="505DFC6F">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2）加强日常巡查检查次数，确保储罐罐体应保持完好，不应有孔洞、缝隙（除内浮顶罐边缘通气孔外）；除采样、计量、例行检查、维护和其他正常活动外，储罐附件开口保持密闭；</w:t>
            </w:r>
          </w:p>
          <w:p w14:paraId="6D42EC1A">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3）加强管道及阀门的管理维修，可有效减少废气产生。</w:t>
            </w:r>
          </w:p>
          <w:p w14:paraId="1EB3ADC5">
            <w:pPr>
              <w:spacing w:line="360" w:lineRule="auto"/>
              <w:ind w:firstLine="480" w:firstLineChars="200"/>
              <w:rPr>
                <w:rFonts w:ascii="Times New Roman" w:hAnsi="Times New Roman" w:cs="Times New Roman"/>
                <w:b/>
                <w:bCs/>
                <w:i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w:t>
            </w:r>
            <w:r>
              <w:rPr>
                <w:rFonts w:hint="eastAsia" w:ascii="Times New Roman" w:hAnsi="Times New Roman" w:cs="Times New Roman"/>
                <w:color w:val="000000" w:themeColor="text1"/>
                <w14:textFill>
                  <w14:solidFill>
                    <w14:schemeClr w14:val="tx1"/>
                  </w14:solidFill>
                </w14:textFill>
              </w:rPr>
              <w:t>所述</w:t>
            </w:r>
            <w:r>
              <w:rPr>
                <w:rFonts w:ascii="Times New Roman" w:hAnsi="Times New Roman" w:cs="Times New Roman"/>
                <w:color w:val="000000" w:themeColor="text1"/>
                <w14:textFill>
                  <w14:solidFill>
                    <w14:schemeClr w14:val="tx1"/>
                  </w14:solidFill>
                </w14:textFill>
              </w:rPr>
              <w:t>，项目采取</w:t>
            </w:r>
            <w:r>
              <w:rPr>
                <w:rFonts w:hint="eastAsia" w:ascii="Times New Roman" w:hAnsi="Times New Roman" w:cs="Times New Roman"/>
                <w:color w:val="000000" w:themeColor="text1"/>
                <w14:textFill>
                  <w14:solidFill>
                    <w14:schemeClr w14:val="tx1"/>
                  </w14:solidFill>
                </w14:textFill>
              </w:rPr>
              <w:t>上述</w:t>
            </w:r>
            <w:r>
              <w:rPr>
                <w:rFonts w:ascii="Times New Roman" w:hAnsi="Times New Roman" w:cs="Times New Roman"/>
                <w:color w:val="000000" w:themeColor="text1"/>
                <w14:textFill>
                  <w14:solidFill>
                    <w14:schemeClr w14:val="tx1"/>
                  </w14:solidFill>
                </w14:textFill>
              </w:rPr>
              <w:t>措施后对环境的影响在可接受范围内。</w:t>
            </w:r>
          </w:p>
          <w:p w14:paraId="2DFCA8BE">
            <w:pPr>
              <w:spacing w:line="360" w:lineRule="auto"/>
              <w:ind w:firstLine="482" w:firstLineChars="200"/>
              <w:rPr>
                <w:rFonts w:ascii="Times New Roman" w:hAnsi="Times New Roman" w:cs="Times New Roman"/>
                <w:b/>
                <w:bCs/>
                <w:iCs/>
                <w:color w:val="000000" w:themeColor="text1"/>
                <w14:textFill>
                  <w14:solidFill>
                    <w14:schemeClr w14:val="tx1"/>
                  </w14:solidFill>
                </w14:textFill>
              </w:rPr>
            </w:pPr>
            <w:r>
              <w:rPr>
                <w:rFonts w:ascii="Times New Roman" w:hAnsi="Times New Roman" w:cs="Times New Roman"/>
                <w:b/>
                <w:bCs/>
                <w:iCs/>
                <w:color w:val="000000" w:themeColor="text1"/>
                <w14:textFill>
                  <w14:solidFill>
                    <w14:schemeClr w14:val="tx1"/>
                  </w14:solidFill>
                </w14:textFill>
              </w:rPr>
              <w:t>2.5非正常情况</w:t>
            </w:r>
          </w:p>
          <w:p w14:paraId="4B261623">
            <w:pPr>
              <w:pStyle w:val="81"/>
              <w:spacing w:before="0" w:beforeAutospacing="0" w:after="0" w:afterAutospacing="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非正常排放是指生产过程中开停机、设备检修、工艺设备运转异常等非正常状况。本项目废气非正常排放主要考虑废气处理设施发生故障，评价按最不利的情况考虑，即</w:t>
            </w:r>
            <w:r>
              <w:rPr>
                <w:rFonts w:hint="eastAsia" w:ascii="Times New Roman" w:hAnsi="Times New Roman" w:cs="Times New Roman"/>
                <w:color w:val="000000" w:themeColor="text1"/>
                <w14:textFill>
                  <w14:solidFill>
                    <w14:schemeClr w14:val="tx1"/>
                  </w14:solidFill>
                </w14:textFill>
              </w:rPr>
              <w:t>升华硫回收器</w:t>
            </w:r>
            <w:r>
              <w:rPr>
                <w:rFonts w:ascii="Times New Roman" w:hAnsi="Times New Roman" w:cs="Times New Roman"/>
                <w:color w:val="000000" w:themeColor="text1"/>
                <w14:textFill>
                  <w14:solidFill>
                    <w14:schemeClr w14:val="tx1"/>
                  </w14:solidFill>
                </w14:textFill>
              </w:rPr>
              <w:t>失效</w:t>
            </w:r>
            <w:r>
              <w:rPr>
                <w:rFonts w:hint="eastAsia" w:ascii="Times New Roman" w:hAnsi="Times New Roman" w:cs="Times New Roman"/>
                <w:color w:val="000000" w:themeColor="text1"/>
                <w14:textFill>
                  <w14:solidFill>
                    <w14:schemeClr w14:val="tx1"/>
                  </w14:solidFill>
                </w14:textFill>
              </w:rPr>
              <w:t>、二级三氧化硫吸收装置故障</w:t>
            </w:r>
            <w:r>
              <w:rPr>
                <w:rFonts w:ascii="Times New Roman" w:hAnsi="Times New Roman" w:cs="Times New Roman"/>
                <w:color w:val="000000" w:themeColor="text1"/>
                <w14:textFill>
                  <w14:solidFill>
                    <w14:schemeClr w14:val="tx1"/>
                  </w14:solidFill>
                </w14:textFill>
              </w:rPr>
              <w:t>情况下的废气直接排放的情况，见下表。</w:t>
            </w:r>
          </w:p>
          <w:p w14:paraId="0D66600C">
            <w:pPr>
              <w:jc w:val="center"/>
              <w:rPr>
                <w:rFonts w:ascii="Times New Roman" w:hAnsi="Times New Roman" w:cs="Times New Roman"/>
                <w:b/>
                <w:bCs/>
                <w:color w:val="000000" w:themeColor="text1"/>
                <w:kern w:val="21"/>
                <w14:textFill>
                  <w14:solidFill>
                    <w14:schemeClr w14:val="tx1"/>
                  </w14:solidFill>
                </w14:textFill>
              </w:rPr>
            </w:pPr>
            <w:r>
              <w:rPr>
                <w:rFonts w:ascii="Times New Roman" w:hAnsi="Times New Roman" w:cs="Times New Roman"/>
                <w:b/>
                <w:bCs/>
                <w:color w:val="000000" w:themeColor="text1"/>
                <w:kern w:val="21"/>
                <w14:textFill>
                  <w14:solidFill>
                    <w14:schemeClr w14:val="tx1"/>
                  </w14:solidFill>
                </w14:textFill>
              </w:rPr>
              <w:t>表4-1</w:t>
            </w:r>
            <w:r>
              <w:rPr>
                <w:rFonts w:hint="eastAsia" w:ascii="Times New Roman" w:hAnsi="Times New Roman" w:cs="Times New Roman"/>
                <w:b/>
                <w:bCs/>
                <w:color w:val="000000" w:themeColor="text1"/>
                <w:kern w:val="21"/>
                <w14:textFill>
                  <w14:solidFill>
                    <w14:schemeClr w14:val="tx1"/>
                  </w14:solidFill>
                </w14:textFill>
              </w:rPr>
              <w:t>4</w:t>
            </w:r>
            <w:r>
              <w:rPr>
                <w:rFonts w:ascii="Times New Roman" w:hAnsi="Times New Roman" w:cs="Times New Roman"/>
                <w:b/>
                <w:bCs/>
                <w:color w:val="000000" w:themeColor="text1"/>
                <w:kern w:val="21"/>
                <w14:textFill>
                  <w14:solidFill>
                    <w14:schemeClr w14:val="tx1"/>
                  </w14:solidFill>
                </w14:textFill>
              </w:rPr>
              <w:t>废气非正常排放情况</w:t>
            </w:r>
          </w:p>
          <w:tbl>
            <w:tblPr>
              <w:tblStyle w:val="88"/>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964"/>
              <w:gridCol w:w="1583"/>
              <w:gridCol w:w="870"/>
              <w:gridCol w:w="1285"/>
              <w:gridCol w:w="1495"/>
              <w:gridCol w:w="970"/>
              <w:gridCol w:w="971"/>
              <w:gridCol w:w="1161"/>
            </w:tblGrid>
            <w:tr w14:paraId="644EA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405" w:hRule="atLeast"/>
              </w:trPr>
              <w:tc>
                <w:tcPr>
                  <w:tcW w:w="964" w:type="dxa"/>
                  <w:vAlign w:val="center"/>
                </w:tcPr>
                <w:p w14:paraId="7B20F0E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污染源</w:t>
                  </w:r>
                </w:p>
              </w:tc>
              <w:tc>
                <w:tcPr>
                  <w:tcW w:w="1583" w:type="dxa"/>
                  <w:vAlign w:val="center"/>
                </w:tcPr>
                <w:p w14:paraId="60E2AC5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非正常排放原因</w:t>
                  </w:r>
                </w:p>
              </w:tc>
              <w:tc>
                <w:tcPr>
                  <w:tcW w:w="870" w:type="dxa"/>
                  <w:vAlign w:val="center"/>
                </w:tcPr>
                <w:p w14:paraId="1ACC5EE5">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污染物</w:t>
                  </w:r>
                </w:p>
              </w:tc>
              <w:tc>
                <w:tcPr>
                  <w:tcW w:w="1285" w:type="dxa"/>
                  <w:vAlign w:val="center"/>
                </w:tcPr>
                <w:p w14:paraId="7E36BD9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非正常排放速率kg/h</w:t>
                  </w:r>
                </w:p>
              </w:tc>
              <w:tc>
                <w:tcPr>
                  <w:tcW w:w="1495" w:type="dxa"/>
                  <w:vAlign w:val="center"/>
                </w:tcPr>
                <w:p w14:paraId="2DF9E1E1">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非正常情况排放浓度mg/m</w:t>
                  </w:r>
                  <w:r>
                    <w:rPr>
                      <w:rFonts w:ascii="Times New Roman" w:hAnsi="Times New Roman" w:cs="Times New Roman"/>
                      <w:color w:val="000000" w:themeColor="text1"/>
                      <w:kern w:val="21"/>
                      <w:sz w:val="21"/>
                      <w:szCs w:val="21"/>
                      <w:vertAlign w:val="superscript"/>
                      <w14:textFill>
                        <w14:solidFill>
                          <w14:schemeClr w14:val="tx1"/>
                        </w14:solidFill>
                      </w14:textFill>
                    </w:rPr>
                    <w:t>3</w:t>
                  </w:r>
                </w:p>
              </w:tc>
              <w:tc>
                <w:tcPr>
                  <w:tcW w:w="970" w:type="dxa"/>
                  <w:vAlign w:val="center"/>
                </w:tcPr>
                <w:p w14:paraId="30D5565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单次持续时间h</w:t>
                  </w:r>
                </w:p>
              </w:tc>
              <w:tc>
                <w:tcPr>
                  <w:tcW w:w="971" w:type="dxa"/>
                  <w:vAlign w:val="center"/>
                </w:tcPr>
                <w:p w14:paraId="527116D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年发生频次</w:t>
                  </w:r>
                </w:p>
              </w:tc>
              <w:tc>
                <w:tcPr>
                  <w:tcW w:w="1161" w:type="dxa"/>
                  <w:vAlign w:val="center"/>
                </w:tcPr>
                <w:p w14:paraId="57498516">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应对措施</w:t>
                  </w:r>
                </w:p>
              </w:tc>
            </w:tr>
            <w:tr w14:paraId="3A16A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964" w:type="dxa"/>
                  <w:vAlign w:val="center"/>
                </w:tcPr>
                <w:p w14:paraId="34999D06">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DA00</w:t>
                  </w:r>
                  <w:r>
                    <w:rPr>
                      <w:rFonts w:hint="eastAsia" w:ascii="Times New Roman" w:hAnsi="Times New Roman" w:cs="Times New Roman"/>
                      <w:color w:val="000000" w:themeColor="text1"/>
                      <w:kern w:val="21"/>
                      <w:sz w:val="21"/>
                      <w:szCs w:val="21"/>
                      <w14:textFill>
                        <w14:solidFill>
                          <w14:schemeClr w14:val="tx1"/>
                        </w14:solidFill>
                      </w14:textFill>
                    </w:rPr>
                    <w:t>1</w:t>
                  </w:r>
                </w:p>
              </w:tc>
              <w:tc>
                <w:tcPr>
                  <w:tcW w:w="1583" w:type="dxa"/>
                  <w:vAlign w:val="center"/>
                </w:tcPr>
                <w:p w14:paraId="270647D6">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升华硫回收装置</w:t>
                  </w:r>
                  <w:r>
                    <w:rPr>
                      <w:rFonts w:ascii="Times New Roman" w:hAnsi="Times New Roman" w:cs="Times New Roman"/>
                      <w:color w:val="000000" w:themeColor="text1"/>
                      <w:kern w:val="21"/>
                      <w:sz w:val="21"/>
                      <w:szCs w:val="21"/>
                      <w14:textFill>
                        <w14:solidFill>
                          <w14:schemeClr w14:val="tx1"/>
                        </w14:solidFill>
                      </w14:textFill>
                    </w:rPr>
                    <w:t>设施故障</w:t>
                  </w:r>
                </w:p>
              </w:tc>
              <w:tc>
                <w:tcPr>
                  <w:tcW w:w="870" w:type="dxa"/>
                  <w:vAlign w:val="center"/>
                </w:tcPr>
                <w:p w14:paraId="0DD2251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硫（颗粒物）</w:t>
                  </w:r>
                </w:p>
              </w:tc>
              <w:tc>
                <w:tcPr>
                  <w:tcW w:w="1285" w:type="dxa"/>
                  <w:vAlign w:val="center"/>
                </w:tcPr>
                <w:p w14:paraId="276C284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0.0124</w:t>
                  </w:r>
                </w:p>
              </w:tc>
              <w:tc>
                <w:tcPr>
                  <w:tcW w:w="1495" w:type="dxa"/>
                  <w:vAlign w:val="center"/>
                </w:tcPr>
                <w:p w14:paraId="5F23BEED">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1219.9</w:t>
                  </w:r>
                </w:p>
              </w:tc>
              <w:tc>
                <w:tcPr>
                  <w:tcW w:w="970" w:type="dxa"/>
                  <w:vAlign w:val="center"/>
                </w:tcPr>
                <w:p w14:paraId="54B2DC9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w:t>
                  </w:r>
                </w:p>
              </w:tc>
              <w:tc>
                <w:tcPr>
                  <w:tcW w:w="971" w:type="dxa"/>
                  <w:vAlign w:val="center"/>
                </w:tcPr>
                <w:p w14:paraId="70866B69">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w:t>
                  </w:r>
                </w:p>
              </w:tc>
              <w:tc>
                <w:tcPr>
                  <w:tcW w:w="1161" w:type="dxa"/>
                  <w:vAlign w:val="center"/>
                </w:tcPr>
                <w:p w14:paraId="569701A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定期检查，及时</w:t>
                  </w:r>
                  <w:r>
                    <w:rPr>
                      <w:rFonts w:hint="eastAsia" w:ascii="Times New Roman" w:hAnsi="Times New Roman" w:cs="Times New Roman"/>
                      <w:color w:val="000000" w:themeColor="text1"/>
                      <w:kern w:val="21"/>
                      <w:sz w:val="21"/>
                      <w:szCs w:val="21"/>
                      <w14:textFill>
                        <w14:solidFill>
                          <w14:schemeClr w14:val="tx1"/>
                        </w14:solidFill>
                      </w14:textFill>
                    </w:rPr>
                    <w:t>清洗或更换滤芯</w:t>
                  </w:r>
                </w:p>
              </w:tc>
            </w:tr>
            <w:tr w14:paraId="7BBD4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964" w:type="dxa"/>
                  <w:vAlign w:val="center"/>
                </w:tcPr>
                <w:p w14:paraId="27D6264F">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DA002</w:t>
                  </w:r>
                </w:p>
              </w:tc>
              <w:tc>
                <w:tcPr>
                  <w:tcW w:w="1583" w:type="dxa"/>
                  <w:vAlign w:val="center"/>
                </w:tcPr>
                <w:p w14:paraId="29BEC127">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三氧化硫二级吸收装置故障</w:t>
                  </w:r>
                </w:p>
              </w:tc>
              <w:tc>
                <w:tcPr>
                  <w:tcW w:w="870" w:type="dxa"/>
                  <w:vAlign w:val="center"/>
                </w:tcPr>
                <w:p w14:paraId="69C8313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1285" w:type="dxa"/>
                  <w:vAlign w:val="center"/>
                </w:tcPr>
                <w:p w14:paraId="4C5D1754">
                  <w:pPr>
                    <w:jc w:val="center"/>
                    <w:textAlignment w:val="bottom"/>
                    <w:rPr>
                      <w:rFonts w:ascii="Times New Roman" w:hAnsi="Times New Roman" w:cs="Times New Roman"/>
                      <w:color w:val="0000FF"/>
                      <w:sz w:val="21"/>
                      <w:szCs w:val="21"/>
                    </w:rPr>
                  </w:pPr>
                  <w:r>
                    <w:rPr>
                      <w:rFonts w:hint="eastAsia" w:ascii="Times New Roman" w:hAnsi="Times New Roman" w:cs="Times New Roman"/>
                      <w:color w:val="000000" w:themeColor="text1"/>
                      <w:sz w:val="21"/>
                      <w:szCs w:val="21"/>
                      <w14:textFill>
                        <w14:solidFill>
                          <w14:schemeClr w14:val="tx1"/>
                        </w14:solidFill>
                      </w14:textFill>
                    </w:rPr>
                    <w:t>0.0095</w:t>
                  </w:r>
                </w:p>
              </w:tc>
              <w:tc>
                <w:tcPr>
                  <w:tcW w:w="1495" w:type="dxa"/>
                  <w:vAlign w:val="center"/>
                </w:tcPr>
                <w:p w14:paraId="7FC50435">
                  <w:pPr>
                    <w:jc w:val="center"/>
                    <w:textAlignment w:val="bottom"/>
                    <w:rPr>
                      <w:rFonts w:ascii="Times New Roman" w:hAnsi="Times New Roman" w:cs="Times New Roman"/>
                      <w:color w:val="0000FF"/>
                      <w:sz w:val="21"/>
                      <w:szCs w:val="21"/>
                    </w:rPr>
                  </w:pPr>
                  <w:r>
                    <w:rPr>
                      <w:rFonts w:ascii="Times New Roman" w:hAnsi="Times New Roman" w:cs="Times New Roman"/>
                      <w:color w:val="000000"/>
                      <w:sz w:val="21"/>
                      <w:szCs w:val="21"/>
                      <w:lang w:bidi="ar"/>
                    </w:rPr>
                    <w:t>3947.9</w:t>
                  </w:r>
                </w:p>
              </w:tc>
              <w:tc>
                <w:tcPr>
                  <w:tcW w:w="970" w:type="dxa"/>
                  <w:vAlign w:val="center"/>
                </w:tcPr>
                <w:p w14:paraId="164489ED">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w:t>
                  </w:r>
                </w:p>
              </w:tc>
              <w:tc>
                <w:tcPr>
                  <w:tcW w:w="971" w:type="dxa"/>
                  <w:vAlign w:val="center"/>
                </w:tcPr>
                <w:p w14:paraId="2A1C0021">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w:t>
                  </w:r>
                </w:p>
              </w:tc>
              <w:tc>
                <w:tcPr>
                  <w:tcW w:w="1161" w:type="dxa"/>
                  <w:vAlign w:val="center"/>
                </w:tcPr>
                <w:p w14:paraId="3FCD74FE">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定期检查，及时清洗，避免填料堵塞失效等</w:t>
                  </w:r>
                </w:p>
              </w:tc>
            </w:tr>
            <w:tr w14:paraId="223D2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964" w:type="dxa"/>
                  <w:vAlign w:val="center"/>
                </w:tcPr>
                <w:p w14:paraId="64F49091">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DA003</w:t>
                  </w:r>
                </w:p>
              </w:tc>
              <w:tc>
                <w:tcPr>
                  <w:tcW w:w="1583" w:type="dxa"/>
                  <w:vAlign w:val="center"/>
                </w:tcPr>
                <w:p w14:paraId="691253DC">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苯酚油气回收装置故障</w:t>
                  </w:r>
                </w:p>
              </w:tc>
              <w:tc>
                <w:tcPr>
                  <w:tcW w:w="870" w:type="dxa"/>
                  <w:vAlign w:val="center"/>
                </w:tcPr>
                <w:p w14:paraId="458BAFF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1285" w:type="dxa"/>
                  <w:vAlign w:val="center"/>
                </w:tcPr>
                <w:p w14:paraId="21329BCF">
                  <w:pPr>
                    <w:jc w:val="center"/>
                    <w:textAlignment w:val="bottom"/>
                    <w:rPr>
                      <w:rFonts w:ascii="Times New Roman" w:hAnsi="Times New Roman" w:cs="Times New Roman"/>
                      <w:color w:val="FF0000"/>
                      <w:sz w:val="21"/>
                      <w:szCs w:val="21"/>
                    </w:rPr>
                  </w:pPr>
                  <w:r>
                    <w:rPr>
                      <w:rFonts w:hint="eastAsia" w:ascii="Times New Roman" w:hAnsi="Times New Roman" w:cs="Times New Roman"/>
                      <w:color w:val="000000" w:themeColor="text1"/>
                      <w:sz w:val="21"/>
                      <w:szCs w:val="21"/>
                      <w14:textFill>
                        <w14:solidFill>
                          <w14:schemeClr w14:val="tx1"/>
                        </w14:solidFill>
                      </w14:textFill>
                    </w:rPr>
                    <w:t>0.0502</w:t>
                  </w:r>
                </w:p>
              </w:tc>
              <w:tc>
                <w:tcPr>
                  <w:tcW w:w="1495" w:type="dxa"/>
                  <w:vAlign w:val="center"/>
                </w:tcPr>
                <w:p w14:paraId="25BFBF74">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2686.0</w:t>
                  </w:r>
                </w:p>
              </w:tc>
              <w:tc>
                <w:tcPr>
                  <w:tcW w:w="970" w:type="dxa"/>
                  <w:vAlign w:val="center"/>
                </w:tcPr>
                <w:p w14:paraId="636E9FA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w:t>
                  </w:r>
                </w:p>
              </w:tc>
              <w:tc>
                <w:tcPr>
                  <w:tcW w:w="971" w:type="dxa"/>
                  <w:vAlign w:val="center"/>
                </w:tcPr>
                <w:p w14:paraId="20FAE72E">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w:t>
                  </w:r>
                </w:p>
              </w:tc>
              <w:tc>
                <w:tcPr>
                  <w:tcW w:w="1161" w:type="dxa"/>
                  <w:vAlign w:val="center"/>
                </w:tcPr>
                <w:p w14:paraId="7F712320">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定期检查，及时</w:t>
                  </w:r>
                  <w:r>
                    <w:rPr>
                      <w:rFonts w:hint="eastAsia" w:ascii="Times New Roman" w:hAnsi="Times New Roman" w:cs="Times New Roman"/>
                      <w:color w:val="000000" w:themeColor="text1"/>
                      <w:kern w:val="21"/>
                      <w:sz w:val="21"/>
                      <w:szCs w:val="21"/>
                      <w14:textFill>
                        <w14:solidFill>
                          <w14:schemeClr w14:val="tx1"/>
                        </w14:solidFill>
                      </w14:textFill>
                    </w:rPr>
                    <w:t>清洗或更换滤芯</w:t>
                  </w:r>
                </w:p>
              </w:tc>
            </w:tr>
            <w:tr w14:paraId="760BD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964" w:type="dxa"/>
                  <w:vAlign w:val="center"/>
                </w:tcPr>
                <w:p w14:paraId="234B682F">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DA004</w:t>
                  </w:r>
                </w:p>
              </w:tc>
              <w:tc>
                <w:tcPr>
                  <w:tcW w:w="1583" w:type="dxa"/>
                  <w:vAlign w:val="center"/>
                </w:tcPr>
                <w:p w14:paraId="6B20D00F">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己内酰胺储罐废气水洗塔故障</w:t>
                  </w:r>
                </w:p>
              </w:tc>
              <w:tc>
                <w:tcPr>
                  <w:tcW w:w="870" w:type="dxa"/>
                  <w:vAlign w:val="center"/>
                </w:tcPr>
                <w:p w14:paraId="0F787B2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1285" w:type="dxa"/>
                  <w:vAlign w:val="center"/>
                </w:tcPr>
                <w:p w14:paraId="0DE8C403">
                  <w:pPr>
                    <w:jc w:val="center"/>
                    <w:textAlignment w:val="bottom"/>
                    <w:rPr>
                      <w:rFonts w:ascii="Times New Roman" w:hAnsi="Times New Roman" w:cs="Times New Roman"/>
                      <w:color w:val="FF0000"/>
                      <w:sz w:val="21"/>
                      <w:szCs w:val="21"/>
                    </w:rPr>
                  </w:pPr>
                  <w:r>
                    <w:rPr>
                      <w:rFonts w:hint="eastAsia" w:ascii="Times New Roman" w:hAnsi="Times New Roman" w:cs="Times New Roman"/>
                      <w:color w:val="000000" w:themeColor="text1"/>
                      <w:sz w:val="21"/>
                      <w:szCs w:val="21"/>
                      <w14:textFill>
                        <w14:solidFill>
                          <w14:schemeClr w14:val="tx1"/>
                        </w14:solidFill>
                      </w14:textFill>
                    </w:rPr>
                    <w:t>0.1272</w:t>
                  </w:r>
                </w:p>
              </w:tc>
              <w:tc>
                <w:tcPr>
                  <w:tcW w:w="1495" w:type="dxa"/>
                  <w:vAlign w:val="center"/>
                </w:tcPr>
                <w:p w14:paraId="66DA1DAD">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6173.2</w:t>
                  </w:r>
                </w:p>
              </w:tc>
              <w:tc>
                <w:tcPr>
                  <w:tcW w:w="970" w:type="dxa"/>
                  <w:vAlign w:val="center"/>
                </w:tcPr>
                <w:p w14:paraId="63CC5DCA">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w:t>
                  </w:r>
                </w:p>
              </w:tc>
              <w:tc>
                <w:tcPr>
                  <w:tcW w:w="971" w:type="dxa"/>
                  <w:vAlign w:val="center"/>
                </w:tcPr>
                <w:p w14:paraId="24F723F1">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w:t>
                  </w:r>
                </w:p>
              </w:tc>
              <w:tc>
                <w:tcPr>
                  <w:tcW w:w="1161" w:type="dxa"/>
                  <w:vAlign w:val="center"/>
                </w:tcPr>
                <w:p w14:paraId="1EB808CD">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定期检查，及时清洗，避免填料堵塞失效等</w:t>
                  </w:r>
                </w:p>
              </w:tc>
            </w:tr>
          </w:tbl>
          <w:p w14:paraId="6598C0E3">
            <w:pPr>
              <w:pStyle w:val="81"/>
              <w:spacing w:before="0" w:beforeAutospacing="0" w:after="0" w:afterAutospacing="0"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针对</w:t>
            </w:r>
            <w:r>
              <w:rPr>
                <w:rFonts w:hint="eastAsia" w:ascii="Times New Roman" w:hAnsi="Times New Roman" w:cs="Times New Roman"/>
                <w:color w:val="000000" w:themeColor="text1"/>
                <w14:textFill>
                  <w14:solidFill>
                    <w14:schemeClr w14:val="tx1"/>
                  </w14:solidFill>
                </w14:textFill>
              </w:rPr>
              <w:t>升华硫回收装置</w:t>
            </w:r>
            <w:r>
              <w:rPr>
                <w:rFonts w:ascii="Times New Roman" w:hAnsi="Times New Roman" w:cs="Times New Roman"/>
                <w:color w:val="000000" w:themeColor="text1"/>
                <w14:textFill>
                  <w14:solidFill>
                    <w14:schemeClr w14:val="tx1"/>
                  </w14:solidFill>
                </w14:textFill>
              </w:rPr>
              <w:t>可能出现的废气环保设施非正常排放，建设单位应加强监测和管理，采取如下防范和监控措施：</w:t>
            </w:r>
            <w:r>
              <w:rPr>
                <w:rFonts w:hint="eastAsia"/>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加强日常的巡检及维护管理，定期检修，发现故障，及时维修；</w:t>
            </w:r>
            <w:r>
              <w:rPr>
                <w:rFonts w:hint="eastAsia"/>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为预防</w:t>
            </w:r>
            <w:r>
              <w:rPr>
                <w:rFonts w:hint="eastAsia" w:ascii="Times New Roman" w:hAnsi="Times New Roman" w:cs="Times New Roman"/>
                <w:color w:val="000000" w:themeColor="text1"/>
                <w14:textFill>
                  <w14:solidFill>
                    <w14:schemeClr w14:val="tx1"/>
                  </w14:solidFill>
                </w14:textFill>
              </w:rPr>
              <w:t>升华硫回收器因温度失衡导致堵塞的失效情况，</w:t>
            </w:r>
            <w:r>
              <w:rPr>
                <w:rFonts w:ascii="Times New Roman" w:hAnsi="Times New Roman" w:cs="Times New Roman"/>
                <w:color w:val="000000" w:themeColor="text1"/>
                <w14:textFill>
                  <w14:solidFill>
                    <w14:schemeClr w14:val="tx1"/>
                  </w14:solidFill>
                </w14:textFill>
              </w:rPr>
              <w:t>保证装置稳定、高效</w:t>
            </w:r>
            <w:r>
              <w:rPr>
                <w:rFonts w:hint="eastAsia" w:ascii="Times New Roman" w:hAnsi="Times New Roman" w:cs="Times New Roman"/>
                <w:color w:val="000000" w:themeColor="text1"/>
                <w:lang w:eastAsia="zh-CN"/>
                <w14:textFill>
                  <w14:solidFill>
                    <w14:schemeClr w14:val="tx1"/>
                  </w14:solidFill>
                </w14:textFill>
              </w:rPr>
              <w:t>地</w:t>
            </w:r>
            <w:r>
              <w:rPr>
                <w:rFonts w:ascii="Times New Roman" w:hAnsi="Times New Roman" w:cs="Times New Roman"/>
                <w:color w:val="000000" w:themeColor="text1"/>
                <w14:textFill>
                  <w14:solidFill>
                    <w14:schemeClr w14:val="tx1"/>
                  </w14:solidFill>
                </w14:textFill>
              </w:rPr>
              <w:t>运行，定期</w:t>
            </w:r>
            <w:r>
              <w:rPr>
                <w:rFonts w:hint="eastAsia" w:ascii="Times New Roman" w:hAnsi="Times New Roman" w:cs="Times New Roman"/>
                <w:color w:val="000000" w:themeColor="text1"/>
                <w14:textFill>
                  <w14:solidFill>
                    <w14:schemeClr w14:val="tx1"/>
                  </w14:solidFill>
                </w14:textFill>
              </w:rPr>
              <w:t>对升华硫回收器进行清洗和更换滤芯。</w:t>
            </w:r>
            <w:r>
              <w:rPr>
                <w:rFonts w:hint="eastAsia"/>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当</w:t>
            </w:r>
            <w:r>
              <w:rPr>
                <w:rFonts w:hint="eastAsia" w:ascii="Times New Roman" w:hAnsi="Times New Roman" w:cs="Times New Roman"/>
                <w:color w:val="000000" w:themeColor="text1"/>
                <w14:textFill>
                  <w14:solidFill>
                    <w14:schemeClr w14:val="tx1"/>
                  </w14:solidFill>
                </w14:textFill>
              </w:rPr>
              <w:t>升华硫回收器</w:t>
            </w:r>
            <w:r>
              <w:rPr>
                <w:rFonts w:ascii="Times New Roman" w:hAnsi="Times New Roman" w:cs="Times New Roman"/>
                <w:color w:val="000000" w:themeColor="text1"/>
                <w14:textFill>
                  <w14:solidFill>
                    <w14:schemeClr w14:val="tx1"/>
                  </w14:solidFill>
                </w14:textFill>
              </w:rPr>
              <w:t>发生故障时，暂时停止设备的运行，立即检修，待修复完成后再启动设备。</w:t>
            </w:r>
          </w:p>
          <w:p w14:paraId="1B6439A9">
            <w:pPr>
              <w:pStyle w:val="81"/>
              <w:spacing w:before="0" w:beforeAutospacing="0" w:after="0" w:afterAutospacing="0"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针对三氧化硫二级吸收装置可能出现的</w:t>
            </w:r>
            <w:r>
              <w:rPr>
                <w:rFonts w:ascii="Times New Roman" w:hAnsi="Times New Roman" w:cs="Times New Roman"/>
                <w:color w:val="000000" w:themeColor="text1"/>
                <w14:textFill>
                  <w14:solidFill>
                    <w14:schemeClr w14:val="tx1"/>
                  </w14:solidFill>
                </w14:textFill>
              </w:rPr>
              <w:t>废气环保设施非正常排放，建设单位应加强监测和管理，采取如下防范和监控措施：</w:t>
            </w:r>
            <w:r>
              <w:rPr>
                <w:rFonts w:hint="eastAsia"/>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加强日常的巡检及维护管理，定期检修，发现故障，及时维修；</w:t>
            </w:r>
            <w:r>
              <w:rPr>
                <w:rFonts w:hint="eastAsia"/>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为预防</w:t>
            </w:r>
            <w:r>
              <w:rPr>
                <w:rFonts w:hint="eastAsia" w:ascii="Times New Roman" w:hAnsi="Times New Roman" w:cs="Times New Roman"/>
                <w:color w:val="000000" w:themeColor="text1"/>
                <w14:textFill>
                  <w14:solidFill>
                    <w14:schemeClr w14:val="tx1"/>
                  </w14:solidFill>
                </w14:textFill>
              </w:rPr>
              <w:t>吸收塔填料堵塞结晶导致失效，</w:t>
            </w:r>
            <w:r>
              <w:rPr>
                <w:rFonts w:ascii="Times New Roman" w:hAnsi="Times New Roman" w:cs="Times New Roman"/>
                <w:color w:val="000000" w:themeColor="text1"/>
                <w14:textFill>
                  <w14:solidFill>
                    <w14:schemeClr w14:val="tx1"/>
                  </w14:solidFill>
                </w14:textFill>
              </w:rPr>
              <w:t>保证装置稳定、高效的运行，定期</w:t>
            </w:r>
            <w:r>
              <w:rPr>
                <w:rFonts w:hint="eastAsia" w:ascii="Times New Roman" w:hAnsi="Times New Roman" w:cs="Times New Roman"/>
                <w:color w:val="000000" w:themeColor="text1"/>
                <w14:textFill>
                  <w14:solidFill>
                    <w14:schemeClr w14:val="tx1"/>
                  </w14:solidFill>
                </w14:textFill>
              </w:rPr>
              <w:t>对吸收塔填料清洗。</w:t>
            </w:r>
            <w:r>
              <w:rPr>
                <w:rFonts w:hint="eastAsia"/>
                <w:color w:val="000000" w:themeColor="text1"/>
                <w14:textFill>
                  <w14:solidFill>
                    <w14:schemeClr w14:val="tx1"/>
                  </w14:solidFill>
                </w14:textFill>
              </w:rPr>
              <w:t>③当回收塔装置</w:t>
            </w:r>
            <w:r>
              <w:rPr>
                <w:rFonts w:ascii="Times New Roman" w:hAnsi="Times New Roman" w:cs="Times New Roman"/>
                <w:color w:val="000000" w:themeColor="text1"/>
                <w14:textFill>
                  <w14:solidFill>
                    <w14:schemeClr w14:val="tx1"/>
                  </w14:solidFill>
                </w14:textFill>
              </w:rPr>
              <w:t>发生故障时，暂时停止设备的运行，立即检修，待修复完成后再启动设备。</w:t>
            </w:r>
          </w:p>
          <w:p w14:paraId="11594218">
            <w:pPr>
              <w:adjustRightInd w:val="0"/>
              <w:snapToGrid w:val="0"/>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2.6废气监测要求</w:t>
            </w:r>
          </w:p>
          <w:p w14:paraId="05516989">
            <w:pPr>
              <w:adjustRightInd w:val="0"/>
              <w:snapToGrid w:val="0"/>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根据《排污单位自行监测技术指南 总则》（HJ942-2018）、《排污单位自行监测技术指南 石油化学工业》（HJ947-2018）</w:t>
            </w:r>
            <w:r>
              <w:rPr>
                <w:rFonts w:hint="eastAsia" w:ascii="Times New Roman" w:hAnsi="Times New Roman" w:cs="Times New Roman"/>
                <w:bCs/>
                <w:color w:val="000000" w:themeColor="text1"/>
                <w14:textFill>
                  <w14:solidFill>
                    <w14:schemeClr w14:val="tx1"/>
                  </w14:solidFill>
                </w14:textFill>
              </w:rPr>
              <w:t>、《排污许可证申请与核发技术规范 石化工业》（HJ 853-2017）</w:t>
            </w:r>
            <w:r>
              <w:rPr>
                <w:rFonts w:ascii="Times New Roman" w:hAnsi="Times New Roman" w:cs="Times New Roman"/>
                <w:bCs/>
                <w:color w:val="000000" w:themeColor="text1"/>
                <w14:textFill>
                  <w14:solidFill>
                    <w14:schemeClr w14:val="tx1"/>
                  </w14:solidFill>
                </w14:textFill>
              </w:rPr>
              <w:t>等，本项目废气自行监测频次如下：</w:t>
            </w:r>
          </w:p>
          <w:p w14:paraId="38B2F5B3">
            <w:pPr>
              <w:jc w:val="center"/>
              <w:rPr>
                <w:rFonts w:ascii="Times New Roman" w:hAnsi="Times New Roman" w:cs="Times New Roman"/>
                <w:b/>
                <w:bCs/>
                <w:color w:val="000000" w:themeColor="text1"/>
                <w:kern w:val="21"/>
                <w14:textFill>
                  <w14:solidFill>
                    <w14:schemeClr w14:val="tx1"/>
                  </w14:solidFill>
                </w14:textFill>
              </w:rPr>
            </w:pPr>
            <w:r>
              <w:rPr>
                <w:rFonts w:ascii="Times New Roman" w:hAnsi="Times New Roman" w:cs="Times New Roman"/>
                <w:b/>
                <w:bCs/>
                <w:color w:val="000000" w:themeColor="text1"/>
                <w:kern w:val="21"/>
                <w14:textFill>
                  <w14:solidFill>
                    <w14:schemeClr w14:val="tx1"/>
                  </w14:solidFill>
                </w14:textFill>
              </w:rPr>
              <w:t>表4-1</w:t>
            </w:r>
            <w:r>
              <w:rPr>
                <w:rFonts w:hint="eastAsia" w:ascii="Times New Roman" w:hAnsi="Times New Roman" w:cs="Times New Roman"/>
                <w:b/>
                <w:bCs/>
                <w:color w:val="000000" w:themeColor="text1"/>
                <w:kern w:val="21"/>
                <w14:textFill>
                  <w14:solidFill>
                    <w14:schemeClr w14:val="tx1"/>
                  </w14:solidFill>
                </w14:textFill>
              </w:rPr>
              <w:t xml:space="preserve">5 </w:t>
            </w:r>
            <w:r>
              <w:rPr>
                <w:rFonts w:ascii="Times New Roman" w:hAnsi="Times New Roman" w:cs="Times New Roman"/>
                <w:b/>
                <w:bCs/>
                <w:color w:val="000000" w:themeColor="text1"/>
                <w:kern w:val="21"/>
                <w14:textFill>
                  <w14:solidFill>
                    <w14:schemeClr w14:val="tx1"/>
                  </w14:solidFill>
                </w14:textFill>
              </w:rPr>
              <w:t>项目废气自行监测计划</w:t>
            </w:r>
          </w:p>
          <w:tbl>
            <w:tblPr>
              <w:tblStyle w:val="88"/>
              <w:tblW w:w="92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2"/>
              <w:gridCol w:w="1783"/>
              <w:gridCol w:w="1248"/>
              <w:gridCol w:w="4765"/>
            </w:tblGrid>
            <w:tr w14:paraId="20CC6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432" w:type="dxa"/>
                  <w:vAlign w:val="center"/>
                </w:tcPr>
                <w:p w14:paraId="5CF4A61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监测点</w:t>
                  </w:r>
                </w:p>
              </w:tc>
              <w:tc>
                <w:tcPr>
                  <w:tcW w:w="1783" w:type="dxa"/>
                  <w:vAlign w:val="center"/>
                </w:tcPr>
                <w:p w14:paraId="37D47A9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污染物</w:t>
                  </w:r>
                </w:p>
              </w:tc>
              <w:tc>
                <w:tcPr>
                  <w:tcW w:w="1248" w:type="dxa"/>
                  <w:vAlign w:val="center"/>
                </w:tcPr>
                <w:p w14:paraId="4B89F70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监测频次</w:t>
                  </w:r>
                </w:p>
              </w:tc>
              <w:tc>
                <w:tcPr>
                  <w:tcW w:w="4765" w:type="dxa"/>
                  <w:vAlign w:val="center"/>
                </w:tcPr>
                <w:p w14:paraId="052460F3">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执行标准</w:t>
                  </w:r>
                </w:p>
              </w:tc>
            </w:tr>
            <w:tr w14:paraId="16162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432" w:type="dxa"/>
                  <w:vAlign w:val="center"/>
                </w:tcPr>
                <w:p w14:paraId="7E954C36">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DA001</w:t>
                  </w:r>
                </w:p>
              </w:tc>
              <w:tc>
                <w:tcPr>
                  <w:tcW w:w="1783" w:type="dxa"/>
                  <w:vAlign w:val="center"/>
                </w:tcPr>
                <w:p w14:paraId="5888FB5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硫（颗粒物）</w:t>
                  </w:r>
                </w:p>
              </w:tc>
              <w:tc>
                <w:tcPr>
                  <w:tcW w:w="1248" w:type="dxa"/>
                  <w:vAlign w:val="center"/>
                </w:tcPr>
                <w:p w14:paraId="5C29AD6C">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1次/月</w:t>
                  </w:r>
                </w:p>
              </w:tc>
              <w:tc>
                <w:tcPr>
                  <w:tcW w:w="4765" w:type="dxa"/>
                  <w:vMerge w:val="restart"/>
                  <w:vAlign w:val="center"/>
                </w:tcPr>
                <w:p w14:paraId="3069266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《大气污染物综合排放标准》</w:t>
                  </w:r>
                </w:p>
                <w:p w14:paraId="3F842F70">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（GB16297-1996）表 2</w:t>
                  </w:r>
                  <w:r>
                    <w:rPr>
                      <w:rFonts w:hint="eastAsia" w:ascii="Times New Roman" w:hAnsi="Times New Roman" w:cs="Times New Roman"/>
                      <w:color w:val="000000" w:themeColor="text1"/>
                      <w:kern w:val="21"/>
                      <w:sz w:val="21"/>
                      <w:szCs w:val="21"/>
                      <w14:textFill>
                        <w14:solidFill>
                          <w14:schemeClr w14:val="tx1"/>
                        </w14:solidFill>
                      </w14:textFill>
                    </w:rPr>
                    <w:t>有组织排放标准</w:t>
                  </w:r>
                </w:p>
              </w:tc>
            </w:tr>
            <w:tr w14:paraId="67632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432" w:type="dxa"/>
                  <w:vAlign w:val="center"/>
                </w:tcPr>
                <w:p w14:paraId="5ACF878F">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DA002</w:t>
                  </w:r>
                </w:p>
              </w:tc>
              <w:tc>
                <w:tcPr>
                  <w:tcW w:w="1783" w:type="dxa"/>
                  <w:vAlign w:val="center"/>
                </w:tcPr>
                <w:p w14:paraId="7A0D680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1248" w:type="dxa"/>
                  <w:vAlign w:val="center"/>
                </w:tcPr>
                <w:p w14:paraId="068807AB">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1次/月</w:t>
                  </w:r>
                </w:p>
              </w:tc>
              <w:tc>
                <w:tcPr>
                  <w:tcW w:w="4765" w:type="dxa"/>
                  <w:vMerge w:val="continue"/>
                  <w:vAlign w:val="center"/>
                </w:tcPr>
                <w:p w14:paraId="76719944">
                  <w:pPr>
                    <w:jc w:val="center"/>
                    <w:rPr>
                      <w:rFonts w:ascii="Times New Roman" w:hAnsi="Times New Roman" w:cs="Times New Roman"/>
                      <w:color w:val="000000" w:themeColor="text1"/>
                      <w:kern w:val="21"/>
                      <w:sz w:val="21"/>
                      <w:szCs w:val="21"/>
                      <w14:textFill>
                        <w14:solidFill>
                          <w14:schemeClr w14:val="tx1"/>
                        </w14:solidFill>
                      </w14:textFill>
                    </w:rPr>
                  </w:pPr>
                </w:p>
              </w:tc>
            </w:tr>
            <w:tr w14:paraId="1FF6E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432" w:type="dxa"/>
                  <w:vAlign w:val="center"/>
                </w:tcPr>
                <w:p w14:paraId="15985408">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DA003</w:t>
                  </w:r>
                </w:p>
              </w:tc>
              <w:tc>
                <w:tcPr>
                  <w:tcW w:w="1783" w:type="dxa"/>
                  <w:vAlign w:val="center"/>
                </w:tcPr>
                <w:p w14:paraId="0F97F6F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1248" w:type="dxa"/>
                  <w:vAlign w:val="center"/>
                </w:tcPr>
                <w:p w14:paraId="65447A4F">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1次/月</w:t>
                  </w:r>
                </w:p>
              </w:tc>
              <w:tc>
                <w:tcPr>
                  <w:tcW w:w="4765" w:type="dxa"/>
                  <w:vMerge w:val="continue"/>
                  <w:vAlign w:val="center"/>
                </w:tcPr>
                <w:p w14:paraId="189B007F">
                  <w:pPr>
                    <w:jc w:val="center"/>
                    <w:rPr>
                      <w:rFonts w:ascii="Times New Roman" w:hAnsi="Times New Roman" w:cs="Times New Roman"/>
                      <w:color w:val="000000" w:themeColor="text1"/>
                      <w:kern w:val="21"/>
                      <w:sz w:val="21"/>
                      <w:szCs w:val="21"/>
                      <w14:textFill>
                        <w14:solidFill>
                          <w14:schemeClr w14:val="tx1"/>
                        </w14:solidFill>
                      </w14:textFill>
                    </w:rPr>
                  </w:pPr>
                </w:p>
              </w:tc>
            </w:tr>
            <w:tr w14:paraId="5430A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432" w:type="dxa"/>
                  <w:vAlign w:val="center"/>
                </w:tcPr>
                <w:p w14:paraId="717B46B8">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DA004</w:t>
                  </w:r>
                </w:p>
              </w:tc>
              <w:tc>
                <w:tcPr>
                  <w:tcW w:w="1783" w:type="dxa"/>
                  <w:vAlign w:val="center"/>
                </w:tcPr>
                <w:p w14:paraId="2B8FB7A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1248" w:type="dxa"/>
                  <w:vAlign w:val="center"/>
                </w:tcPr>
                <w:p w14:paraId="67A2D389">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1次/月</w:t>
                  </w:r>
                </w:p>
              </w:tc>
              <w:tc>
                <w:tcPr>
                  <w:tcW w:w="4765" w:type="dxa"/>
                  <w:vMerge w:val="continue"/>
                  <w:vAlign w:val="center"/>
                </w:tcPr>
                <w:p w14:paraId="50D9D722">
                  <w:pPr>
                    <w:jc w:val="center"/>
                    <w:rPr>
                      <w:rFonts w:ascii="Times New Roman" w:hAnsi="Times New Roman" w:cs="Times New Roman"/>
                      <w:color w:val="000000" w:themeColor="text1"/>
                      <w:kern w:val="21"/>
                      <w:sz w:val="21"/>
                      <w:szCs w:val="21"/>
                      <w14:textFill>
                        <w14:solidFill>
                          <w14:schemeClr w14:val="tx1"/>
                        </w14:solidFill>
                      </w14:textFill>
                    </w:rPr>
                  </w:pPr>
                </w:p>
              </w:tc>
            </w:tr>
            <w:tr w14:paraId="63B0A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432" w:type="dxa"/>
                  <w:vMerge w:val="restart"/>
                  <w:vAlign w:val="center"/>
                </w:tcPr>
                <w:p w14:paraId="3E6F553A">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厂界上下风向</w:t>
                  </w:r>
                </w:p>
              </w:tc>
              <w:tc>
                <w:tcPr>
                  <w:tcW w:w="1783" w:type="dxa"/>
                  <w:vAlign w:val="center"/>
                </w:tcPr>
                <w:p w14:paraId="17AF1A61">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硫（颗粒物）</w:t>
                  </w:r>
                </w:p>
              </w:tc>
              <w:tc>
                <w:tcPr>
                  <w:tcW w:w="1248" w:type="dxa"/>
                  <w:vAlign w:val="center"/>
                </w:tcPr>
                <w:p w14:paraId="3F83725B">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1次/</w:t>
                  </w:r>
                  <w:r>
                    <w:rPr>
                      <w:rFonts w:hint="eastAsia" w:ascii="Times New Roman" w:hAnsi="Times New Roman" w:cs="Times New Roman"/>
                      <w:color w:val="000000" w:themeColor="text1"/>
                      <w:kern w:val="21"/>
                      <w:sz w:val="21"/>
                      <w:szCs w:val="21"/>
                      <w14:textFill>
                        <w14:solidFill>
                          <w14:schemeClr w14:val="tx1"/>
                        </w14:solidFill>
                      </w14:textFill>
                    </w:rPr>
                    <w:t>半年</w:t>
                  </w:r>
                </w:p>
              </w:tc>
              <w:tc>
                <w:tcPr>
                  <w:tcW w:w="4765" w:type="dxa"/>
                  <w:vMerge w:val="restart"/>
                  <w:vAlign w:val="center"/>
                </w:tcPr>
                <w:p w14:paraId="5AA5CB4C">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《大气污染物综合排放标准》</w:t>
                  </w:r>
                </w:p>
                <w:p w14:paraId="6A111DAF">
                  <w:pPr>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（GB16297-1996）表 2无组织排放标准</w:t>
                  </w:r>
                </w:p>
              </w:tc>
            </w:tr>
            <w:tr w14:paraId="5821A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432" w:type="dxa"/>
                  <w:vMerge w:val="continue"/>
                  <w:vAlign w:val="center"/>
                </w:tcPr>
                <w:p w14:paraId="55D7EC98">
                  <w:pPr>
                    <w:jc w:val="center"/>
                    <w:rPr>
                      <w:rFonts w:ascii="Times New Roman" w:hAnsi="Times New Roman" w:cs="Times New Roman"/>
                      <w:color w:val="000000" w:themeColor="text1"/>
                      <w:kern w:val="21"/>
                      <w:sz w:val="21"/>
                      <w:szCs w:val="21"/>
                      <w14:textFill>
                        <w14:solidFill>
                          <w14:schemeClr w14:val="tx1"/>
                        </w14:solidFill>
                      </w14:textFill>
                    </w:rPr>
                  </w:pPr>
                </w:p>
              </w:tc>
              <w:tc>
                <w:tcPr>
                  <w:tcW w:w="1783" w:type="dxa"/>
                  <w:vAlign w:val="center"/>
                </w:tcPr>
                <w:p w14:paraId="788A35C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1248" w:type="dxa"/>
                  <w:vAlign w:val="center"/>
                </w:tcPr>
                <w:p w14:paraId="1D5AE977">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1次半年</w:t>
                  </w:r>
                </w:p>
              </w:tc>
              <w:tc>
                <w:tcPr>
                  <w:tcW w:w="4765" w:type="dxa"/>
                  <w:vMerge w:val="continue"/>
                  <w:vAlign w:val="center"/>
                </w:tcPr>
                <w:p w14:paraId="04485424">
                  <w:pPr>
                    <w:jc w:val="center"/>
                    <w:rPr>
                      <w:rFonts w:ascii="Times New Roman" w:hAnsi="Times New Roman" w:cs="Times New Roman"/>
                      <w:color w:val="000000" w:themeColor="text1"/>
                      <w:kern w:val="21"/>
                      <w:sz w:val="21"/>
                      <w:szCs w:val="21"/>
                      <w14:textFill>
                        <w14:solidFill>
                          <w14:schemeClr w14:val="tx1"/>
                        </w14:solidFill>
                      </w14:textFill>
                    </w:rPr>
                  </w:pPr>
                </w:p>
              </w:tc>
            </w:tr>
            <w:tr w14:paraId="0A99C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432" w:type="dxa"/>
                  <w:vMerge w:val="continue"/>
                  <w:vAlign w:val="center"/>
                </w:tcPr>
                <w:p w14:paraId="74C85DAB">
                  <w:pPr>
                    <w:jc w:val="center"/>
                    <w:rPr>
                      <w:rFonts w:ascii="Times New Roman" w:hAnsi="Times New Roman" w:cs="Times New Roman"/>
                      <w:color w:val="000000" w:themeColor="text1"/>
                      <w:kern w:val="21"/>
                      <w:sz w:val="21"/>
                      <w:szCs w:val="21"/>
                      <w14:textFill>
                        <w14:solidFill>
                          <w14:schemeClr w14:val="tx1"/>
                        </w14:solidFill>
                      </w14:textFill>
                    </w:rPr>
                  </w:pPr>
                </w:p>
              </w:tc>
              <w:tc>
                <w:tcPr>
                  <w:tcW w:w="1783" w:type="dxa"/>
                  <w:vAlign w:val="center"/>
                </w:tcPr>
                <w:p w14:paraId="35E89E9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1248" w:type="dxa"/>
                  <w:vAlign w:val="center"/>
                </w:tcPr>
                <w:p w14:paraId="1F87A09B">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1次半年</w:t>
                  </w:r>
                </w:p>
              </w:tc>
              <w:tc>
                <w:tcPr>
                  <w:tcW w:w="4765" w:type="dxa"/>
                  <w:vMerge w:val="continue"/>
                  <w:vAlign w:val="center"/>
                </w:tcPr>
                <w:p w14:paraId="7D852071">
                  <w:pPr>
                    <w:jc w:val="center"/>
                    <w:rPr>
                      <w:rFonts w:ascii="Times New Roman" w:hAnsi="Times New Roman" w:cs="Times New Roman"/>
                      <w:color w:val="000000" w:themeColor="text1"/>
                      <w:kern w:val="21"/>
                      <w:sz w:val="21"/>
                      <w:szCs w:val="21"/>
                      <w14:textFill>
                        <w14:solidFill>
                          <w14:schemeClr w14:val="tx1"/>
                        </w14:solidFill>
                      </w14:textFill>
                    </w:rPr>
                  </w:pPr>
                </w:p>
              </w:tc>
            </w:tr>
            <w:tr w14:paraId="594BD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432" w:type="dxa"/>
                  <w:vMerge w:val="continue"/>
                  <w:vAlign w:val="center"/>
                </w:tcPr>
                <w:p w14:paraId="2859DDE1">
                  <w:pPr>
                    <w:jc w:val="center"/>
                    <w:rPr>
                      <w:rFonts w:ascii="Times New Roman" w:hAnsi="Times New Roman" w:cs="Times New Roman"/>
                      <w:color w:val="000000" w:themeColor="text1"/>
                      <w:kern w:val="21"/>
                      <w:sz w:val="21"/>
                      <w:szCs w:val="21"/>
                      <w14:textFill>
                        <w14:solidFill>
                          <w14:schemeClr w14:val="tx1"/>
                        </w14:solidFill>
                      </w14:textFill>
                    </w:rPr>
                  </w:pPr>
                </w:p>
              </w:tc>
              <w:tc>
                <w:tcPr>
                  <w:tcW w:w="1783" w:type="dxa"/>
                  <w:vAlign w:val="center"/>
                </w:tcPr>
                <w:p w14:paraId="15164FE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非甲烷总烃</w:t>
                  </w:r>
                </w:p>
              </w:tc>
              <w:tc>
                <w:tcPr>
                  <w:tcW w:w="1248" w:type="dxa"/>
                  <w:vAlign w:val="center"/>
                </w:tcPr>
                <w:p w14:paraId="005906FF">
                  <w:pPr>
                    <w:jc w:val="center"/>
                    <w:rPr>
                      <w:rFonts w:ascii="Times New Roman" w:hAnsi="Times New Roman" w:cs="Times New Roman"/>
                      <w:color w:val="000000" w:themeColor="text1"/>
                      <w:kern w:val="21"/>
                      <w:sz w:val="21"/>
                      <w:szCs w:val="21"/>
                      <w14:textFill>
                        <w14:solidFill>
                          <w14:schemeClr w14:val="tx1"/>
                        </w14:solidFill>
                      </w14:textFill>
                    </w:rPr>
                  </w:pPr>
                  <w:r>
                    <w:rPr>
                      <w:rFonts w:hint="eastAsia" w:ascii="Times New Roman" w:hAnsi="Times New Roman" w:cs="Times New Roman"/>
                      <w:color w:val="000000" w:themeColor="text1"/>
                      <w:kern w:val="21"/>
                      <w:sz w:val="21"/>
                      <w:szCs w:val="21"/>
                      <w14:textFill>
                        <w14:solidFill>
                          <w14:schemeClr w14:val="tx1"/>
                        </w14:solidFill>
                      </w14:textFill>
                    </w:rPr>
                    <w:t>1次半年</w:t>
                  </w:r>
                </w:p>
              </w:tc>
              <w:tc>
                <w:tcPr>
                  <w:tcW w:w="4765" w:type="dxa"/>
                  <w:vMerge w:val="continue"/>
                  <w:vAlign w:val="center"/>
                </w:tcPr>
                <w:p w14:paraId="6D999B2E">
                  <w:pPr>
                    <w:jc w:val="center"/>
                    <w:rPr>
                      <w:rFonts w:ascii="Times New Roman" w:hAnsi="Times New Roman" w:cs="Times New Roman"/>
                      <w:color w:val="000000" w:themeColor="text1"/>
                      <w:kern w:val="21"/>
                      <w:sz w:val="21"/>
                      <w:szCs w:val="21"/>
                      <w14:textFill>
                        <w14:solidFill>
                          <w14:schemeClr w14:val="tx1"/>
                        </w14:solidFill>
                      </w14:textFill>
                    </w:rPr>
                  </w:pPr>
                </w:p>
              </w:tc>
            </w:tr>
          </w:tbl>
          <w:p w14:paraId="16A5C9BE">
            <w:pPr>
              <w:adjustRightInd w:val="0"/>
              <w:snapToGrid w:val="0"/>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3、声环境影响分析及防治措施</w:t>
            </w:r>
          </w:p>
          <w:p w14:paraId="329E392B">
            <w:pPr>
              <w:pStyle w:val="81"/>
              <w:widowControl w:val="0"/>
              <w:adjustRightInd w:val="0"/>
              <w:snapToGrid w:val="0"/>
              <w:spacing w:before="0" w:beforeAutospacing="0" w:after="0" w:afterAutospacing="0" w:line="360" w:lineRule="auto"/>
              <w:ind w:firstLine="482" w:firstLineChars="200"/>
              <w:jc w:val="both"/>
              <w:rPr>
                <w:rFonts w:ascii="Times New Roman" w:hAnsi="Times New Roman" w:cs="Times New Roman"/>
                <w:b/>
                <w:bCs/>
                <w:color w:val="000000" w:themeColor="text1"/>
                <w:kern w:val="2"/>
                <w14:textFill>
                  <w14:solidFill>
                    <w14:schemeClr w14:val="tx1"/>
                  </w14:solidFill>
                </w14:textFill>
              </w:rPr>
            </w:pPr>
            <w:r>
              <w:rPr>
                <w:rFonts w:ascii="Times New Roman" w:hAnsi="Times New Roman" w:cs="Times New Roman"/>
                <w:b/>
                <w:bCs/>
                <w:color w:val="000000" w:themeColor="text1"/>
                <w:kern w:val="2"/>
                <w14:textFill>
                  <w14:solidFill>
                    <w14:schemeClr w14:val="tx1"/>
                  </w14:solidFill>
                </w14:textFill>
              </w:rPr>
              <w:t>（1）噪声源强</w:t>
            </w:r>
          </w:p>
          <w:p w14:paraId="4748BAE2">
            <w:pPr>
              <w:spacing w:line="360" w:lineRule="auto"/>
              <w:ind w:right="113" w:firstLine="480" w:firstLineChars="200"/>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本项目噪声源主要来源于</w:t>
            </w:r>
            <w:r>
              <w:rPr>
                <w:rFonts w:hint="eastAsia" w:ascii="Times New Roman" w:hAnsi="Times New Roman" w:cs="Times New Roman"/>
                <w:color w:val="000000" w:themeColor="text1"/>
                <w14:textFill>
                  <w14:solidFill>
                    <w14:schemeClr w14:val="tx1"/>
                  </w14:solidFill>
                </w14:textFill>
              </w:rPr>
              <w:t>机泵、装卸臂、汽车等</w:t>
            </w:r>
            <w:r>
              <w:rPr>
                <w:rFonts w:ascii="Times New Roman" w:hAnsi="Times New Roman" w:cs="Times New Roman"/>
                <w:color w:val="000000" w:themeColor="text1"/>
                <w14:textFill>
                  <w14:solidFill>
                    <w14:schemeClr w14:val="tx1"/>
                  </w14:solidFill>
                </w14:textFill>
              </w:rPr>
              <w:t>各类生产机械设备，经基础减震及厂房隔声后降噪约10dB(A)。根据类比，确定主要生产设备噪声声压级。本项目主要噪声源强及拟采取的防治措施详见下表。</w:t>
            </w:r>
          </w:p>
          <w:p w14:paraId="41D6BD51">
            <w:pPr>
              <w:pStyle w:val="137"/>
              <w:jc w:val="center"/>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表4-</w:t>
            </w:r>
            <w:r>
              <w:rPr>
                <w:rFonts w:ascii="Times New Roman" w:hAnsi="Times New Roman" w:cs="Times New Roman"/>
                <w:b/>
                <w:bCs/>
                <w:color w:val="000000" w:themeColor="text1"/>
                <w14:textFill>
                  <w14:solidFill>
                    <w14:schemeClr w14:val="tx1"/>
                  </w14:solidFill>
                </w14:textFill>
              </w:rPr>
              <w:t>16</w:t>
            </w:r>
            <w:r>
              <w:rPr>
                <w:rFonts w:hint="default" w:ascii="Times New Roman" w:hAnsi="Times New Roman" w:cs="Times New Roman"/>
                <w:b/>
                <w:bCs/>
                <w:color w:val="000000" w:themeColor="text1"/>
                <w14:textFill>
                  <w14:solidFill>
                    <w14:schemeClr w14:val="tx1"/>
                  </w14:solidFill>
                </w14:textFill>
              </w:rPr>
              <w:t xml:space="preserve"> 项目</w:t>
            </w:r>
            <w:r>
              <w:rPr>
                <w:rFonts w:ascii="Times New Roman" w:hAnsi="Times New Roman" w:cs="Times New Roman"/>
                <w:b/>
                <w:bCs/>
                <w:color w:val="000000" w:themeColor="text1"/>
                <w14:textFill>
                  <w14:solidFill>
                    <w14:schemeClr w14:val="tx1"/>
                  </w14:solidFill>
                </w14:textFill>
              </w:rPr>
              <w:t>主要</w:t>
            </w:r>
            <w:r>
              <w:rPr>
                <w:rFonts w:hint="default" w:ascii="Times New Roman" w:hAnsi="Times New Roman" w:cs="Times New Roman"/>
                <w:b/>
                <w:bCs/>
                <w:color w:val="000000" w:themeColor="text1"/>
                <w14:textFill>
                  <w14:solidFill>
                    <w14:schemeClr w14:val="tx1"/>
                  </w14:solidFill>
                </w14:textFill>
              </w:rPr>
              <w:t>噪声源强</w:t>
            </w:r>
            <w:r>
              <w:rPr>
                <w:rFonts w:ascii="Times New Roman" w:hAnsi="Times New Roman" w:cs="Times New Roman"/>
                <w:b/>
                <w:bCs/>
                <w:color w:val="000000" w:themeColor="text1"/>
                <w14:textFill>
                  <w14:solidFill>
                    <w14:schemeClr w14:val="tx1"/>
                  </w14:solidFill>
                </w14:textFill>
              </w:rPr>
              <w:t xml:space="preserve">   </w:t>
            </w:r>
            <w:r>
              <w:rPr>
                <w:rFonts w:hint="default" w:ascii="Times New Roman" w:hAnsi="Times New Roman" w:cs="Times New Roman"/>
                <w:b/>
                <w:bCs/>
                <w:color w:val="000000" w:themeColor="text1"/>
                <w14:textFill>
                  <w14:solidFill>
                    <w14:schemeClr w14:val="tx1"/>
                  </w14:solidFill>
                </w14:textFill>
              </w:rPr>
              <w:t>单位：dB(A）</w:t>
            </w:r>
          </w:p>
          <w:tbl>
            <w:tblPr>
              <w:tblStyle w:val="2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907"/>
              <w:gridCol w:w="1475"/>
              <w:gridCol w:w="611"/>
              <w:gridCol w:w="1006"/>
              <w:gridCol w:w="719"/>
              <w:gridCol w:w="1005"/>
              <w:gridCol w:w="967"/>
              <w:gridCol w:w="1000"/>
              <w:gridCol w:w="812"/>
              <w:gridCol w:w="797"/>
            </w:tblGrid>
            <w:tr w14:paraId="18035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restart"/>
                  <w:vAlign w:val="center"/>
                </w:tcPr>
                <w:p w14:paraId="269E7D52">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工序/生产线</w:t>
                  </w:r>
                </w:p>
              </w:tc>
              <w:tc>
                <w:tcPr>
                  <w:tcW w:w="1475" w:type="dxa"/>
                  <w:vMerge w:val="restart"/>
                  <w:vAlign w:val="center"/>
                </w:tcPr>
                <w:p w14:paraId="5027596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装置</w:t>
                  </w:r>
                </w:p>
              </w:tc>
              <w:tc>
                <w:tcPr>
                  <w:tcW w:w="611" w:type="dxa"/>
                  <w:vMerge w:val="restart"/>
                  <w:vAlign w:val="center"/>
                </w:tcPr>
                <w:p w14:paraId="1DAD6D9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声源类型</w:t>
                  </w:r>
                </w:p>
              </w:tc>
              <w:tc>
                <w:tcPr>
                  <w:tcW w:w="1725" w:type="dxa"/>
                  <w:gridSpan w:val="2"/>
                  <w:vAlign w:val="center"/>
                </w:tcPr>
                <w:p w14:paraId="4B394695">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噪声源强</w:t>
                  </w:r>
                </w:p>
              </w:tc>
              <w:tc>
                <w:tcPr>
                  <w:tcW w:w="1972" w:type="dxa"/>
                  <w:gridSpan w:val="2"/>
                  <w:vAlign w:val="center"/>
                </w:tcPr>
                <w:p w14:paraId="684875DD">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降噪措施</w:t>
                  </w:r>
                </w:p>
              </w:tc>
              <w:tc>
                <w:tcPr>
                  <w:tcW w:w="1812" w:type="dxa"/>
                  <w:gridSpan w:val="2"/>
                  <w:vAlign w:val="center"/>
                </w:tcPr>
                <w:p w14:paraId="5EC59BF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噪声排放</w:t>
                  </w:r>
                </w:p>
              </w:tc>
              <w:tc>
                <w:tcPr>
                  <w:tcW w:w="797" w:type="dxa"/>
                  <w:vMerge w:val="restart"/>
                  <w:vAlign w:val="center"/>
                </w:tcPr>
                <w:p w14:paraId="3D354302">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排放时间/h</w:t>
                  </w:r>
                </w:p>
              </w:tc>
            </w:tr>
            <w:tr w14:paraId="333BB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6112F4A8">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Merge w:val="continue"/>
                  <w:vAlign w:val="center"/>
                </w:tcPr>
                <w:p w14:paraId="5323B703">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611" w:type="dxa"/>
                  <w:vMerge w:val="continue"/>
                  <w:vAlign w:val="center"/>
                </w:tcPr>
                <w:p w14:paraId="0E8D00C5">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006" w:type="dxa"/>
                  <w:vAlign w:val="center"/>
                </w:tcPr>
                <w:p w14:paraId="6590A4E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核算方法</w:t>
                  </w:r>
                </w:p>
              </w:tc>
              <w:tc>
                <w:tcPr>
                  <w:tcW w:w="719" w:type="dxa"/>
                  <w:vAlign w:val="center"/>
                </w:tcPr>
                <w:p w14:paraId="02021F47">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噪声值</w:t>
                  </w:r>
                </w:p>
              </w:tc>
              <w:tc>
                <w:tcPr>
                  <w:tcW w:w="1005" w:type="dxa"/>
                  <w:vAlign w:val="center"/>
                </w:tcPr>
                <w:p w14:paraId="34F153C7">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工艺</w:t>
                  </w:r>
                </w:p>
              </w:tc>
              <w:tc>
                <w:tcPr>
                  <w:tcW w:w="967" w:type="dxa"/>
                  <w:vAlign w:val="center"/>
                </w:tcPr>
                <w:p w14:paraId="02A8FAC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降噪效果</w:t>
                  </w:r>
                </w:p>
              </w:tc>
              <w:tc>
                <w:tcPr>
                  <w:tcW w:w="1000" w:type="dxa"/>
                  <w:vAlign w:val="center"/>
                </w:tcPr>
                <w:p w14:paraId="5F66F7B4">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核算方法</w:t>
                  </w:r>
                </w:p>
              </w:tc>
              <w:tc>
                <w:tcPr>
                  <w:tcW w:w="812" w:type="dxa"/>
                  <w:vAlign w:val="center"/>
                </w:tcPr>
                <w:p w14:paraId="4268F4D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噪声值</w:t>
                  </w:r>
                </w:p>
              </w:tc>
              <w:tc>
                <w:tcPr>
                  <w:tcW w:w="797" w:type="dxa"/>
                  <w:vMerge w:val="continue"/>
                  <w:vAlign w:val="center"/>
                </w:tcPr>
                <w:p w14:paraId="15AC89A6">
                  <w:pPr>
                    <w:pStyle w:val="137"/>
                    <w:jc w:val="center"/>
                    <w:rPr>
                      <w:rFonts w:hint="default" w:ascii="Times New Roman" w:hAnsi="Times New Roman" w:cs="Times New Roman"/>
                      <w:color w:val="000000" w:themeColor="text1"/>
                      <w:sz w:val="21"/>
                      <w:szCs w:val="21"/>
                      <w14:textFill>
                        <w14:solidFill>
                          <w14:schemeClr w14:val="tx1"/>
                        </w14:solidFill>
                      </w14:textFill>
                    </w:rPr>
                  </w:pPr>
                </w:p>
              </w:tc>
            </w:tr>
            <w:tr w14:paraId="63370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restart"/>
                  <w:vAlign w:val="center"/>
                </w:tcPr>
                <w:p w14:paraId="5BE654D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4#储罐组机泵</w:t>
                  </w:r>
                </w:p>
              </w:tc>
              <w:tc>
                <w:tcPr>
                  <w:tcW w:w="1475" w:type="dxa"/>
                  <w:vAlign w:val="center"/>
                </w:tcPr>
                <w:p w14:paraId="59BE71F0">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w:t>
                  </w:r>
                  <w:r>
                    <w:rPr>
                      <w:rFonts w:ascii="Times New Roman" w:hAnsi="Times New Roman" w:cs="Times New Roman"/>
                      <w:color w:val="000000" w:themeColor="text1"/>
                      <w:sz w:val="21"/>
                      <w:szCs w:val="21"/>
                      <w14:textFill>
                        <w14:solidFill>
                          <w14:schemeClr w14:val="tx1"/>
                        </w14:solidFill>
                      </w14:textFill>
                    </w:rPr>
                    <w:t>循环吸收泵P-404A</w:t>
                  </w:r>
                </w:p>
              </w:tc>
              <w:tc>
                <w:tcPr>
                  <w:tcW w:w="611" w:type="dxa"/>
                  <w:vAlign w:val="center"/>
                </w:tcPr>
                <w:p w14:paraId="4F45053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频发</w:t>
                  </w:r>
                </w:p>
              </w:tc>
              <w:tc>
                <w:tcPr>
                  <w:tcW w:w="1006" w:type="dxa"/>
                  <w:vAlign w:val="center"/>
                </w:tcPr>
                <w:p w14:paraId="0BB6F4FD">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5342FFA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02CE112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1A9C38A5">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1CDF58F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1DC4630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159CAD4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5F97E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13EB7830">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370B475E">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w:t>
                  </w:r>
                  <w:r>
                    <w:rPr>
                      <w:rFonts w:ascii="Times New Roman" w:hAnsi="Times New Roman" w:cs="Times New Roman"/>
                      <w:color w:val="000000" w:themeColor="text1"/>
                      <w:sz w:val="21"/>
                      <w:szCs w:val="21"/>
                      <w14:textFill>
                        <w14:solidFill>
                          <w14:schemeClr w14:val="tx1"/>
                        </w14:solidFill>
                      </w14:textFill>
                    </w:rPr>
                    <w:t>循环吸收泵P-404B</w:t>
                  </w:r>
                </w:p>
              </w:tc>
              <w:tc>
                <w:tcPr>
                  <w:tcW w:w="611" w:type="dxa"/>
                  <w:vAlign w:val="center"/>
                </w:tcPr>
                <w:p w14:paraId="1493D76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频发</w:t>
                  </w:r>
                </w:p>
              </w:tc>
              <w:tc>
                <w:tcPr>
                  <w:tcW w:w="1006" w:type="dxa"/>
                  <w:vAlign w:val="center"/>
                </w:tcPr>
                <w:p w14:paraId="4BC8746D">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7C324C9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689542E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48C4C5B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7A98F9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30DE0F0B">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6FC2661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7E715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5E6C718C">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0E07757E">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液硫输送泵</w:t>
                  </w:r>
                </w:p>
                <w:p w14:paraId="643C1235">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P-401A</w:t>
                  </w:r>
                </w:p>
              </w:tc>
              <w:tc>
                <w:tcPr>
                  <w:tcW w:w="611" w:type="dxa"/>
                  <w:vAlign w:val="center"/>
                </w:tcPr>
                <w:p w14:paraId="466C7E4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74C64A9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37E2CF1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17AD2E8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757F373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6DEA469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40254542">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7AC6814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01D0E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55A1CBC2">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26A4941E">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液硫输送泵</w:t>
                  </w:r>
                </w:p>
                <w:p w14:paraId="5193BDC1">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P-401B</w:t>
                  </w:r>
                </w:p>
              </w:tc>
              <w:tc>
                <w:tcPr>
                  <w:tcW w:w="611" w:type="dxa"/>
                  <w:vAlign w:val="center"/>
                </w:tcPr>
                <w:p w14:paraId="051E007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5CAE983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19B6D64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2D4541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6764081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3A967C8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623212A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423D033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270C5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0A266991">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50F80C2D">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发烟硫酸输送泵P-402</w:t>
                  </w:r>
                </w:p>
              </w:tc>
              <w:tc>
                <w:tcPr>
                  <w:tcW w:w="611" w:type="dxa"/>
                  <w:vAlign w:val="center"/>
                </w:tcPr>
                <w:p w14:paraId="727B58E2">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4F7D5787">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4E722F6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4CD2E4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66189EB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165B4EF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0E3E3B0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4AA0F5C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29CBE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554D5CEE">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17AC4AC1">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碱液输送泵</w:t>
                  </w:r>
                </w:p>
                <w:p w14:paraId="748F52E5">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P-403</w:t>
                  </w:r>
                </w:p>
              </w:tc>
              <w:tc>
                <w:tcPr>
                  <w:tcW w:w="611" w:type="dxa"/>
                  <w:vAlign w:val="center"/>
                </w:tcPr>
                <w:p w14:paraId="56928872">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1DF4407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6C4F9B5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49171A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31B6080F">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758D68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23652D9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3523DA7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18F23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restart"/>
                  <w:vAlign w:val="center"/>
                </w:tcPr>
                <w:p w14:paraId="5A885CC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苯酚储罐区机泵</w:t>
                  </w:r>
                </w:p>
              </w:tc>
              <w:tc>
                <w:tcPr>
                  <w:tcW w:w="1475" w:type="dxa"/>
                  <w:vAlign w:val="center"/>
                </w:tcPr>
                <w:p w14:paraId="2888F03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苯酚输送泵</w:t>
                  </w:r>
                </w:p>
                <w:p w14:paraId="16C3B4AE">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P-405A</w:t>
                  </w:r>
                </w:p>
              </w:tc>
              <w:tc>
                <w:tcPr>
                  <w:tcW w:w="611" w:type="dxa"/>
                  <w:vAlign w:val="center"/>
                </w:tcPr>
                <w:p w14:paraId="3E57E574">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63BDC12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1520494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2B2DCA8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75AFF8B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47A8D03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137E84A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589C0FF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391CF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42812388">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5D2CD22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苯酚输送泵</w:t>
                  </w:r>
                </w:p>
                <w:p w14:paraId="1E03628F">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P-405B</w:t>
                  </w:r>
                </w:p>
              </w:tc>
              <w:tc>
                <w:tcPr>
                  <w:tcW w:w="611" w:type="dxa"/>
                  <w:vAlign w:val="center"/>
                </w:tcPr>
                <w:p w14:paraId="7E7FC20B">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71BB35BF">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313D91E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5110487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6A732E0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2A67FF9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0FEF1A7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293E732B">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681D8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restart"/>
                  <w:vAlign w:val="center"/>
                </w:tcPr>
                <w:p w14:paraId="5BA9701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己内酰胺储罐区机泵</w:t>
                  </w:r>
                </w:p>
              </w:tc>
              <w:tc>
                <w:tcPr>
                  <w:tcW w:w="1475" w:type="dxa"/>
                  <w:vAlign w:val="center"/>
                </w:tcPr>
                <w:p w14:paraId="61096E4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己内酰胺循环泵P-406</w:t>
                  </w:r>
                </w:p>
              </w:tc>
              <w:tc>
                <w:tcPr>
                  <w:tcW w:w="611" w:type="dxa"/>
                  <w:vAlign w:val="center"/>
                </w:tcPr>
                <w:p w14:paraId="0E60B94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0F76D79D">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3D46CB2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475F7A7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37BAFC22">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3EA667B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2636144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0AF1AE3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3D140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50415D61">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5C1BB87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己内酰胺装船泵P-407A</w:t>
                  </w:r>
                </w:p>
              </w:tc>
              <w:tc>
                <w:tcPr>
                  <w:tcW w:w="611" w:type="dxa"/>
                  <w:vAlign w:val="center"/>
                </w:tcPr>
                <w:p w14:paraId="42835CD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390328D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678A95F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1A9CB57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2FF0663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2F5EBCF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29DDA63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5229E66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77E08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543CA7A2">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6EDC28A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己内酰胺装船泵P-407B</w:t>
                  </w:r>
                </w:p>
              </w:tc>
              <w:tc>
                <w:tcPr>
                  <w:tcW w:w="611" w:type="dxa"/>
                  <w:vAlign w:val="center"/>
                </w:tcPr>
                <w:p w14:paraId="2C62CD4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5CD5043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42AA9C9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5E09C2D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4A39CE5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65E9FA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5C80EF5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61AC78C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3A096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59B7FE7A">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32F4075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热水泵</w:t>
                  </w:r>
                </w:p>
                <w:p w14:paraId="033DBBF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P-408A</w:t>
                  </w:r>
                </w:p>
              </w:tc>
              <w:tc>
                <w:tcPr>
                  <w:tcW w:w="611" w:type="dxa"/>
                  <w:vAlign w:val="center"/>
                </w:tcPr>
                <w:p w14:paraId="645EEF7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7CB265D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53939B6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124703C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5BFF1715">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6F18707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0E2FEE67">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6014CBE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54ABC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6F29E209">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6C1A7E5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热水泵</w:t>
                  </w:r>
                </w:p>
                <w:p w14:paraId="2315CCB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P-408B</w:t>
                  </w:r>
                </w:p>
              </w:tc>
              <w:tc>
                <w:tcPr>
                  <w:tcW w:w="611" w:type="dxa"/>
                  <w:vAlign w:val="center"/>
                </w:tcPr>
                <w:p w14:paraId="46C36D7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068CB68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237E35F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3528178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062ECD0B">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23104F8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6B844975">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0E2B72CF">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721F1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restart"/>
                  <w:vAlign w:val="center"/>
                </w:tcPr>
                <w:p w14:paraId="2707325F">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汽车装载区</w:t>
                  </w:r>
                </w:p>
              </w:tc>
              <w:tc>
                <w:tcPr>
                  <w:tcW w:w="1475" w:type="dxa"/>
                  <w:vAlign w:val="center"/>
                </w:tcPr>
                <w:p w14:paraId="10547C9E">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液碱装卸臂L-603</w:t>
                  </w:r>
                </w:p>
              </w:tc>
              <w:tc>
                <w:tcPr>
                  <w:tcW w:w="611" w:type="dxa"/>
                  <w:vAlign w:val="center"/>
                </w:tcPr>
                <w:p w14:paraId="1C1B138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16F43E7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4A97C76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c>
                <w:tcPr>
                  <w:tcW w:w="1005" w:type="dxa"/>
                  <w:vAlign w:val="center"/>
                </w:tcPr>
                <w:p w14:paraId="60758A4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967" w:type="dxa"/>
                  <w:vAlign w:val="center"/>
                </w:tcPr>
                <w:p w14:paraId="03FBAA8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70BE87A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544A130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5C4F8615">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039FE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5C4E8A93">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59E91737">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液碱运输</w:t>
                  </w:r>
                </w:p>
                <w:p w14:paraId="485175B6">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槽罐车</w:t>
                  </w:r>
                </w:p>
              </w:tc>
              <w:tc>
                <w:tcPr>
                  <w:tcW w:w="611" w:type="dxa"/>
                  <w:vAlign w:val="center"/>
                </w:tcPr>
                <w:p w14:paraId="2BA77C8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0E1B6CF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56B7F75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078B5C6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967" w:type="dxa"/>
                  <w:vAlign w:val="center"/>
                </w:tcPr>
                <w:p w14:paraId="1C1E9147">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1000" w:type="dxa"/>
                  <w:vAlign w:val="center"/>
                </w:tcPr>
                <w:p w14:paraId="015F8D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75BDD1B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0090DD0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7A199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69D3CDF9">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331D40D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液硫装卸臂L-601A</w:t>
                  </w:r>
                </w:p>
              </w:tc>
              <w:tc>
                <w:tcPr>
                  <w:tcW w:w="611" w:type="dxa"/>
                  <w:vAlign w:val="center"/>
                </w:tcPr>
                <w:p w14:paraId="28F67FC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66F7842D">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3AA1F04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c>
                <w:tcPr>
                  <w:tcW w:w="1005" w:type="dxa"/>
                  <w:vAlign w:val="center"/>
                </w:tcPr>
                <w:p w14:paraId="43FE355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967" w:type="dxa"/>
                  <w:vAlign w:val="center"/>
                </w:tcPr>
                <w:p w14:paraId="601832D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2F3C476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0357631F">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47B963C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2FDA1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74CF38D0">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1E2A2C5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液硫装卸臂L-601B</w:t>
                  </w:r>
                </w:p>
              </w:tc>
              <w:tc>
                <w:tcPr>
                  <w:tcW w:w="611" w:type="dxa"/>
                  <w:vAlign w:val="center"/>
                </w:tcPr>
                <w:p w14:paraId="5B2BA1D5">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1A283792">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0A9D64A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c>
                <w:tcPr>
                  <w:tcW w:w="1005" w:type="dxa"/>
                  <w:vAlign w:val="center"/>
                </w:tcPr>
                <w:p w14:paraId="51DA249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967" w:type="dxa"/>
                  <w:vAlign w:val="center"/>
                </w:tcPr>
                <w:p w14:paraId="7C2E761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30D6265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7BC947A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7F832437">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5AA81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136C0AD3">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19D8572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液硫运输</w:t>
                  </w:r>
                </w:p>
                <w:p w14:paraId="4D01BA1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槽罐车</w:t>
                  </w:r>
                </w:p>
              </w:tc>
              <w:tc>
                <w:tcPr>
                  <w:tcW w:w="611" w:type="dxa"/>
                  <w:vAlign w:val="center"/>
                </w:tcPr>
                <w:p w14:paraId="1F0EF57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190BBDF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0EFD5D5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35EC729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967" w:type="dxa"/>
                  <w:vAlign w:val="center"/>
                </w:tcPr>
                <w:p w14:paraId="1ED8D24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1000" w:type="dxa"/>
                  <w:vAlign w:val="center"/>
                </w:tcPr>
                <w:p w14:paraId="51D9E99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461DC1D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1CAD0DB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52751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1D7657D4">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79F42C6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硫酸装卸臂L-602</w:t>
                  </w:r>
                </w:p>
              </w:tc>
              <w:tc>
                <w:tcPr>
                  <w:tcW w:w="611" w:type="dxa"/>
                  <w:vAlign w:val="center"/>
                </w:tcPr>
                <w:p w14:paraId="4C04389B">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373C5A8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6D2107D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c>
                <w:tcPr>
                  <w:tcW w:w="1005" w:type="dxa"/>
                  <w:vAlign w:val="center"/>
                </w:tcPr>
                <w:p w14:paraId="405CACB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967" w:type="dxa"/>
                  <w:vAlign w:val="center"/>
                </w:tcPr>
                <w:p w14:paraId="26E3DC2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231BCF7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1BC0F50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7D59CA5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1A6CD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1E5858A8">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4B8E9FD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硫酸运输</w:t>
                  </w:r>
                </w:p>
                <w:p w14:paraId="138FAA2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槽罐车</w:t>
                  </w:r>
                </w:p>
              </w:tc>
              <w:tc>
                <w:tcPr>
                  <w:tcW w:w="611" w:type="dxa"/>
                  <w:vAlign w:val="center"/>
                </w:tcPr>
                <w:p w14:paraId="6E7C497B">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2F504F3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5B519B2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067813C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967" w:type="dxa"/>
                  <w:vAlign w:val="center"/>
                </w:tcPr>
                <w:p w14:paraId="74852A1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1000" w:type="dxa"/>
                  <w:vAlign w:val="center"/>
                </w:tcPr>
                <w:p w14:paraId="1B3DC91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39FF75E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5C71312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49429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0B8E45DF">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1ED43B7B">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液碱装卸臂L-603</w:t>
                  </w:r>
                </w:p>
              </w:tc>
              <w:tc>
                <w:tcPr>
                  <w:tcW w:w="611" w:type="dxa"/>
                  <w:vAlign w:val="center"/>
                </w:tcPr>
                <w:p w14:paraId="4F6382A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4653FE9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4B4BDF0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c>
                <w:tcPr>
                  <w:tcW w:w="1005" w:type="dxa"/>
                  <w:vAlign w:val="center"/>
                </w:tcPr>
                <w:p w14:paraId="25D9893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967" w:type="dxa"/>
                  <w:vAlign w:val="center"/>
                </w:tcPr>
                <w:p w14:paraId="7A0FB8BF">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3D952D3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3E8995CF">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5618279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12C7B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72FB88D1">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6E2C03AE">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液碱运输</w:t>
                  </w:r>
                </w:p>
                <w:p w14:paraId="30714DF0">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槽罐车</w:t>
                  </w:r>
                </w:p>
              </w:tc>
              <w:tc>
                <w:tcPr>
                  <w:tcW w:w="611" w:type="dxa"/>
                  <w:vAlign w:val="center"/>
                </w:tcPr>
                <w:p w14:paraId="5B4C3EF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4E49110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18C1968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18EA260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967" w:type="dxa"/>
                  <w:vAlign w:val="center"/>
                </w:tcPr>
                <w:p w14:paraId="75B0E40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1000" w:type="dxa"/>
                  <w:vAlign w:val="center"/>
                </w:tcPr>
                <w:p w14:paraId="5A7B49D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3C9A69A4">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2E2B9E15">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r w14:paraId="76B54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4AD0936B">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67B322A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己内酰胺卸车泵P-409A</w:t>
                  </w:r>
                </w:p>
              </w:tc>
              <w:tc>
                <w:tcPr>
                  <w:tcW w:w="611" w:type="dxa"/>
                  <w:vAlign w:val="center"/>
                </w:tcPr>
                <w:p w14:paraId="3FDD414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31C18F8F">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41E1DB6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4449EF1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vAlign w:val="center"/>
                </w:tcPr>
                <w:p w14:paraId="098A00C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vAlign w:val="center"/>
                </w:tcPr>
                <w:p w14:paraId="27A17FE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05F660C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vAlign w:val="center"/>
                </w:tcPr>
                <w:p w14:paraId="647B25A0">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59B37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57549C33">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shd w:val="clear" w:color="auto" w:fill="auto"/>
                  <w:vAlign w:val="center"/>
                </w:tcPr>
                <w:p w14:paraId="409DFE4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己内酰胺卸车泵P-409B</w:t>
                  </w:r>
                </w:p>
              </w:tc>
              <w:tc>
                <w:tcPr>
                  <w:tcW w:w="611" w:type="dxa"/>
                  <w:shd w:val="clear" w:color="auto" w:fill="auto"/>
                  <w:vAlign w:val="center"/>
                </w:tcPr>
                <w:p w14:paraId="07BA05D8">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shd w:val="clear" w:color="auto" w:fill="auto"/>
                  <w:vAlign w:val="center"/>
                </w:tcPr>
                <w:p w14:paraId="2D35DA79">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shd w:val="clear" w:color="auto" w:fill="auto"/>
                  <w:vAlign w:val="center"/>
                </w:tcPr>
                <w:p w14:paraId="2FBD912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shd w:val="clear" w:color="auto" w:fill="auto"/>
                  <w:vAlign w:val="center"/>
                </w:tcPr>
                <w:p w14:paraId="72833A1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967" w:type="dxa"/>
                  <w:shd w:val="clear" w:color="auto" w:fill="auto"/>
                  <w:vAlign w:val="center"/>
                </w:tcPr>
                <w:p w14:paraId="15CBCA8A">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000" w:type="dxa"/>
                  <w:shd w:val="clear" w:color="auto" w:fill="auto"/>
                  <w:vAlign w:val="center"/>
                </w:tcPr>
                <w:p w14:paraId="26AF67A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shd w:val="clear" w:color="auto" w:fill="auto"/>
                  <w:vAlign w:val="center"/>
                </w:tcPr>
                <w:p w14:paraId="5ECB81DC">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797" w:type="dxa"/>
                  <w:shd w:val="clear" w:color="auto" w:fill="auto"/>
                  <w:vAlign w:val="center"/>
                </w:tcPr>
                <w:p w14:paraId="744D47A3">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r>
            <w:tr w14:paraId="797F8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907" w:type="dxa"/>
                  <w:vMerge w:val="continue"/>
                  <w:vAlign w:val="center"/>
                </w:tcPr>
                <w:p w14:paraId="2536625F">
                  <w:pPr>
                    <w:pStyle w:val="137"/>
                    <w:jc w:val="center"/>
                    <w:rPr>
                      <w:rFonts w:hint="default" w:ascii="Times New Roman" w:hAnsi="Times New Roman" w:cs="Times New Roman"/>
                      <w:color w:val="000000" w:themeColor="text1"/>
                      <w:sz w:val="21"/>
                      <w:szCs w:val="21"/>
                      <w14:textFill>
                        <w14:solidFill>
                          <w14:schemeClr w14:val="tx1"/>
                        </w14:solidFill>
                      </w14:textFill>
                    </w:rPr>
                  </w:pPr>
                </w:p>
              </w:tc>
              <w:tc>
                <w:tcPr>
                  <w:tcW w:w="1475" w:type="dxa"/>
                  <w:vAlign w:val="center"/>
                </w:tcPr>
                <w:p w14:paraId="75B95F9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苯酚运输</w:t>
                  </w:r>
                </w:p>
                <w:p w14:paraId="54210C9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槽罐车</w:t>
                  </w:r>
                </w:p>
              </w:tc>
              <w:tc>
                <w:tcPr>
                  <w:tcW w:w="611" w:type="dxa"/>
                  <w:vAlign w:val="center"/>
                </w:tcPr>
                <w:p w14:paraId="49D57972">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偶发</w:t>
                  </w:r>
                </w:p>
              </w:tc>
              <w:tc>
                <w:tcPr>
                  <w:tcW w:w="1006" w:type="dxa"/>
                  <w:vAlign w:val="center"/>
                </w:tcPr>
                <w:p w14:paraId="617ACF17">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类比法</w:t>
                  </w:r>
                </w:p>
              </w:tc>
              <w:tc>
                <w:tcPr>
                  <w:tcW w:w="719" w:type="dxa"/>
                  <w:vAlign w:val="center"/>
                </w:tcPr>
                <w:p w14:paraId="12DFDFA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w:t>
                  </w:r>
                </w:p>
              </w:tc>
              <w:tc>
                <w:tcPr>
                  <w:tcW w:w="1005" w:type="dxa"/>
                  <w:vAlign w:val="center"/>
                </w:tcPr>
                <w:p w14:paraId="15B743B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967" w:type="dxa"/>
                  <w:vAlign w:val="center"/>
                </w:tcPr>
                <w:p w14:paraId="67A948F6">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1000" w:type="dxa"/>
                  <w:vAlign w:val="center"/>
                </w:tcPr>
                <w:p w14:paraId="0E082BD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类比法</w:t>
                  </w:r>
                </w:p>
              </w:tc>
              <w:tc>
                <w:tcPr>
                  <w:tcW w:w="812" w:type="dxa"/>
                  <w:vAlign w:val="center"/>
                </w:tcPr>
                <w:p w14:paraId="5CB05491">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75</w:t>
                  </w:r>
                </w:p>
              </w:tc>
              <w:tc>
                <w:tcPr>
                  <w:tcW w:w="797" w:type="dxa"/>
                  <w:vAlign w:val="center"/>
                </w:tcPr>
                <w:p w14:paraId="1BA1889E">
                  <w:pPr>
                    <w:pStyle w:val="137"/>
                    <w:jc w:val="center"/>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w:t>
                  </w:r>
                </w:p>
              </w:tc>
            </w:tr>
          </w:tbl>
          <w:p w14:paraId="4172F38F">
            <w:pPr>
              <w:adjustRightInd w:val="0"/>
              <w:snapToGrid w:val="0"/>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（2）降噪措施</w:t>
            </w:r>
          </w:p>
          <w:p w14:paraId="03BDBBAB">
            <w:pPr>
              <w:adjustRightInd w:val="0"/>
              <w:snapToGrid w:val="0"/>
              <w:spacing w:line="360" w:lineRule="auto"/>
              <w:ind w:firstLine="480" w:firstLineChars="200"/>
              <w:rPr>
                <w:rFonts w:ascii="Times New Roman" w:hAnsi="Times New Roman" w:cs="Times New Roman"/>
                <w:color w:val="0000FF"/>
              </w:rPr>
            </w:pPr>
            <w:r>
              <w:rPr>
                <w:rFonts w:ascii="Times New Roman" w:hAnsi="Times New Roman" w:cs="Times New Roman"/>
                <w:color w:val="000000" w:themeColor="text1"/>
                <w14:textFill>
                  <w14:solidFill>
                    <w14:schemeClr w14:val="tx1"/>
                  </w14:solidFill>
                </w14:textFill>
              </w:rPr>
              <w:t>根据《工业企业噪声控制设计规范》(GB/T 50087-2013)中的相关规定，本项目采取以下噪声控制措施</w:t>
            </w:r>
            <w:r>
              <w:rPr>
                <w:rFonts w:hint="eastAsia" w:ascii="Times New Roman" w:hAnsi="Times New Roman" w:cs="Times New Roman"/>
                <w:color w:val="000000" w:themeColor="text1"/>
                <w14:textFill>
                  <w14:solidFill>
                    <w14:schemeClr w14:val="tx1"/>
                  </w14:solidFill>
                </w14:textFill>
              </w:rPr>
              <w:t>：</w:t>
            </w:r>
          </w:p>
          <w:p w14:paraId="0876B680">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①合理布局噪声源，使噪声源尽量远离人群集中区；</w:t>
            </w:r>
          </w:p>
          <w:p w14:paraId="484083DF">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②在设备、管道设计中，注意防震、防冲击，以减轻振动噪声，并注意改善气体输流时流畅状况，以减轻空气动力噪声；</w:t>
            </w:r>
          </w:p>
          <w:p w14:paraId="046BEF89">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③机械设备宜选用低噪声设备，需定期维护机械设备；</w:t>
            </w:r>
          </w:p>
          <w:p w14:paraId="1AA9D5D1">
            <w:pPr>
              <w:keepNext/>
              <w:keepLines/>
              <w:spacing w:line="360" w:lineRule="auto"/>
              <w:ind w:firstLine="480" w:firstLineChars="200"/>
              <w:outlineLvl w:val="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④机泵等选取低噪声设备，基础安装减震垫，同时定期对设备进行维护，保持良好的运行效果。</w:t>
            </w:r>
          </w:p>
          <w:p w14:paraId="5970971A">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⑤合理规划行车时间、行车路线，尽量远离居民区，避免休息时间途径居民点。</w:t>
            </w:r>
          </w:p>
          <w:p w14:paraId="1F4686D1">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⑥对于运输车辆产生的噪声，建设单位应在项目内设置禁鸣标志、限速（10km/h）标志，禁止运输车辆在项目内随意轰大汽车油门和快速加油，严格控制进出车辆在站区内及周边道路行车速度，设置减速带，车辆应按顺序进出项目，等待装卸物料时应熄火。同时应定期对厂区内道路修筑平滑，尽量减少路面坑洼，这样可大大减轻车辆在启动及行驶过程发动机轰鸣噪声。</w:t>
            </w:r>
          </w:p>
          <w:p w14:paraId="1F544306">
            <w:pPr>
              <w:spacing w:line="360" w:lineRule="auto"/>
              <w:jc w:val="both"/>
              <w:rPr>
                <w:rFonts w:ascii="Times New Roman" w:hAnsi="Times New Roman" w:cs="Times New Roman"/>
                <w:color w:val="FF0000"/>
                <w:kern w:val="21"/>
              </w:rPr>
            </w:pPr>
          </w:p>
          <w:p w14:paraId="743F0EBF">
            <w:pPr>
              <w:spacing w:line="360" w:lineRule="auto"/>
              <w:jc w:val="both"/>
              <w:rPr>
                <w:rFonts w:ascii="Times New Roman" w:hAnsi="Times New Roman" w:cs="Times New Roman"/>
                <w:color w:val="FF0000"/>
                <w:kern w:val="21"/>
              </w:rPr>
            </w:pPr>
          </w:p>
          <w:p w14:paraId="2B3D8AEE">
            <w:pPr>
              <w:spacing w:line="360" w:lineRule="auto"/>
              <w:jc w:val="both"/>
              <w:rPr>
                <w:rFonts w:ascii="Times New Roman" w:hAnsi="Times New Roman" w:cs="Times New Roman"/>
                <w:color w:val="FF0000"/>
                <w:kern w:val="21"/>
              </w:rPr>
            </w:pPr>
          </w:p>
        </w:tc>
      </w:tr>
    </w:tbl>
    <w:p w14:paraId="372ECFD5">
      <w:pPr>
        <w:adjustRightInd w:val="0"/>
        <w:snapToGrid w:val="0"/>
        <w:spacing w:line="360" w:lineRule="auto"/>
        <w:ind w:firstLine="562"/>
        <w:rPr>
          <w:rFonts w:ascii="Times New Roman" w:hAnsi="Times New Roman" w:cs="Times New Roman"/>
          <w:b/>
          <w:color w:val="FF0000"/>
          <w:sz w:val="28"/>
          <w:szCs w:val="28"/>
        </w:rPr>
        <w:sectPr>
          <w:pgSz w:w="11907" w:h="16840"/>
          <w:pgMar w:top="1418" w:right="1304" w:bottom="1418" w:left="1304" w:header="851" w:footer="851" w:gutter="0"/>
          <w:cols w:space="720" w:num="1"/>
          <w:docGrid w:linePitch="326" w:charSpace="0"/>
        </w:sectPr>
      </w:pPr>
    </w:p>
    <w:p w14:paraId="58088164">
      <w:pPr>
        <w:pStyle w:val="81"/>
        <w:spacing w:before="0" w:beforeAutospacing="0" w:after="0" w:afterAutospacing="0" w:line="360" w:lineRule="auto"/>
        <w:jc w:val="center"/>
        <w:rPr>
          <w:rFonts w:ascii="Times New Roman" w:hAnsi="Times New Roman"/>
          <w:b/>
          <w:bCs/>
          <w:snapToGrid w:val="0"/>
          <w:color w:val="000000" w:themeColor="text1"/>
          <w:szCs w:val="24"/>
          <w14:textFill>
            <w14:solidFill>
              <w14:schemeClr w14:val="tx1"/>
            </w14:solidFill>
          </w14:textFill>
        </w:rPr>
      </w:pPr>
      <w:r>
        <w:rPr>
          <w:rFonts w:ascii="Times New Roman" w:hAnsi="Times New Roman"/>
          <w:b/>
          <w:bCs/>
          <w:snapToGrid w:val="0"/>
          <w:color w:val="000000" w:themeColor="text1"/>
          <w:szCs w:val="24"/>
          <w14:textFill>
            <w14:solidFill>
              <w14:schemeClr w14:val="tx1"/>
            </w14:solidFill>
          </w14:textFill>
        </w:rPr>
        <w:t>表4-</w:t>
      </w:r>
      <w:r>
        <w:rPr>
          <w:rFonts w:hint="eastAsia" w:ascii="Times New Roman" w:hAnsi="Times New Roman"/>
          <w:b/>
          <w:bCs/>
          <w:snapToGrid w:val="0"/>
          <w:color w:val="000000" w:themeColor="text1"/>
          <w:szCs w:val="24"/>
          <w14:textFill>
            <w14:solidFill>
              <w14:schemeClr w14:val="tx1"/>
            </w14:solidFill>
          </w14:textFill>
        </w:rPr>
        <w:t>17</w:t>
      </w:r>
      <w:r>
        <w:rPr>
          <w:rFonts w:ascii="Times New Roman" w:hAnsi="Times New Roman"/>
          <w:b/>
          <w:bCs/>
          <w:snapToGrid w:val="0"/>
          <w:color w:val="000000" w:themeColor="text1"/>
          <w:szCs w:val="24"/>
          <w14:textFill>
            <w14:solidFill>
              <w14:schemeClr w14:val="tx1"/>
            </w14:solidFill>
          </w14:textFill>
        </w:rPr>
        <w:t xml:space="preserve"> 工业企业噪声源强调查清单（</w:t>
      </w:r>
      <w:r>
        <w:rPr>
          <w:rFonts w:hint="eastAsia" w:ascii="Times New Roman" w:hAnsi="Times New Roman"/>
          <w:b/>
          <w:bCs/>
          <w:snapToGrid w:val="0"/>
          <w:color w:val="000000" w:themeColor="text1"/>
          <w:szCs w:val="24"/>
          <w14:textFill>
            <w14:solidFill>
              <w14:schemeClr w14:val="tx1"/>
            </w14:solidFill>
          </w14:textFill>
        </w:rPr>
        <w:t>室外</w:t>
      </w:r>
      <w:r>
        <w:rPr>
          <w:rFonts w:ascii="Times New Roman" w:hAnsi="Times New Roman"/>
          <w:b/>
          <w:bCs/>
          <w:snapToGrid w:val="0"/>
          <w:color w:val="000000" w:themeColor="text1"/>
          <w:szCs w:val="24"/>
          <w14:textFill>
            <w14:solidFill>
              <w14:schemeClr w14:val="tx1"/>
            </w14:solidFill>
          </w14:textFill>
        </w:rPr>
        <w:t>声源）</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28"/>
        <w:gridCol w:w="2177"/>
        <w:gridCol w:w="1216"/>
        <w:gridCol w:w="1204"/>
        <w:gridCol w:w="1204"/>
        <w:gridCol w:w="1204"/>
        <w:gridCol w:w="1708"/>
        <w:gridCol w:w="1709"/>
        <w:gridCol w:w="1405"/>
        <w:gridCol w:w="1405"/>
      </w:tblGrid>
      <w:tr w14:paraId="7AF6D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Merge w:val="restart"/>
            <w:vAlign w:val="center"/>
          </w:tcPr>
          <w:p w14:paraId="7705767E">
            <w:pPr>
              <w:pStyle w:val="81"/>
              <w:spacing w:before="0" w:beforeAutospacing="0" w:after="0" w:afterAutospacing="0"/>
              <w:jc w:val="center"/>
              <w:rPr>
                <w:rFonts w:ascii="Times New Roman" w:hAnsi="Times New Roman" w:cs="Times New Roman"/>
                <w:b/>
                <w:bCs/>
                <w:snapToGrid w:val="0"/>
                <w:color w:val="000000" w:themeColor="text1"/>
                <w:sz w:val="21"/>
                <w:szCs w:val="21"/>
                <w14:textFill>
                  <w14:solidFill>
                    <w14:schemeClr w14:val="tx1"/>
                  </w14:solidFill>
                </w14:textFill>
              </w:rPr>
            </w:pPr>
            <w:r>
              <w:rPr>
                <w:rFonts w:ascii="Times New Roman" w:hAnsi="Times New Roman" w:cs="Times New Roman"/>
                <w:b/>
                <w:bCs/>
                <w:snapToGrid w:val="0"/>
                <w:color w:val="000000" w:themeColor="text1"/>
                <w:sz w:val="21"/>
                <w:szCs w:val="21"/>
                <w14:textFill>
                  <w14:solidFill>
                    <w14:schemeClr w14:val="tx1"/>
                  </w14:solidFill>
                </w14:textFill>
              </w:rPr>
              <w:t>序号</w:t>
            </w:r>
          </w:p>
        </w:tc>
        <w:tc>
          <w:tcPr>
            <w:tcW w:w="2177" w:type="dxa"/>
            <w:vMerge w:val="restart"/>
            <w:vAlign w:val="center"/>
          </w:tcPr>
          <w:p w14:paraId="701D849F">
            <w:pPr>
              <w:pStyle w:val="81"/>
              <w:spacing w:before="0" w:beforeAutospacing="0" w:after="0" w:afterAutospacing="0"/>
              <w:jc w:val="center"/>
              <w:rPr>
                <w:rFonts w:ascii="Times New Roman" w:hAnsi="Times New Roman" w:cs="Times New Roman"/>
                <w:b/>
                <w:bCs/>
                <w:snapToGrid w:val="0"/>
                <w:color w:val="000000" w:themeColor="text1"/>
                <w:sz w:val="21"/>
                <w:szCs w:val="21"/>
                <w14:textFill>
                  <w14:solidFill>
                    <w14:schemeClr w14:val="tx1"/>
                  </w14:solidFill>
                </w14:textFill>
              </w:rPr>
            </w:pPr>
            <w:r>
              <w:rPr>
                <w:rFonts w:ascii="Times New Roman" w:hAnsi="Times New Roman" w:cs="Times New Roman"/>
                <w:b/>
                <w:bCs/>
                <w:snapToGrid w:val="0"/>
                <w:color w:val="000000" w:themeColor="text1"/>
                <w:sz w:val="21"/>
                <w:szCs w:val="21"/>
                <w14:textFill>
                  <w14:solidFill>
                    <w14:schemeClr w14:val="tx1"/>
                  </w14:solidFill>
                </w14:textFill>
              </w:rPr>
              <w:t>声源名称</w:t>
            </w:r>
          </w:p>
        </w:tc>
        <w:tc>
          <w:tcPr>
            <w:tcW w:w="1216" w:type="dxa"/>
            <w:vMerge w:val="restart"/>
            <w:vAlign w:val="center"/>
          </w:tcPr>
          <w:p w14:paraId="0E3E8295">
            <w:pPr>
              <w:pStyle w:val="81"/>
              <w:spacing w:before="0" w:beforeAutospacing="0" w:after="0" w:afterAutospacing="0"/>
              <w:jc w:val="center"/>
              <w:rPr>
                <w:rFonts w:ascii="Times New Roman" w:hAnsi="Times New Roman" w:cs="Times New Roman"/>
                <w:b/>
                <w:bCs/>
                <w:snapToGrid w:val="0"/>
                <w:color w:val="000000" w:themeColor="text1"/>
                <w:sz w:val="21"/>
                <w:szCs w:val="21"/>
                <w14:textFill>
                  <w14:solidFill>
                    <w14:schemeClr w14:val="tx1"/>
                  </w14:solidFill>
                </w14:textFill>
              </w:rPr>
            </w:pPr>
            <w:r>
              <w:rPr>
                <w:rFonts w:ascii="Times New Roman" w:hAnsi="Times New Roman" w:cs="Times New Roman"/>
                <w:b/>
                <w:bCs/>
                <w:snapToGrid w:val="0"/>
                <w:color w:val="000000" w:themeColor="text1"/>
                <w:sz w:val="21"/>
                <w:szCs w:val="21"/>
                <w14:textFill>
                  <w14:solidFill>
                    <w14:schemeClr w14:val="tx1"/>
                  </w14:solidFill>
                </w14:textFill>
              </w:rPr>
              <w:t>型号</w:t>
            </w:r>
          </w:p>
        </w:tc>
        <w:tc>
          <w:tcPr>
            <w:tcW w:w="3612" w:type="dxa"/>
            <w:gridSpan w:val="3"/>
            <w:vAlign w:val="center"/>
          </w:tcPr>
          <w:p w14:paraId="241FA81B">
            <w:pPr>
              <w:pStyle w:val="81"/>
              <w:spacing w:before="0" w:beforeAutospacing="0" w:after="0" w:afterAutospacing="0"/>
              <w:jc w:val="center"/>
              <w:rPr>
                <w:rFonts w:ascii="Times New Roman" w:hAnsi="Times New Roman" w:cs="Times New Roman"/>
                <w:b/>
                <w:bCs/>
                <w:snapToGrid w:val="0"/>
                <w:color w:val="000000" w:themeColor="text1"/>
                <w:sz w:val="21"/>
                <w:szCs w:val="21"/>
                <w14:textFill>
                  <w14:solidFill>
                    <w14:schemeClr w14:val="tx1"/>
                  </w14:solidFill>
                </w14:textFill>
              </w:rPr>
            </w:pPr>
            <w:r>
              <w:rPr>
                <w:rFonts w:ascii="Times New Roman" w:hAnsi="Times New Roman" w:cs="Times New Roman"/>
                <w:b/>
                <w:bCs/>
                <w:snapToGrid w:val="0"/>
                <w:color w:val="000000" w:themeColor="text1"/>
                <w:sz w:val="21"/>
                <w:szCs w:val="21"/>
                <w14:textFill>
                  <w14:solidFill>
                    <w14:schemeClr w14:val="tx1"/>
                  </w14:solidFill>
                </w14:textFill>
              </w:rPr>
              <w:t>空间相对位置/m</w:t>
            </w:r>
          </w:p>
        </w:tc>
        <w:tc>
          <w:tcPr>
            <w:tcW w:w="3417" w:type="dxa"/>
            <w:gridSpan w:val="2"/>
            <w:vAlign w:val="center"/>
          </w:tcPr>
          <w:p w14:paraId="1F747624">
            <w:pPr>
              <w:pStyle w:val="81"/>
              <w:spacing w:before="0" w:beforeAutospacing="0" w:after="0" w:afterAutospacing="0"/>
              <w:jc w:val="center"/>
              <w:rPr>
                <w:rFonts w:ascii="Times New Roman" w:hAnsi="Times New Roman" w:cs="Times New Roman"/>
                <w:b/>
                <w:bCs/>
                <w:snapToGrid w:val="0"/>
                <w:color w:val="000000" w:themeColor="text1"/>
                <w:sz w:val="21"/>
                <w:szCs w:val="21"/>
                <w14:textFill>
                  <w14:solidFill>
                    <w14:schemeClr w14:val="tx1"/>
                  </w14:solidFill>
                </w14:textFill>
              </w:rPr>
            </w:pPr>
            <w:r>
              <w:rPr>
                <w:rFonts w:ascii="Times New Roman" w:hAnsi="Times New Roman" w:cs="Times New Roman"/>
                <w:b/>
                <w:bCs/>
                <w:snapToGrid w:val="0"/>
                <w:color w:val="000000" w:themeColor="text1"/>
                <w:sz w:val="21"/>
                <w:szCs w:val="21"/>
                <w14:textFill>
                  <w14:solidFill>
                    <w14:schemeClr w14:val="tx1"/>
                  </w14:solidFill>
                </w14:textFill>
              </w:rPr>
              <w:t>声源源强</w:t>
            </w:r>
          </w:p>
        </w:tc>
        <w:tc>
          <w:tcPr>
            <w:tcW w:w="1405" w:type="dxa"/>
            <w:vMerge w:val="restart"/>
            <w:vAlign w:val="center"/>
          </w:tcPr>
          <w:p w14:paraId="6BAA6C73">
            <w:pPr>
              <w:pStyle w:val="81"/>
              <w:spacing w:before="0" w:beforeAutospacing="0" w:after="0" w:afterAutospacing="0"/>
              <w:jc w:val="center"/>
              <w:rPr>
                <w:rFonts w:ascii="Times New Roman" w:hAnsi="Times New Roman" w:cs="Times New Roman"/>
                <w:b/>
                <w:bCs/>
                <w:snapToGrid w:val="0"/>
                <w:color w:val="000000" w:themeColor="text1"/>
                <w:sz w:val="21"/>
                <w:szCs w:val="21"/>
                <w14:textFill>
                  <w14:solidFill>
                    <w14:schemeClr w14:val="tx1"/>
                  </w14:solidFill>
                </w14:textFill>
              </w:rPr>
            </w:pPr>
            <w:r>
              <w:rPr>
                <w:rFonts w:ascii="Times New Roman" w:hAnsi="Times New Roman" w:cs="Times New Roman"/>
                <w:b/>
                <w:bCs/>
                <w:snapToGrid w:val="0"/>
                <w:color w:val="000000" w:themeColor="text1"/>
                <w:sz w:val="21"/>
                <w:szCs w:val="21"/>
                <w14:textFill>
                  <w14:solidFill>
                    <w14:schemeClr w14:val="tx1"/>
                  </w14:solidFill>
                </w14:textFill>
              </w:rPr>
              <w:t>声源控制措施</w:t>
            </w:r>
          </w:p>
        </w:tc>
        <w:tc>
          <w:tcPr>
            <w:tcW w:w="1405" w:type="dxa"/>
            <w:vMerge w:val="restart"/>
            <w:vAlign w:val="center"/>
          </w:tcPr>
          <w:p w14:paraId="77B5D4A7">
            <w:pPr>
              <w:pStyle w:val="81"/>
              <w:spacing w:before="0" w:beforeAutospacing="0" w:after="0" w:afterAutospacing="0"/>
              <w:jc w:val="center"/>
              <w:rPr>
                <w:rFonts w:ascii="Times New Roman" w:hAnsi="Times New Roman" w:cs="Times New Roman"/>
                <w:b/>
                <w:bCs/>
                <w:snapToGrid w:val="0"/>
                <w:color w:val="000000" w:themeColor="text1"/>
                <w:sz w:val="21"/>
                <w:szCs w:val="21"/>
                <w14:textFill>
                  <w14:solidFill>
                    <w14:schemeClr w14:val="tx1"/>
                  </w14:solidFill>
                </w14:textFill>
              </w:rPr>
            </w:pPr>
            <w:r>
              <w:rPr>
                <w:rFonts w:ascii="Times New Roman" w:hAnsi="Times New Roman" w:cs="Times New Roman"/>
                <w:b/>
                <w:bCs/>
                <w:snapToGrid w:val="0"/>
                <w:color w:val="000000" w:themeColor="text1"/>
                <w:sz w:val="21"/>
                <w:szCs w:val="21"/>
                <w14:textFill>
                  <w14:solidFill>
                    <w14:schemeClr w14:val="tx1"/>
                  </w14:solidFill>
                </w14:textFill>
              </w:rPr>
              <w:t>运行时段</w:t>
            </w:r>
          </w:p>
        </w:tc>
      </w:tr>
      <w:tr w14:paraId="6D628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Merge w:val="continue"/>
            <w:vAlign w:val="center"/>
          </w:tcPr>
          <w:p w14:paraId="436AA44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Merge w:val="continue"/>
            <w:vAlign w:val="center"/>
          </w:tcPr>
          <w:p w14:paraId="12F884D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1216" w:type="dxa"/>
            <w:vMerge w:val="continue"/>
            <w:vAlign w:val="center"/>
          </w:tcPr>
          <w:p w14:paraId="5F867979">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1204" w:type="dxa"/>
            <w:vAlign w:val="center"/>
          </w:tcPr>
          <w:p w14:paraId="3F80B77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X</w:t>
            </w:r>
          </w:p>
        </w:tc>
        <w:tc>
          <w:tcPr>
            <w:tcW w:w="1204" w:type="dxa"/>
            <w:vAlign w:val="center"/>
          </w:tcPr>
          <w:p w14:paraId="53889BC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Y</w:t>
            </w:r>
          </w:p>
        </w:tc>
        <w:tc>
          <w:tcPr>
            <w:tcW w:w="1204" w:type="dxa"/>
            <w:vAlign w:val="center"/>
          </w:tcPr>
          <w:p w14:paraId="75B4109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Z</w:t>
            </w:r>
          </w:p>
        </w:tc>
        <w:tc>
          <w:tcPr>
            <w:tcW w:w="1708" w:type="dxa"/>
            <w:vAlign w:val="center"/>
          </w:tcPr>
          <w:p w14:paraId="651F3DF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（声压级/距声源距离）/（dB(A)）</w:t>
            </w:r>
          </w:p>
        </w:tc>
        <w:tc>
          <w:tcPr>
            <w:tcW w:w="1709" w:type="dxa"/>
            <w:vAlign w:val="center"/>
          </w:tcPr>
          <w:p w14:paraId="214F894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声功率级/（dB(A)）</w:t>
            </w:r>
          </w:p>
        </w:tc>
        <w:tc>
          <w:tcPr>
            <w:tcW w:w="1405" w:type="dxa"/>
            <w:vMerge w:val="continue"/>
            <w:vAlign w:val="center"/>
          </w:tcPr>
          <w:p w14:paraId="2616D51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1405" w:type="dxa"/>
            <w:vMerge w:val="continue"/>
            <w:vAlign w:val="center"/>
          </w:tcPr>
          <w:p w14:paraId="3AF9558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r>
      <w:tr w14:paraId="4F9FA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2206C6B9">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088E9C3">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液硫输送泵P-401A</w:t>
            </w:r>
          </w:p>
        </w:tc>
        <w:tc>
          <w:tcPr>
            <w:tcW w:w="1216" w:type="dxa"/>
            <w:vAlign w:val="center"/>
          </w:tcPr>
          <w:p w14:paraId="43A61DB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转子泵</w:t>
            </w:r>
          </w:p>
        </w:tc>
        <w:tc>
          <w:tcPr>
            <w:tcW w:w="1204" w:type="dxa"/>
            <w:vAlign w:val="center"/>
          </w:tcPr>
          <w:p w14:paraId="3617A4F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325</w:t>
            </w:r>
          </w:p>
        </w:tc>
        <w:tc>
          <w:tcPr>
            <w:tcW w:w="1204" w:type="dxa"/>
            <w:vAlign w:val="center"/>
          </w:tcPr>
          <w:p w14:paraId="28F530C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37</w:t>
            </w:r>
          </w:p>
        </w:tc>
        <w:tc>
          <w:tcPr>
            <w:tcW w:w="1204" w:type="dxa"/>
            <w:vAlign w:val="center"/>
          </w:tcPr>
          <w:p w14:paraId="1A6DBBD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31B02EE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79A8B2F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3C775AF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4859A45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63FE1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2F52D18C">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53358D20">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液硫输送泵P-401B</w:t>
            </w:r>
          </w:p>
        </w:tc>
        <w:tc>
          <w:tcPr>
            <w:tcW w:w="1216" w:type="dxa"/>
            <w:vAlign w:val="center"/>
          </w:tcPr>
          <w:p w14:paraId="2658D3E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转子泵</w:t>
            </w:r>
          </w:p>
        </w:tc>
        <w:tc>
          <w:tcPr>
            <w:tcW w:w="1204" w:type="dxa"/>
            <w:vAlign w:val="center"/>
          </w:tcPr>
          <w:p w14:paraId="6A3D467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325</w:t>
            </w:r>
          </w:p>
        </w:tc>
        <w:tc>
          <w:tcPr>
            <w:tcW w:w="1204" w:type="dxa"/>
            <w:vAlign w:val="center"/>
          </w:tcPr>
          <w:p w14:paraId="7A1DBE8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35</w:t>
            </w:r>
          </w:p>
        </w:tc>
        <w:tc>
          <w:tcPr>
            <w:tcW w:w="1204" w:type="dxa"/>
            <w:vAlign w:val="center"/>
          </w:tcPr>
          <w:p w14:paraId="2054B7F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3BBD00E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3ACC2F2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1F4B220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0D890B3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5600D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089D6BEF">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07F7A0B4">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发烟硫酸输送泵-402</w:t>
            </w:r>
          </w:p>
        </w:tc>
        <w:tc>
          <w:tcPr>
            <w:tcW w:w="1216" w:type="dxa"/>
            <w:vAlign w:val="center"/>
          </w:tcPr>
          <w:p w14:paraId="2CA0F57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磁力泵</w:t>
            </w:r>
          </w:p>
        </w:tc>
        <w:tc>
          <w:tcPr>
            <w:tcW w:w="1204" w:type="dxa"/>
            <w:vAlign w:val="center"/>
          </w:tcPr>
          <w:p w14:paraId="43175FB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324</w:t>
            </w:r>
          </w:p>
        </w:tc>
        <w:tc>
          <w:tcPr>
            <w:tcW w:w="1204" w:type="dxa"/>
            <w:vAlign w:val="center"/>
          </w:tcPr>
          <w:p w14:paraId="7205CF0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31</w:t>
            </w:r>
          </w:p>
        </w:tc>
        <w:tc>
          <w:tcPr>
            <w:tcW w:w="1204" w:type="dxa"/>
            <w:vAlign w:val="center"/>
          </w:tcPr>
          <w:p w14:paraId="5DE9E7D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1B93B2B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4D47314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3E537E7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1F97437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48C21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7B0663DA">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4FCF4A23">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碱液输送泵P-403</w:t>
            </w:r>
          </w:p>
        </w:tc>
        <w:tc>
          <w:tcPr>
            <w:tcW w:w="1216" w:type="dxa"/>
            <w:vAlign w:val="center"/>
          </w:tcPr>
          <w:p w14:paraId="32A87F6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p>
        </w:tc>
        <w:tc>
          <w:tcPr>
            <w:tcW w:w="1204" w:type="dxa"/>
            <w:vAlign w:val="center"/>
          </w:tcPr>
          <w:p w14:paraId="376BBB3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324</w:t>
            </w:r>
          </w:p>
        </w:tc>
        <w:tc>
          <w:tcPr>
            <w:tcW w:w="1204" w:type="dxa"/>
            <w:vAlign w:val="center"/>
          </w:tcPr>
          <w:p w14:paraId="49844F7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28</w:t>
            </w:r>
          </w:p>
        </w:tc>
        <w:tc>
          <w:tcPr>
            <w:tcW w:w="1204" w:type="dxa"/>
            <w:vAlign w:val="center"/>
          </w:tcPr>
          <w:p w14:paraId="63822AB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336134E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195160C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0763B67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6981A8A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0918A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7A6D52F9">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23756C87">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循环吸收泵P-404A</w:t>
            </w:r>
          </w:p>
        </w:tc>
        <w:tc>
          <w:tcPr>
            <w:tcW w:w="1216" w:type="dxa"/>
            <w:vAlign w:val="center"/>
          </w:tcPr>
          <w:p w14:paraId="5B019CD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p>
        </w:tc>
        <w:tc>
          <w:tcPr>
            <w:tcW w:w="1204" w:type="dxa"/>
            <w:vAlign w:val="center"/>
          </w:tcPr>
          <w:p w14:paraId="2BBF469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324</w:t>
            </w:r>
          </w:p>
        </w:tc>
        <w:tc>
          <w:tcPr>
            <w:tcW w:w="1204" w:type="dxa"/>
            <w:vAlign w:val="center"/>
          </w:tcPr>
          <w:p w14:paraId="2FC8274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25</w:t>
            </w:r>
          </w:p>
        </w:tc>
        <w:tc>
          <w:tcPr>
            <w:tcW w:w="1204" w:type="dxa"/>
            <w:vAlign w:val="center"/>
          </w:tcPr>
          <w:p w14:paraId="10E14A0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7BE01ED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4D564F7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4C2607A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7862D19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7FE25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4EABE12B">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48C909C1">
            <w:pPr>
              <w:suppressAutoHyphens/>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循环吸收泵P-404B</w:t>
            </w:r>
          </w:p>
        </w:tc>
        <w:tc>
          <w:tcPr>
            <w:tcW w:w="1216" w:type="dxa"/>
            <w:vAlign w:val="center"/>
          </w:tcPr>
          <w:p w14:paraId="183518C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p>
        </w:tc>
        <w:tc>
          <w:tcPr>
            <w:tcW w:w="1204" w:type="dxa"/>
            <w:vAlign w:val="center"/>
          </w:tcPr>
          <w:p w14:paraId="13064F1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324</w:t>
            </w:r>
          </w:p>
        </w:tc>
        <w:tc>
          <w:tcPr>
            <w:tcW w:w="1204" w:type="dxa"/>
            <w:vAlign w:val="center"/>
          </w:tcPr>
          <w:p w14:paraId="7418D7E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22</w:t>
            </w:r>
          </w:p>
        </w:tc>
        <w:tc>
          <w:tcPr>
            <w:tcW w:w="1204" w:type="dxa"/>
            <w:vAlign w:val="center"/>
          </w:tcPr>
          <w:p w14:paraId="2EC1A14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36827AE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0E769F5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5D50527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4957D56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24786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1DE42EF4">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C68713B">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苯酚输送泵P-405A</w:t>
            </w:r>
          </w:p>
        </w:tc>
        <w:tc>
          <w:tcPr>
            <w:tcW w:w="1216" w:type="dxa"/>
            <w:vAlign w:val="center"/>
          </w:tcPr>
          <w:p w14:paraId="1FA881A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屏蔽泵</w:t>
            </w:r>
          </w:p>
        </w:tc>
        <w:tc>
          <w:tcPr>
            <w:tcW w:w="1204" w:type="dxa"/>
            <w:vAlign w:val="center"/>
          </w:tcPr>
          <w:p w14:paraId="15F9313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344</w:t>
            </w:r>
          </w:p>
        </w:tc>
        <w:tc>
          <w:tcPr>
            <w:tcW w:w="1204" w:type="dxa"/>
            <w:vAlign w:val="center"/>
          </w:tcPr>
          <w:p w14:paraId="7A712FF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212</w:t>
            </w:r>
          </w:p>
        </w:tc>
        <w:tc>
          <w:tcPr>
            <w:tcW w:w="1204" w:type="dxa"/>
            <w:vAlign w:val="center"/>
          </w:tcPr>
          <w:p w14:paraId="6D48787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02A9704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29402CD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5E6F265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5FDEA95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1274E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32345AEC">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6AE501C">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苯酚输送泵P-405B</w:t>
            </w:r>
          </w:p>
        </w:tc>
        <w:tc>
          <w:tcPr>
            <w:tcW w:w="1216" w:type="dxa"/>
            <w:vAlign w:val="center"/>
          </w:tcPr>
          <w:p w14:paraId="2DC8509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屏蔽泵</w:t>
            </w:r>
          </w:p>
        </w:tc>
        <w:tc>
          <w:tcPr>
            <w:tcW w:w="1204" w:type="dxa"/>
            <w:vAlign w:val="center"/>
          </w:tcPr>
          <w:p w14:paraId="1A41BAB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344</w:t>
            </w:r>
          </w:p>
        </w:tc>
        <w:tc>
          <w:tcPr>
            <w:tcW w:w="1204" w:type="dxa"/>
            <w:vAlign w:val="center"/>
          </w:tcPr>
          <w:p w14:paraId="5A7C891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208</w:t>
            </w:r>
          </w:p>
        </w:tc>
        <w:tc>
          <w:tcPr>
            <w:tcW w:w="1204" w:type="dxa"/>
            <w:vAlign w:val="center"/>
          </w:tcPr>
          <w:p w14:paraId="2EBF4A2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419F4BD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27079E7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269BD2A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2FE9465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4819A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7D3D3919">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215C241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己内酰胺循环泵P-406</w:t>
            </w:r>
          </w:p>
        </w:tc>
        <w:tc>
          <w:tcPr>
            <w:tcW w:w="1216" w:type="dxa"/>
            <w:vAlign w:val="center"/>
          </w:tcPr>
          <w:p w14:paraId="46AA2269">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屏蔽泵</w:t>
            </w:r>
          </w:p>
        </w:tc>
        <w:tc>
          <w:tcPr>
            <w:tcW w:w="1204" w:type="dxa"/>
            <w:vAlign w:val="center"/>
          </w:tcPr>
          <w:p w14:paraId="1753111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136</w:t>
            </w:r>
          </w:p>
        </w:tc>
        <w:tc>
          <w:tcPr>
            <w:tcW w:w="1204" w:type="dxa"/>
            <w:vAlign w:val="center"/>
          </w:tcPr>
          <w:p w14:paraId="246A541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159</w:t>
            </w:r>
          </w:p>
        </w:tc>
        <w:tc>
          <w:tcPr>
            <w:tcW w:w="1204" w:type="dxa"/>
            <w:vAlign w:val="center"/>
          </w:tcPr>
          <w:p w14:paraId="4C4028A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0DAAEF3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52BDB32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0D8A0F6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27BF681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059C4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1B1CBD53">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3F3F73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己内酰胺装船泵-407A</w:t>
            </w:r>
          </w:p>
        </w:tc>
        <w:tc>
          <w:tcPr>
            <w:tcW w:w="1216" w:type="dxa"/>
            <w:vAlign w:val="center"/>
          </w:tcPr>
          <w:p w14:paraId="07BFD0E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屏蔽泵</w:t>
            </w:r>
            <w:r>
              <w:rPr>
                <w:rFonts w:ascii="Times New Roman" w:hAnsi="Times New Roman" w:cs="Times New Roman"/>
                <w:color w:val="000000" w:themeColor="text1"/>
                <w:sz w:val="21"/>
                <w:szCs w:val="21"/>
                <w14:textFill>
                  <w14:solidFill>
                    <w14:schemeClr w14:val="tx1"/>
                  </w14:solidFill>
                </w14:textFill>
              </w:rPr>
              <w:t>泵</w:t>
            </w:r>
          </w:p>
        </w:tc>
        <w:tc>
          <w:tcPr>
            <w:tcW w:w="1204" w:type="dxa"/>
            <w:vAlign w:val="center"/>
          </w:tcPr>
          <w:p w14:paraId="1A38468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136</w:t>
            </w:r>
          </w:p>
        </w:tc>
        <w:tc>
          <w:tcPr>
            <w:tcW w:w="1204" w:type="dxa"/>
            <w:vAlign w:val="center"/>
          </w:tcPr>
          <w:p w14:paraId="2D359FA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156</w:t>
            </w:r>
          </w:p>
        </w:tc>
        <w:tc>
          <w:tcPr>
            <w:tcW w:w="1204" w:type="dxa"/>
            <w:vAlign w:val="center"/>
          </w:tcPr>
          <w:p w14:paraId="7EE4D16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17FF5A1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616213B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259267C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2910ECA9">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32DB6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23077D5F">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6864307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己内酰胺装船泵-407B</w:t>
            </w:r>
          </w:p>
        </w:tc>
        <w:tc>
          <w:tcPr>
            <w:tcW w:w="1216" w:type="dxa"/>
            <w:vAlign w:val="center"/>
          </w:tcPr>
          <w:p w14:paraId="1AC237A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屏蔽泵</w:t>
            </w:r>
          </w:p>
        </w:tc>
        <w:tc>
          <w:tcPr>
            <w:tcW w:w="1204" w:type="dxa"/>
            <w:vAlign w:val="center"/>
          </w:tcPr>
          <w:p w14:paraId="748B273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136</w:t>
            </w:r>
          </w:p>
        </w:tc>
        <w:tc>
          <w:tcPr>
            <w:tcW w:w="1204" w:type="dxa"/>
            <w:vAlign w:val="center"/>
          </w:tcPr>
          <w:p w14:paraId="3B7DE62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153</w:t>
            </w:r>
          </w:p>
        </w:tc>
        <w:tc>
          <w:tcPr>
            <w:tcW w:w="1204" w:type="dxa"/>
            <w:vAlign w:val="center"/>
          </w:tcPr>
          <w:p w14:paraId="2FC4054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1668C2F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06DDDDF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02A3733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4760207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6E906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7790BD6D">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43B0AB6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热水泵P-408A</w:t>
            </w:r>
          </w:p>
        </w:tc>
        <w:tc>
          <w:tcPr>
            <w:tcW w:w="1216" w:type="dxa"/>
            <w:vAlign w:val="center"/>
          </w:tcPr>
          <w:p w14:paraId="3414C58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p>
        </w:tc>
        <w:tc>
          <w:tcPr>
            <w:tcW w:w="1204" w:type="dxa"/>
            <w:vAlign w:val="center"/>
          </w:tcPr>
          <w:p w14:paraId="42D50649">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135</w:t>
            </w:r>
          </w:p>
        </w:tc>
        <w:tc>
          <w:tcPr>
            <w:tcW w:w="1204" w:type="dxa"/>
            <w:vAlign w:val="center"/>
          </w:tcPr>
          <w:p w14:paraId="333CAB8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150</w:t>
            </w:r>
          </w:p>
        </w:tc>
        <w:tc>
          <w:tcPr>
            <w:tcW w:w="1204" w:type="dxa"/>
            <w:vAlign w:val="center"/>
          </w:tcPr>
          <w:p w14:paraId="42C5539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62B3A00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2299581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3EDC88C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2109D54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03677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238E5BE4">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638639D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热水泵P-408B</w:t>
            </w:r>
          </w:p>
        </w:tc>
        <w:tc>
          <w:tcPr>
            <w:tcW w:w="1216" w:type="dxa"/>
            <w:vAlign w:val="center"/>
          </w:tcPr>
          <w:p w14:paraId="7BF9FEF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p>
        </w:tc>
        <w:tc>
          <w:tcPr>
            <w:tcW w:w="1204" w:type="dxa"/>
            <w:vAlign w:val="center"/>
          </w:tcPr>
          <w:p w14:paraId="2F82429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135</w:t>
            </w:r>
          </w:p>
        </w:tc>
        <w:tc>
          <w:tcPr>
            <w:tcW w:w="1204" w:type="dxa"/>
            <w:vAlign w:val="center"/>
          </w:tcPr>
          <w:p w14:paraId="7455DDE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147</w:t>
            </w:r>
          </w:p>
        </w:tc>
        <w:tc>
          <w:tcPr>
            <w:tcW w:w="1204" w:type="dxa"/>
            <w:vAlign w:val="center"/>
          </w:tcPr>
          <w:p w14:paraId="0E9715D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29D2A35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5A489D9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6E01FD7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34AB666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769CC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64E4B0F0">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4E38B08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己内酰胺卸车泵P-409A</w:t>
            </w:r>
          </w:p>
        </w:tc>
        <w:tc>
          <w:tcPr>
            <w:tcW w:w="1216" w:type="dxa"/>
            <w:shd w:val="clear" w:color="auto" w:fill="auto"/>
            <w:vAlign w:val="center"/>
          </w:tcPr>
          <w:p w14:paraId="766A211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p>
        </w:tc>
        <w:tc>
          <w:tcPr>
            <w:tcW w:w="1204" w:type="dxa"/>
            <w:shd w:val="clear" w:color="auto" w:fill="auto"/>
            <w:vAlign w:val="center"/>
          </w:tcPr>
          <w:p w14:paraId="73FE7FE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135</w:t>
            </w:r>
          </w:p>
        </w:tc>
        <w:tc>
          <w:tcPr>
            <w:tcW w:w="1204" w:type="dxa"/>
            <w:shd w:val="clear" w:color="auto" w:fill="auto"/>
            <w:vAlign w:val="center"/>
          </w:tcPr>
          <w:p w14:paraId="5399C7B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150</w:t>
            </w:r>
          </w:p>
        </w:tc>
        <w:tc>
          <w:tcPr>
            <w:tcW w:w="1204" w:type="dxa"/>
            <w:shd w:val="clear" w:color="auto" w:fill="auto"/>
            <w:vAlign w:val="center"/>
          </w:tcPr>
          <w:p w14:paraId="479C334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shd w:val="clear" w:color="auto" w:fill="auto"/>
            <w:vAlign w:val="center"/>
          </w:tcPr>
          <w:p w14:paraId="5F43386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shd w:val="clear" w:color="auto" w:fill="auto"/>
            <w:vAlign w:val="center"/>
          </w:tcPr>
          <w:p w14:paraId="256136D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shd w:val="clear" w:color="auto" w:fill="auto"/>
            <w:vAlign w:val="center"/>
          </w:tcPr>
          <w:p w14:paraId="4620A8F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shd w:val="clear" w:color="auto" w:fill="auto"/>
            <w:vAlign w:val="center"/>
          </w:tcPr>
          <w:p w14:paraId="0B200C7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21597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7DC3BE65">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DBFBF2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己内酰胺卸车泵P-409B</w:t>
            </w:r>
          </w:p>
        </w:tc>
        <w:tc>
          <w:tcPr>
            <w:tcW w:w="1216" w:type="dxa"/>
            <w:shd w:val="clear" w:color="auto" w:fill="auto"/>
            <w:vAlign w:val="center"/>
          </w:tcPr>
          <w:p w14:paraId="1BD0D86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离心泵</w:t>
            </w:r>
          </w:p>
        </w:tc>
        <w:tc>
          <w:tcPr>
            <w:tcW w:w="1204" w:type="dxa"/>
            <w:shd w:val="clear" w:color="auto" w:fill="auto"/>
            <w:vAlign w:val="center"/>
          </w:tcPr>
          <w:p w14:paraId="6D4F2AA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135</w:t>
            </w:r>
          </w:p>
        </w:tc>
        <w:tc>
          <w:tcPr>
            <w:tcW w:w="1204" w:type="dxa"/>
            <w:shd w:val="clear" w:color="auto" w:fill="auto"/>
            <w:vAlign w:val="center"/>
          </w:tcPr>
          <w:p w14:paraId="5CD0048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147</w:t>
            </w:r>
          </w:p>
        </w:tc>
        <w:tc>
          <w:tcPr>
            <w:tcW w:w="1204" w:type="dxa"/>
            <w:shd w:val="clear" w:color="auto" w:fill="auto"/>
            <w:vAlign w:val="center"/>
          </w:tcPr>
          <w:p w14:paraId="0373385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shd w:val="clear" w:color="auto" w:fill="auto"/>
            <w:vAlign w:val="center"/>
          </w:tcPr>
          <w:p w14:paraId="0EEBC11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shd w:val="clear" w:color="auto" w:fill="auto"/>
            <w:vAlign w:val="center"/>
          </w:tcPr>
          <w:p w14:paraId="265811F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shd w:val="clear" w:color="auto" w:fill="auto"/>
            <w:vAlign w:val="center"/>
          </w:tcPr>
          <w:p w14:paraId="54A2457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shd w:val="clear" w:color="auto" w:fill="auto"/>
            <w:vAlign w:val="center"/>
          </w:tcPr>
          <w:p w14:paraId="119CEAD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20238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4C1912F6">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1AE1EC9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液硫装卸臂L-601A</w:t>
            </w:r>
          </w:p>
        </w:tc>
        <w:tc>
          <w:tcPr>
            <w:tcW w:w="1216" w:type="dxa"/>
            <w:vAlign w:val="center"/>
          </w:tcPr>
          <w:p w14:paraId="1B901B4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2AC1C1E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58</w:t>
            </w:r>
          </w:p>
        </w:tc>
        <w:tc>
          <w:tcPr>
            <w:tcW w:w="1204" w:type="dxa"/>
            <w:vAlign w:val="center"/>
          </w:tcPr>
          <w:p w14:paraId="5CB70A1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29</w:t>
            </w:r>
          </w:p>
        </w:tc>
        <w:tc>
          <w:tcPr>
            <w:tcW w:w="1204" w:type="dxa"/>
            <w:vAlign w:val="center"/>
          </w:tcPr>
          <w:p w14:paraId="4410B93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4</w:t>
            </w:r>
          </w:p>
        </w:tc>
        <w:tc>
          <w:tcPr>
            <w:tcW w:w="1708" w:type="dxa"/>
            <w:vAlign w:val="center"/>
          </w:tcPr>
          <w:p w14:paraId="65E4B06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5CFBE81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80</w:t>
            </w:r>
          </w:p>
        </w:tc>
        <w:tc>
          <w:tcPr>
            <w:tcW w:w="1405" w:type="dxa"/>
            <w:vAlign w:val="center"/>
          </w:tcPr>
          <w:p w14:paraId="1A67E95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1405" w:type="dxa"/>
            <w:vAlign w:val="center"/>
          </w:tcPr>
          <w:p w14:paraId="5F0D304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3FB3D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550150F6">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F0E889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液硫装卸臂L-601B</w:t>
            </w:r>
          </w:p>
        </w:tc>
        <w:tc>
          <w:tcPr>
            <w:tcW w:w="1216" w:type="dxa"/>
            <w:vAlign w:val="center"/>
          </w:tcPr>
          <w:p w14:paraId="4832837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63043F0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58</w:t>
            </w:r>
          </w:p>
        </w:tc>
        <w:tc>
          <w:tcPr>
            <w:tcW w:w="1204" w:type="dxa"/>
            <w:vAlign w:val="center"/>
          </w:tcPr>
          <w:p w14:paraId="5C09422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33</w:t>
            </w:r>
          </w:p>
        </w:tc>
        <w:tc>
          <w:tcPr>
            <w:tcW w:w="1204" w:type="dxa"/>
            <w:vAlign w:val="center"/>
          </w:tcPr>
          <w:p w14:paraId="0935EE6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4</w:t>
            </w:r>
          </w:p>
        </w:tc>
        <w:tc>
          <w:tcPr>
            <w:tcW w:w="1708" w:type="dxa"/>
            <w:vAlign w:val="center"/>
          </w:tcPr>
          <w:p w14:paraId="7A04BFE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3EE016F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80</w:t>
            </w:r>
          </w:p>
        </w:tc>
        <w:tc>
          <w:tcPr>
            <w:tcW w:w="1405" w:type="dxa"/>
            <w:vAlign w:val="center"/>
          </w:tcPr>
          <w:p w14:paraId="70C3765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1405" w:type="dxa"/>
            <w:vAlign w:val="center"/>
          </w:tcPr>
          <w:p w14:paraId="3171C5B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23F13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6EC9DA4A">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52367AB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液硫运输槽罐车</w:t>
            </w:r>
          </w:p>
        </w:tc>
        <w:tc>
          <w:tcPr>
            <w:tcW w:w="1216" w:type="dxa"/>
            <w:vAlign w:val="center"/>
          </w:tcPr>
          <w:p w14:paraId="582080C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5AA42CC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61</w:t>
            </w:r>
          </w:p>
        </w:tc>
        <w:tc>
          <w:tcPr>
            <w:tcW w:w="1204" w:type="dxa"/>
            <w:vAlign w:val="center"/>
          </w:tcPr>
          <w:p w14:paraId="20E6294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31</w:t>
            </w:r>
          </w:p>
        </w:tc>
        <w:tc>
          <w:tcPr>
            <w:tcW w:w="1204" w:type="dxa"/>
            <w:vAlign w:val="center"/>
          </w:tcPr>
          <w:p w14:paraId="79A194F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w:t>
            </w:r>
          </w:p>
        </w:tc>
        <w:tc>
          <w:tcPr>
            <w:tcW w:w="1708" w:type="dxa"/>
            <w:vAlign w:val="center"/>
          </w:tcPr>
          <w:p w14:paraId="1505184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5FE231D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3490A245">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1405" w:type="dxa"/>
            <w:vAlign w:val="center"/>
          </w:tcPr>
          <w:p w14:paraId="5F100EF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52174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67D9A74B">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77BAEC5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硫酸装卸臂L-602</w:t>
            </w:r>
          </w:p>
        </w:tc>
        <w:tc>
          <w:tcPr>
            <w:tcW w:w="1216" w:type="dxa"/>
            <w:vAlign w:val="center"/>
          </w:tcPr>
          <w:p w14:paraId="37C0AA2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5E8E3B9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59</w:t>
            </w:r>
          </w:p>
        </w:tc>
        <w:tc>
          <w:tcPr>
            <w:tcW w:w="1204" w:type="dxa"/>
            <w:vAlign w:val="center"/>
          </w:tcPr>
          <w:p w14:paraId="74BCB73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38</w:t>
            </w:r>
          </w:p>
        </w:tc>
        <w:tc>
          <w:tcPr>
            <w:tcW w:w="1204" w:type="dxa"/>
            <w:vAlign w:val="center"/>
          </w:tcPr>
          <w:p w14:paraId="318818E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4</w:t>
            </w:r>
          </w:p>
        </w:tc>
        <w:tc>
          <w:tcPr>
            <w:tcW w:w="1708" w:type="dxa"/>
            <w:vAlign w:val="center"/>
          </w:tcPr>
          <w:p w14:paraId="0DA437A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39E8D79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80</w:t>
            </w:r>
          </w:p>
        </w:tc>
        <w:tc>
          <w:tcPr>
            <w:tcW w:w="1405" w:type="dxa"/>
            <w:vAlign w:val="center"/>
          </w:tcPr>
          <w:p w14:paraId="27DFF25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1405" w:type="dxa"/>
            <w:vAlign w:val="center"/>
          </w:tcPr>
          <w:p w14:paraId="1AA87A7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588C2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51F4DBBA">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7E9C90A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硫酸运输槽罐车</w:t>
            </w:r>
          </w:p>
        </w:tc>
        <w:tc>
          <w:tcPr>
            <w:tcW w:w="1216" w:type="dxa"/>
            <w:vAlign w:val="center"/>
          </w:tcPr>
          <w:p w14:paraId="0550CF8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0DA3776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62</w:t>
            </w:r>
          </w:p>
        </w:tc>
        <w:tc>
          <w:tcPr>
            <w:tcW w:w="1204" w:type="dxa"/>
            <w:vAlign w:val="center"/>
          </w:tcPr>
          <w:p w14:paraId="6AA9966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36</w:t>
            </w:r>
          </w:p>
        </w:tc>
        <w:tc>
          <w:tcPr>
            <w:tcW w:w="1204" w:type="dxa"/>
            <w:vAlign w:val="center"/>
          </w:tcPr>
          <w:p w14:paraId="334A298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w:t>
            </w:r>
          </w:p>
        </w:tc>
        <w:tc>
          <w:tcPr>
            <w:tcW w:w="1708" w:type="dxa"/>
            <w:vAlign w:val="center"/>
          </w:tcPr>
          <w:p w14:paraId="718836B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7BFCC22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4CB0579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1405" w:type="dxa"/>
            <w:vAlign w:val="center"/>
          </w:tcPr>
          <w:p w14:paraId="636DFE0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2757D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0AF1DD83">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E0F852E">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液碱装卸臂L-603</w:t>
            </w:r>
          </w:p>
        </w:tc>
        <w:tc>
          <w:tcPr>
            <w:tcW w:w="1216" w:type="dxa"/>
            <w:vAlign w:val="center"/>
          </w:tcPr>
          <w:p w14:paraId="1541CAC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3734AA5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60</w:t>
            </w:r>
          </w:p>
        </w:tc>
        <w:tc>
          <w:tcPr>
            <w:tcW w:w="1204" w:type="dxa"/>
            <w:vAlign w:val="center"/>
          </w:tcPr>
          <w:p w14:paraId="79D3511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45</w:t>
            </w:r>
          </w:p>
        </w:tc>
        <w:tc>
          <w:tcPr>
            <w:tcW w:w="1204" w:type="dxa"/>
            <w:vAlign w:val="center"/>
          </w:tcPr>
          <w:p w14:paraId="26216DB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4</w:t>
            </w:r>
          </w:p>
        </w:tc>
        <w:tc>
          <w:tcPr>
            <w:tcW w:w="1708" w:type="dxa"/>
            <w:vAlign w:val="center"/>
          </w:tcPr>
          <w:p w14:paraId="47459BA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3519F22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80</w:t>
            </w:r>
          </w:p>
        </w:tc>
        <w:tc>
          <w:tcPr>
            <w:tcW w:w="1405" w:type="dxa"/>
            <w:vAlign w:val="center"/>
          </w:tcPr>
          <w:p w14:paraId="7E035DF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采取密封式柜、减振措施</w:t>
            </w:r>
          </w:p>
        </w:tc>
        <w:tc>
          <w:tcPr>
            <w:tcW w:w="1405" w:type="dxa"/>
            <w:vAlign w:val="center"/>
          </w:tcPr>
          <w:p w14:paraId="3EAB021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4A887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44CA3F8C">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62A1A991">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液碱运输槽罐车</w:t>
            </w:r>
          </w:p>
        </w:tc>
        <w:tc>
          <w:tcPr>
            <w:tcW w:w="1216" w:type="dxa"/>
            <w:vAlign w:val="center"/>
          </w:tcPr>
          <w:p w14:paraId="5A757F0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7CAC346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62</w:t>
            </w:r>
          </w:p>
        </w:tc>
        <w:tc>
          <w:tcPr>
            <w:tcW w:w="1204" w:type="dxa"/>
            <w:vAlign w:val="center"/>
          </w:tcPr>
          <w:p w14:paraId="541BBA70">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43</w:t>
            </w:r>
          </w:p>
        </w:tc>
        <w:tc>
          <w:tcPr>
            <w:tcW w:w="1204" w:type="dxa"/>
            <w:vAlign w:val="center"/>
          </w:tcPr>
          <w:p w14:paraId="650B97C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2</w:t>
            </w:r>
          </w:p>
        </w:tc>
        <w:tc>
          <w:tcPr>
            <w:tcW w:w="1708" w:type="dxa"/>
            <w:vAlign w:val="center"/>
          </w:tcPr>
          <w:p w14:paraId="396D874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08C472D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61F5D2E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1405" w:type="dxa"/>
            <w:vAlign w:val="center"/>
          </w:tcPr>
          <w:p w14:paraId="307D03D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76A30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763A730E">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DE6A4BC">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己内酰胺卸车泵P-409A</w:t>
            </w:r>
          </w:p>
        </w:tc>
        <w:tc>
          <w:tcPr>
            <w:tcW w:w="1216" w:type="dxa"/>
            <w:vAlign w:val="center"/>
          </w:tcPr>
          <w:p w14:paraId="6881209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屏蔽泵</w:t>
            </w:r>
          </w:p>
        </w:tc>
        <w:tc>
          <w:tcPr>
            <w:tcW w:w="1204" w:type="dxa"/>
            <w:vAlign w:val="center"/>
          </w:tcPr>
          <w:p w14:paraId="0374C68B">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61</w:t>
            </w:r>
          </w:p>
        </w:tc>
        <w:tc>
          <w:tcPr>
            <w:tcW w:w="1204" w:type="dxa"/>
            <w:vAlign w:val="center"/>
          </w:tcPr>
          <w:p w14:paraId="0B048BE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62</w:t>
            </w:r>
          </w:p>
        </w:tc>
        <w:tc>
          <w:tcPr>
            <w:tcW w:w="1204" w:type="dxa"/>
            <w:vAlign w:val="center"/>
          </w:tcPr>
          <w:p w14:paraId="05214A6A">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0F3901E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052E3609">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7B37A5A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vAlign w:val="center"/>
          </w:tcPr>
          <w:p w14:paraId="1DA6105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2F409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0BE4D053">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shd w:val="clear" w:color="auto" w:fill="auto"/>
            <w:vAlign w:val="center"/>
          </w:tcPr>
          <w:p w14:paraId="16617E8B">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己内酰胺卸车泵P-409B</w:t>
            </w:r>
          </w:p>
        </w:tc>
        <w:tc>
          <w:tcPr>
            <w:tcW w:w="1216" w:type="dxa"/>
            <w:shd w:val="clear" w:color="auto" w:fill="auto"/>
            <w:vAlign w:val="center"/>
          </w:tcPr>
          <w:p w14:paraId="5979B57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屏蔽泵</w:t>
            </w:r>
          </w:p>
        </w:tc>
        <w:tc>
          <w:tcPr>
            <w:tcW w:w="1204" w:type="dxa"/>
            <w:shd w:val="clear" w:color="auto" w:fill="auto"/>
            <w:vAlign w:val="center"/>
          </w:tcPr>
          <w:p w14:paraId="6600DF1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61</w:t>
            </w:r>
          </w:p>
        </w:tc>
        <w:tc>
          <w:tcPr>
            <w:tcW w:w="1204" w:type="dxa"/>
            <w:shd w:val="clear" w:color="auto" w:fill="auto"/>
            <w:vAlign w:val="center"/>
          </w:tcPr>
          <w:p w14:paraId="704FF1E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60</w:t>
            </w:r>
          </w:p>
        </w:tc>
        <w:tc>
          <w:tcPr>
            <w:tcW w:w="1204" w:type="dxa"/>
            <w:shd w:val="clear" w:color="auto" w:fill="auto"/>
            <w:vAlign w:val="center"/>
          </w:tcPr>
          <w:p w14:paraId="45AA34FF">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shd w:val="clear" w:color="auto" w:fill="auto"/>
            <w:vAlign w:val="center"/>
          </w:tcPr>
          <w:p w14:paraId="340594C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shd w:val="clear" w:color="auto" w:fill="auto"/>
            <w:vAlign w:val="center"/>
          </w:tcPr>
          <w:p w14:paraId="7FA0E9CE">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75</w:t>
            </w:r>
          </w:p>
        </w:tc>
        <w:tc>
          <w:tcPr>
            <w:tcW w:w="1405" w:type="dxa"/>
            <w:shd w:val="clear" w:color="auto" w:fill="auto"/>
            <w:vAlign w:val="center"/>
          </w:tcPr>
          <w:p w14:paraId="65D89D3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基础减振</w:t>
            </w:r>
          </w:p>
        </w:tc>
        <w:tc>
          <w:tcPr>
            <w:tcW w:w="1405" w:type="dxa"/>
            <w:shd w:val="clear" w:color="auto" w:fill="auto"/>
            <w:vAlign w:val="center"/>
          </w:tcPr>
          <w:p w14:paraId="188C4BB8">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2BDD9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48C29884">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25803002">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己内酰胺运输槽罐车</w:t>
            </w:r>
          </w:p>
        </w:tc>
        <w:tc>
          <w:tcPr>
            <w:tcW w:w="1216" w:type="dxa"/>
            <w:vAlign w:val="center"/>
          </w:tcPr>
          <w:p w14:paraId="341B5FD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39851664">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68</w:t>
            </w:r>
          </w:p>
        </w:tc>
        <w:tc>
          <w:tcPr>
            <w:tcW w:w="1204" w:type="dxa"/>
            <w:vAlign w:val="center"/>
          </w:tcPr>
          <w:p w14:paraId="5C7D13B9">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58</w:t>
            </w:r>
          </w:p>
        </w:tc>
        <w:tc>
          <w:tcPr>
            <w:tcW w:w="1204" w:type="dxa"/>
            <w:vAlign w:val="center"/>
          </w:tcPr>
          <w:p w14:paraId="15F22A4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vAlign w:val="center"/>
          </w:tcPr>
          <w:p w14:paraId="5009D0A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vAlign w:val="center"/>
          </w:tcPr>
          <w:p w14:paraId="4A4AE24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75</w:t>
            </w:r>
          </w:p>
        </w:tc>
        <w:tc>
          <w:tcPr>
            <w:tcW w:w="1405" w:type="dxa"/>
            <w:vAlign w:val="center"/>
          </w:tcPr>
          <w:p w14:paraId="0F29BCF6">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1405" w:type="dxa"/>
            <w:vAlign w:val="center"/>
          </w:tcPr>
          <w:p w14:paraId="45449F19">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5CA67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28" w:type="dxa"/>
            <w:vAlign w:val="center"/>
          </w:tcPr>
          <w:p w14:paraId="6B5D60BD">
            <w:pPr>
              <w:pStyle w:val="81"/>
              <w:numPr>
                <w:ilvl w:val="0"/>
                <w:numId w:val="23"/>
              </w:numPr>
              <w:tabs>
                <w:tab w:val="clear" w:pos="0"/>
              </w:tabs>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p>
        </w:tc>
        <w:tc>
          <w:tcPr>
            <w:tcW w:w="2177" w:type="dxa"/>
            <w:vAlign w:val="center"/>
          </w:tcPr>
          <w:p w14:paraId="3266E03B">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己内酰胺运输槽罐车</w:t>
            </w:r>
          </w:p>
        </w:tc>
        <w:tc>
          <w:tcPr>
            <w:tcW w:w="1216" w:type="dxa"/>
            <w:vAlign w:val="center"/>
          </w:tcPr>
          <w:p w14:paraId="7AA2A91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w:t>
            </w:r>
          </w:p>
        </w:tc>
        <w:tc>
          <w:tcPr>
            <w:tcW w:w="1204" w:type="dxa"/>
            <w:vAlign w:val="center"/>
          </w:tcPr>
          <w:p w14:paraId="6E1483D3">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68</w:t>
            </w:r>
          </w:p>
        </w:tc>
        <w:tc>
          <w:tcPr>
            <w:tcW w:w="1204" w:type="dxa"/>
            <w:vAlign w:val="center"/>
          </w:tcPr>
          <w:p w14:paraId="4C2B055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64</w:t>
            </w:r>
          </w:p>
        </w:tc>
        <w:tc>
          <w:tcPr>
            <w:tcW w:w="1204" w:type="dxa"/>
            <w:vAlign w:val="center"/>
          </w:tcPr>
          <w:p w14:paraId="0167B0A7">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1</w:t>
            </w:r>
          </w:p>
        </w:tc>
        <w:tc>
          <w:tcPr>
            <w:tcW w:w="1708" w:type="dxa"/>
            <w:shd w:val="clear" w:color="auto" w:fill="auto"/>
            <w:vAlign w:val="center"/>
          </w:tcPr>
          <w:p w14:paraId="33792B0C">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w:t>
            </w:r>
          </w:p>
        </w:tc>
        <w:tc>
          <w:tcPr>
            <w:tcW w:w="1709" w:type="dxa"/>
            <w:shd w:val="clear" w:color="auto" w:fill="auto"/>
            <w:vAlign w:val="center"/>
          </w:tcPr>
          <w:p w14:paraId="7D51E66D">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hint="eastAsia" w:ascii="Times New Roman" w:hAnsi="Times New Roman" w:cs="Times New Roman"/>
                <w:snapToGrid w:val="0"/>
                <w:color w:val="000000" w:themeColor="text1"/>
                <w:sz w:val="21"/>
                <w:szCs w:val="21"/>
                <w14:textFill>
                  <w14:solidFill>
                    <w14:schemeClr w14:val="tx1"/>
                  </w14:solidFill>
                </w14:textFill>
              </w:rPr>
              <w:t>75</w:t>
            </w:r>
          </w:p>
        </w:tc>
        <w:tc>
          <w:tcPr>
            <w:tcW w:w="1405" w:type="dxa"/>
            <w:shd w:val="clear" w:color="auto" w:fill="auto"/>
            <w:vAlign w:val="center"/>
          </w:tcPr>
          <w:p w14:paraId="177F9AE1">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限速、禁鸣</w:t>
            </w:r>
          </w:p>
        </w:tc>
        <w:tc>
          <w:tcPr>
            <w:tcW w:w="1405" w:type="dxa"/>
            <w:shd w:val="clear" w:color="auto" w:fill="auto"/>
            <w:vAlign w:val="center"/>
          </w:tcPr>
          <w:p w14:paraId="62C0A502">
            <w:pPr>
              <w:pStyle w:val="81"/>
              <w:spacing w:before="0" w:beforeAutospacing="0" w:after="0" w:afterAutospacing="0"/>
              <w:jc w:val="center"/>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0:00~24:00</w:t>
            </w:r>
          </w:p>
        </w:tc>
      </w:tr>
      <w:tr w14:paraId="76F28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4060" w:type="dxa"/>
            <w:gridSpan w:val="10"/>
            <w:vAlign w:val="center"/>
          </w:tcPr>
          <w:p w14:paraId="243902F7">
            <w:pPr>
              <w:pStyle w:val="81"/>
              <w:spacing w:before="0" w:beforeAutospacing="0" w:after="0" w:afterAutospacing="0"/>
              <w:jc w:val="both"/>
              <w:rPr>
                <w:rFonts w:ascii="Times New Roman" w:hAnsi="Times New Roman" w:cs="Times New Roman"/>
                <w:snapToGrid w:val="0"/>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14:textFill>
                  <w14:solidFill>
                    <w14:schemeClr w14:val="tx1"/>
                  </w14:solidFill>
                </w14:textFill>
              </w:rPr>
              <w:t>注：以项目厂界南边界为X轴，西边界为Y轴，西厂界与南厂界地面夹角为原点，建立空间直角标系。</w:t>
            </w:r>
          </w:p>
        </w:tc>
      </w:tr>
    </w:tbl>
    <w:p w14:paraId="370416AF">
      <w:pPr>
        <w:pStyle w:val="81"/>
        <w:spacing w:before="0" w:beforeAutospacing="0" w:after="0" w:afterAutospacing="0" w:line="360" w:lineRule="auto"/>
        <w:jc w:val="center"/>
        <w:rPr>
          <w:rFonts w:ascii="Times New Roman" w:hAnsi="Times New Roman"/>
          <w:b/>
          <w:bCs/>
          <w:snapToGrid w:val="0"/>
          <w:color w:val="FF0000"/>
          <w:szCs w:val="24"/>
        </w:rPr>
      </w:pPr>
    </w:p>
    <w:p w14:paraId="28114A73">
      <w:pPr>
        <w:adjustRightInd w:val="0"/>
        <w:snapToGrid w:val="0"/>
        <w:spacing w:line="360" w:lineRule="auto"/>
        <w:rPr>
          <w:rFonts w:ascii="Times New Roman" w:hAnsi="Times New Roman" w:cs="Times New Roman"/>
          <w:b/>
          <w:color w:val="FF0000"/>
          <w:sz w:val="28"/>
          <w:szCs w:val="28"/>
        </w:rPr>
        <w:sectPr>
          <w:pgSz w:w="16840" w:h="11907" w:orient="landscape"/>
          <w:pgMar w:top="1304" w:right="1418" w:bottom="1304" w:left="1418" w:header="851" w:footer="851" w:gutter="0"/>
          <w:cols w:space="720" w:num="1"/>
          <w:docGrid w:linePitch="326" w:charSpace="0"/>
        </w:sectPr>
      </w:pPr>
    </w:p>
    <w:tbl>
      <w:tblPr>
        <w:tblStyle w:val="88"/>
        <w:tblW w:w="100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5"/>
        <w:gridCol w:w="9525"/>
      </w:tblGrid>
      <w:tr w14:paraId="3C4A2A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tcMar>
              <w:left w:w="28" w:type="dxa"/>
              <w:right w:w="28" w:type="dxa"/>
            </w:tcMar>
            <w:vAlign w:val="center"/>
          </w:tcPr>
          <w:p w14:paraId="3317B950">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运营</w:t>
            </w:r>
          </w:p>
          <w:p w14:paraId="7B202FC5">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期环</w:t>
            </w:r>
          </w:p>
          <w:p w14:paraId="637E4A2D">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境影</w:t>
            </w:r>
          </w:p>
          <w:p w14:paraId="3967E534">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响和</w:t>
            </w:r>
          </w:p>
          <w:p w14:paraId="5948A8DD">
            <w:pPr>
              <w:adjustRightInd w:val="0"/>
              <w:snapToGrid w:val="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保护</w:t>
            </w:r>
          </w:p>
          <w:p w14:paraId="54AF1114">
            <w:pPr>
              <w:adjustRightInd w:val="0"/>
              <w:snapToGrid w:val="0"/>
              <w:jc w:val="center"/>
              <w:rPr>
                <w:rFonts w:ascii="Times New Roman" w:hAnsi="Times New Roman" w:cs="Times New Roman"/>
                <w:bCs/>
                <w:color w:val="FF0000"/>
                <w:szCs w:val="21"/>
              </w:rPr>
            </w:pPr>
            <w:r>
              <w:rPr>
                <w:rFonts w:ascii="Times New Roman" w:hAnsi="Times New Roman" w:cs="Times New Roman"/>
                <w:bCs/>
                <w:color w:val="000000" w:themeColor="text1"/>
                <w:szCs w:val="21"/>
                <w14:textFill>
                  <w14:solidFill>
                    <w14:schemeClr w14:val="tx1"/>
                  </w14:solidFill>
                </w14:textFill>
              </w:rPr>
              <w:t>措施</w:t>
            </w:r>
          </w:p>
        </w:tc>
        <w:tc>
          <w:tcPr>
            <w:tcW w:w="9525" w:type="dxa"/>
            <w:vAlign w:val="center"/>
          </w:tcPr>
          <w:p w14:paraId="68B37D6B">
            <w:pPr>
              <w:spacing w:line="360" w:lineRule="auto"/>
              <w:ind w:right="113"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（2）噪声影响分析</w:t>
            </w:r>
          </w:p>
          <w:p w14:paraId="3A7D491F">
            <w:pPr>
              <w:spacing w:line="360" w:lineRule="auto"/>
              <w:ind w:right="113"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由于本项目周边50m范围内无学校、医院、居民点等声环境保护目标。对照《环境影响评价技术导则  声环境》（HJ2.4-2021）要求，可选择点声源预测模式，来预测本项目主要声源排放噪声随距离的衰减变化规律，计算公式如下：</w:t>
            </w:r>
          </w:p>
          <w:p w14:paraId="52A009B6">
            <w:pPr>
              <w:spacing w:line="360" w:lineRule="auto"/>
              <w:ind w:right="113"/>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2705100" cy="457200"/>
                  <wp:effectExtent l="0" t="0" r="0" b="0"/>
                  <wp:docPr id="1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
                          <pic:cNvPicPr>
                            <a:picLocks noChangeAspect="1"/>
                          </pic:cNvPicPr>
                        </pic:nvPicPr>
                        <pic:blipFill>
                          <a:blip r:embed="rId52"/>
                          <a:stretch>
                            <a:fillRect/>
                          </a:stretch>
                        </pic:blipFill>
                        <pic:spPr>
                          <a:xfrm>
                            <a:off x="0" y="0"/>
                            <a:ext cx="2705100" cy="457200"/>
                          </a:xfrm>
                          <a:prstGeom prst="rect">
                            <a:avLst/>
                          </a:prstGeom>
                          <a:noFill/>
                          <a:ln>
                            <a:noFill/>
                          </a:ln>
                        </pic:spPr>
                      </pic:pic>
                    </a:graphicData>
                  </a:graphic>
                </wp:inline>
              </w:drawing>
            </w:r>
          </w:p>
          <w:p w14:paraId="078BC80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式中：L</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——点声源在预测点产生的声压级，dB(A)；</w:t>
            </w:r>
          </w:p>
          <w:p w14:paraId="43A9F2D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L</w:t>
            </w:r>
            <w:r>
              <w:rPr>
                <w:rFonts w:ascii="Times New Roman" w:hAnsi="Times New Roman" w:cs="Times New Roman"/>
                <w:color w:val="000000" w:themeColor="text1"/>
                <w:vertAlign w:val="subscript"/>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——点声源在参考点产生的声压级，dB(A)；</w:t>
            </w:r>
          </w:p>
          <w:p w14:paraId="5030519E">
            <w:pPr>
              <w:spacing w:line="360" w:lineRule="auto"/>
              <w:ind w:firstLine="1200" w:firstLineChars="5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r</w:t>
            </w:r>
            <w:r>
              <w:rPr>
                <w:rFonts w:ascii="Times New Roman" w:hAnsi="Times New Roman" w:cs="Times New Roman"/>
                <w:color w:val="000000" w:themeColor="text1"/>
                <w:vertAlign w:val="sub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——预测点距声源的距离，m；</w:t>
            </w:r>
          </w:p>
          <w:p w14:paraId="396E1E05">
            <w:pPr>
              <w:spacing w:line="360" w:lineRule="auto"/>
              <w:ind w:firstLine="1200" w:firstLineChars="5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r</w:t>
            </w:r>
            <w:r>
              <w:rPr>
                <w:rFonts w:ascii="Times New Roman" w:hAnsi="Times New Roman" w:cs="Times New Roman"/>
                <w:color w:val="000000" w:themeColor="text1"/>
                <w:vertAlign w:val="subscript"/>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——参考点距声源的距离，m；</w:t>
            </w:r>
          </w:p>
          <w:p w14:paraId="1CAFF5EA">
            <w:pPr>
              <w:spacing w:line="360" w:lineRule="auto"/>
              <w:ind w:firstLine="1200" w:firstLineChars="5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△L——各种因素引起的衰减量（包括声屏障、空气吸收等引起的衰减量），dB(A)。</w:t>
            </w:r>
          </w:p>
          <w:p w14:paraId="65835AD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对两个以上多个声源同时存在时，其预测点总声压级采用下面</w:t>
            </w:r>
            <w:r>
              <w:rPr>
                <w:rFonts w:hint="eastAsia" w:ascii="Times New Roman" w:hAnsi="Times New Roman" w:cs="Times New Roman"/>
                <w:color w:val="000000" w:themeColor="text1"/>
                <w:lang w:eastAsia="zh-CN"/>
                <w14:textFill>
                  <w14:solidFill>
                    <w14:schemeClr w14:val="tx1"/>
                  </w14:solidFill>
                </w14:textFill>
              </w:rPr>
              <w:t>公式</w:t>
            </w:r>
            <w:r>
              <w:rPr>
                <w:rFonts w:ascii="Times New Roman" w:hAnsi="Times New Roman" w:cs="Times New Roman"/>
                <w:color w:val="000000" w:themeColor="text1"/>
                <w14:textFill>
                  <w14:solidFill>
                    <w14:schemeClr w14:val="tx1"/>
                  </w14:solidFill>
                </w14:textFill>
              </w:rPr>
              <w:t>：</w:t>
            </w:r>
          </w:p>
          <w:p w14:paraId="5C47F0C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114300" distR="114300">
                  <wp:extent cx="1612900" cy="387985"/>
                  <wp:effectExtent l="0" t="0" r="6350" b="1206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53"/>
                          <a:srcRect t="4231"/>
                          <a:stretch>
                            <a:fillRect/>
                          </a:stretch>
                        </pic:blipFill>
                        <pic:spPr>
                          <a:xfrm>
                            <a:off x="0" y="0"/>
                            <a:ext cx="1612900" cy="387985"/>
                          </a:xfrm>
                          <a:prstGeom prst="rect">
                            <a:avLst/>
                          </a:prstGeom>
                          <a:noFill/>
                          <a:ln>
                            <a:noFill/>
                          </a:ln>
                        </pic:spPr>
                      </pic:pic>
                    </a:graphicData>
                  </a:graphic>
                </wp:inline>
              </w:drawing>
            </w:r>
          </w:p>
          <w:p w14:paraId="59B1727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式中：L</w:t>
            </w:r>
            <w:r>
              <w:rPr>
                <w:rFonts w:ascii="Times New Roman" w:hAnsi="Times New Roman" w:cs="Times New Roman"/>
                <w:color w:val="000000" w:themeColor="text1"/>
                <w:vertAlign w:val="subscript"/>
                <w14:textFill>
                  <w14:solidFill>
                    <w14:schemeClr w14:val="tx1"/>
                  </w14:solidFill>
                </w14:textFill>
              </w:rPr>
              <w:t>eq</w:t>
            </w:r>
            <w:r>
              <w:rPr>
                <w:rFonts w:ascii="Times New Roman" w:hAnsi="Times New Roman" w:cs="Times New Roman"/>
                <w:color w:val="000000" w:themeColor="text1"/>
                <w14:textFill>
                  <w14:solidFill>
                    <w14:schemeClr w14:val="tx1"/>
                  </w14:solidFill>
                </w14:textFill>
              </w:rPr>
              <w:t>——预测点的总等效声级，dB(A)；</w:t>
            </w:r>
          </w:p>
          <w:p w14:paraId="6FD5CF9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L</w:t>
            </w:r>
            <w:r>
              <w:rPr>
                <w:rFonts w:ascii="Times New Roman" w:hAnsi="Times New Roman" w:cs="Times New Roman"/>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——第i个声源对预测点的声级影响，dB(A)。</w:t>
            </w:r>
          </w:p>
          <w:p w14:paraId="115EA72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经计算，生产车间主要噪声设备</w:t>
            </w:r>
            <w:r>
              <w:rPr>
                <w:rFonts w:hint="eastAsia" w:ascii="Times New Roman" w:hAnsi="Times New Roman" w:cs="Times New Roman"/>
                <w:color w:val="000000" w:themeColor="text1"/>
                <w14:textFill>
                  <w14:solidFill>
                    <w14:schemeClr w14:val="tx1"/>
                  </w14:solidFill>
                </w14:textFill>
              </w:rPr>
              <w:t>经</w:t>
            </w:r>
            <w:r>
              <w:rPr>
                <w:rFonts w:ascii="Times New Roman" w:hAnsi="Times New Roman" w:cs="Times New Roman"/>
                <w:color w:val="000000" w:themeColor="text1"/>
                <w14:textFill>
                  <w14:solidFill>
                    <w14:schemeClr w14:val="tx1"/>
                  </w14:solidFill>
                </w14:textFill>
              </w:rPr>
              <w:t>距离衰减、设备基础减振后，厂界噪声预测结果详见下表。</w:t>
            </w:r>
          </w:p>
          <w:p w14:paraId="6430C1EF">
            <w:pPr>
              <w:spacing w:line="360" w:lineRule="auto"/>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表4-1</w:t>
            </w:r>
            <w:r>
              <w:rPr>
                <w:rFonts w:hint="eastAsia" w:ascii="Times New Roman" w:hAnsi="Times New Roman" w:cs="Times New Roman"/>
                <w:b/>
                <w:bCs/>
                <w:color w:val="000000" w:themeColor="text1"/>
                <w14:textFill>
                  <w14:solidFill>
                    <w14:schemeClr w14:val="tx1"/>
                  </w14:solidFill>
                </w14:textFill>
              </w:rPr>
              <w:t>8</w:t>
            </w:r>
            <w:r>
              <w:rPr>
                <w:rFonts w:ascii="Times New Roman" w:hAnsi="Times New Roman" w:cs="Times New Roman"/>
                <w:b/>
                <w:bCs/>
                <w:color w:val="000000" w:themeColor="text1"/>
                <w14:textFill>
                  <w14:solidFill>
                    <w14:schemeClr w14:val="tx1"/>
                  </w14:solidFill>
                </w14:textFill>
              </w:rPr>
              <w:t xml:space="preserve"> 项目噪声预测结果一览表  单位： dB(A)</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547"/>
              <w:gridCol w:w="1559"/>
              <w:gridCol w:w="1547"/>
              <w:gridCol w:w="1547"/>
              <w:gridCol w:w="1549"/>
              <w:gridCol w:w="1550"/>
            </w:tblGrid>
            <w:tr w14:paraId="24D15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Merge w:val="restart"/>
                  <w:vAlign w:val="center"/>
                </w:tcPr>
                <w:p w14:paraId="438AA1F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预测点位</w:t>
                  </w:r>
                </w:p>
              </w:tc>
              <w:tc>
                <w:tcPr>
                  <w:tcW w:w="3106" w:type="dxa"/>
                  <w:gridSpan w:val="2"/>
                  <w:vAlign w:val="center"/>
                </w:tcPr>
                <w:p w14:paraId="3E329E5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贡献值</w:t>
                  </w:r>
                </w:p>
              </w:tc>
              <w:tc>
                <w:tcPr>
                  <w:tcW w:w="3096" w:type="dxa"/>
                  <w:gridSpan w:val="2"/>
                  <w:vAlign w:val="center"/>
                </w:tcPr>
                <w:p w14:paraId="33D19B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标准限值</w:t>
                  </w:r>
                </w:p>
              </w:tc>
              <w:tc>
                <w:tcPr>
                  <w:tcW w:w="1550" w:type="dxa"/>
                  <w:vMerge w:val="restart"/>
                  <w:vAlign w:val="center"/>
                </w:tcPr>
                <w:p w14:paraId="469ABF1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是否达标</w:t>
                  </w:r>
                </w:p>
              </w:tc>
            </w:tr>
            <w:tr w14:paraId="0ADBB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Merge w:val="continue"/>
                  <w:vAlign w:val="center"/>
                </w:tcPr>
                <w:p w14:paraId="24EA50FC">
                  <w:pPr>
                    <w:jc w:val="center"/>
                    <w:rPr>
                      <w:rFonts w:ascii="Times New Roman" w:hAnsi="Times New Roman" w:cs="Times New Roman"/>
                      <w:color w:val="000000" w:themeColor="text1"/>
                      <w:sz w:val="21"/>
                      <w:szCs w:val="21"/>
                      <w14:textFill>
                        <w14:solidFill>
                          <w14:schemeClr w14:val="tx1"/>
                        </w14:solidFill>
                      </w14:textFill>
                    </w:rPr>
                  </w:pPr>
                </w:p>
              </w:tc>
              <w:tc>
                <w:tcPr>
                  <w:tcW w:w="1559" w:type="dxa"/>
                  <w:vAlign w:val="center"/>
                </w:tcPr>
                <w:p w14:paraId="6273494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昼间</w:t>
                  </w:r>
                </w:p>
              </w:tc>
              <w:tc>
                <w:tcPr>
                  <w:tcW w:w="1547" w:type="dxa"/>
                  <w:vAlign w:val="center"/>
                </w:tcPr>
                <w:p w14:paraId="0F8CF28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夜间</w:t>
                  </w:r>
                </w:p>
              </w:tc>
              <w:tc>
                <w:tcPr>
                  <w:tcW w:w="1547" w:type="dxa"/>
                  <w:vAlign w:val="center"/>
                </w:tcPr>
                <w:p w14:paraId="2F99984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昼间</w:t>
                  </w:r>
                </w:p>
              </w:tc>
              <w:tc>
                <w:tcPr>
                  <w:tcW w:w="1549" w:type="dxa"/>
                  <w:vAlign w:val="center"/>
                </w:tcPr>
                <w:p w14:paraId="28D74D7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夜间</w:t>
                  </w:r>
                </w:p>
              </w:tc>
              <w:tc>
                <w:tcPr>
                  <w:tcW w:w="1550" w:type="dxa"/>
                  <w:vMerge w:val="continue"/>
                  <w:vAlign w:val="center"/>
                </w:tcPr>
                <w:p w14:paraId="32048F41">
                  <w:pPr>
                    <w:jc w:val="center"/>
                    <w:rPr>
                      <w:rFonts w:ascii="Times New Roman" w:hAnsi="Times New Roman" w:cs="Times New Roman"/>
                      <w:color w:val="000000" w:themeColor="text1"/>
                      <w:sz w:val="21"/>
                      <w:szCs w:val="21"/>
                      <w14:textFill>
                        <w14:solidFill>
                          <w14:schemeClr w14:val="tx1"/>
                        </w14:solidFill>
                      </w14:textFill>
                    </w:rPr>
                  </w:pPr>
                </w:p>
              </w:tc>
            </w:tr>
            <w:tr w14:paraId="127A1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Align w:val="center"/>
                </w:tcPr>
                <w:p w14:paraId="470D689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东侧厂界</w:t>
                  </w:r>
                  <w:r>
                    <w:rPr>
                      <w:rFonts w:hint="eastAsia" w:ascii="Times New Roman" w:hAnsi="Times New Roman" w:cs="Times New Roman"/>
                      <w:color w:val="000000" w:themeColor="text1"/>
                      <w:sz w:val="21"/>
                      <w:szCs w:val="21"/>
                      <w14:textFill>
                        <w14:solidFill>
                          <w14:schemeClr w14:val="tx1"/>
                        </w14:solidFill>
                      </w14:textFill>
                    </w:rPr>
                    <w:t>1</w:t>
                  </w:r>
                </w:p>
              </w:tc>
              <w:tc>
                <w:tcPr>
                  <w:tcW w:w="1559" w:type="dxa"/>
                  <w:vAlign w:val="center"/>
                </w:tcPr>
                <w:p w14:paraId="16C89D2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24.5</w:t>
                  </w:r>
                </w:p>
              </w:tc>
              <w:tc>
                <w:tcPr>
                  <w:tcW w:w="1547" w:type="dxa"/>
                  <w:vAlign w:val="center"/>
                </w:tcPr>
                <w:p w14:paraId="388DC08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24.5</w:t>
                  </w:r>
                </w:p>
              </w:tc>
              <w:tc>
                <w:tcPr>
                  <w:tcW w:w="1547" w:type="dxa"/>
                  <w:vAlign w:val="center"/>
                </w:tcPr>
                <w:p w14:paraId="6743A3E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549" w:type="dxa"/>
                  <w:vAlign w:val="center"/>
                </w:tcPr>
                <w:p w14:paraId="29977C1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550" w:type="dxa"/>
                  <w:vAlign w:val="center"/>
                </w:tcPr>
                <w:p w14:paraId="2888DBB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3B925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Align w:val="center"/>
                </w:tcPr>
                <w:p w14:paraId="5B8F2F1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东侧厂界</w:t>
                  </w:r>
                  <w:r>
                    <w:rPr>
                      <w:rFonts w:hint="eastAsia" w:ascii="Times New Roman" w:hAnsi="Times New Roman" w:cs="Times New Roman"/>
                      <w:color w:val="000000" w:themeColor="text1"/>
                      <w:sz w:val="21"/>
                      <w:szCs w:val="21"/>
                      <w14:textFill>
                        <w14:solidFill>
                          <w14:schemeClr w14:val="tx1"/>
                        </w14:solidFill>
                      </w14:textFill>
                    </w:rPr>
                    <w:t>2</w:t>
                  </w:r>
                </w:p>
              </w:tc>
              <w:tc>
                <w:tcPr>
                  <w:tcW w:w="1559" w:type="dxa"/>
                  <w:vAlign w:val="center"/>
                </w:tcPr>
                <w:p w14:paraId="399305D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22.9</w:t>
                  </w:r>
                </w:p>
              </w:tc>
              <w:tc>
                <w:tcPr>
                  <w:tcW w:w="1547" w:type="dxa"/>
                  <w:vAlign w:val="center"/>
                </w:tcPr>
                <w:p w14:paraId="001B26C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22.9</w:t>
                  </w:r>
                </w:p>
              </w:tc>
              <w:tc>
                <w:tcPr>
                  <w:tcW w:w="1547" w:type="dxa"/>
                  <w:vAlign w:val="center"/>
                </w:tcPr>
                <w:p w14:paraId="4178056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549" w:type="dxa"/>
                  <w:vAlign w:val="center"/>
                </w:tcPr>
                <w:p w14:paraId="4F2BE7A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550" w:type="dxa"/>
                  <w:vAlign w:val="center"/>
                </w:tcPr>
                <w:p w14:paraId="5EBF058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3CEDD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Align w:val="center"/>
                </w:tcPr>
                <w:p w14:paraId="605A8F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南侧厂界1</w:t>
                  </w:r>
                </w:p>
              </w:tc>
              <w:tc>
                <w:tcPr>
                  <w:tcW w:w="1559" w:type="dxa"/>
                  <w:vAlign w:val="center"/>
                </w:tcPr>
                <w:p w14:paraId="2B590AB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41.4</w:t>
                  </w:r>
                </w:p>
              </w:tc>
              <w:tc>
                <w:tcPr>
                  <w:tcW w:w="1547" w:type="dxa"/>
                  <w:vAlign w:val="center"/>
                </w:tcPr>
                <w:p w14:paraId="76A504B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41.4</w:t>
                  </w:r>
                </w:p>
              </w:tc>
              <w:tc>
                <w:tcPr>
                  <w:tcW w:w="1547" w:type="dxa"/>
                  <w:vAlign w:val="center"/>
                </w:tcPr>
                <w:p w14:paraId="697C94D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549" w:type="dxa"/>
                  <w:vAlign w:val="center"/>
                </w:tcPr>
                <w:p w14:paraId="216C94D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550" w:type="dxa"/>
                  <w:vAlign w:val="center"/>
                </w:tcPr>
                <w:p w14:paraId="3AD7117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0A122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Align w:val="center"/>
                </w:tcPr>
                <w:p w14:paraId="2001593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南侧厂界2</w:t>
                  </w:r>
                </w:p>
              </w:tc>
              <w:tc>
                <w:tcPr>
                  <w:tcW w:w="1559" w:type="dxa"/>
                  <w:vAlign w:val="center"/>
                </w:tcPr>
                <w:p w14:paraId="3BC6229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30.8</w:t>
                  </w:r>
                </w:p>
              </w:tc>
              <w:tc>
                <w:tcPr>
                  <w:tcW w:w="1547" w:type="dxa"/>
                  <w:vAlign w:val="center"/>
                </w:tcPr>
                <w:p w14:paraId="556B264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30.8</w:t>
                  </w:r>
                </w:p>
              </w:tc>
              <w:tc>
                <w:tcPr>
                  <w:tcW w:w="1547" w:type="dxa"/>
                  <w:vAlign w:val="center"/>
                </w:tcPr>
                <w:p w14:paraId="7784C3B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549" w:type="dxa"/>
                  <w:vAlign w:val="center"/>
                </w:tcPr>
                <w:p w14:paraId="09AF096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550" w:type="dxa"/>
                  <w:vAlign w:val="center"/>
                </w:tcPr>
                <w:p w14:paraId="26B4C0D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618A7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Align w:val="center"/>
                </w:tcPr>
                <w:p w14:paraId="69E56F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西侧厂界</w:t>
                  </w:r>
                  <w:r>
                    <w:rPr>
                      <w:rFonts w:hint="eastAsia" w:ascii="Times New Roman" w:hAnsi="Times New Roman" w:cs="Times New Roman"/>
                      <w:color w:val="000000" w:themeColor="text1"/>
                      <w:sz w:val="21"/>
                      <w:szCs w:val="21"/>
                      <w14:textFill>
                        <w14:solidFill>
                          <w14:schemeClr w14:val="tx1"/>
                        </w14:solidFill>
                      </w14:textFill>
                    </w:rPr>
                    <w:t>1</w:t>
                  </w:r>
                </w:p>
              </w:tc>
              <w:tc>
                <w:tcPr>
                  <w:tcW w:w="1559" w:type="dxa"/>
                  <w:vAlign w:val="center"/>
                </w:tcPr>
                <w:p w14:paraId="7AEECD8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38.3</w:t>
                  </w:r>
                </w:p>
              </w:tc>
              <w:tc>
                <w:tcPr>
                  <w:tcW w:w="1547" w:type="dxa"/>
                  <w:vAlign w:val="center"/>
                </w:tcPr>
                <w:p w14:paraId="554648B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38.3</w:t>
                  </w:r>
                </w:p>
              </w:tc>
              <w:tc>
                <w:tcPr>
                  <w:tcW w:w="1547" w:type="dxa"/>
                  <w:vAlign w:val="center"/>
                </w:tcPr>
                <w:p w14:paraId="75F6D9B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549" w:type="dxa"/>
                  <w:vAlign w:val="center"/>
                </w:tcPr>
                <w:p w14:paraId="484709E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550" w:type="dxa"/>
                  <w:vAlign w:val="center"/>
                </w:tcPr>
                <w:p w14:paraId="5A238A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5AED6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Align w:val="center"/>
                </w:tcPr>
                <w:p w14:paraId="2140470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西侧厂界</w:t>
                  </w:r>
                  <w:r>
                    <w:rPr>
                      <w:rFonts w:hint="eastAsia" w:ascii="Times New Roman" w:hAnsi="Times New Roman" w:cs="Times New Roman"/>
                      <w:color w:val="000000" w:themeColor="text1"/>
                      <w:sz w:val="21"/>
                      <w:szCs w:val="21"/>
                      <w14:textFill>
                        <w14:solidFill>
                          <w14:schemeClr w14:val="tx1"/>
                        </w14:solidFill>
                      </w14:textFill>
                    </w:rPr>
                    <w:t>2</w:t>
                  </w:r>
                </w:p>
              </w:tc>
              <w:tc>
                <w:tcPr>
                  <w:tcW w:w="1559" w:type="dxa"/>
                  <w:vAlign w:val="center"/>
                </w:tcPr>
                <w:p w14:paraId="59BE6AB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26.6</w:t>
                  </w:r>
                </w:p>
              </w:tc>
              <w:tc>
                <w:tcPr>
                  <w:tcW w:w="1547" w:type="dxa"/>
                  <w:vAlign w:val="center"/>
                </w:tcPr>
                <w:p w14:paraId="5EAFDEF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26.6</w:t>
                  </w:r>
                </w:p>
              </w:tc>
              <w:tc>
                <w:tcPr>
                  <w:tcW w:w="1547" w:type="dxa"/>
                  <w:vAlign w:val="center"/>
                </w:tcPr>
                <w:p w14:paraId="2EA6667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549" w:type="dxa"/>
                  <w:vAlign w:val="center"/>
                </w:tcPr>
                <w:p w14:paraId="6D7B034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550" w:type="dxa"/>
                  <w:vAlign w:val="center"/>
                </w:tcPr>
                <w:p w14:paraId="1F01A63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26E6A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Align w:val="center"/>
                </w:tcPr>
                <w:p w14:paraId="10EB956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北侧厂界1</w:t>
                  </w:r>
                </w:p>
              </w:tc>
              <w:tc>
                <w:tcPr>
                  <w:tcW w:w="1559" w:type="dxa"/>
                  <w:vAlign w:val="center"/>
                </w:tcPr>
                <w:p w14:paraId="01DDAC2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25.8</w:t>
                  </w:r>
                </w:p>
              </w:tc>
              <w:tc>
                <w:tcPr>
                  <w:tcW w:w="1547" w:type="dxa"/>
                  <w:vAlign w:val="center"/>
                </w:tcPr>
                <w:p w14:paraId="6F93FAA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25.8</w:t>
                  </w:r>
                </w:p>
              </w:tc>
              <w:tc>
                <w:tcPr>
                  <w:tcW w:w="1547" w:type="dxa"/>
                  <w:vAlign w:val="center"/>
                </w:tcPr>
                <w:p w14:paraId="6EF5430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549" w:type="dxa"/>
                  <w:vAlign w:val="center"/>
                </w:tcPr>
                <w:p w14:paraId="02A1FF4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550" w:type="dxa"/>
                  <w:vAlign w:val="center"/>
                </w:tcPr>
                <w:p w14:paraId="0BFB15F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40D9F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47" w:type="dxa"/>
                  <w:vAlign w:val="center"/>
                </w:tcPr>
                <w:p w14:paraId="5CBD137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北侧厂界2</w:t>
                  </w:r>
                </w:p>
              </w:tc>
              <w:tc>
                <w:tcPr>
                  <w:tcW w:w="1559" w:type="dxa"/>
                  <w:vAlign w:val="center"/>
                </w:tcPr>
                <w:p w14:paraId="26F2417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27.2</w:t>
                  </w:r>
                </w:p>
              </w:tc>
              <w:tc>
                <w:tcPr>
                  <w:tcW w:w="1547" w:type="dxa"/>
                  <w:vAlign w:val="center"/>
                </w:tcPr>
                <w:p w14:paraId="39F657C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27.2</w:t>
                  </w:r>
                </w:p>
              </w:tc>
              <w:tc>
                <w:tcPr>
                  <w:tcW w:w="1547" w:type="dxa"/>
                  <w:vAlign w:val="center"/>
                </w:tcPr>
                <w:p w14:paraId="700AB5C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549" w:type="dxa"/>
                  <w:vAlign w:val="center"/>
                </w:tcPr>
                <w:p w14:paraId="04136FD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550" w:type="dxa"/>
                  <w:vAlign w:val="center"/>
                </w:tcPr>
                <w:p w14:paraId="02C8203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bl>
          <w:p w14:paraId="48F61658">
            <w:pPr>
              <w:spacing w:line="360" w:lineRule="auto"/>
              <w:ind w:right="113"/>
              <w:jc w:val="center"/>
              <w:rPr>
                <w:color w:val="FF0000"/>
              </w:rPr>
            </w:pP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99"/>
            </w:tblGrid>
            <w:tr w14:paraId="0CFBB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500" w:type="dxa"/>
                </w:tcPr>
                <w:p w14:paraId="6BE4EF9A">
                  <w:pPr>
                    <w:ind w:right="113"/>
                    <w:jc w:val="center"/>
                    <w:rPr>
                      <w:color w:val="FF0000"/>
                    </w:rPr>
                  </w:pPr>
                  <w:r>
                    <mc:AlternateContent>
                      <mc:Choice Requires="wps">
                        <w:drawing>
                          <wp:anchor distT="0" distB="0" distL="114300" distR="114300" simplePos="0" relativeHeight="251774976" behindDoc="0" locked="0" layoutInCell="1" allowOverlap="1">
                            <wp:simplePos x="0" y="0"/>
                            <wp:positionH relativeFrom="column">
                              <wp:posOffset>497205</wp:posOffset>
                            </wp:positionH>
                            <wp:positionV relativeFrom="paragraph">
                              <wp:posOffset>1361440</wp:posOffset>
                            </wp:positionV>
                            <wp:extent cx="756285" cy="276225"/>
                            <wp:effectExtent l="6350" t="109855" r="475615" b="13970"/>
                            <wp:wrapNone/>
                            <wp:docPr id="153" name="矩形标注 153"/>
                            <wp:cNvGraphicFramePr/>
                            <a:graphic xmlns:a="http://schemas.openxmlformats.org/drawingml/2006/main">
                              <a:graphicData uri="http://schemas.microsoft.com/office/word/2010/wordprocessingShape">
                                <wps:wsp>
                                  <wps:cNvSpPr/>
                                  <wps:spPr>
                                    <a:xfrm>
                                      <a:off x="0" y="0"/>
                                      <a:ext cx="756285" cy="276225"/>
                                    </a:xfrm>
                                    <a:prstGeom prst="wedgeRectCallout">
                                      <a:avLst>
                                        <a:gd name="adj1" fmla="val 110705"/>
                                        <a:gd name="adj2" fmla="val -87471"/>
                                      </a:avLst>
                                    </a:prstGeom>
                                    <a:solidFill>
                                      <a:schemeClr val="bg1">
                                        <a:alpha val="50000"/>
                                      </a:scheme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2B4DC03">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西侧厂界2</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39.15pt;margin-top:107.2pt;height:21.75pt;width:59.55pt;z-index:251774976;v-text-anchor:middle;mso-width-relative:page;mso-height-relative:page;" fillcolor="#FFFFFF [3212]" filled="t" stroked="t" coordsize="21600,21600" o:gfxdata="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mOKJO2AAAAAoBAAAPAAAAAAAAAAEAIAAAACIAAABkcnMvZG93&#10;bnJldi54bWxQSwECFAAUAAAACACHTuJAyGy4q6sCAABhBQAADgAAAAAAAAABACAAAAAnAQAAZHJz&#10;L2Uyb0RvYy54bWxQSwUGAAAAAAYABgBZAQAARAYAAAAA&#10;" adj="34712,-8094">
                            <v:fill on="t" opacity="32768f" focussize="0,0"/>
                            <v:stroke weight="1pt" color="#000000 [3213]" joinstyle="round"/>
                            <v:imagedata o:title=""/>
                            <o:lock v:ext="edit" aspectratio="f"/>
                            <v:textbox inset="0mm,0mm,0mm,0mm">
                              <w:txbxContent>
                                <w:p w14:paraId="62B4DC03">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西侧厂界2</w:t>
                                  </w:r>
                                </w:p>
                              </w:txbxContent>
                            </v:textbox>
                          </v:shape>
                        </w:pict>
                      </mc:Fallback>
                    </mc:AlternateContent>
                  </w:r>
                  <w:r>
                    <mc:AlternateContent>
                      <mc:Choice Requires="wps">
                        <w:drawing>
                          <wp:anchor distT="0" distB="0" distL="114300" distR="114300" simplePos="0" relativeHeight="251743232" behindDoc="0" locked="0" layoutInCell="1" allowOverlap="1">
                            <wp:simplePos x="0" y="0"/>
                            <wp:positionH relativeFrom="column">
                              <wp:posOffset>327025</wp:posOffset>
                            </wp:positionH>
                            <wp:positionV relativeFrom="paragraph">
                              <wp:posOffset>2911475</wp:posOffset>
                            </wp:positionV>
                            <wp:extent cx="756285" cy="276225"/>
                            <wp:effectExtent l="6350" t="109855" r="475615" b="13970"/>
                            <wp:wrapNone/>
                            <wp:docPr id="142" name="矩形标注 142"/>
                            <wp:cNvGraphicFramePr/>
                            <a:graphic xmlns:a="http://schemas.openxmlformats.org/drawingml/2006/main">
                              <a:graphicData uri="http://schemas.microsoft.com/office/word/2010/wordprocessingShape">
                                <wps:wsp>
                                  <wps:cNvSpPr/>
                                  <wps:spPr>
                                    <a:xfrm>
                                      <a:off x="4472940" y="3978275"/>
                                      <a:ext cx="756285" cy="276225"/>
                                    </a:xfrm>
                                    <a:prstGeom prst="wedgeRectCallout">
                                      <a:avLst>
                                        <a:gd name="adj1" fmla="val 110705"/>
                                        <a:gd name="adj2" fmla="val -87471"/>
                                      </a:avLst>
                                    </a:prstGeom>
                                    <a:solidFill>
                                      <a:schemeClr val="bg1">
                                        <a:alpha val="50000"/>
                                      </a:scheme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0C68D83">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西侧厂界1</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5.75pt;margin-top:229.25pt;height:21.75pt;width:59.55pt;z-index:251743232;v-text-anchor:middle;mso-width-relative:page;mso-height-relative:page;" fillcolor="#FFFFFF [3212]" filled="t" stroked="t" coordsize="21600,21600" o:gfxdata="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XOhR/9cAAAAKAQAADwAAAAAAAAABACAA&#10;AAAiAAAAZHJzL2Rvd25yZXYueG1sUEsBAhQAFAAAAAgAh07iQAsLYKa5AgAAbQUAAA4AAAAAAAAA&#10;AQAgAAAAJgEAAGRycy9lMm9Eb2MueG1sUEsFBgAAAAAGAAYAWQEAAFEGAAAAAA==&#10;" adj="34712,-8094">
                            <v:fill on="t" opacity="32768f" focussize="0,0"/>
                            <v:stroke weight="1pt" color="#000000 [3213]" joinstyle="round"/>
                            <v:imagedata o:title=""/>
                            <o:lock v:ext="edit" aspectratio="f"/>
                            <v:textbox inset="0mm,0mm,0mm,0mm">
                              <w:txbxContent>
                                <w:p w14:paraId="10C68D83">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西侧厂界1</w:t>
                                  </w:r>
                                </w:p>
                              </w:txbxContent>
                            </v:textbox>
                          </v:shape>
                        </w:pict>
                      </mc:Fallback>
                    </mc:AlternateContent>
                  </w:r>
                  <w:r>
                    <mc:AlternateContent>
                      <mc:Choice Requires="wps">
                        <w:drawing>
                          <wp:anchor distT="0" distB="0" distL="114300" distR="114300" simplePos="0" relativeHeight="251746304" behindDoc="0" locked="0" layoutInCell="1" allowOverlap="1">
                            <wp:simplePos x="0" y="0"/>
                            <wp:positionH relativeFrom="column">
                              <wp:posOffset>2457450</wp:posOffset>
                            </wp:positionH>
                            <wp:positionV relativeFrom="paragraph">
                              <wp:posOffset>360045</wp:posOffset>
                            </wp:positionV>
                            <wp:extent cx="756285" cy="276225"/>
                            <wp:effectExtent l="6350" t="6350" r="18415" b="327025"/>
                            <wp:wrapNone/>
                            <wp:docPr id="146" name="矩形标注 146"/>
                            <wp:cNvGraphicFramePr/>
                            <a:graphic xmlns:a="http://schemas.openxmlformats.org/drawingml/2006/main">
                              <a:graphicData uri="http://schemas.microsoft.com/office/word/2010/wordprocessingShape">
                                <wps:wsp>
                                  <wps:cNvSpPr/>
                                  <wps:spPr>
                                    <a:xfrm>
                                      <a:off x="0" y="0"/>
                                      <a:ext cx="756285" cy="276225"/>
                                    </a:xfrm>
                                    <a:prstGeom prst="wedgeRectCallout">
                                      <a:avLst>
                                        <a:gd name="adj1" fmla="val -47984"/>
                                        <a:gd name="adj2" fmla="val 165862"/>
                                      </a:avLst>
                                    </a:prstGeom>
                                    <a:solidFill>
                                      <a:schemeClr val="bg1">
                                        <a:alpha val="50000"/>
                                      </a:scheme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BC056CF">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北侧厂界1</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93.5pt;margin-top:28.35pt;height:21.75pt;width:59.55pt;z-index:251746304;v-text-anchor:middle;mso-width-relative:page;mso-height-relative:page;" fillcolor="#FFFFFF [3212]" filled="t" stroked="t" coordsize="21600,21600" o:gfxdata="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B5cNxdoAAAAKAQAADwAAAAAAAAABACAAAAAiAAAAZHJzL2Rv&#10;d25yZXYueG1sUEsBAhQAFAAAAAgAh07iQPQh+52qAgAAYQUAAA4AAAAAAAAAAQAgAAAAKQEAAGRy&#10;cy9lMm9Eb2MueG1sUEsFBgAAAAAGAAYAWQEAAEUGAAAAAA==&#10;" adj="435,46626">
                            <v:fill on="t" opacity="32768f" focussize="0,0"/>
                            <v:stroke weight="1pt" color="#000000 [3213]" joinstyle="round"/>
                            <v:imagedata o:title=""/>
                            <o:lock v:ext="edit" aspectratio="f"/>
                            <v:textbox inset="0mm,0mm,0mm,0mm">
                              <w:txbxContent>
                                <w:p w14:paraId="5BC056CF">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北侧厂界1</w:t>
                                  </w:r>
                                </w:p>
                              </w:txbxContent>
                            </v:textbox>
                          </v:shape>
                        </w:pict>
                      </mc:Fallback>
                    </mc:AlternateContent>
                  </w:r>
                  <w:r>
                    <mc:AlternateContent>
                      <mc:Choice Requires="wps">
                        <w:drawing>
                          <wp:anchor distT="0" distB="0" distL="114300" distR="114300" simplePos="0" relativeHeight="251745280" behindDoc="0" locked="0" layoutInCell="1" allowOverlap="1">
                            <wp:simplePos x="0" y="0"/>
                            <wp:positionH relativeFrom="column">
                              <wp:posOffset>4197350</wp:posOffset>
                            </wp:positionH>
                            <wp:positionV relativeFrom="paragraph">
                              <wp:posOffset>536575</wp:posOffset>
                            </wp:positionV>
                            <wp:extent cx="756285" cy="276225"/>
                            <wp:effectExtent l="6350" t="6350" r="18415" b="327025"/>
                            <wp:wrapNone/>
                            <wp:docPr id="145" name="矩形标注 145"/>
                            <wp:cNvGraphicFramePr/>
                            <a:graphic xmlns:a="http://schemas.openxmlformats.org/drawingml/2006/main">
                              <a:graphicData uri="http://schemas.microsoft.com/office/word/2010/wordprocessingShape">
                                <wps:wsp>
                                  <wps:cNvSpPr/>
                                  <wps:spPr>
                                    <a:xfrm>
                                      <a:off x="0" y="0"/>
                                      <a:ext cx="756285" cy="276225"/>
                                    </a:xfrm>
                                    <a:prstGeom prst="wedgeRectCallout">
                                      <a:avLst>
                                        <a:gd name="adj1" fmla="val -47984"/>
                                        <a:gd name="adj2" fmla="val 165862"/>
                                      </a:avLst>
                                    </a:prstGeom>
                                    <a:solidFill>
                                      <a:schemeClr val="bg1">
                                        <a:alpha val="50000"/>
                                      </a:scheme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92AD41F">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北侧厂界2</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330.5pt;margin-top:42.25pt;height:21.75pt;width:59.55pt;z-index:251745280;v-text-anchor:middle;mso-width-relative:page;mso-height-relative:page;" fillcolor="#FFFFFF [3212]" filled="t" stroked="t" coordsize="21600,21600" o:gfxdata="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AySd5HZAAAACgEAAA8AAAAAAAAAAQAgAAAAIgAAAGRycy9kb3du&#10;cmV2LnhtbFBLAQIUABQAAAAIAIdO4kChU2hmqQIAAGEFAAAOAAAAAAAAAAEAIAAAACgBAABkcnMv&#10;ZTJvRG9jLnhtbFBLBQYAAAAABgAGAFkBAABDBgAAAAA=&#10;" adj="435,46626">
                            <v:fill on="t" opacity="32768f" focussize="0,0"/>
                            <v:stroke weight="1pt" color="#000000 [3213]" joinstyle="round"/>
                            <v:imagedata o:title=""/>
                            <o:lock v:ext="edit" aspectratio="f"/>
                            <v:textbox inset="0mm,0mm,0mm,0mm">
                              <w:txbxContent>
                                <w:p w14:paraId="692AD41F">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北侧厂界2</w:t>
                                  </w:r>
                                </w:p>
                              </w:txbxContent>
                            </v:textbox>
                          </v:shape>
                        </w:pict>
                      </mc:Fallback>
                    </mc:AlternateContent>
                  </w:r>
                  <w:r>
                    <mc:AlternateContent>
                      <mc:Choice Requires="wps">
                        <w:drawing>
                          <wp:anchor distT="0" distB="0" distL="114300" distR="114300" simplePos="0" relativeHeight="251773952" behindDoc="0" locked="0" layoutInCell="1" allowOverlap="1">
                            <wp:simplePos x="0" y="0"/>
                            <wp:positionH relativeFrom="column">
                              <wp:posOffset>5100320</wp:posOffset>
                            </wp:positionH>
                            <wp:positionV relativeFrom="paragraph">
                              <wp:posOffset>2018665</wp:posOffset>
                            </wp:positionV>
                            <wp:extent cx="756285" cy="276225"/>
                            <wp:effectExtent l="6350" t="300355" r="18415" b="13970"/>
                            <wp:wrapNone/>
                            <wp:docPr id="152" name="矩形标注 152"/>
                            <wp:cNvGraphicFramePr/>
                            <a:graphic xmlns:a="http://schemas.openxmlformats.org/drawingml/2006/main">
                              <a:graphicData uri="http://schemas.microsoft.com/office/word/2010/wordprocessingShape">
                                <wps:wsp>
                                  <wps:cNvSpPr/>
                                  <wps:spPr>
                                    <a:xfrm>
                                      <a:off x="0" y="0"/>
                                      <a:ext cx="756285" cy="276225"/>
                                    </a:xfrm>
                                    <a:prstGeom prst="wedgeRectCallout">
                                      <a:avLst>
                                        <a:gd name="adj1" fmla="val -45969"/>
                                        <a:gd name="adj2" fmla="val -156436"/>
                                      </a:avLst>
                                    </a:prstGeom>
                                    <a:solidFill>
                                      <a:schemeClr val="bg1">
                                        <a:alpha val="50000"/>
                                      </a:scheme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F2E7AE2">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东侧厂界2</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401.6pt;margin-top:158.95pt;height:21.75pt;width:59.55pt;z-index:251773952;v-text-anchor:middle;mso-width-relative:page;mso-height-relative:page;" fillcolor="#FFFFFF [3212]" filled="t" stroked="t" coordsize="21600,21600" o:gfxdata="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Ne38E7ZAAAACwEAAA8AAAAAAAAAAQAgAAAAIgAAAGRycy9k&#10;b3ducmV2LnhtbFBLAQIUABQAAAAIAIdO4kBJ2bdxrAIAAGIFAAAOAAAAAAAAAAEAIAAAACgBAABk&#10;cnMvZTJvRG9jLnhtbFBLBQYAAAAABgAGAFkBAABGBgAAAAA=&#10;" adj="871,-22990">
                            <v:fill on="t" opacity="32768f" focussize="0,0"/>
                            <v:stroke weight="1pt" color="#000000 [3213]" joinstyle="round"/>
                            <v:imagedata o:title=""/>
                            <o:lock v:ext="edit" aspectratio="f"/>
                            <v:textbox inset="0mm,0mm,0mm,0mm">
                              <w:txbxContent>
                                <w:p w14:paraId="2F2E7AE2">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东侧厂界2</w:t>
                                  </w:r>
                                </w:p>
                              </w:txbxContent>
                            </v:textbox>
                          </v:shape>
                        </w:pict>
                      </mc:Fallback>
                    </mc:AlternateContent>
                  </w:r>
                  <w:r>
                    <mc:AlternateContent>
                      <mc:Choice Requires="wps">
                        <w:drawing>
                          <wp:anchor distT="0" distB="0" distL="114300" distR="114300" simplePos="0" relativeHeight="251744256" behindDoc="0" locked="0" layoutInCell="1" allowOverlap="1">
                            <wp:simplePos x="0" y="0"/>
                            <wp:positionH relativeFrom="column">
                              <wp:posOffset>4751705</wp:posOffset>
                            </wp:positionH>
                            <wp:positionV relativeFrom="paragraph">
                              <wp:posOffset>3485515</wp:posOffset>
                            </wp:positionV>
                            <wp:extent cx="756285" cy="276225"/>
                            <wp:effectExtent l="6350" t="359410" r="18415" b="12065"/>
                            <wp:wrapNone/>
                            <wp:docPr id="143" name="矩形标注 143"/>
                            <wp:cNvGraphicFramePr/>
                            <a:graphic xmlns:a="http://schemas.openxmlformats.org/drawingml/2006/main">
                              <a:graphicData uri="http://schemas.microsoft.com/office/word/2010/wordprocessingShape">
                                <wps:wsp>
                                  <wps:cNvSpPr/>
                                  <wps:spPr>
                                    <a:xfrm>
                                      <a:off x="0" y="0"/>
                                      <a:ext cx="756285" cy="276225"/>
                                    </a:xfrm>
                                    <a:prstGeom prst="wedgeRectCallout">
                                      <a:avLst>
                                        <a:gd name="adj1" fmla="val -19185"/>
                                        <a:gd name="adj2" fmla="val -177816"/>
                                      </a:avLst>
                                    </a:prstGeom>
                                    <a:solidFill>
                                      <a:schemeClr val="bg1">
                                        <a:alpha val="50000"/>
                                      </a:scheme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7BA3E5F">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东侧厂界1</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374.15pt;margin-top:274.45pt;height:21.75pt;width:59.55pt;z-index:251744256;v-text-anchor:middle;mso-width-relative:page;mso-height-relative:page;" fillcolor="#FFFFFF [3212]" filled="t" stroked="t" coordsize="21600,21600" o:gfxdata="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DAUz42gAAAAsBAAAPAAAAAAAAAAEAIAAAACIAAABkcnMvZG93&#10;bnJldi54bWxQSwECFAAUAAAACACHTuJArGdoTqkCAABiBQAADgAAAAAAAAABACAAAAApAQAAZHJz&#10;L2Uyb0RvYy54bWxQSwUGAAAAAAYABgBZAQAARAYAAAAA&#10;" adj="6656,-27608">
                            <v:fill on="t" opacity="32768f" focussize="0,0"/>
                            <v:stroke weight="1pt" color="#000000 [3213]" joinstyle="round"/>
                            <v:imagedata o:title=""/>
                            <o:lock v:ext="edit" aspectratio="f"/>
                            <v:textbox inset="0mm,0mm,0mm,0mm">
                              <w:txbxContent>
                                <w:p w14:paraId="47BA3E5F">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东侧厂界1</w:t>
                                  </w:r>
                                </w:p>
                              </w:txbxContent>
                            </v:textbox>
                          </v:shape>
                        </w:pict>
                      </mc:Fallback>
                    </mc:AlternateContent>
                  </w:r>
                  <w:r>
                    <mc:AlternateContent>
                      <mc:Choice Requires="wps">
                        <w:drawing>
                          <wp:anchor distT="0" distB="0" distL="114300" distR="114300" simplePos="0" relativeHeight="251748352" behindDoc="0" locked="0" layoutInCell="1" allowOverlap="1">
                            <wp:simplePos x="0" y="0"/>
                            <wp:positionH relativeFrom="column">
                              <wp:posOffset>3745230</wp:posOffset>
                            </wp:positionH>
                            <wp:positionV relativeFrom="paragraph">
                              <wp:posOffset>4004945</wp:posOffset>
                            </wp:positionV>
                            <wp:extent cx="756285" cy="276225"/>
                            <wp:effectExtent l="6350" t="629285" r="18415" b="8890"/>
                            <wp:wrapNone/>
                            <wp:docPr id="149" name="矩形标注 149"/>
                            <wp:cNvGraphicFramePr/>
                            <a:graphic xmlns:a="http://schemas.openxmlformats.org/drawingml/2006/main">
                              <a:graphicData uri="http://schemas.microsoft.com/office/word/2010/wordprocessingShape">
                                <wps:wsp>
                                  <wps:cNvSpPr/>
                                  <wps:spPr>
                                    <a:xfrm>
                                      <a:off x="0" y="0"/>
                                      <a:ext cx="756285" cy="276225"/>
                                    </a:xfrm>
                                    <a:prstGeom prst="wedgeRectCallout">
                                      <a:avLst>
                                        <a:gd name="adj1" fmla="val -23635"/>
                                        <a:gd name="adj2" fmla="val -275517"/>
                                      </a:avLst>
                                    </a:prstGeom>
                                    <a:solidFill>
                                      <a:schemeClr val="bg1">
                                        <a:alpha val="50000"/>
                                      </a:scheme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724C724">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南侧厂界2</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94.9pt;margin-top:315.35pt;height:21.75pt;width:59.55pt;z-index:251748352;v-text-anchor:middle;mso-width-relative:page;mso-height-relative:page;" fillcolor="#FFFFFF [3212]" filled="t" stroked="t" coordsize="21600,21600" o:gfxdata="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kNalu3AAAAAsBAAAPAAAAAAAAAAEAIAAAACIAAABkcnMv&#10;ZG93bnJldi54bWxQSwECFAAUAAAACACHTuJA3UqeVKoCAABiBQAADgAAAAAAAAABACAAAAArAQAA&#10;ZHJzL2Uyb0RvYy54bWxQSwUGAAAAAAYABgBZAQAARwYAAAAA&#10;" adj="5695,-48712">
                            <v:fill on="t" opacity="32768f" focussize="0,0"/>
                            <v:stroke weight="1pt" color="#000000 [3213]" joinstyle="round"/>
                            <v:imagedata o:title=""/>
                            <o:lock v:ext="edit" aspectratio="f"/>
                            <v:textbox inset="0mm,0mm,0mm,0mm">
                              <w:txbxContent>
                                <w:p w14:paraId="2724C724">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南侧厂界2</w:t>
                                  </w:r>
                                </w:p>
                              </w:txbxContent>
                            </v:textbox>
                          </v:shape>
                        </w:pict>
                      </mc:Fallback>
                    </mc:AlternateContent>
                  </w:r>
                  <w:r>
                    <mc:AlternateContent>
                      <mc:Choice Requires="wps">
                        <w:drawing>
                          <wp:anchor distT="0" distB="0" distL="114300" distR="114300" simplePos="0" relativeHeight="251747328" behindDoc="0" locked="0" layoutInCell="1" allowOverlap="1">
                            <wp:simplePos x="0" y="0"/>
                            <wp:positionH relativeFrom="column">
                              <wp:posOffset>1713230</wp:posOffset>
                            </wp:positionH>
                            <wp:positionV relativeFrom="paragraph">
                              <wp:posOffset>3843020</wp:posOffset>
                            </wp:positionV>
                            <wp:extent cx="756285" cy="276225"/>
                            <wp:effectExtent l="6350" t="629285" r="18415" b="8890"/>
                            <wp:wrapNone/>
                            <wp:docPr id="148" name="矩形标注 148"/>
                            <wp:cNvGraphicFramePr/>
                            <a:graphic xmlns:a="http://schemas.openxmlformats.org/drawingml/2006/main">
                              <a:graphicData uri="http://schemas.microsoft.com/office/word/2010/wordprocessingShape">
                                <wps:wsp>
                                  <wps:cNvSpPr/>
                                  <wps:spPr>
                                    <a:xfrm>
                                      <a:off x="0" y="0"/>
                                      <a:ext cx="756285" cy="276225"/>
                                    </a:xfrm>
                                    <a:prstGeom prst="wedgeRectCallout">
                                      <a:avLst>
                                        <a:gd name="adj1" fmla="val -23635"/>
                                        <a:gd name="adj2" fmla="val -275517"/>
                                      </a:avLst>
                                    </a:prstGeom>
                                    <a:solidFill>
                                      <a:schemeClr val="bg1">
                                        <a:alpha val="50000"/>
                                      </a:scheme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878E569">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南侧厂界1</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34.9pt;margin-top:302.6pt;height:21.75pt;width:59.55pt;z-index:251747328;v-text-anchor:middle;mso-width-relative:page;mso-height-relative:page;" fillcolor="#FFFFFF [3212]" filled="t" stroked="t" coordsize="21600,21600" o:gfxdata="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PMs0rHcAAAACwEAAA8AAAAAAAAAAQAgAAAAIgAAAGRycy9k&#10;b3ducmV2LnhtbFBLAQIUABQAAAAIAIdO4kDaWMhdqQIAAGIFAAAOAAAAAAAAAAEAIAAAACsBAABk&#10;cnMvZTJvRG9jLnhtbFBLBQYAAAAABgAGAFkBAABGBgAAAAA=&#10;" adj="5695,-48712">
                            <v:fill on="t" opacity="32768f" focussize="0,0"/>
                            <v:stroke weight="1pt" color="#000000 [3213]" joinstyle="round"/>
                            <v:imagedata o:title=""/>
                            <o:lock v:ext="edit" aspectratio="f"/>
                            <v:textbox inset="0mm,0mm,0mm,0mm">
                              <w:txbxContent>
                                <w:p w14:paraId="5878E569">
                                  <w:pPr>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南侧厂界1</w:t>
                                  </w:r>
                                </w:p>
                              </w:txbxContent>
                            </v:textbox>
                          </v:shape>
                        </w:pict>
                      </mc:Fallback>
                    </mc:AlternateContent>
                  </w:r>
                  <w:r>
                    <w:rPr>
                      <w:color w:val="FF0000"/>
                    </w:rPr>
                    <w:drawing>
                      <wp:anchor distT="0" distB="0" distL="114300" distR="114300" simplePos="0" relativeHeight="251742208" behindDoc="0" locked="0" layoutInCell="1" allowOverlap="1">
                        <wp:simplePos x="0" y="0"/>
                        <wp:positionH relativeFrom="column">
                          <wp:posOffset>5544185</wp:posOffset>
                        </wp:positionH>
                        <wp:positionV relativeFrom="paragraph">
                          <wp:posOffset>2781935</wp:posOffset>
                        </wp:positionV>
                        <wp:extent cx="310515" cy="1789430"/>
                        <wp:effectExtent l="0" t="0" r="13335" b="1270"/>
                        <wp:wrapNone/>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54"/>
                                <a:stretch>
                                  <a:fillRect/>
                                </a:stretch>
                              </pic:blipFill>
                              <pic:spPr>
                                <a:xfrm>
                                  <a:off x="0" y="0"/>
                                  <a:ext cx="310515" cy="1789430"/>
                                </a:xfrm>
                                <a:prstGeom prst="rect">
                                  <a:avLst/>
                                </a:prstGeom>
                                <a:noFill/>
                                <a:ln>
                                  <a:noFill/>
                                </a:ln>
                              </pic:spPr>
                            </pic:pic>
                          </a:graphicData>
                        </a:graphic>
                      </wp:anchor>
                    </w:drawing>
                  </w:r>
                  <w:r>
                    <w:drawing>
                      <wp:inline distT="0" distB="0" distL="114300" distR="114300">
                        <wp:extent cx="5889625" cy="4772025"/>
                        <wp:effectExtent l="0" t="0" r="15875" b="9525"/>
                        <wp:docPr id="1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
                                <pic:cNvPicPr>
                                  <a:picLocks noChangeAspect="1"/>
                                </pic:cNvPicPr>
                              </pic:nvPicPr>
                              <pic:blipFill>
                                <a:blip r:embed="rId55"/>
                                <a:stretch>
                                  <a:fillRect/>
                                </a:stretch>
                              </pic:blipFill>
                              <pic:spPr>
                                <a:xfrm>
                                  <a:off x="0" y="0"/>
                                  <a:ext cx="5889625" cy="4772025"/>
                                </a:xfrm>
                                <a:prstGeom prst="rect">
                                  <a:avLst/>
                                </a:prstGeom>
                                <a:noFill/>
                                <a:ln>
                                  <a:noFill/>
                                </a:ln>
                              </pic:spPr>
                            </pic:pic>
                          </a:graphicData>
                        </a:graphic>
                      </wp:inline>
                    </w:drawing>
                  </w:r>
                  <w:r>
                    <w:rPr>
                      <w:color w:val="FF0000"/>
                    </w:rPr>
                    <w:t xml:space="preserve"> </w:t>
                  </w:r>
                </w:p>
              </w:tc>
            </w:tr>
          </w:tbl>
          <w:p w14:paraId="2BEC54CC">
            <w:pPr>
              <w:spacing w:line="360" w:lineRule="auto"/>
              <w:ind w:right="113" w:firstLine="482" w:firstLineChars="20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图4-2  项目噪声正常排放时厂界噪声贡献等声线图</w:t>
            </w:r>
          </w:p>
          <w:p w14:paraId="3846D613">
            <w:pPr>
              <w:spacing w:line="360" w:lineRule="auto"/>
              <w:ind w:right="113"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由上表可知，主要噪声源经基础减震和距离的衰减作用后，项目东、南、北侧场界噪声满足《工业企业厂界环境噪声排放标准》（GB12348-2008）3类标准，不会对项目周边的声环境产生显著影响。</w:t>
            </w:r>
          </w:p>
          <w:p w14:paraId="71F2D9DB">
            <w:pPr>
              <w:pStyle w:val="118"/>
              <w:rPr>
                <w:rFonts w:ascii="Times New Roman" w:hAnsi="Times New Roman" w:cs="Times New Roman"/>
                <w:b/>
                <w:color w:val="000000" w:themeColor="text1"/>
                <w:u w:val="single"/>
                <w14:textFill>
                  <w14:solidFill>
                    <w14:schemeClr w14:val="tx1"/>
                  </w14:solidFill>
                </w14:textFill>
              </w:rPr>
            </w:pPr>
            <w:r>
              <w:rPr>
                <w:rFonts w:ascii="Times New Roman" w:hAnsi="Times New Roman" w:cs="Times New Roman"/>
                <w:color w:val="000000" w:themeColor="text1"/>
                <w14:textFill>
                  <w14:solidFill>
                    <w14:schemeClr w14:val="tx1"/>
                  </w14:solidFill>
                </w14:textFill>
              </w:rPr>
              <w:t>从项目周边环境位置情况来看，本项目距离周围声环境保护目标距离较远，场界50m内无医院、学校、机关、科研单位、住宅、自然保护区等对噪声敏感的建筑物或区域，因此本项目所产生的噪声经距离衰减和树木阻隔后，对周边环境影响较小。</w:t>
            </w:r>
          </w:p>
          <w:p w14:paraId="686B917A">
            <w:pPr>
              <w:spacing w:line="360" w:lineRule="auto"/>
              <w:ind w:firstLine="361" w:firstLineChars="15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（4）噪声监测方案</w:t>
            </w:r>
          </w:p>
          <w:p w14:paraId="7825B0A4">
            <w:pPr>
              <w:pStyle w:val="28"/>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根据《排污单位自行监测技术指南 总则》（HJ819-2017）要求，本项目噪声监测点位、指标、监测频次见</w:t>
            </w:r>
            <w:r>
              <w:rPr>
                <w:rFonts w:hint="eastAsia" w:ascii="Times New Roman" w:hAnsi="Times New Roman" w:cs="Times New Roman"/>
                <w:color w:val="000000" w:themeColor="text1"/>
                <w14:textFill>
                  <w14:solidFill>
                    <w14:schemeClr w14:val="tx1"/>
                  </w14:solidFill>
                </w14:textFill>
              </w:rPr>
              <w:t>下表</w:t>
            </w:r>
            <w:r>
              <w:rPr>
                <w:rFonts w:ascii="Times New Roman" w:hAnsi="Times New Roman" w:cs="Times New Roman"/>
                <w:color w:val="000000" w:themeColor="text1"/>
                <w14:textFill>
                  <w14:solidFill>
                    <w14:schemeClr w14:val="tx1"/>
                  </w14:solidFill>
                </w14:textFill>
              </w:rPr>
              <w:t>。</w:t>
            </w:r>
          </w:p>
          <w:p w14:paraId="25DAE292">
            <w:pPr>
              <w:pStyle w:val="22"/>
              <w:jc w:val="center"/>
              <w:rPr>
                <w:rFonts w:ascii="Times New Roman" w:hAnsi="Times New Roman" w:eastAsia="宋体" w:cs="Times New Roman"/>
                <w:b/>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表4-</w:t>
            </w:r>
            <w:r>
              <w:rPr>
                <w:rFonts w:hint="eastAsia" w:ascii="Times New Roman" w:hAnsi="Times New Roman" w:eastAsia="宋体" w:cs="Times New Roman"/>
                <w:b/>
                <w:color w:val="000000" w:themeColor="text1"/>
                <w:szCs w:val="21"/>
                <w14:textFill>
                  <w14:solidFill>
                    <w14:schemeClr w14:val="tx1"/>
                  </w14:solidFill>
                </w14:textFill>
              </w:rPr>
              <w:t xml:space="preserve">19 </w:t>
            </w:r>
            <w:r>
              <w:rPr>
                <w:rFonts w:ascii="Times New Roman" w:hAnsi="Times New Roman" w:eastAsia="宋体" w:cs="Times New Roman"/>
                <w:b/>
                <w:color w:val="000000" w:themeColor="text1"/>
                <w:szCs w:val="21"/>
                <w14:textFill>
                  <w14:solidFill>
                    <w14:schemeClr w14:val="tx1"/>
                  </w14:solidFill>
                </w14:textFill>
              </w:rPr>
              <w:t>噪声污染监测方案</w:t>
            </w:r>
          </w:p>
          <w:tbl>
            <w:tblPr>
              <w:tblStyle w:val="88"/>
              <w:tblW w:w="92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4"/>
              <w:gridCol w:w="1418"/>
              <w:gridCol w:w="1250"/>
              <w:gridCol w:w="1134"/>
              <w:gridCol w:w="3502"/>
            </w:tblGrid>
            <w:tr w14:paraId="2DADE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4" w:type="dxa"/>
                  <w:vAlign w:val="center"/>
                </w:tcPr>
                <w:p w14:paraId="304C62E4">
                  <w:pPr>
                    <w:pStyle w:val="145"/>
                    <w:spacing w:before="24" w:after="24"/>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监测点位</w:t>
                  </w:r>
                </w:p>
              </w:tc>
              <w:tc>
                <w:tcPr>
                  <w:tcW w:w="1418" w:type="dxa"/>
                  <w:vAlign w:val="center"/>
                </w:tcPr>
                <w:p w14:paraId="694C4E4E">
                  <w:pPr>
                    <w:pStyle w:val="145"/>
                    <w:spacing w:before="24" w:after="24"/>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监测指标</w:t>
                  </w:r>
                </w:p>
              </w:tc>
              <w:tc>
                <w:tcPr>
                  <w:tcW w:w="1250" w:type="dxa"/>
                </w:tcPr>
                <w:p w14:paraId="4EA2E4A1">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监测因子</w:t>
                  </w:r>
                </w:p>
              </w:tc>
              <w:tc>
                <w:tcPr>
                  <w:tcW w:w="1134" w:type="dxa"/>
                  <w:vAlign w:val="center"/>
                </w:tcPr>
                <w:p w14:paraId="79C8A12E">
                  <w:pPr>
                    <w:pStyle w:val="145"/>
                    <w:spacing w:before="24" w:after="24"/>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监测频次</w:t>
                  </w:r>
                </w:p>
              </w:tc>
              <w:tc>
                <w:tcPr>
                  <w:tcW w:w="3502" w:type="dxa"/>
                  <w:vAlign w:val="center"/>
                </w:tcPr>
                <w:p w14:paraId="36A9B9FC">
                  <w:pPr>
                    <w:pStyle w:val="145"/>
                    <w:spacing w:before="24" w:after="24"/>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执行排放标准</w:t>
                  </w:r>
                </w:p>
              </w:tc>
            </w:tr>
            <w:tr w14:paraId="441CB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4" w:type="dxa"/>
                  <w:vAlign w:val="center"/>
                </w:tcPr>
                <w:p w14:paraId="193254D9">
                  <w:pPr>
                    <w:pStyle w:val="145"/>
                    <w:spacing w:before="24" w:after="24"/>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四面厂界外1m处各布设1个监测点</w:t>
                  </w:r>
                </w:p>
              </w:tc>
              <w:tc>
                <w:tcPr>
                  <w:tcW w:w="1418" w:type="dxa"/>
                  <w:vAlign w:val="center"/>
                </w:tcPr>
                <w:p w14:paraId="1BE2F5A8">
                  <w:pPr>
                    <w:pStyle w:val="145"/>
                    <w:spacing w:before="24" w:after="24"/>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昼间、夜间噪声</w:t>
                  </w:r>
                </w:p>
              </w:tc>
              <w:tc>
                <w:tcPr>
                  <w:tcW w:w="1250" w:type="dxa"/>
                </w:tcPr>
                <w:p w14:paraId="1676450E">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等效连续A声级</w:t>
                  </w:r>
                </w:p>
              </w:tc>
              <w:tc>
                <w:tcPr>
                  <w:tcW w:w="1134" w:type="dxa"/>
                  <w:vAlign w:val="center"/>
                </w:tcPr>
                <w:p w14:paraId="5A26091E">
                  <w:pPr>
                    <w:pStyle w:val="145"/>
                    <w:spacing w:before="24" w:after="24"/>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每季度一次</w:t>
                  </w:r>
                </w:p>
              </w:tc>
              <w:tc>
                <w:tcPr>
                  <w:tcW w:w="3502" w:type="dxa"/>
                  <w:vAlign w:val="center"/>
                </w:tcPr>
                <w:p w14:paraId="21C92CE9">
                  <w:pPr>
                    <w:pStyle w:val="145"/>
                    <w:spacing w:before="24" w:after="24"/>
                    <w:rPr>
                      <w:rFonts w:ascii="Times New Roman" w:hAnsi="Times New Roman" w:cs="Times New Roman"/>
                      <w:color w:val="000000" w:themeColor="text1"/>
                      <w:kern w:val="2"/>
                      <w:szCs w:val="21"/>
                      <w14:textFill>
                        <w14:solidFill>
                          <w14:schemeClr w14:val="tx1"/>
                        </w14:solidFill>
                      </w14:textFill>
                    </w:rPr>
                  </w:pPr>
                  <w:r>
                    <w:rPr>
                      <w:rFonts w:ascii="Times New Roman" w:hAnsi="Times New Roman" w:cs="Times New Roman"/>
                      <w:color w:val="000000" w:themeColor="text1"/>
                      <w:kern w:val="2"/>
                      <w:szCs w:val="21"/>
                      <w14:textFill>
                        <w14:solidFill>
                          <w14:schemeClr w14:val="tx1"/>
                        </w14:solidFill>
                      </w14:textFill>
                    </w:rPr>
                    <w:t>《工业企业厂界环境噪声排放限值》（GB12348-2008）3类</w:t>
                  </w:r>
                </w:p>
              </w:tc>
            </w:tr>
          </w:tbl>
          <w:p w14:paraId="0A34ABC1">
            <w:pPr>
              <w:tabs>
                <w:tab w:val="center" w:pos="4153"/>
                <w:tab w:val="right" w:pos="8306"/>
              </w:tabs>
              <w:snapToGrid w:val="0"/>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4、固体废物污染源分析</w:t>
            </w:r>
          </w:p>
          <w:p w14:paraId="0E98A2DF">
            <w:pPr>
              <w:autoSpaceDE w:val="0"/>
              <w:autoSpaceDN w:val="0"/>
              <w:spacing w:line="360" w:lineRule="auto"/>
              <w:ind w:firstLine="480" w:firstLineChars="200"/>
              <w:rPr>
                <w:rFonts w:ascii="Times New Roman" w:hAnsi="Times New Roman" w:cs="Times New Roman"/>
                <w:snapToGrid w:val="0"/>
                <w:color w:val="000000" w:themeColor="text1"/>
                <w:lang w:val="zh-CN" w:bidi="zh-CN"/>
                <w14:textFill>
                  <w14:solidFill>
                    <w14:schemeClr w14:val="tx1"/>
                  </w14:solidFill>
                </w14:textFill>
              </w:rPr>
            </w:pPr>
            <w:r>
              <w:rPr>
                <w:rFonts w:ascii="Times New Roman" w:hAnsi="Times New Roman" w:cs="Times New Roman"/>
                <w:snapToGrid w:val="0"/>
                <w:color w:val="000000" w:themeColor="text1"/>
                <w:lang w:val="zh-CN" w:bidi="zh-CN"/>
                <w14:textFill>
                  <w14:solidFill>
                    <w14:schemeClr w14:val="tx1"/>
                  </w14:solidFill>
                </w14:textFill>
              </w:rPr>
              <w:t>4.1固体废物产生及去向</w:t>
            </w:r>
          </w:p>
          <w:p w14:paraId="001541E8">
            <w:pPr>
              <w:autoSpaceDE w:val="0"/>
              <w:autoSpaceDN w:val="0"/>
              <w:spacing w:line="360" w:lineRule="auto"/>
              <w:ind w:firstLine="480" w:firstLineChars="200"/>
              <w:rPr>
                <w:rFonts w:ascii="Times New Roman" w:hAnsi="Times New Roman" w:cs="Times New Roman"/>
                <w:snapToGrid w:val="0"/>
                <w:color w:val="FF0000"/>
                <w:lang w:val="zh-CN" w:bidi="zh-CN"/>
              </w:rPr>
            </w:pPr>
            <w:r>
              <w:rPr>
                <w:rFonts w:ascii="Times New Roman" w:hAnsi="Times New Roman" w:cs="Times New Roman"/>
                <w:snapToGrid w:val="0"/>
                <w:color w:val="000000" w:themeColor="text1"/>
                <w:lang w:val="zh-CN" w:bidi="zh-CN"/>
                <w14:textFill>
                  <w14:solidFill>
                    <w14:schemeClr w14:val="tx1"/>
                  </w14:solidFill>
                </w14:textFill>
              </w:rPr>
              <w:t>本项目运营期产生的固体废物主要为</w:t>
            </w:r>
            <w:r>
              <w:rPr>
                <w:rFonts w:hint="eastAsia" w:ascii="Times New Roman" w:hAnsi="Times New Roman" w:cs="Times New Roman"/>
                <w:snapToGrid w:val="0"/>
                <w:color w:val="000000" w:themeColor="text1"/>
                <w:lang w:val="zh-CN" w:bidi="zh-CN"/>
                <w14:textFill>
                  <w14:solidFill>
                    <w14:schemeClr w14:val="tx1"/>
                  </w14:solidFill>
                </w14:textFill>
              </w:rPr>
              <w:t>废抹布等吸附材料、废油漆、废酸、废碱、</w:t>
            </w:r>
            <w:r>
              <w:rPr>
                <w:rFonts w:ascii="Times New Roman" w:hAnsi="Times New Roman" w:cs="Times New Roman"/>
                <w:snapToGrid w:val="0"/>
                <w:color w:val="000000" w:themeColor="text1"/>
                <w:lang w:val="zh-CN" w:bidi="zh-CN"/>
                <w14:textFill>
                  <w14:solidFill>
                    <w14:schemeClr w14:val="tx1"/>
                  </w14:solidFill>
                </w14:textFill>
              </w:rPr>
              <w:t>生活垃圾等。</w:t>
            </w:r>
          </w:p>
          <w:p w14:paraId="18785EEE">
            <w:pPr>
              <w:spacing w:line="360" w:lineRule="auto"/>
              <w:ind w:firstLine="480" w:firstLineChars="200"/>
              <w:rPr>
                <w:rFonts w:ascii="Times New Roman" w:hAnsi="Times New Roman" w:cs="Times New Roman"/>
                <w:snapToGrid w:val="0"/>
                <w:color w:val="000000" w:themeColor="text1"/>
                <w:lang w:val="zh-CN" w:bidi="zh-CN"/>
                <w14:textFill>
                  <w14:solidFill>
                    <w14:schemeClr w14:val="tx1"/>
                  </w14:solidFill>
                </w14:textFill>
              </w:rPr>
            </w:pPr>
            <w:r>
              <w:rPr>
                <w:rFonts w:ascii="Times New Roman" w:hAnsi="Times New Roman" w:cs="Times New Roman"/>
                <w:snapToGrid w:val="0"/>
                <w:color w:val="000000" w:themeColor="text1"/>
                <w:lang w:val="zh-CN" w:bidi="zh-CN"/>
                <w14:textFill>
                  <w14:solidFill>
                    <w14:schemeClr w14:val="tx1"/>
                  </w14:solidFill>
                </w14:textFill>
              </w:rPr>
              <w:t>（</w:t>
            </w:r>
            <w:r>
              <w:rPr>
                <w:rFonts w:hint="eastAsia" w:ascii="Times New Roman" w:hAnsi="Times New Roman" w:cs="Times New Roman"/>
                <w:snapToGrid w:val="0"/>
                <w:color w:val="000000" w:themeColor="text1"/>
                <w:lang w:bidi="zh-CN"/>
                <w14:textFill>
                  <w14:solidFill>
                    <w14:schemeClr w14:val="tx1"/>
                  </w14:solidFill>
                </w14:textFill>
              </w:rPr>
              <w:t>1</w:t>
            </w:r>
            <w:r>
              <w:rPr>
                <w:rFonts w:ascii="Times New Roman" w:hAnsi="Times New Roman" w:cs="Times New Roman"/>
                <w:snapToGrid w:val="0"/>
                <w:color w:val="000000" w:themeColor="text1"/>
                <w:lang w:val="zh-CN" w:bidi="zh-CN"/>
                <w14:textFill>
                  <w14:solidFill>
                    <w14:schemeClr w14:val="tx1"/>
                  </w14:solidFill>
                </w14:textFill>
              </w:rPr>
              <w:t>）废抹布等吸附材料</w:t>
            </w:r>
          </w:p>
          <w:p w14:paraId="7EA3666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snapToGrid w:val="0"/>
                <w:color w:val="000000" w:themeColor="text1"/>
                <w:lang w:val="zh-CN" w:bidi="zh-CN"/>
                <w14:textFill>
                  <w14:solidFill>
                    <w14:schemeClr w14:val="tx1"/>
                  </w14:solidFill>
                </w14:textFill>
              </w:rPr>
              <w:t>项目运营过程中会产生少量含油消防砂、废抹布、废油毯等，产生量约0.2t/a。</w:t>
            </w:r>
            <w:r>
              <w:rPr>
                <w:rFonts w:ascii="Times New Roman" w:hAnsi="Times New Roman" w:cs="Times New Roman"/>
                <w:color w:val="000000" w:themeColor="text1"/>
                <w14:textFill>
                  <w14:solidFill>
                    <w14:schemeClr w14:val="tx1"/>
                  </w14:solidFill>
                </w14:textFill>
              </w:rPr>
              <w:t>根据《国家危险废物名录》（202</w:t>
            </w: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年版），</w:t>
            </w:r>
            <w:r>
              <w:rPr>
                <w:rFonts w:ascii="Times New Roman" w:hAnsi="Times New Roman" w:cs="Times New Roman"/>
                <w:snapToGrid w:val="0"/>
                <w:color w:val="000000" w:themeColor="text1"/>
                <w:lang w:val="zh-CN" w:bidi="zh-CN"/>
                <w14:textFill>
                  <w14:solidFill>
                    <w14:schemeClr w14:val="tx1"/>
                  </w14:solidFill>
                </w14:textFill>
              </w:rPr>
              <w:t>废抹布等吸附材料</w:t>
            </w:r>
            <w:r>
              <w:rPr>
                <w:rFonts w:ascii="Times New Roman" w:hAnsi="Times New Roman" w:cs="Times New Roman"/>
                <w:color w:val="000000" w:themeColor="text1"/>
                <w14:textFill>
                  <w14:solidFill>
                    <w14:schemeClr w14:val="tx1"/>
                  </w14:solidFill>
                </w14:textFill>
              </w:rPr>
              <w:t>属于“HW49其他废物”，危险废物代码为900-041-49。收集后暂存于危废间，定期交由有资质的危险废物处理单位处理。</w:t>
            </w:r>
          </w:p>
          <w:p w14:paraId="6D6CCECE">
            <w:pPr>
              <w:tabs>
                <w:tab w:val="left" w:pos="2040"/>
                <w:tab w:val="left" w:pos="3435"/>
                <w:tab w:val="left" w:pos="4830"/>
              </w:tabs>
              <w:spacing w:line="360" w:lineRule="auto"/>
              <w:ind w:firstLine="480" w:firstLineChars="200"/>
              <w:rPr>
                <w:rFonts w:ascii="Times New Roman" w:hAnsi="Times New Roman" w:cs="Times New Roman"/>
                <w:color w:val="000000" w:themeColor="text1"/>
                <w:kern w:val="2"/>
                <w14:textFill>
                  <w14:solidFill>
                    <w14:schemeClr w14:val="tx1"/>
                  </w14:solidFill>
                </w14:textFill>
              </w:rPr>
            </w:pPr>
            <w:r>
              <w:rPr>
                <w:rFonts w:hint="eastAsia" w:ascii="Times New Roman" w:hAnsi="Times New Roman" w:cs="Times New Roman"/>
                <w:color w:val="000000" w:themeColor="text1"/>
                <w:kern w:val="2"/>
                <w14:textFill>
                  <w14:solidFill>
                    <w14:schemeClr w14:val="tx1"/>
                  </w14:solidFill>
                </w14:textFill>
              </w:rPr>
              <w:t>（2）废酸</w:t>
            </w:r>
          </w:p>
          <w:p w14:paraId="57C57236">
            <w:pPr>
              <w:tabs>
                <w:tab w:val="left" w:pos="2040"/>
                <w:tab w:val="left" w:pos="3435"/>
                <w:tab w:val="left" w:pos="4830"/>
              </w:tabs>
              <w:spacing w:line="360" w:lineRule="auto"/>
              <w:ind w:firstLine="480" w:firstLineChars="200"/>
              <w:rPr>
                <w:rFonts w:ascii="Times New Roman" w:hAnsi="Times New Roman" w:cs="Times New Roman"/>
                <w:color w:val="FF0000"/>
                <w:kern w:val="2"/>
              </w:rPr>
            </w:pPr>
            <w:r>
              <w:rPr>
                <w:rFonts w:hint="eastAsia" w:ascii="Times New Roman" w:hAnsi="Times New Roman" w:cs="Times New Roman"/>
                <w:color w:val="000000" w:themeColor="text1"/>
                <w:kern w:val="2"/>
                <w14:textFill>
                  <w14:solidFill>
                    <w14:schemeClr w14:val="tx1"/>
                  </w14:solidFill>
                </w14:textFill>
              </w:rPr>
              <w:t>项目硫酸在储罐储存输送过程中，为保证储罐储存的硫酸的质量，需要定期将储罐底部残留的少量硫酸清出，过程中会产生少量的废酸，根据建设单位的生产经验，废酸的产生量约为1t/a。废酸属于</w:t>
            </w:r>
            <w:r>
              <w:rPr>
                <w:rFonts w:ascii="Times New Roman" w:hAnsi="Times New Roman" w:cs="Times New Roman"/>
                <w:color w:val="000000" w:themeColor="text1"/>
                <w:kern w:val="2"/>
                <w14:textFill>
                  <w14:solidFill>
                    <w14:schemeClr w14:val="tx1"/>
                  </w14:solidFill>
                </w14:textFill>
              </w:rPr>
              <w:t>《国家危险废物名录》（202</w:t>
            </w:r>
            <w:r>
              <w:rPr>
                <w:rFonts w:hint="eastAsia" w:ascii="Times New Roman" w:hAnsi="Times New Roman" w:cs="Times New Roman"/>
                <w:color w:val="000000" w:themeColor="text1"/>
                <w:kern w:val="2"/>
                <w14:textFill>
                  <w14:solidFill>
                    <w14:schemeClr w14:val="tx1"/>
                  </w14:solidFill>
                </w14:textFill>
              </w:rPr>
              <w:t>5</w:t>
            </w:r>
            <w:r>
              <w:rPr>
                <w:rFonts w:ascii="Times New Roman" w:hAnsi="Times New Roman" w:cs="Times New Roman"/>
                <w:color w:val="000000" w:themeColor="text1"/>
                <w:kern w:val="2"/>
                <w14:textFill>
                  <w14:solidFill>
                    <w14:schemeClr w14:val="tx1"/>
                  </w14:solidFill>
                </w14:textFill>
              </w:rPr>
              <w:t>年版）中</w:t>
            </w:r>
            <w:r>
              <w:rPr>
                <w:rFonts w:hint="eastAsia" w:ascii="Times New Roman" w:hAnsi="Times New Roman" w:cs="Times New Roman"/>
                <w:color w:val="000000" w:themeColor="text1"/>
                <w:kern w:val="2"/>
                <w14:textFill>
                  <w14:solidFill>
                    <w14:schemeClr w14:val="tx1"/>
                  </w14:solidFill>
                </w14:textFill>
              </w:rPr>
              <w:t>HW34废酸（废物代码：</w:t>
            </w:r>
            <w:r>
              <w:rPr>
                <w:rFonts w:ascii="Times New Roman" w:hAnsi="Times New Roman" w:cs="Times New Roman"/>
                <w:color w:val="000000" w:themeColor="text1"/>
                <w:kern w:val="2"/>
                <w14:textFill>
                  <w14:solidFill>
                    <w14:schemeClr w14:val="tx1"/>
                  </w14:solidFill>
                </w14:textFill>
              </w:rPr>
              <w:t>900-</w:t>
            </w:r>
            <w:r>
              <w:rPr>
                <w:rFonts w:hint="eastAsia" w:ascii="Times New Roman" w:hAnsi="Times New Roman" w:cs="Times New Roman"/>
                <w:color w:val="000000" w:themeColor="text1"/>
                <w:kern w:val="2"/>
                <w14:textFill>
                  <w14:solidFill>
                    <w14:schemeClr w14:val="tx1"/>
                  </w14:solidFill>
                </w14:textFill>
              </w:rPr>
              <w:t>349</w:t>
            </w:r>
            <w:r>
              <w:rPr>
                <w:rFonts w:ascii="Times New Roman" w:hAnsi="Times New Roman" w:cs="Times New Roman"/>
                <w:color w:val="000000" w:themeColor="text1"/>
                <w:kern w:val="2"/>
                <w14:textFill>
                  <w14:solidFill>
                    <w14:schemeClr w14:val="tx1"/>
                  </w14:solidFill>
                </w14:textFill>
              </w:rPr>
              <w:t>-</w:t>
            </w:r>
            <w:r>
              <w:rPr>
                <w:rFonts w:hint="eastAsia" w:ascii="Times New Roman" w:hAnsi="Times New Roman" w:cs="Times New Roman"/>
                <w:color w:val="000000" w:themeColor="text1"/>
                <w:kern w:val="2"/>
                <w14:textFill>
                  <w14:solidFill>
                    <w14:schemeClr w14:val="tx1"/>
                  </w14:solidFill>
                </w14:textFill>
              </w:rPr>
              <w:t>34），收集后交由有资质的危险废物处理单位处理。</w:t>
            </w:r>
          </w:p>
          <w:p w14:paraId="562AD5DF">
            <w:pPr>
              <w:tabs>
                <w:tab w:val="left" w:pos="2040"/>
                <w:tab w:val="left" w:pos="3435"/>
                <w:tab w:val="left" w:pos="4830"/>
              </w:tabs>
              <w:spacing w:line="360" w:lineRule="auto"/>
              <w:ind w:firstLine="480" w:firstLineChars="200"/>
              <w:rPr>
                <w:rFonts w:ascii="Times New Roman" w:hAnsi="Times New Roman" w:cs="Times New Roman"/>
                <w:color w:val="000000" w:themeColor="text1"/>
                <w:kern w:val="2"/>
                <w14:textFill>
                  <w14:solidFill>
                    <w14:schemeClr w14:val="tx1"/>
                  </w14:solidFill>
                </w14:textFill>
              </w:rPr>
            </w:pPr>
            <w:r>
              <w:rPr>
                <w:rFonts w:hint="eastAsia" w:ascii="Times New Roman" w:hAnsi="Times New Roman" w:cs="Times New Roman"/>
                <w:color w:val="000000" w:themeColor="text1"/>
                <w:kern w:val="2"/>
                <w14:textFill>
                  <w14:solidFill>
                    <w14:schemeClr w14:val="tx1"/>
                  </w14:solidFill>
                </w14:textFill>
              </w:rPr>
              <w:t>（3）废碱</w:t>
            </w:r>
          </w:p>
          <w:p w14:paraId="49475E6C">
            <w:pPr>
              <w:tabs>
                <w:tab w:val="left" w:pos="2040"/>
                <w:tab w:val="left" w:pos="3435"/>
                <w:tab w:val="left" w:pos="4830"/>
              </w:tabs>
              <w:spacing w:line="360" w:lineRule="auto"/>
              <w:ind w:firstLine="480" w:firstLineChars="200"/>
              <w:rPr>
                <w:rFonts w:ascii="Times New Roman" w:hAnsi="Times New Roman" w:cs="Times New Roman"/>
                <w:color w:val="000000" w:themeColor="text1"/>
                <w:kern w:val="2"/>
                <w14:textFill>
                  <w14:solidFill>
                    <w14:schemeClr w14:val="tx1"/>
                  </w14:solidFill>
                </w14:textFill>
              </w:rPr>
            </w:pPr>
            <w:r>
              <w:rPr>
                <w:rFonts w:hint="eastAsia" w:ascii="Times New Roman" w:hAnsi="Times New Roman" w:cs="Times New Roman"/>
                <w:color w:val="000000" w:themeColor="text1"/>
                <w:kern w:val="2"/>
                <w14:textFill>
                  <w14:solidFill>
                    <w14:schemeClr w14:val="tx1"/>
                  </w14:solidFill>
                </w14:textFill>
              </w:rPr>
              <w:t>项目液碱在储罐储存输送过程中，为保证储罐储存的液碱的质量，需要定期将储罐底部残留的少量液碱清出，过程中会产生少量的废碱，根据建设单位的生产经验，废碱的产生量约为0.5t/a。废酸属于</w:t>
            </w:r>
            <w:r>
              <w:rPr>
                <w:rFonts w:ascii="Times New Roman" w:hAnsi="Times New Roman" w:cs="Times New Roman"/>
                <w:color w:val="000000" w:themeColor="text1"/>
                <w:kern w:val="2"/>
                <w14:textFill>
                  <w14:solidFill>
                    <w14:schemeClr w14:val="tx1"/>
                  </w14:solidFill>
                </w14:textFill>
              </w:rPr>
              <w:t>《国家危险废物名录》（202</w:t>
            </w:r>
            <w:r>
              <w:rPr>
                <w:rFonts w:hint="eastAsia" w:ascii="Times New Roman" w:hAnsi="Times New Roman" w:cs="Times New Roman"/>
                <w:color w:val="000000" w:themeColor="text1"/>
                <w:kern w:val="2"/>
                <w14:textFill>
                  <w14:solidFill>
                    <w14:schemeClr w14:val="tx1"/>
                  </w14:solidFill>
                </w14:textFill>
              </w:rPr>
              <w:t>5</w:t>
            </w:r>
            <w:r>
              <w:rPr>
                <w:rFonts w:ascii="Times New Roman" w:hAnsi="Times New Roman" w:cs="Times New Roman"/>
                <w:color w:val="000000" w:themeColor="text1"/>
                <w:kern w:val="2"/>
                <w14:textFill>
                  <w14:solidFill>
                    <w14:schemeClr w14:val="tx1"/>
                  </w14:solidFill>
                </w14:textFill>
              </w:rPr>
              <w:t>年版）中</w:t>
            </w:r>
            <w:r>
              <w:rPr>
                <w:rFonts w:hint="eastAsia" w:ascii="Times New Roman" w:hAnsi="Times New Roman" w:cs="Times New Roman"/>
                <w:color w:val="000000" w:themeColor="text1"/>
                <w:kern w:val="2"/>
                <w14:textFill>
                  <w14:solidFill>
                    <w14:schemeClr w14:val="tx1"/>
                  </w14:solidFill>
                </w14:textFill>
              </w:rPr>
              <w:t>HW35废碱（废物代码：</w:t>
            </w:r>
            <w:r>
              <w:rPr>
                <w:rFonts w:ascii="Times New Roman" w:hAnsi="Times New Roman" w:cs="Times New Roman"/>
                <w:color w:val="000000" w:themeColor="text1"/>
                <w:kern w:val="2"/>
                <w14:textFill>
                  <w14:solidFill>
                    <w14:schemeClr w14:val="tx1"/>
                  </w14:solidFill>
                </w14:textFill>
              </w:rPr>
              <w:t>900-</w:t>
            </w:r>
            <w:r>
              <w:rPr>
                <w:rFonts w:hint="eastAsia" w:ascii="Times New Roman" w:hAnsi="Times New Roman" w:cs="Times New Roman"/>
                <w:color w:val="000000" w:themeColor="text1"/>
                <w:kern w:val="2"/>
                <w14:textFill>
                  <w14:solidFill>
                    <w14:schemeClr w14:val="tx1"/>
                  </w14:solidFill>
                </w14:textFill>
              </w:rPr>
              <w:t>399</w:t>
            </w:r>
            <w:r>
              <w:rPr>
                <w:rFonts w:ascii="Times New Roman" w:hAnsi="Times New Roman" w:cs="Times New Roman"/>
                <w:color w:val="000000" w:themeColor="text1"/>
                <w:kern w:val="2"/>
                <w14:textFill>
                  <w14:solidFill>
                    <w14:schemeClr w14:val="tx1"/>
                  </w14:solidFill>
                </w14:textFill>
              </w:rPr>
              <w:t>-</w:t>
            </w:r>
            <w:r>
              <w:rPr>
                <w:rFonts w:hint="eastAsia" w:ascii="Times New Roman" w:hAnsi="Times New Roman" w:cs="Times New Roman"/>
                <w:color w:val="000000" w:themeColor="text1"/>
                <w:kern w:val="2"/>
                <w14:textFill>
                  <w14:solidFill>
                    <w14:schemeClr w14:val="tx1"/>
                  </w14:solidFill>
                </w14:textFill>
              </w:rPr>
              <w:t>35），收集后交由有资质的危险废物处理单位处理。</w:t>
            </w:r>
          </w:p>
          <w:p w14:paraId="4A7F2E94">
            <w:pPr>
              <w:numPr>
                <w:ilvl w:val="0"/>
                <w:numId w:val="22"/>
              </w:numPr>
              <w:tabs>
                <w:tab w:val="left" w:pos="2040"/>
                <w:tab w:val="left" w:pos="3435"/>
                <w:tab w:val="left" w:pos="4830"/>
              </w:tabs>
              <w:spacing w:line="360" w:lineRule="auto"/>
              <w:ind w:firstLine="480" w:firstLineChars="200"/>
              <w:rPr>
                <w:rFonts w:ascii="Times New Roman" w:hAnsi="Times New Roman" w:cs="Times New Roman"/>
                <w:color w:val="000000" w:themeColor="text1"/>
                <w:kern w:val="2"/>
                <w14:textFill>
                  <w14:solidFill>
                    <w14:schemeClr w14:val="tx1"/>
                  </w14:solidFill>
                </w14:textFill>
              </w:rPr>
            </w:pPr>
            <w:r>
              <w:rPr>
                <w:rFonts w:hint="eastAsia" w:ascii="Times New Roman" w:hAnsi="Times New Roman" w:cs="Times New Roman"/>
                <w:color w:val="000000" w:themeColor="text1"/>
                <w:kern w:val="2"/>
                <w14:textFill>
                  <w14:solidFill>
                    <w14:schemeClr w14:val="tx1"/>
                  </w14:solidFill>
                </w14:textFill>
              </w:rPr>
              <w:t>废活性炭</w:t>
            </w:r>
          </w:p>
          <w:p w14:paraId="676376D1">
            <w:pPr>
              <w:tabs>
                <w:tab w:val="left" w:pos="2040"/>
                <w:tab w:val="left" w:pos="3435"/>
                <w:tab w:val="left" w:pos="4830"/>
              </w:tabs>
              <w:spacing w:line="360" w:lineRule="auto"/>
              <w:ind w:firstLine="480" w:firstLineChars="200"/>
              <w:rPr>
                <w:rFonts w:ascii="Times New Roman" w:hAnsi="Times New Roman" w:cs="Times New Roman"/>
                <w:color w:val="000000" w:themeColor="text1"/>
                <w:kern w:val="2"/>
                <w14:textFill>
                  <w14:solidFill>
                    <w14:schemeClr w14:val="tx1"/>
                  </w14:solidFill>
                </w14:textFill>
              </w:rPr>
            </w:pPr>
            <w:r>
              <w:rPr>
                <w:rFonts w:ascii="Times New Roman" w:hAnsi="Times New Roman" w:cs="Times New Roman"/>
                <w:color w:val="000000" w:themeColor="text1"/>
                <w:kern w:val="2"/>
                <w14:textFill>
                  <w14:solidFill>
                    <w14:schemeClr w14:val="tx1"/>
                  </w14:solidFill>
                </w14:textFill>
              </w:rPr>
              <w:t>项目运营过程采用活性炭对苯酚储罐呼吸废气进行吸收。</w:t>
            </w:r>
            <w:r>
              <w:rPr>
                <w:rFonts w:ascii="Times New Roman" w:hAnsi="Times New Roman" w:cs="Times New Roman"/>
                <w:color w:val="000000" w:themeColor="text1"/>
                <w14:textFill>
                  <w14:solidFill>
                    <w14:schemeClr w14:val="tx1"/>
                  </w14:solidFill>
                </w14:textFill>
              </w:rPr>
              <w:t>本项目苯酚废气活性炭吸附去除量为</w:t>
            </w:r>
            <w:r>
              <w:rPr>
                <w:rFonts w:hint="eastAsia" w:ascii="Times New Roman" w:hAnsi="Times New Roman" w:cs="Times New Roman"/>
                <w:color w:val="000000" w:themeColor="text1"/>
                <w14:textFill>
                  <w14:solidFill>
                    <w14:schemeClr w14:val="tx1"/>
                  </w14:solidFill>
                </w14:textFill>
              </w:rPr>
              <w:t>0.4356</w:t>
            </w:r>
            <w:r>
              <w:rPr>
                <w:rFonts w:ascii="Times New Roman" w:hAnsi="Times New Roman" w:cs="Times New Roman"/>
                <w:color w:val="000000" w:themeColor="text1"/>
                <w14:textFill>
                  <w14:solidFill>
                    <w14:schemeClr w14:val="tx1"/>
                  </w14:solidFill>
                </w14:textFill>
              </w:rPr>
              <w:t>t/a，根据行业经验，活性炭吸附容量为0.3kg/kg-活性炭，则本项目需活性炭的理论量为</w:t>
            </w:r>
            <w:r>
              <w:rPr>
                <w:rFonts w:hint="eastAsia" w:ascii="Times New Roman" w:hAnsi="Times New Roman" w:cs="Times New Roman"/>
                <w:color w:val="000000" w:themeColor="text1"/>
                <w14:textFill>
                  <w14:solidFill>
                    <w14:schemeClr w14:val="tx1"/>
                  </w14:solidFill>
                </w14:textFill>
              </w:rPr>
              <w:t>1.45</w:t>
            </w:r>
            <w:r>
              <w:rPr>
                <w:rFonts w:ascii="Times New Roman" w:hAnsi="Times New Roman" w:cs="Times New Roman"/>
                <w:color w:val="000000" w:themeColor="text1"/>
                <w14:textFill>
                  <w14:solidFill>
                    <w14:schemeClr w14:val="tx1"/>
                  </w14:solidFill>
                </w14:textFill>
              </w:rPr>
              <w:t>t/a，更换系数按 1.2计，则项目废活性炭产生量约为</w:t>
            </w:r>
            <w:r>
              <w:rPr>
                <w:rFonts w:hint="eastAsia" w:ascii="Times New Roman" w:hAnsi="Times New Roman" w:cs="Times New Roman"/>
                <w:color w:val="000000" w:themeColor="text1"/>
                <w14:textFill>
                  <w14:solidFill>
                    <w14:schemeClr w14:val="tx1"/>
                  </w14:solidFill>
                </w14:textFill>
              </w:rPr>
              <w:t>1.74</w:t>
            </w:r>
            <w:r>
              <w:rPr>
                <w:rFonts w:ascii="Times New Roman" w:hAnsi="Times New Roman" w:cs="Times New Roman"/>
                <w:color w:val="000000" w:themeColor="text1"/>
                <w14:textFill>
                  <w14:solidFill>
                    <w14:schemeClr w14:val="tx1"/>
                  </w14:solidFill>
                </w14:textFill>
              </w:rPr>
              <w:t>t/a。更换后的废活性炭及时由资质单位清运处置</w:t>
            </w:r>
            <w:r>
              <w:rPr>
                <w:rFonts w:hint="eastAsia" w:ascii="Times New Roman" w:hAnsi="Times New Roman" w:cs="Times New Roman"/>
                <w:color w:val="000000" w:themeColor="text1"/>
                <w14:textFill>
                  <w14:solidFill>
                    <w14:schemeClr w14:val="tx1"/>
                  </w14:solidFill>
                </w14:textFill>
              </w:rPr>
              <w:t>，不在厂区贮存</w:t>
            </w:r>
            <w:r>
              <w:rPr>
                <w:rFonts w:ascii="Times New Roman" w:hAnsi="Times New Roman" w:cs="Times New Roman"/>
                <w:color w:val="000000" w:themeColor="text1"/>
                <w14:textFill>
                  <w14:solidFill>
                    <w14:schemeClr w14:val="tx1"/>
                  </w14:solidFill>
                </w14:textFill>
              </w:rPr>
              <w:t>。</w:t>
            </w:r>
          </w:p>
          <w:p w14:paraId="2D668C4F">
            <w:pPr>
              <w:spacing w:line="360" w:lineRule="auto"/>
              <w:ind w:firstLine="480" w:firstLineChars="200"/>
              <w:rPr>
                <w:rFonts w:ascii="Times New Roman" w:hAnsi="Times New Roman" w:cs="Times New Roman"/>
                <w:snapToGrid w:val="0"/>
                <w:color w:val="000000" w:themeColor="text1"/>
                <w:lang w:val="zh-CN" w:bidi="zh-CN"/>
                <w14:textFill>
                  <w14:solidFill>
                    <w14:schemeClr w14:val="tx1"/>
                  </w14:solidFill>
                </w14:textFill>
              </w:rPr>
            </w:pPr>
            <w:r>
              <w:rPr>
                <w:rFonts w:ascii="Times New Roman" w:hAnsi="Times New Roman" w:cs="Times New Roman"/>
                <w:snapToGrid w:val="0"/>
                <w:color w:val="000000" w:themeColor="text1"/>
                <w:lang w:val="zh-CN" w:bidi="zh-CN"/>
                <w14:textFill>
                  <w14:solidFill>
                    <w14:schemeClr w14:val="tx1"/>
                  </w14:solidFill>
                </w14:textFill>
              </w:rPr>
              <w:t>（</w:t>
            </w:r>
            <w:r>
              <w:rPr>
                <w:rFonts w:hint="eastAsia" w:ascii="Times New Roman" w:hAnsi="Times New Roman" w:cs="Times New Roman"/>
                <w:snapToGrid w:val="0"/>
                <w:color w:val="000000" w:themeColor="text1"/>
                <w:lang w:bidi="zh-CN"/>
                <w14:textFill>
                  <w14:solidFill>
                    <w14:schemeClr w14:val="tx1"/>
                  </w14:solidFill>
                </w14:textFill>
              </w:rPr>
              <w:t>5</w:t>
            </w:r>
            <w:r>
              <w:rPr>
                <w:rFonts w:ascii="Times New Roman" w:hAnsi="Times New Roman" w:cs="Times New Roman"/>
                <w:snapToGrid w:val="0"/>
                <w:color w:val="000000" w:themeColor="text1"/>
                <w:lang w:val="zh-CN" w:bidi="zh-CN"/>
                <w14:textFill>
                  <w14:solidFill>
                    <w14:schemeClr w14:val="tx1"/>
                  </w14:solidFill>
                </w14:textFill>
              </w:rPr>
              <w:t>）生活垃圾</w:t>
            </w:r>
          </w:p>
          <w:p w14:paraId="7D2DC204">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钦州港金谷港区金鼓江作业区14号泊位码头（一期工程）定员24人。本项目依托原有员工，不新增劳动定员。</w:t>
            </w:r>
            <w:r>
              <w:rPr>
                <w:rFonts w:ascii="Times New Roman" w:hAnsi="Times New Roman" w:cs="Times New Roman"/>
                <w:color w:val="000000" w:themeColor="text1"/>
                <w14:textFill>
                  <w14:solidFill>
                    <w14:schemeClr w14:val="tx1"/>
                  </w14:solidFill>
                </w14:textFill>
              </w:rPr>
              <w:t>员工在企业现有食堂就餐，不在厂内住宿。员工生活垃圾产生量按1.5kg/人·天计算，项目年工作3</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0天，则员工生活垃圾产生量为</w:t>
            </w:r>
            <w:r>
              <w:rPr>
                <w:rFonts w:hint="eastAsia" w:ascii="Times New Roman" w:hAnsi="Times New Roman" w:cs="Times New Roman"/>
                <w:color w:val="000000" w:themeColor="text1"/>
                <w14:textFill>
                  <w14:solidFill>
                    <w14:schemeClr w14:val="tx1"/>
                  </w14:solidFill>
                </w14:textFill>
              </w:rPr>
              <w:t>36.0</w:t>
            </w:r>
            <w:r>
              <w:rPr>
                <w:rFonts w:ascii="Times New Roman" w:hAnsi="Times New Roman" w:cs="Times New Roman"/>
                <w:color w:val="000000" w:themeColor="text1"/>
                <w14:textFill>
                  <w14:solidFill>
                    <w14:schemeClr w14:val="tx1"/>
                  </w14:solidFill>
                </w14:textFill>
              </w:rPr>
              <w:t>kg/d，</w:t>
            </w:r>
            <w:r>
              <w:rPr>
                <w:rFonts w:hint="eastAsia" w:ascii="Times New Roman" w:hAnsi="Times New Roman" w:cs="Times New Roman"/>
                <w:color w:val="000000" w:themeColor="text1"/>
                <w14:textFill>
                  <w14:solidFill>
                    <w14:schemeClr w14:val="tx1"/>
                  </w14:solidFill>
                </w14:textFill>
              </w:rPr>
              <w:t>11.88</w:t>
            </w:r>
            <w:r>
              <w:rPr>
                <w:rFonts w:ascii="Times New Roman" w:hAnsi="Times New Roman" w:cs="Times New Roman"/>
                <w:color w:val="000000" w:themeColor="text1"/>
                <w14:textFill>
                  <w14:solidFill>
                    <w14:schemeClr w14:val="tx1"/>
                  </w14:solidFill>
                </w14:textFill>
              </w:rPr>
              <w:t>t/a，收集后交由环卫部门清运处理。</w:t>
            </w:r>
            <w:r>
              <w:rPr>
                <w:rFonts w:hint="eastAsia" w:ascii="Times New Roman" w:hAnsi="Times New Roman" w:cs="Times New Roman"/>
                <w:color w:val="000000" w:themeColor="text1"/>
                <w14:textFill>
                  <w14:solidFill>
                    <w14:schemeClr w14:val="tx1"/>
                  </w14:solidFill>
                </w14:textFill>
              </w:rPr>
              <w:t>此部分生活垃圾已计入钦州港金谷港区金鼓江作业区14号泊位码头（一期工程）中，本评价不再进行统计分析。</w:t>
            </w:r>
          </w:p>
          <w:p w14:paraId="173D6A9E">
            <w:pPr>
              <w:autoSpaceDE w:val="0"/>
              <w:autoSpaceDN w:val="0"/>
              <w:spacing w:line="360" w:lineRule="auto"/>
              <w:ind w:firstLine="480" w:firstLineChars="200"/>
              <w:rPr>
                <w:rFonts w:ascii="Times New Roman" w:hAnsi="Times New Roman" w:cs="Times New Roman"/>
                <w:snapToGrid w:val="0"/>
                <w:color w:val="000000" w:themeColor="text1"/>
                <w:lang w:val="zh-CN" w:bidi="zh-CN"/>
                <w14:textFill>
                  <w14:solidFill>
                    <w14:schemeClr w14:val="tx1"/>
                  </w14:solidFill>
                </w14:textFill>
              </w:rPr>
            </w:pPr>
            <w:r>
              <w:rPr>
                <w:rFonts w:ascii="Times New Roman" w:hAnsi="Times New Roman" w:cs="Times New Roman"/>
                <w:snapToGrid w:val="0"/>
                <w:color w:val="000000" w:themeColor="text1"/>
                <w:lang w:val="zh-CN" w:bidi="zh-CN"/>
                <w14:textFill>
                  <w14:solidFill>
                    <w14:schemeClr w14:val="tx1"/>
                  </w14:solidFill>
                </w14:textFill>
              </w:rPr>
              <w:t>综上，本项目固体废物处理处置产排情况详见下表。</w:t>
            </w:r>
          </w:p>
          <w:p w14:paraId="3FEF3445">
            <w:pPr>
              <w:pStyle w:val="81"/>
              <w:widowControl w:val="0"/>
              <w:spacing w:before="0" w:beforeAutospacing="0" w:after="0" w:afterAutospacing="0"/>
              <w:ind w:firstLine="422"/>
              <w:jc w:val="center"/>
              <w:rPr>
                <w:rFonts w:ascii="Times New Roman" w:hAnsi="Times New Roman" w:cs="Times New Roman"/>
                <w:b/>
                <w:color w:val="000000" w:themeColor="text1"/>
                <w:kern w:val="2"/>
                <w:sz w:val="21"/>
                <w:szCs w:val="21"/>
                <w14:textFill>
                  <w14:solidFill>
                    <w14:schemeClr w14:val="tx1"/>
                  </w14:solidFill>
                </w14:textFill>
              </w:rPr>
            </w:pPr>
            <w:r>
              <w:rPr>
                <w:rFonts w:ascii="Times New Roman" w:hAnsi="Times New Roman" w:cs="Times New Roman"/>
                <w:b/>
                <w:color w:val="000000" w:themeColor="text1"/>
                <w:kern w:val="2"/>
                <w:szCs w:val="21"/>
                <w14:textFill>
                  <w14:solidFill>
                    <w14:schemeClr w14:val="tx1"/>
                  </w14:solidFill>
                </w14:textFill>
              </w:rPr>
              <w:t>表4-</w:t>
            </w:r>
            <w:r>
              <w:rPr>
                <w:rFonts w:hint="eastAsia" w:ascii="Times New Roman" w:hAnsi="Times New Roman" w:cs="Times New Roman"/>
                <w:b/>
                <w:color w:val="000000" w:themeColor="text1"/>
                <w:kern w:val="2"/>
                <w:szCs w:val="21"/>
                <w14:textFill>
                  <w14:solidFill>
                    <w14:schemeClr w14:val="tx1"/>
                  </w14:solidFill>
                </w14:textFill>
              </w:rPr>
              <w:t xml:space="preserve">20 </w:t>
            </w:r>
            <w:r>
              <w:rPr>
                <w:rFonts w:ascii="Times New Roman" w:hAnsi="Times New Roman" w:cs="Times New Roman"/>
                <w:b/>
                <w:color w:val="000000" w:themeColor="text1"/>
                <w:kern w:val="2"/>
                <w:szCs w:val="21"/>
                <w14:textFill>
                  <w14:solidFill>
                    <w14:schemeClr w14:val="tx1"/>
                  </w14:solidFill>
                </w14:textFill>
              </w:rPr>
              <w:t>项目固体废弃物排放量汇总表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 w:type="dxa"/>
                <w:bottom w:w="0" w:type="dxa"/>
                <w:right w:w="6" w:type="dxa"/>
              </w:tblCellMar>
            </w:tblPr>
            <w:tblGrid>
              <w:gridCol w:w="375"/>
              <w:gridCol w:w="1040"/>
              <w:gridCol w:w="930"/>
              <w:gridCol w:w="1125"/>
              <w:gridCol w:w="1186"/>
              <w:gridCol w:w="899"/>
              <w:gridCol w:w="842"/>
              <w:gridCol w:w="988"/>
              <w:gridCol w:w="870"/>
              <w:gridCol w:w="1044"/>
            </w:tblGrid>
            <w:tr w14:paraId="4DA7A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03" w:hRule="atLeast"/>
              </w:trPr>
              <w:tc>
                <w:tcPr>
                  <w:tcW w:w="375" w:type="dxa"/>
                  <w:vMerge w:val="restart"/>
                  <w:vAlign w:val="center"/>
                </w:tcPr>
                <w:p w14:paraId="1B64B51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040" w:type="dxa"/>
                  <w:vMerge w:val="restart"/>
                  <w:vAlign w:val="center"/>
                </w:tcPr>
                <w:p w14:paraId="353303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装置/工序</w:t>
                  </w:r>
                </w:p>
              </w:tc>
              <w:tc>
                <w:tcPr>
                  <w:tcW w:w="930" w:type="dxa"/>
                  <w:vMerge w:val="restart"/>
                  <w:vAlign w:val="center"/>
                </w:tcPr>
                <w:p w14:paraId="1709567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废物名称</w:t>
                  </w:r>
                </w:p>
              </w:tc>
              <w:tc>
                <w:tcPr>
                  <w:tcW w:w="1125" w:type="dxa"/>
                  <w:vMerge w:val="restart"/>
                  <w:vAlign w:val="center"/>
                </w:tcPr>
                <w:p w14:paraId="0865B5B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属性</w:t>
                  </w:r>
                </w:p>
              </w:tc>
              <w:tc>
                <w:tcPr>
                  <w:tcW w:w="2927" w:type="dxa"/>
                  <w:gridSpan w:val="3"/>
                  <w:vAlign w:val="center"/>
                </w:tcPr>
                <w:p w14:paraId="645AE1C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产生量</w:t>
                  </w:r>
                </w:p>
              </w:tc>
              <w:tc>
                <w:tcPr>
                  <w:tcW w:w="1858" w:type="dxa"/>
                  <w:gridSpan w:val="2"/>
                  <w:vAlign w:val="center"/>
                </w:tcPr>
                <w:p w14:paraId="71728FA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处置措施</w:t>
                  </w:r>
                </w:p>
              </w:tc>
              <w:tc>
                <w:tcPr>
                  <w:tcW w:w="1044" w:type="dxa"/>
                  <w:vMerge w:val="restart"/>
                  <w:vAlign w:val="center"/>
                </w:tcPr>
                <w:p w14:paraId="4AC7C27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处置去向</w:t>
                  </w:r>
                </w:p>
              </w:tc>
            </w:tr>
            <w:tr w14:paraId="6E287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03" w:hRule="atLeast"/>
              </w:trPr>
              <w:tc>
                <w:tcPr>
                  <w:tcW w:w="375" w:type="dxa"/>
                  <w:vMerge w:val="continue"/>
                  <w:vAlign w:val="center"/>
                </w:tcPr>
                <w:p w14:paraId="6553ABE4">
                  <w:pPr>
                    <w:jc w:val="center"/>
                    <w:rPr>
                      <w:rFonts w:ascii="Times New Roman" w:hAnsi="Times New Roman" w:cs="Times New Roman"/>
                      <w:color w:val="000000" w:themeColor="text1"/>
                      <w:sz w:val="21"/>
                      <w:szCs w:val="21"/>
                      <w14:textFill>
                        <w14:solidFill>
                          <w14:schemeClr w14:val="tx1"/>
                        </w14:solidFill>
                      </w14:textFill>
                    </w:rPr>
                  </w:pPr>
                </w:p>
              </w:tc>
              <w:tc>
                <w:tcPr>
                  <w:tcW w:w="1040" w:type="dxa"/>
                  <w:vMerge w:val="continue"/>
                  <w:vAlign w:val="center"/>
                </w:tcPr>
                <w:p w14:paraId="262ACD60">
                  <w:pPr>
                    <w:jc w:val="center"/>
                    <w:rPr>
                      <w:rFonts w:ascii="Times New Roman" w:hAnsi="Times New Roman" w:cs="Times New Roman"/>
                      <w:color w:val="000000" w:themeColor="text1"/>
                      <w:sz w:val="21"/>
                      <w:szCs w:val="21"/>
                      <w14:textFill>
                        <w14:solidFill>
                          <w14:schemeClr w14:val="tx1"/>
                        </w14:solidFill>
                      </w14:textFill>
                    </w:rPr>
                  </w:pPr>
                </w:p>
              </w:tc>
              <w:tc>
                <w:tcPr>
                  <w:tcW w:w="930" w:type="dxa"/>
                  <w:vMerge w:val="continue"/>
                  <w:vAlign w:val="center"/>
                </w:tcPr>
                <w:p w14:paraId="7BC00909">
                  <w:pPr>
                    <w:jc w:val="center"/>
                    <w:rPr>
                      <w:rFonts w:ascii="Times New Roman" w:hAnsi="Times New Roman" w:cs="Times New Roman"/>
                      <w:color w:val="000000" w:themeColor="text1"/>
                      <w:sz w:val="21"/>
                      <w:szCs w:val="21"/>
                      <w14:textFill>
                        <w14:solidFill>
                          <w14:schemeClr w14:val="tx1"/>
                        </w14:solidFill>
                      </w14:textFill>
                    </w:rPr>
                  </w:pPr>
                </w:p>
              </w:tc>
              <w:tc>
                <w:tcPr>
                  <w:tcW w:w="1125" w:type="dxa"/>
                  <w:vMerge w:val="continue"/>
                  <w:vAlign w:val="center"/>
                </w:tcPr>
                <w:p w14:paraId="69A8C831">
                  <w:pPr>
                    <w:jc w:val="center"/>
                    <w:rPr>
                      <w:rFonts w:ascii="Times New Roman" w:hAnsi="Times New Roman" w:cs="Times New Roman"/>
                      <w:color w:val="000000" w:themeColor="text1"/>
                      <w:sz w:val="21"/>
                      <w:szCs w:val="21"/>
                      <w14:textFill>
                        <w14:solidFill>
                          <w14:schemeClr w14:val="tx1"/>
                        </w14:solidFill>
                      </w14:textFill>
                    </w:rPr>
                  </w:pPr>
                </w:p>
              </w:tc>
              <w:tc>
                <w:tcPr>
                  <w:tcW w:w="1186" w:type="dxa"/>
                  <w:vAlign w:val="center"/>
                </w:tcPr>
                <w:p w14:paraId="40FBF77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产生时期</w:t>
                  </w:r>
                </w:p>
              </w:tc>
              <w:tc>
                <w:tcPr>
                  <w:tcW w:w="899" w:type="dxa"/>
                  <w:vAlign w:val="center"/>
                </w:tcPr>
                <w:p w14:paraId="2E9C95D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核算方法</w:t>
                  </w:r>
                </w:p>
              </w:tc>
              <w:tc>
                <w:tcPr>
                  <w:tcW w:w="842" w:type="dxa"/>
                  <w:vAlign w:val="center"/>
                </w:tcPr>
                <w:p w14:paraId="26AE4BB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产生量(t/a)</w:t>
                  </w:r>
                </w:p>
              </w:tc>
              <w:tc>
                <w:tcPr>
                  <w:tcW w:w="988" w:type="dxa"/>
                  <w:vAlign w:val="center"/>
                </w:tcPr>
                <w:p w14:paraId="716F6AE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工艺</w:t>
                  </w:r>
                </w:p>
              </w:tc>
              <w:tc>
                <w:tcPr>
                  <w:tcW w:w="870" w:type="dxa"/>
                  <w:vAlign w:val="center"/>
                </w:tcPr>
                <w:p w14:paraId="726E2A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处置量</w:t>
                  </w:r>
                </w:p>
                <w:p w14:paraId="48AD82D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(t/a)</w:t>
                  </w:r>
                </w:p>
              </w:tc>
              <w:tc>
                <w:tcPr>
                  <w:tcW w:w="1044" w:type="dxa"/>
                  <w:vMerge w:val="continue"/>
                  <w:vAlign w:val="center"/>
                </w:tcPr>
                <w:p w14:paraId="199DB952">
                  <w:pPr>
                    <w:jc w:val="center"/>
                    <w:rPr>
                      <w:rFonts w:ascii="Times New Roman" w:hAnsi="Times New Roman" w:cs="Times New Roman"/>
                      <w:color w:val="000000" w:themeColor="text1"/>
                      <w:sz w:val="21"/>
                      <w:szCs w:val="21"/>
                      <w14:textFill>
                        <w14:solidFill>
                          <w14:schemeClr w14:val="tx1"/>
                        </w14:solidFill>
                      </w14:textFill>
                    </w:rPr>
                  </w:pPr>
                </w:p>
              </w:tc>
            </w:tr>
            <w:tr w14:paraId="63DAA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trPr>
              <w:tc>
                <w:tcPr>
                  <w:tcW w:w="375" w:type="dxa"/>
                  <w:vAlign w:val="center"/>
                </w:tcPr>
                <w:p w14:paraId="3CD9E3C7">
                  <w:pPr>
                    <w:pStyle w:val="200"/>
                    <w:numPr>
                      <w:ilvl w:val="0"/>
                      <w:numId w:val="24"/>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040" w:type="dxa"/>
                  <w:vAlign w:val="center"/>
                </w:tcPr>
                <w:p w14:paraId="3113C09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防腐防锈等</w:t>
                  </w:r>
                </w:p>
              </w:tc>
              <w:tc>
                <w:tcPr>
                  <w:tcW w:w="930" w:type="dxa"/>
                  <w:vAlign w:val="center"/>
                </w:tcPr>
                <w:p w14:paraId="4CF0D01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废油漆</w:t>
                  </w:r>
                </w:p>
              </w:tc>
              <w:tc>
                <w:tcPr>
                  <w:tcW w:w="1125" w:type="dxa"/>
                  <w:vAlign w:val="center"/>
                </w:tcPr>
                <w:p w14:paraId="59ADA43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危险废物</w:t>
                  </w:r>
                </w:p>
              </w:tc>
              <w:tc>
                <w:tcPr>
                  <w:tcW w:w="1186" w:type="dxa"/>
                  <w:vAlign w:val="center"/>
                </w:tcPr>
                <w:p w14:paraId="244FA09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施工期</w:t>
                  </w:r>
                </w:p>
              </w:tc>
              <w:tc>
                <w:tcPr>
                  <w:tcW w:w="899" w:type="dxa"/>
                  <w:vAlign w:val="center"/>
                </w:tcPr>
                <w:p w14:paraId="383C201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842" w:type="dxa"/>
                  <w:vAlign w:val="center"/>
                </w:tcPr>
                <w:p w14:paraId="3C3470B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c>
                <w:tcPr>
                  <w:tcW w:w="988" w:type="dxa"/>
                  <w:vAlign w:val="center"/>
                </w:tcPr>
                <w:p w14:paraId="7C18BF5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委托处置</w:t>
                  </w:r>
                </w:p>
              </w:tc>
              <w:tc>
                <w:tcPr>
                  <w:tcW w:w="870" w:type="dxa"/>
                  <w:vAlign w:val="center"/>
                </w:tcPr>
                <w:p w14:paraId="29F765C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c>
                <w:tcPr>
                  <w:tcW w:w="1044" w:type="dxa"/>
                  <w:vAlign w:val="center"/>
                </w:tcPr>
                <w:p w14:paraId="2C621E73">
                  <w:pPr>
                    <w:jc w:val="center"/>
                    <w:rPr>
                      <w:rFonts w:ascii="Times New Roman" w:hAnsi="Times New Roman" w:cs="Times New Roman"/>
                      <w:color w:val="000000" w:themeColor="text1"/>
                      <w:sz w:val="21"/>
                      <w:szCs w:val="21"/>
                      <w14:textFill>
                        <w14:solidFill>
                          <w14:schemeClr w14:val="tx1"/>
                        </w14:solidFill>
                      </w14:textFill>
                    </w:rPr>
                  </w:pPr>
                </w:p>
              </w:tc>
            </w:tr>
            <w:tr w14:paraId="30DCC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trPr>
              <w:tc>
                <w:tcPr>
                  <w:tcW w:w="375" w:type="dxa"/>
                  <w:vAlign w:val="center"/>
                </w:tcPr>
                <w:p w14:paraId="6F44CD6E">
                  <w:pPr>
                    <w:pStyle w:val="200"/>
                    <w:numPr>
                      <w:ilvl w:val="0"/>
                      <w:numId w:val="24"/>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040" w:type="dxa"/>
                  <w:vAlign w:val="center"/>
                </w:tcPr>
                <w:p w14:paraId="1721C59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工作过程</w:t>
                  </w:r>
                </w:p>
              </w:tc>
              <w:tc>
                <w:tcPr>
                  <w:tcW w:w="930" w:type="dxa"/>
                  <w:vAlign w:val="center"/>
                </w:tcPr>
                <w:p w14:paraId="3CCF1F2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废抹布等</w:t>
                  </w:r>
                </w:p>
              </w:tc>
              <w:tc>
                <w:tcPr>
                  <w:tcW w:w="1125" w:type="dxa"/>
                  <w:vAlign w:val="center"/>
                </w:tcPr>
                <w:p w14:paraId="5D98138A">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危险废物</w:t>
                  </w:r>
                </w:p>
              </w:tc>
              <w:tc>
                <w:tcPr>
                  <w:tcW w:w="1186" w:type="dxa"/>
                  <w:vAlign w:val="center"/>
                </w:tcPr>
                <w:p w14:paraId="142F635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运营期</w:t>
                  </w:r>
                </w:p>
              </w:tc>
              <w:tc>
                <w:tcPr>
                  <w:tcW w:w="899" w:type="dxa"/>
                  <w:vAlign w:val="center"/>
                </w:tcPr>
                <w:p w14:paraId="3D66F71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842" w:type="dxa"/>
                  <w:vAlign w:val="center"/>
                </w:tcPr>
                <w:p w14:paraId="5242706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w:t>
                  </w:r>
                </w:p>
              </w:tc>
              <w:tc>
                <w:tcPr>
                  <w:tcW w:w="988" w:type="dxa"/>
                  <w:vAlign w:val="center"/>
                </w:tcPr>
                <w:p w14:paraId="576ECCD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委托处置</w:t>
                  </w:r>
                </w:p>
              </w:tc>
              <w:tc>
                <w:tcPr>
                  <w:tcW w:w="870" w:type="dxa"/>
                  <w:vAlign w:val="center"/>
                </w:tcPr>
                <w:p w14:paraId="71F5DA4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w:t>
                  </w:r>
                </w:p>
              </w:tc>
              <w:tc>
                <w:tcPr>
                  <w:tcW w:w="1044" w:type="dxa"/>
                  <w:vMerge w:val="restart"/>
                  <w:vAlign w:val="center"/>
                </w:tcPr>
                <w:p w14:paraId="13A680F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交由有资质的危险废物处理单位处理</w:t>
                  </w:r>
                </w:p>
              </w:tc>
            </w:tr>
            <w:tr w14:paraId="41D84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trPr>
              <w:tc>
                <w:tcPr>
                  <w:tcW w:w="375" w:type="dxa"/>
                  <w:vAlign w:val="center"/>
                </w:tcPr>
                <w:p w14:paraId="314DE304">
                  <w:pPr>
                    <w:pStyle w:val="200"/>
                    <w:numPr>
                      <w:ilvl w:val="0"/>
                      <w:numId w:val="24"/>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040" w:type="dxa"/>
                  <w:vAlign w:val="center"/>
                </w:tcPr>
                <w:p w14:paraId="4C51EE0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定期清理</w:t>
                  </w:r>
                </w:p>
              </w:tc>
              <w:tc>
                <w:tcPr>
                  <w:tcW w:w="930" w:type="dxa"/>
                  <w:vAlign w:val="center"/>
                </w:tcPr>
                <w:p w14:paraId="4C5A0E6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废酸</w:t>
                  </w:r>
                </w:p>
              </w:tc>
              <w:tc>
                <w:tcPr>
                  <w:tcW w:w="1125" w:type="dxa"/>
                  <w:vAlign w:val="center"/>
                </w:tcPr>
                <w:p w14:paraId="06EBB1C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危险废物</w:t>
                  </w:r>
                </w:p>
              </w:tc>
              <w:tc>
                <w:tcPr>
                  <w:tcW w:w="1186" w:type="dxa"/>
                  <w:vAlign w:val="center"/>
                </w:tcPr>
                <w:p w14:paraId="4197651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运营期</w:t>
                  </w:r>
                </w:p>
              </w:tc>
              <w:tc>
                <w:tcPr>
                  <w:tcW w:w="899" w:type="dxa"/>
                  <w:vAlign w:val="center"/>
                </w:tcPr>
                <w:p w14:paraId="4C97707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842" w:type="dxa"/>
                  <w:vAlign w:val="center"/>
                </w:tcPr>
                <w:p w14:paraId="15F56F2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988" w:type="dxa"/>
                  <w:vAlign w:val="center"/>
                </w:tcPr>
                <w:p w14:paraId="03F4503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委托处置</w:t>
                  </w:r>
                </w:p>
              </w:tc>
              <w:tc>
                <w:tcPr>
                  <w:tcW w:w="870" w:type="dxa"/>
                  <w:vAlign w:val="center"/>
                </w:tcPr>
                <w:p w14:paraId="55A78AD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1044" w:type="dxa"/>
                  <w:vMerge w:val="continue"/>
                  <w:vAlign w:val="center"/>
                </w:tcPr>
                <w:p w14:paraId="3B98640C">
                  <w:pPr>
                    <w:jc w:val="center"/>
                    <w:rPr>
                      <w:rFonts w:ascii="Times New Roman" w:hAnsi="Times New Roman" w:cs="Times New Roman"/>
                      <w:color w:val="000000" w:themeColor="text1"/>
                      <w:sz w:val="21"/>
                      <w:szCs w:val="21"/>
                      <w14:textFill>
                        <w14:solidFill>
                          <w14:schemeClr w14:val="tx1"/>
                        </w14:solidFill>
                      </w14:textFill>
                    </w:rPr>
                  </w:pPr>
                </w:p>
              </w:tc>
            </w:tr>
            <w:tr w14:paraId="5D601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trPr>
              <w:tc>
                <w:tcPr>
                  <w:tcW w:w="375" w:type="dxa"/>
                  <w:vAlign w:val="center"/>
                </w:tcPr>
                <w:p w14:paraId="2F450CA1">
                  <w:pPr>
                    <w:pStyle w:val="200"/>
                    <w:numPr>
                      <w:ilvl w:val="0"/>
                      <w:numId w:val="24"/>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040" w:type="dxa"/>
                  <w:vAlign w:val="center"/>
                </w:tcPr>
                <w:p w14:paraId="7D1D2A3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定期清理</w:t>
                  </w:r>
                </w:p>
              </w:tc>
              <w:tc>
                <w:tcPr>
                  <w:tcW w:w="930" w:type="dxa"/>
                  <w:vAlign w:val="center"/>
                </w:tcPr>
                <w:p w14:paraId="50B505F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废碱</w:t>
                  </w:r>
                </w:p>
              </w:tc>
              <w:tc>
                <w:tcPr>
                  <w:tcW w:w="1125" w:type="dxa"/>
                  <w:vAlign w:val="center"/>
                </w:tcPr>
                <w:p w14:paraId="11B1802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危险废物</w:t>
                  </w:r>
                </w:p>
              </w:tc>
              <w:tc>
                <w:tcPr>
                  <w:tcW w:w="1186" w:type="dxa"/>
                  <w:vAlign w:val="center"/>
                </w:tcPr>
                <w:p w14:paraId="6EAC8B4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运营期</w:t>
                  </w:r>
                </w:p>
              </w:tc>
              <w:tc>
                <w:tcPr>
                  <w:tcW w:w="899" w:type="dxa"/>
                  <w:vAlign w:val="center"/>
                </w:tcPr>
                <w:p w14:paraId="7D90990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842" w:type="dxa"/>
                  <w:vAlign w:val="center"/>
                </w:tcPr>
                <w:p w14:paraId="0E4B890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0.5</w:t>
                  </w:r>
                </w:p>
              </w:tc>
              <w:tc>
                <w:tcPr>
                  <w:tcW w:w="988" w:type="dxa"/>
                  <w:vAlign w:val="center"/>
                </w:tcPr>
                <w:p w14:paraId="61DE385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委托处置</w:t>
                  </w:r>
                </w:p>
              </w:tc>
              <w:tc>
                <w:tcPr>
                  <w:tcW w:w="870" w:type="dxa"/>
                  <w:vAlign w:val="center"/>
                </w:tcPr>
                <w:p w14:paraId="15128AB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0.5</w:t>
                  </w:r>
                </w:p>
              </w:tc>
              <w:tc>
                <w:tcPr>
                  <w:tcW w:w="1044" w:type="dxa"/>
                  <w:vMerge w:val="continue"/>
                  <w:vAlign w:val="center"/>
                </w:tcPr>
                <w:p w14:paraId="27A60101">
                  <w:pPr>
                    <w:jc w:val="center"/>
                    <w:rPr>
                      <w:rFonts w:ascii="Times New Roman" w:hAnsi="Times New Roman" w:cs="Times New Roman"/>
                      <w:color w:val="000000" w:themeColor="text1"/>
                      <w:sz w:val="21"/>
                      <w:szCs w:val="21"/>
                      <w14:textFill>
                        <w14:solidFill>
                          <w14:schemeClr w14:val="tx1"/>
                        </w14:solidFill>
                      </w14:textFill>
                    </w:rPr>
                  </w:pPr>
                </w:p>
              </w:tc>
            </w:tr>
            <w:tr w14:paraId="05CA3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trPr>
              <w:tc>
                <w:tcPr>
                  <w:tcW w:w="375" w:type="dxa"/>
                  <w:vAlign w:val="center"/>
                </w:tcPr>
                <w:p w14:paraId="5E178993">
                  <w:pPr>
                    <w:pStyle w:val="200"/>
                    <w:numPr>
                      <w:ilvl w:val="0"/>
                      <w:numId w:val="24"/>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040" w:type="dxa"/>
                  <w:vAlign w:val="center"/>
                </w:tcPr>
                <w:p w14:paraId="0059BDE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定期清理</w:t>
                  </w:r>
                </w:p>
              </w:tc>
              <w:tc>
                <w:tcPr>
                  <w:tcW w:w="930" w:type="dxa"/>
                  <w:vAlign w:val="center"/>
                </w:tcPr>
                <w:p w14:paraId="26731EF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废活性炭</w:t>
                  </w:r>
                </w:p>
              </w:tc>
              <w:tc>
                <w:tcPr>
                  <w:tcW w:w="1125" w:type="dxa"/>
                  <w:vAlign w:val="center"/>
                </w:tcPr>
                <w:p w14:paraId="29CBDDC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危险废物</w:t>
                  </w:r>
                </w:p>
              </w:tc>
              <w:tc>
                <w:tcPr>
                  <w:tcW w:w="1186" w:type="dxa"/>
                  <w:vAlign w:val="center"/>
                </w:tcPr>
                <w:p w14:paraId="4F7A6BC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运营期</w:t>
                  </w:r>
                </w:p>
              </w:tc>
              <w:tc>
                <w:tcPr>
                  <w:tcW w:w="899" w:type="dxa"/>
                  <w:vAlign w:val="center"/>
                </w:tcPr>
                <w:p w14:paraId="19EFECE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842" w:type="dxa"/>
                  <w:vAlign w:val="center"/>
                </w:tcPr>
                <w:p w14:paraId="4775DA3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1.74</w:t>
                  </w:r>
                </w:p>
              </w:tc>
              <w:tc>
                <w:tcPr>
                  <w:tcW w:w="988" w:type="dxa"/>
                  <w:vAlign w:val="center"/>
                </w:tcPr>
                <w:p w14:paraId="1EFA1AE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委托处置</w:t>
                  </w:r>
                </w:p>
              </w:tc>
              <w:tc>
                <w:tcPr>
                  <w:tcW w:w="870" w:type="dxa"/>
                  <w:vAlign w:val="center"/>
                </w:tcPr>
                <w:p w14:paraId="415C9A2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1.74</w:t>
                  </w:r>
                </w:p>
              </w:tc>
              <w:tc>
                <w:tcPr>
                  <w:tcW w:w="1044" w:type="dxa"/>
                  <w:vMerge w:val="continue"/>
                  <w:vAlign w:val="center"/>
                </w:tcPr>
                <w:p w14:paraId="601C573F">
                  <w:pPr>
                    <w:jc w:val="center"/>
                    <w:rPr>
                      <w:rFonts w:ascii="Times New Roman" w:hAnsi="Times New Roman" w:cs="Times New Roman"/>
                      <w:color w:val="000000" w:themeColor="text1"/>
                      <w:sz w:val="21"/>
                      <w:szCs w:val="21"/>
                      <w14:textFill>
                        <w14:solidFill>
                          <w14:schemeClr w14:val="tx1"/>
                        </w14:solidFill>
                      </w14:textFill>
                    </w:rPr>
                  </w:pPr>
                </w:p>
              </w:tc>
            </w:tr>
          </w:tbl>
          <w:p w14:paraId="778D9FAA">
            <w:pPr>
              <w:pStyle w:val="81"/>
              <w:widowControl w:val="0"/>
              <w:spacing w:before="120" w:beforeLines="50" w:beforeAutospacing="0" w:after="0" w:afterAutospacing="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
                <w:color w:val="000000" w:themeColor="text1"/>
                <w:kern w:val="2"/>
                <w:szCs w:val="21"/>
                <w14:textFill>
                  <w14:solidFill>
                    <w14:schemeClr w14:val="tx1"/>
                  </w14:solidFill>
                </w14:textFill>
              </w:rPr>
              <w:t>表4-</w:t>
            </w:r>
            <w:r>
              <w:rPr>
                <w:rFonts w:hint="eastAsia" w:ascii="Times New Roman" w:hAnsi="Times New Roman" w:cs="Times New Roman"/>
                <w:b/>
                <w:color w:val="000000" w:themeColor="text1"/>
                <w:kern w:val="2"/>
                <w:szCs w:val="21"/>
                <w14:textFill>
                  <w14:solidFill>
                    <w14:schemeClr w14:val="tx1"/>
                  </w14:solidFill>
                </w14:textFill>
              </w:rPr>
              <w:t xml:space="preserve">21 </w:t>
            </w:r>
            <w:r>
              <w:rPr>
                <w:rFonts w:ascii="Times New Roman" w:hAnsi="Times New Roman" w:cs="Times New Roman"/>
                <w:b/>
                <w:color w:val="000000" w:themeColor="text1"/>
                <w:kern w:val="2"/>
                <w:szCs w:val="21"/>
                <w14:textFill>
                  <w14:solidFill>
                    <w14:schemeClr w14:val="tx1"/>
                  </w14:solidFill>
                </w14:textFill>
              </w:rPr>
              <w:t>项目危险废物排放量汇总表</w:t>
            </w:r>
          </w:p>
          <w:tbl>
            <w:tblPr>
              <w:tblStyle w:val="88"/>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 w:type="dxa"/>
                <w:bottom w:w="0" w:type="dxa"/>
                <w:right w:w="6" w:type="dxa"/>
              </w:tblCellMar>
            </w:tblPr>
            <w:tblGrid>
              <w:gridCol w:w="447"/>
              <w:gridCol w:w="1084"/>
              <w:gridCol w:w="862"/>
              <w:gridCol w:w="1219"/>
              <w:gridCol w:w="567"/>
              <w:gridCol w:w="992"/>
              <w:gridCol w:w="567"/>
              <w:gridCol w:w="1276"/>
              <w:gridCol w:w="708"/>
              <w:gridCol w:w="709"/>
              <w:gridCol w:w="920"/>
            </w:tblGrid>
            <w:tr w14:paraId="7E6A3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47" w:type="dxa"/>
                  <w:vAlign w:val="center"/>
                </w:tcPr>
                <w:p w14:paraId="4823EF6D">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序号</w:t>
                  </w:r>
                </w:p>
              </w:tc>
              <w:tc>
                <w:tcPr>
                  <w:tcW w:w="1084" w:type="dxa"/>
                  <w:vAlign w:val="center"/>
                </w:tcPr>
                <w:p w14:paraId="04DCE905">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危险废物</w:t>
                  </w:r>
                </w:p>
                <w:p w14:paraId="4F5BBB87">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名称</w:t>
                  </w:r>
                </w:p>
              </w:tc>
              <w:tc>
                <w:tcPr>
                  <w:tcW w:w="862" w:type="dxa"/>
                  <w:vAlign w:val="center"/>
                </w:tcPr>
                <w:p w14:paraId="02C11756">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危险废物类别</w:t>
                  </w:r>
                </w:p>
              </w:tc>
              <w:tc>
                <w:tcPr>
                  <w:tcW w:w="1219" w:type="dxa"/>
                  <w:vAlign w:val="center"/>
                </w:tcPr>
                <w:p w14:paraId="0D1E6E65">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危险废物</w:t>
                  </w:r>
                </w:p>
                <w:p w14:paraId="14FF186E">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代码</w:t>
                  </w:r>
                </w:p>
              </w:tc>
              <w:tc>
                <w:tcPr>
                  <w:tcW w:w="567" w:type="dxa"/>
                  <w:vAlign w:val="center"/>
                </w:tcPr>
                <w:p w14:paraId="70A3714D">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产生量t/a</w:t>
                  </w:r>
                </w:p>
              </w:tc>
              <w:tc>
                <w:tcPr>
                  <w:tcW w:w="992" w:type="dxa"/>
                  <w:vAlign w:val="center"/>
                </w:tcPr>
                <w:p w14:paraId="2795B35E">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产生工序及装置</w:t>
                  </w:r>
                </w:p>
              </w:tc>
              <w:tc>
                <w:tcPr>
                  <w:tcW w:w="567" w:type="dxa"/>
                  <w:vAlign w:val="center"/>
                </w:tcPr>
                <w:p w14:paraId="70FEA91E">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形态</w:t>
                  </w:r>
                </w:p>
              </w:tc>
              <w:tc>
                <w:tcPr>
                  <w:tcW w:w="1276" w:type="dxa"/>
                  <w:vAlign w:val="center"/>
                </w:tcPr>
                <w:p w14:paraId="2F938CCF">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有害成分</w:t>
                  </w:r>
                </w:p>
              </w:tc>
              <w:tc>
                <w:tcPr>
                  <w:tcW w:w="708" w:type="dxa"/>
                  <w:vAlign w:val="center"/>
                </w:tcPr>
                <w:p w14:paraId="73332A18">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产废</w:t>
                  </w:r>
                </w:p>
                <w:p w14:paraId="491924D0">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周期</w:t>
                  </w:r>
                </w:p>
              </w:tc>
              <w:tc>
                <w:tcPr>
                  <w:tcW w:w="709" w:type="dxa"/>
                  <w:vAlign w:val="center"/>
                </w:tcPr>
                <w:p w14:paraId="2BBCDD21">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w:t>
                  </w:r>
                </w:p>
                <w:p w14:paraId="79B34998">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特性</w:t>
                  </w:r>
                </w:p>
              </w:tc>
              <w:tc>
                <w:tcPr>
                  <w:tcW w:w="920" w:type="dxa"/>
                  <w:vAlign w:val="center"/>
                </w:tcPr>
                <w:p w14:paraId="69D0DCF5">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污染防治措施</w:t>
                  </w:r>
                </w:p>
              </w:tc>
            </w:tr>
            <w:tr w14:paraId="4E326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jc w:val="center"/>
              </w:trPr>
              <w:tc>
                <w:tcPr>
                  <w:tcW w:w="447" w:type="dxa"/>
                  <w:vAlign w:val="center"/>
                </w:tcPr>
                <w:p w14:paraId="650E476A">
                  <w:pPr>
                    <w:pStyle w:val="200"/>
                    <w:numPr>
                      <w:ilvl w:val="0"/>
                      <w:numId w:val="25"/>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084" w:type="dxa"/>
                  <w:vAlign w:val="center"/>
                </w:tcPr>
                <w:p w14:paraId="2F6A3E1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废抹布等吸附材料</w:t>
                  </w:r>
                </w:p>
              </w:tc>
              <w:tc>
                <w:tcPr>
                  <w:tcW w:w="862" w:type="dxa"/>
                  <w:vAlign w:val="center"/>
                </w:tcPr>
                <w:p w14:paraId="0B6B8D4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HW49</w:t>
                  </w:r>
                </w:p>
              </w:tc>
              <w:tc>
                <w:tcPr>
                  <w:tcW w:w="1219" w:type="dxa"/>
                  <w:vAlign w:val="center"/>
                </w:tcPr>
                <w:p w14:paraId="25E808E8">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900-041-49</w:t>
                  </w:r>
                </w:p>
              </w:tc>
              <w:tc>
                <w:tcPr>
                  <w:tcW w:w="567" w:type="dxa"/>
                  <w:vAlign w:val="center"/>
                </w:tcPr>
                <w:p w14:paraId="10643CD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w:t>
                  </w:r>
                </w:p>
              </w:tc>
              <w:tc>
                <w:tcPr>
                  <w:tcW w:w="992" w:type="dxa"/>
                  <w:vAlign w:val="center"/>
                </w:tcPr>
                <w:p w14:paraId="0D4D844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工作过程</w:t>
                  </w:r>
                </w:p>
              </w:tc>
              <w:tc>
                <w:tcPr>
                  <w:tcW w:w="567" w:type="dxa"/>
                  <w:vAlign w:val="center"/>
                </w:tcPr>
                <w:p w14:paraId="775E4789">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固态</w:t>
                  </w:r>
                </w:p>
              </w:tc>
              <w:tc>
                <w:tcPr>
                  <w:tcW w:w="1276" w:type="dxa"/>
                  <w:vAlign w:val="center"/>
                </w:tcPr>
                <w:p w14:paraId="4591F7C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废油</w:t>
                  </w:r>
                </w:p>
              </w:tc>
              <w:tc>
                <w:tcPr>
                  <w:tcW w:w="708" w:type="dxa"/>
                  <w:vAlign w:val="center"/>
                </w:tcPr>
                <w:p w14:paraId="427F85B5">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1年</w:t>
                  </w:r>
                </w:p>
              </w:tc>
              <w:tc>
                <w:tcPr>
                  <w:tcW w:w="709" w:type="dxa"/>
                  <w:vAlign w:val="center"/>
                </w:tcPr>
                <w:p w14:paraId="5F3A26EE">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T</w:t>
                  </w:r>
                </w:p>
              </w:tc>
              <w:tc>
                <w:tcPr>
                  <w:tcW w:w="920" w:type="dxa"/>
                  <w:vMerge w:val="restart"/>
                  <w:vAlign w:val="center"/>
                </w:tcPr>
                <w:p w14:paraId="5B4DFD4D">
                  <w:pPr>
                    <w:jc w:val="center"/>
                    <w:rPr>
                      <w:rFonts w:ascii="Times New Roman" w:hAnsi="Times New Roman" w:cs="Times New Roman"/>
                      <w:bCs/>
                      <w:color w:val="FF0000"/>
                      <w:sz w:val="21"/>
                      <w:szCs w:val="21"/>
                    </w:rPr>
                  </w:pPr>
                  <w:r>
                    <w:rPr>
                      <w:rFonts w:ascii="Times New Roman" w:hAnsi="Times New Roman" w:cs="Times New Roman"/>
                      <w:color w:val="000000" w:themeColor="text1"/>
                      <w:sz w:val="21"/>
                      <w:szCs w:val="21"/>
                      <w14:textFill>
                        <w14:solidFill>
                          <w14:schemeClr w14:val="tx1"/>
                        </w14:solidFill>
                      </w14:textFill>
                    </w:rPr>
                    <w:t>交由有资质单位危险废物处理单位处理</w:t>
                  </w:r>
                </w:p>
              </w:tc>
            </w:tr>
            <w:tr w14:paraId="7BBC0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jc w:val="center"/>
              </w:trPr>
              <w:tc>
                <w:tcPr>
                  <w:tcW w:w="447" w:type="dxa"/>
                  <w:vAlign w:val="center"/>
                </w:tcPr>
                <w:p w14:paraId="49CEB01E">
                  <w:pPr>
                    <w:pStyle w:val="200"/>
                    <w:numPr>
                      <w:ilvl w:val="0"/>
                      <w:numId w:val="25"/>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084" w:type="dxa"/>
                  <w:vAlign w:val="center"/>
                </w:tcPr>
                <w:p w14:paraId="3BEF316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废油漆</w:t>
                  </w:r>
                </w:p>
              </w:tc>
              <w:tc>
                <w:tcPr>
                  <w:tcW w:w="862" w:type="dxa"/>
                  <w:vAlign w:val="center"/>
                </w:tcPr>
                <w:p w14:paraId="56D8226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HW12</w:t>
                  </w:r>
                </w:p>
              </w:tc>
              <w:tc>
                <w:tcPr>
                  <w:tcW w:w="1219" w:type="dxa"/>
                  <w:vAlign w:val="center"/>
                </w:tcPr>
                <w:p w14:paraId="6BA3CAE9">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900-299-12</w:t>
                  </w:r>
                </w:p>
              </w:tc>
              <w:tc>
                <w:tcPr>
                  <w:tcW w:w="567" w:type="dxa"/>
                  <w:vAlign w:val="center"/>
                </w:tcPr>
                <w:p w14:paraId="64DB818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c>
                <w:tcPr>
                  <w:tcW w:w="992" w:type="dxa"/>
                  <w:vAlign w:val="center"/>
                </w:tcPr>
                <w:p w14:paraId="109D205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防腐防锈等</w:t>
                  </w:r>
                </w:p>
              </w:tc>
              <w:tc>
                <w:tcPr>
                  <w:tcW w:w="567" w:type="dxa"/>
                  <w:vAlign w:val="center"/>
                </w:tcPr>
                <w:p w14:paraId="0C698B20">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固态</w:t>
                  </w:r>
                </w:p>
              </w:tc>
              <w:tc>
                <w:tcPr>
                  <w:tcW w:w="1276" w:type="dxa"/>
                  <w:vAlign w:val="center"/>
                </w:tcPr>
                <w:p w14:paraId="2391CFE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油漆</w:t>
                  </w:r>
                </w:p>
              </w:tc>
              <w:tc>
                <w:tcPr>
                  <w:tcW w:w="708" w:type="dxa"/>
                  <w:vAlign w:val="center"/>
                </w:tcPr>
                <w:p w14:paraId="0E0ED8E5">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2~4个月</w:t>
                  </w:r>
                </w:p>
              </w:tc>
              <w:tc>
                <w:tcPr>
                  <w:tcW w:w="709" w:type="dxa"/>
                  <w:vAlign w:val="center"/>
                </w:tcPr>
                <w:p w14:paraId="7FB9F66D">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T</w:t>
                  </w:r>
                </w:p>
              </w:tc>
              <w:tc>
                <w:tcPr>
                  <w:tcW w:w="920" w:type="dxa"/>
                  <w:vMerge w:val="continue"/>
                  <w:vAlign w:val="center"/>
                </w:tcPr>
                <w:p w14:paraId="7514CD1C">
                  <w:pPr>
                    <w:jc w:val="center"/>
                    <w:rPr>
                      <w:rFonts w:ascii="Times New Roman" w:hAnsi="Times New Roman" w:cs="Times New Roman"/>
                      <w:bCs/>
                      <w:color w:val="FF0000"/>
                      <w:sz w:val="21"/>
                      <w:szCs w:val="21"/>
                    </w:rPr>
                  </w:pPr>
                </w:p>
              </w:tc>
            </w:tr>
            <w:tr w14:paraId="6CB9B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jc w:val="center"/>
              </w:trPr>
              <w:tc>
                <w:tcPr>
                  <w:tcW w:w="447" w:type="dxa"/>
                  <w:vAlign w:val="center"/>
                </w:tcPr>
                <w:p w14:paraId="1E7B2AD6">
                  <w:pPr>
                    <w:pStyle w:val="200"/>
                    <w:numPr>
                      <w:ilvl w:val="0"/>
                      <w:numId w:val="25"/>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084" w:type="dxa"/>
                  <w:vAlign w:val="center"/>
                </w:tcPr>
                <w:p w14:paraId="19C4287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废酸</w:t>
                  </w:r>
                </w:p>
              </w:tc>
              <w:tc>
                <w:tcPr>
                  <w:tcW w:w="862" w:type="dxa"/>
                  <w:vAlign w:val="center"/>
                </w:tcPr>
                <w:p w14:paraId="5E4CCA9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HW34</w:t>
                  </w:r>
                </w:p>
              </w:tc>
              <w:tc>
                <w:tcPr>
                  <w:tcW w:w="1219" w:type="dxa"/>
                  <w:vAlign w:val="center"/>
                </w:tcPr>
                <w:p w14:paraId="7146C052">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900-349-34</w:t>
                  </w:r>
                </w:p>
              </w:tc>
              <w:tc>
                <w:tcPr>
                  <w:tcW w:w="567" w:type="dxa"/>
                  <w:vAlign w:val="center"/>
                </w:tcPr>
                <w:p w14:paraId="0B793FB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p>
              </w:tc>
              <w:tc>
                <w:tcPr>
                  <w:tcW w:w="992" w:type="dxa"/>
                  <w:vAlign w:val="center"/>
                </w:tcPr>
                <w:p w14:paraId="328284B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定期清理</w:t>
                  </w:r>
                </w:p>
              </w:tc>
              <w:tc>
                <w:tcPr>
                  <w:tcW w:w="567" w:type="dxa"/>
                  <w:vAlign w:val="center"/>
                </w:tcPr>
                <w:p w14:paraId="7B823956">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液态</w:t>
                  </w:r>
                </w:p>
              </w:tc>
              <w:tc>
                <w:tcPr>
                  <w:tcW w:w="1276" w:type="dxa"/>
                  <w:vAlign w:val="center"/>
                </w:tcPr>
                <w:p w14:paraId="79E3B26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硫酸、硝酸等</w:t>
                  </w:r>
                </w:p>
              </w:tc>
              <w:tc>
                <w:tcPr>
                  <w:tcW w:w="708" w:type="dxa"/>
                  <w:vAlign w:val="center"/>
                </w:tcPr>
                <w:p w14:paraId="53CA9D13">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1年</w:t>
                  </w:r>
                </w:p>
              </w:tc>
              <w:tc>
                <w:tcPr>
                  <w:tcW w:w="709" w:type="dxa"/>
                  <w:vAlign w:val="center"/>
                </w:tcPr>
                <w:p w14:paraId="78DD212A">
                  <w:pPr>
                    <w:jc w:val="center"/>
                    <w:rPr>
                      <w:color w:val="000000" w:themeColor="text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T</w:t>
                  </w:r>
                </w:p>
              </w:tc>
              <w:tc>
                <w:tcPr>
                  <w:tcW w:w="920" w:type="dxa"/>
                  <w:vMerge w:val="continue"/>
                  <w:vAlign w:val="center"/>
                </w:tcPr>
                <w:p w14:paraId="4F0692F7">
                  <w:pPr>
                    <w:jc w:val="center"/>
                    <w:rPr>
                      <w:rFonts w:ascii="Times New Roman" w:hAnsi="Times New Roman" w:cs="Times New Roman"/>
                      <w:bCs/>
                      <w:color w:val="FF0000"/>
                      <w:sz w:val="21"/>
                      <w:szCs w:val="21"/>
                    </w:rPr>
                  </w:pPr>
                </w:p>
              </w:tc>
            </w:tr>
            <w:tr w14:paraId="42C30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jc w:val="center"/>
              </w:trPr>
              <w:tc>
                <w:tcPr>
                  <w:tcW w:w="447" w:type="dxa"/>
                  <w:vAlign w:val="center"/>
                </w:tcPr>
                <w:p w14:paraId="7A1B7AC8">
                  <w:pPr>
                    <w:pStyle w:val="200"/>
                    <w:numPr>
                      <w:ilvl w:val="0"/>
                      <w:numId w:val="25"/>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084" w:type="dxa"/>
                  <w:vAlign w:val="center"/>
                </w:tcPr>
                <w:p w14:paraId="01D04B4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废碱</w:t>
                  </w:r>
                </w:p>
              </w:tc>
              <w:tc>
                <w:tcPr>
                  <w:tcW w:w="862" w:type="dxa"/>
                  <w:vAlign w:val="center"/>
                </w:tcPr>
                <w:p w14:paraId="41D3666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HW35</w:t>
                  </w:r>
                </w:p>
              </w:tc>
              <w:tc>
                <w:tcPr>
                  <w:tcW w:w="1219" w:type="dxa"/>
                  <w:vAlign w:val="center"/>
                </w:tcPr>
                <w:p w14:paraId="5AA56CC6">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900-399-35</w:t>
                  </w:r>
                </w:p>
              </w:tc>
              <w:tc>
                <w:tcPr>
                  <w:tcW w:w="567" w:type="dxa"/>
                  <w:vAlign w:val="center"/>
                </w:tcPr>
                <w:p w14:paraId="2A53C71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0.5</w:t>
                  </w:r>
                </w:p>
              </w:tc>
              <w:tc>
                <w:tcPr>
                  <w:tcW w:w="992" w:type="dxa"/>
                  <w:vAlign w:val="center"/>
                </w:tcPr>
                <w:p w14:paraId="3D4581F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定期清理</w:t>
                  </w:r>
                </w:p>
              </w:tc>
              <w:tc>
                <w:tcPr>
                  <w:tcW w:w="567" w:type="dxa"/>
                  <w:vAlign w:val="center"/>
                </w:tcPr>
                <w:p w14:paraId="40C7DE7D">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液态</w:t>
                  </w:r>
                </w:p>
              </w:tc>
              <w:tc>
                <w:tcPr>
                  <w:tcW w:w="1276" w:type="dxa"/>
                  <w:vAlign w:val="center"/>
                </w:tcPr>
                <w:p w14:paraId="128D250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氢氧化钠</w:t>
                  </w:r>
                </w:p>
              </w:tc>
              <w:tc>
                <w:tcPr>
                  <w:tcW w:w="708" w:type="dxa"/>
                  <w:vAlign w:val="center"/>
                </w:tcPr>
                <w:p w14:paraId="24406863">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1年</w:t>
                  </w:r>
                </w:p>
              </w:tc>
              <w:tc>
                <w:tcPr>
                  <w:tcW w:w="709" w:type="dxa"/>
                  <w:vAlign w:val="center"/>
                </w:tcPr>
                <w:p w14:paraId="22776A87">
                  <w:pPr>
                    <w:jc w:val="center"/>
                    <w:rPr>
                      <w:color w:val="000000" w:themeColor="text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T</w:t>
                  </w:r>
                </w:p>
              </w:tc>
              <w:tc>
                <w:tcPr>
                  <w:tcW w:w="920" w:type="dxa"/>
                  <w:vMerge w:val="continue"/>
                  <w:vAlign w:val="center"/>
                </w:tcPr>
                <w:p w14:paraId="62A710D4">
                  <w:pPr>
                    <w:jc w:val="center"/>
                    <w:rPr>
                      <w:rFonts w:ascii="Times New Roman" w:hAnsi="Times New Roman" w:cs="Times New Roman"/>
                      <w:bCs/>
                      <w:color w:val="FF0000"/>
                      <w:sz w:val="21"/>
                      <w:szCs w:val="21"/>
                    </w:rPr>
                  </w:pPr>
                </w:p>
              </w:tc>
            </w:tr>
            <w:tr w14:paraId="7F983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jc w:val="center"/>
              </w:trPr>
              <w:tc>
                <w:tcPr>
                  <w:tcW w:w="447" w:type="dxa"/>
                  <w:vAlign w:val="center"/>
                </w:tcPr>
                <w:p w14:paraId="5DC41BD4">
                  <w:pPr>
                    <w:pStyle w:val="200"/>
                    <w:numPr>
                      <w:ilvl w:val="0"/>
                      <w:numId w:val="25"/>
                    </w:numPr>
                    <w:ind w:firstLineChars="0"/>
                    <w:jc w:val="center"/>
                    <w:rPr>
                      <w:rFonts w:ascii="Times New Roman" w:hAnsi="Times New Roman" w:cs="Times New Roman"/>
                      <w:bCs/>
                      <w:color w:val="000000" w:themeColor="text1"/>
                      <w:sz w:val="21"/>
                      <w:szCs w:val="21"/>
                      <w14:textFill>
                        <w14:solidFill>
                          <w14:schemeClr w14:val="tx1"/>
                        </w14:solidFill>
                      </w14:textFill>
                    </w:rPr>
                  </w:pPr>
                </w:p>
              </w:tc>
              <w:tc>
                <w:tcPr>
                  <w:tcW w:w="1084" w:type="dxa"/>
                  <w:vAlign w:val="center"/>
                </w:tcPr>
                <w:p w14:paraId="3A61020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废活性炭</w:t>
                  </w:r>
                </w:p>
              </w:tc>
              <w:tc>
                <w:tcPr>
                  <w:tcW w:w="862" w:type="dxa"/>
                  <w:vAlign w:val="center"/>
                </w:tcPr>
                <w:p w14:paraId="63A32E6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rPr>
                    <w:t>HW49</w:t>
                  </w:r>
                </w:p>
              </w:tc>
              <w:tc>
                <w:tcPr>
                  <w:tcW w:w="1219" w:type="dxa"/>
                  <w:vAlign w:val="center"/>
                </w:tcPr>
                <w:p w14:paraId="6A98227B">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rPr>
                    <w:t>900-039-49</w:t>
                  </w:r>
                </w:p>
              </w:tc>
              <w:tc>
                <w:tcPr>
                  <w:tcW w:w="567" w:type="dxa"/>
                  <w:vAlign w:val="center"/>
                </w:tcPr>
                <w:p w14:paraId="18FB5D0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1.74</w:t>
                  </w:r>
                </w:p>
              </w:tc>
              <w:tc>
                <w:tcPr>
                  <w:tcW w:w="992" w:type="dxa"/>
                  <w:vAlign w:val="center"/>
                </w:tcPr>
                <w:p w14:paraId="17F7E2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kern w:val="1"/>
                      <w:sz w:val="21"/>
                      <w:szCs w:val="21"/>
                    </w:rPr>
                    <w:t>更换时立即由危废资质单位清运处置，不在车间贮存</w:t>
                  </w:r>
                </w:p>
              </w:tc>
              <w:tc>
                <w:tcPr>
                  <w:tcW w:w="567" w:type="dxa"/>
                  <w:vAlign w:val="center"/>
                </w:tcPr>
                <w:p w14:paraId="7EC507B0">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固态</w:t>
                  </w:r>
                </w:p>
              </w:tc>
              <w:tc>
                <w:tcPr>
                  <w:tcW w:w="1276" w:type="dxa"/>
                  <w:vAlign w:val="center"/>
                </w:tcPr>
                <w:p w14:paraId="3F60480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708" w:type="dxa"/>
                  <w:vAlign w:val="center"/>
                </w:tcPr>
                <w:p w14:paraId="5A447FF7">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1年</w:t>
                  </w:r>
                </w:p>
              </w:tc>
              <w:tc>
                <w:tcPr>
                  <w:tcW w:w="709" w:type="dxa"/>
                  <w:vAlign w:val="center"/>
                </w:tcPr>
                <w:p w14:paraId="4F082D47">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sz w:val="21"/>
                      <w:szCs w:val="21"/>
                    </w:rPr>
                    <w:t>T，I</w:t>
                  </w:r>
                </w:p>
              </w:tc>
              <w:tc>
                <w:tcPr>
                  <w:tcW w:w="920" w:type="dxa"/>
                  <w:vMerge w:val="continue"/>
                  <w:vAlign w:val="center"/>
                </w:tcPr>
                <w:p w14:paraId="361744E5">
                  <w:pPr>
                    <w:jc w:val="center"/>
                    <w:rPr>
                      <w:rFonts w:ascii="Times New Roman" w:hAnsi="Times New Roman" w:cs="Times New Roman"/>
                      <w:bCs/>
                      <w:color w:val="FF0000"/>
                      <w:sz w:val="21"/>
                      <w:szCs w:val="21"/>
                    </w:rPr>
                  </w:pPr>
                </w:p>
              </w:tc>
            </w:tr>
          </w:tbl>
          <w:p w14:paraId="0BB8A50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4.2固废暂存污染控制要求</w:t>
            </w:r>
          </w:p>
          <w:p w14:paraId="1DD4D9A8">
            <w:pPr>
              <w:pStyle w:val="87"/>
              <w:spacing w:after="0" w:line="360" w:lineRule="auto"/>
              <w:ind w:left="0" w:leftChars="0" w:firstLine="480"/>
              <w:jc w:val="both"/>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本项目</w:t>
            </w:r>
            <w:r>
              <w:rPr>
                <w:rFonts w:hint="eastAsia" w:ascii="Times New Roman" w:hAnsi="Times New Roman" w:cs="Times New Roman"/>
                <w:bCs/>
                <w:color w:val="000000" w:themeColor="text1"/>
                <w:szCs w:val="21"/>
                <w14:textFill>
                  <w14:solidFill>
                    <w14:schemeClr w14:val="tx1"/>
                  </w14:solidFill>
                </w14:textFill>
              </w:rPr>
              <w:t>危废储存依托已建的</w:t>
            </w:r>
            <w:r>
              <w:rPr>
                <w:rFonts w:ascii="Times New Roman" w:hAnsi="Times New Roman" w:cs="Times New Roman"/>
                <w:color w:val="000000" w:themeColor="text1"/>
                <w:szCs w:val="21"/>
                <w14:textFill>
                  <w14:solidFill>
                    <w14:schemeClr w14:val="tx1"/>
                  </w14:solidFill>
                </w14:textFill>
              </w:rPr>
              <w:t>危废</w:t>
            </w:r>
            <w:r>
              <w:rPr>
                <w:rFonts w:hint="eastAsia" w:ascii="Times New Roman" w:hAnsi="Times New Roman" w:cs="Times New Roman"/>
                <w:color w:val="000000" w:themeColor="text1"/>
                <w:szCs w:val="21"/>
                <w14:textFill>
                  <w14:solidFill>
                    <w14:schemeClr w14:val="tx1"/>
                  </w14:solidFill>
                </w14:textFill>
              </w:rPr>
              <w:t>贮存库，</w:t>
            </w:r>
            <w:r>
              <w:rPr>
                <w:rFonts w:ascii="Times New Roman" w:hAnsi="Times New Roman" w:cs="Times New Roman"/>
                <w:bCs/>
                <w:color w:val="000000" w:themeColor="text1"/>
                <w:szCs w:val="21"/>
                <w14:textFill>
                  <w14:solidFill>
                    <w14:schemeClr w14:val="tx1"/>
                  </w14:solidFill>
                </w14:textFill>
              </w:rPr>
              <w:t>主要存储项目产生的废抹布、</w:t>
            </w:r>
            <w:r>
              <w:rPr>
                <w:rFonts w:hint="eastAsia" w:ascii="Times New Roman" w:hAnsi="Times New Roman" w:cs="Times New Roman"/>
                <w:bCs/>
                <w:color w:val="000000" w:themeColor="text1"/>
                <w:szCs w:val="21"/>
                <w14:textFill>
                  <w14:solidFill>
                    <w14:schemeClr w14:val="tx1"/>
                  </w14:solidFill>
                </w14:textFill>
              </w:rPr>
              <w:t>废油漆、废酸、废碱等</w:t>
            </w:r>
            <w:r>
              <w:rPr>
                <w:rFonts w:ascii="Times New Roman" w:hAnsi="Times New Roman" w:cs="Times New Roman"/>
                <w:bCs/>
                <w:color w:val="000000" w:themeColor="text1"/>
                <w:szCs w:val="21"/>
                <w14:textFill>
                  <w14:solidFill>
                    <w14:schemeClr w14:val="tx1"/>
                  </w14:solidFill>
                </w14:textFill>
              </w:rPr>
              <w:t>，</w:t>
            </w:r>
            <w:r>
              <w:rPr>
                <w:rFonts w:hint="eastAsia" w:ascii="Times New Roman" w:hAnsi="Times New Roman" w:cs="Times New Roman"/>
                <w:bCs/>
                <w:color w:val="000000" w:themeColor="text1"/>
                <w:szCs w:val="21"/>
                <w14:textFill>
                  <w14:solidFill>
                    <w14:schemeClr w14:val="tx1"/>
                  </w14:solidFill>
                </w14:textFill>
              </w:rPr>
              <w:t>危废贮存库</w:t>
            </w:r>
            <w:r>
              <w:rPr>
                <w:rFonts w:ascii="Times New Roman" w:hAnsi="Times New Roman" w:cs="Times New Roman"/>
                <w:bCs/>
                <w:color w:val="000000" w:themeColor="text1"/>
                <w:szCs w:val="21"/>
                <w14:textFill>
                  <w14:solidFill>
                    <w14:schemeClr w14:val="tx1"/>
                  </w14:solidFill>
                </w14:textFill>
              </w:rPr>
              <w:t>的基本情况如下表：</w:t>
            </w:r>
          </w:p>
          <w:p w14:paraId="5C36D9BC">
            <w:pPr>
              <w:pStyle w:val="87"/>
              <w:spacing w:after="0"/>
              <w:ind w:left="0" w:leftChars="0" w:firstLine="0" w:firstLineChars="0"/>
              <w:jc w:val="center"/>
              <w:rPr>
                <w:rFonts w:ascii="Times New Roman" w:hAnsi="Times New Roman" w:cs="Times New Roman"/>
                <w:b/>
                <w:color w:val="000000" w:themeColor="text1"/>
                <w:szCs w:val="21"/>
                <w14:textFill>
                  <w14:solidFill>
                    <w14:schemeClr w14:val="tx1"/>
                  </w14:solidFill>
                </w14:textFill>
              </w:rPr>
            </w:pPr>
            <w:r>
              <w:rPr>
                <w:rFonts w:ascii="Times New Roman" w:hAnsi="Times New Roman" w:cs="Times New Roman"/>
                <w:b/>
                <w:color w:val="000000" w:themeColor="text1"/>
                <w:szCs w:val="21"/>
                <w14:textFill>
                  <w14:solidFill>
                    <w14:schemeClr w14:val="tx1"/>
                  </w14:solidFill>
                </w14:textFill>
              </w:rPr>
              <w:t>表4-</w:t>
            </w:r>
            <w:r>
              <w:rPr>
                <w:rFonts w:hint="eastAsia" w:ascii="Times New Roman" w:hAnsi="Times New Roman" w:cs="Times New Roman"/>
                <w:b/>
                <w:color w:val="000000" w:themeColor="text1"/>
                <w:szCs w:val="21"/>
                <w14:textFill>
                  <w14:solidFill>
                    <w14:schemeClr w14:val="tx1"/>
                  </w14:solidFill>
                </w14:textFill>
              </w:rPr>
              <w:t>22</w:t>
            </w:r>
            <w:r>
              <w:rPr>
                <w:rFonts w:ascii="Times New Roman" w:hAnsi="Times New Roman" w:cs="Times New Roman"/>
                <w:b/>
                <w:color w:val="000000" w:themeColor="text1"/>
                <w:szCs w:val="21"/>
                <w14:textFill>
                  <w14:solidFill>
                    <w14:schemeClr w14:val="tx1"/>
                  </w14:solidFill>
                </w14:textFill>
              </w:rPr>
              <w:t>项目危险废物贮存场所（设施）基本情况</w:t>
            </w:r>
          </w:p>
          <w:tbl>
            <w:tblPr>
              <w:tblStyle w:val="88"/>
              <w:tblW w:w="93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9"/>
              <w:gridCol w:w="894"/>
              <w:gridCol w:w="1111"/>
              <w:gridCol w:w="850"/>
              <w:gridCol w:w="1199"/>
              <w:gridCol w:w="474"/>
              <w:gridCol w:w="709"/>
              <w:gridCol w:w="1544"/>
              <w:gridCol w:w="789"/>
              <w:gridCol w:w="1284"/>
            </w:tblGrid>
            <w:tr w14:paraId="4CCEF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49" w:type="dxa"/>
                  <w:vAlign w:val="center"/>
                </w:tcPr>
                <w:p w14:paraId="6A54C665">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序号</w:t>
                  </w:r>
                </w:p>
              </w:tc>
              <w:tc>
                <w:tcPr>
                  <w:tcW w:w="894" w:type="dxa"/>
                  <w:vAlign w:val="center"/>
                </w:tcPr>
                <w:p w14:paraId="20EC23C5">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贮存场所名称</w:t>
                  </w:r>
                </w:p>
              </w:tc>
              <w:tc>
                <w:tcPr>
                  <w:tcW w:w="1111" w:type="dxa"/>
                  <w:vAlign w:val="center"/>
                </w:tcPr>
                <w:p w14:paraId="0B259C62">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危险废物</w:t>
                  </w:r>
                </w:p>
                <w:p w14:paraId="036100E8">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名称</w:t>
                  </w:r>
                </w:p>
              </w:tc>
              <w:tc>
                <w:tcPr>
                  <w:tcW w:w="850" w:type="dxa"/>
                  <w:vAlign w:val="center"/>
                </w:tcPr>
                <w:p w14:paraId="483C93CE">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危险废物类别</w:t>
                  </w:r>
                </w:p>
              </w:tc>
              <w:tc>
                <w:tcPr>
                  <w:tcW w:w="1199" w:type="dxa"/>
                  <w:vAlign w:val="center"/>
                </w:tcPr>
                <w:p w14:paraId="0320BBC5">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危险废物</w:t>
                  </w:r>
                </w:p>
                <w:p w14:paraId="33AA139C">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代码</w:t>
                  </w:r>
                </w:p>
              </w:tc>
              <w:tc>
                <w:tcPr>
                  <w:tcW w:w="474" w:type="dxa"/>
                  <w:vAlign w:val="center"/>
                </w:tcPr>
                <w:p w14:paraId="3B689EA4">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位置</w:t>
                  </w:r>
                </w:p>
              </w:tc>
              <w:tc>
                <w:tcPr>
                  <w:tcW w:w="709" w:type="dxa"/>
                  <w:vAlign w:val="center"/>
                </w:tcPr>
                <w:p w14:paraId="797B849A">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占地</w:t>
                  </w:r>
                </w:p>
                <w:p w14:paraId="3C789D2A">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面积</w:t>
                  </w:r>
                </w:p>
              </w:tc>
              <w:tc>
                <w:tcPr>
                  <w:tcW w:w="1544" w:type="dxa"/>
                  <w:vAlign w:val="center"/>
                </w:tcPr>
                <w:p w14:paraId="59ED6350">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贮存方式</w:t>
                  </w:r>
                </w:p>
              </w:tc>
              <w:tc>
                <w:tcPr>
                  <w:tcW w:w="789" w:type="dxa"/>
                  <w:vAlign w:val="center"/>
                </w:tcPr>
                <w:p w14:paraId="1E84288E">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贮存</w:t>
                  </w:r>
                </w:p>
                <w:p w14:paraId="2E31D26E">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能力t</w:t>
                  </w:r>
                </w:p>
              </w:tc>
              <w:tc>
                <w:tcPr>
                  <w:tcW w:w="1284" w:type="dxa"/>
                  <w:vAlign w:val="center"/>
                </w:tcPr>
                <w:p w14:paraId="2EFD83FC">
                  <w:pPr>
                    <w:pStyle w:val="87"/>
                    <w:spacing w:after="0"/>
                    <w:ind w:left="0" w:leftChars="0" w:firstLine="0" w:firstLine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贮存周期</w:t>
                  </w:r>
                </w:p>
              </w:tc>
            </w:tr>
            <w:tr w14:paraId="5314A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449" w:type="dxa"/>
                  <w:vAlign w:val="center"/>
                </w:tcPr>
                <w:p w14:paraId="6E991A45">
                  <w:pPr>
                    <w:pStyle w:val="87"/>
                    <w:numPr>
                      <w:ilvl w:val="0"/>
                      <w:numId w:val="26"/>
                    </w:numPr>
                    <w:spacing w:after="0"/>
                    <w:ind w:leftChars="0" w:firstLineChars="0"/>
                    <w:jc w:val="center"/>
                    <w:rPr>
                      <w:rFonts w:ascii="Times New Roman" w:hAnsi="Times New Roman" w:cs="Times New Roman"/>
                      <w:color w:val="000000" w:themeColor="text1"/>
                      <w:sz w:val="21"/>
                      <w:szCs w:val="21"/>
                      <w14:textFill>
                        <w14:solidFill>
                          <w14:schemeClr w14:val="tx1"/>
                        </w14:solidFill>
                      </w14:textFill>
                    </w:rPr>
                  </w:pPr>
                </w:p>
              </w:tc>
              <w:tc>
                <w:tcPr>
                  <w:tcW w:w="894" w:type="dxa"/>
                  <w:vMerge w:val="restart"/>
                  <w:vAlign w:val="center"/>
                </w:tcPr>
                <w:p w14:paraId="16C4DDDD">
                  <w:pPr>
                    <w:pStyle w:val="87"/>
                    <w:spacing w:after="0"/>
                    <w:ind w:left="0" w:leftChars="0"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危废</w:t>
                  </w:r>
                  <w:r>
                    <w:rPr>
                      <w:rFonts w:hint="eastAsia" w:ascii="Times New Roman" w:hAnsi="Times New Roman" w:cs="Times New Roman"/>
                      <w:color w:val="000000" w:themeColor="text1"/>
                      <w:sz w:val="21"/>
                      <w:szCs w:val="21"/>
                      <w14:textFill>
                        <w14:solidFill>
                          <w14:schemeClr w14:val="tx1"/>
                        </w14:solidFill>
                      </w14:textFill>
                    </w:rPr>
                    <w:t>贮存库</w:t>
                  </w:r>
                </w:p>
              </w:tc>
              <w:tc>
                <w:tcPr>
                  <w:tcW w:w="1111" w:type="dxa"/>
                  <w:vAlign w:val="center"/>
                </w:tcPr>
                <w:p w14:paraId="0D17775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废抹布等吸附材料</w:t>
                  </w:r>
                </w:p>
              </w:tc>
              <w:tc>
                <w:tcPr>
                  <w:tcW w:w="850" w:type="dxa"/>
                  <w:vAlign w:val="center"/>
                </w:tcPr>
                <w:p w14:paraId="6A26140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HW49</w:t>
                  </w:r>
                </w:p>
              </w:tc>
              <w:tc>
                <w:tcPr>
                  <w:tcW w:w="1199" w:type="dxa"/>
                  <w:vAlign w:val="center"/>
                </w:tcPr>
                <w:p w14:paraId="3BC38115">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900-041-49</w:t>
                  </w:r>
                </w:p>
              </w:tc>
              <w:tc>
                <w:tcPr>
                  <w:tcW w:w="474" w:type="dxa"/>
                  <w:vMerge w:val="restart"/>
                  <w:vAlign w:val="center"/>
                </w:tcPr>
                <w:p w14:paraId="1DAE403D">
                  <w:pPr>
                    <w:pStyle w:val="87"/>
                    <w:spacing w:after="0"/>
                    <w:ind w:left="0" w:leftChars="0"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厂区</w:t>
                  </w:r>
                  <w:r>
                    <w:rPr>
                      <w:rFonts w:hint="eastAsia" w:ascii="Times New Roman" w:hAnsi="Times New Roman" w:cs="Times New Roman"/>
                      <w:bCs/>
                      <w:color w:val="000000" w:themeColor="text1"/>
                      <w:sz w:val="21"/>
                      <w:szCs w:val="21"/>
                      <w14:textFill>
                        <w14:solidFill>
                          <w14:schemeClr w14:val="tx1"/>
                        </w14:solidFill>
                      </w14:textFill>
                    </w:rPr>
                    <w:t>南部的引桥旁</w:t>
                  </w:r>
                </w:p>
              </w:tc>
              <w:tc>
                <w:tcPr>
                  <w:tcW w:w="709" w:type="dxa"/>
                  <w:vMerge w:val="restart"/>
                  <w:vAlign w:val="center"/>
                </w:tcPr>
                <w:p w14:paraId="40EED55C">
                  <w:pPr>
                    <w:pStyle w:val="87"/>
                    <w:spacing w:after="0"/>
                    <w:ind w:left="0" w:leftChars="0"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m</w:t>
                  </w:r>
                  <w:r>
                    <w:rPr>
                      <w:rFonts w:ascii="Times New Roman" w:hAnsi="Times New Roman" w:cs="Times New Roman"/>
                      <w:color w:val="000000" w:themeColor="text1"/>
                      <w:sz w:val="21"/>
                      <w:szCs w:val="21"/>
                      <w:vertAlign w:val="superscript"/>
                      <w14:textFill>
                        <w14:solidFill>
                          <w14:schemeClr w14:val="tx1"/>
                        </w14:solidFill>
                      </w14:textFill>
                    </w:rPr>
                    <w:t>2</w:t>
                  </w:r>
                </w:p>
              </w:tc>
              <w:tc>
                <w:tcPr>
                  <w:tcW w:w="1544" w:type="dxa"/>
                  <w:vAlign w:val="center"/>
                </w:tcPr>
                <w:p w14:paraId="4F097BC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密封贮存（袋装）</w:t>
                  </w:r>
                </w:p>
              </w:tc>
              <w:tc>
                <w:tcPr>
                  <w:tcW w:w="789" w:type="dxa"/>
                  <w:vMerge w:val="restart"/>
                  <w:vAlign w:val="center"/>
                </w:tcPr>
                <w:p w14:paraId="35B6DCCA">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10</w:t>
                  </w:r>
                </w:p>
              </w:tc>
              <w:tc>
                <w:tcPr>
                  <w:tcW w:w="1284" w:type="dxa"/>
                  <w:vAlign w:val="center"/>
                </w:tcPr>
                <w:p w14:paraId="1B6FB2C1">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6个月</w:t>
                  </w:r>
                </w:p>
              </w:tc>
            </w:tr>
            <w:tr w14:paraId="45836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449" w:type="dxa"/>
                  <w:vAlign w:val="center"/>
                </w:tcPr>
                <w:p w14:paraId="31CC95F0">
                  <w:pPr>
                    <w:pStyle w:val="87"/>
                    <w:numPr>
                      <w:ilvl w:val="0"/>
                      <w:numId w:val="26"/>
                    </w:numPr>
                    <w:spacing w:after="0"/>
                    <w:ind w:leftChars="0" w:firstLineChars="0"/>
                    <w:jc w:val="center"/>
                    <w:rPr>
                      <w:rFonts w:ascii="Times New Roman" w:hAnsi="Times New Roman" w:cs="Times New Roman"/>
                      <w:color w:val="000000" w:themeColor="text1"/>
                      <w:sz w:val="21"/>
                      <w:szCs w:val="21"/>
                      <w14:textFill>
                        <w14:solidFill>
                          <w14:schemeClr w14:val="tx1"/>
                        </w14:solidFill>
                      </w14:textFill>
                    </w:rPr>
                  </w:pPr>
                </w:p>
              </w:tc>
              <w:tc>
                <w:tcPr>
                  <w:tcW w:w="894" w:type="dxa"/>
                  <w:vMerge w:val="continue"/>
                  <w:vAlign w:val="center"/>
                </w:tcPr>
                <w:p w14:paraId="32BDB7E3">
                  <w:pPr>
                    <w:pStyle w:val="87"/>
                    <w:spacing w:after="0"/>
                    <w:ind w:left="0" w:leftChars="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11" w:type="dxa"/>
                  <w:vAlign w:val="center"/>
                </w:tcPr>
                <w:p w14:paraId="384180E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废油漆</w:t>
                  </w:r>
                </w:p>
              </w:tc>
              <w:tc>
                <w:tcPr>
                  <w:tcW w:w="850" w:type="dxa"/>
                  <w:vAlign w:val="center"/>
                </w:tcPr>
                <w:p w14:paraId="086C9E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HW12</w:t>
                  </w:r>
                </w:p>
              </w:tc>
              <w:tc>
                <w:tcPr>
                  <w:tcW w:w="1199" w:type="dxa"/>
                  <w:vAlign w:val="center"/>
                </w:tcPr>
                <w:p w14:paraId="5EDAD289">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900-299-12</w:t>
                  </w:r>
                </w:p>
              </w:tc>
              <w:tc>
                <w:tcPr>
                  <w:tcW w:w="474" w:type="dxa"/>
                  <w:vMerge w:val="continue"/>
                  <w:vAlign w:val="center"/>
                </w:tcPr>
                <w:p w14:paraId="34AF0B68">
                  <w:pPr>
                    <w:jc w:val="center"/>
                    <w:rPr>
                      <w:rFonts w:ascii="Times New Roman" w:hAnsi="Times New Roman" w:cs="Times New Roman"/>
                      <w:bCs/>
                      <w:color w:val="FF0000"/>
                      <w:sz w:val="21"/>
                      <w:szCs w:val="21"/>
                    </w:rPr>
                  </w:pPr>
                </w:p>
              </w:tc>
              <w:tc>
                <w:tcPr>
                  <w:tcW w:w="709" w:type="dxa"/>
                  <w:vMerge w:val="continue"/>
                  <w:vAlign w:val="center"/>
                </w:tcPr>
                <w:p w14:paraId="071690CF">
                  <w:pPr>
                    <w:pStyle w:val="87"/>
                    <w:spacing w:after="0"/>
                    <w:ind w:left="0" w:leftChars="0" w:firstLine="0" w:firstLineChars="0"/>
                    <w:jc w:val="center"/>
                    <w:rPr>
                      <w:rFonts w:ascii="Times New Roman" w:hAnsi="Times New Roman" w:cs="Times New Roman"/>
                      <w:color w:val="FF0000"/>
                      <w:sz w:val="21"/>
                      <w:szCs w:val="21"/>
                    </w:rPr>
                  </w:pPr>
                </w:p>
              </w:tc>
              <w:tc>
                <w:tcPr>
                  <w:tcW w:w="1544" w:type="dxa"/>
                </w:tcPr>
                <w:p w14:paraId="5336AC9A">
                  <w:pPr>
                    <w:rPr>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密封贮存（桶装）</w:t>
                  </w:r>
                </w:p>
              </w:tc>
              <w:tc>
                <w:tcPr>
                  <w:tcW w:w="789" w:type="dxa"/>
                  <w:vMerge w:val="continue"/>
                  <w:vAlign w:val="center"/>
                </w:tcPr>
                <w:p w14:paraId="765D804C">
                  <w:pPr>
                    <w:jc w:val="center"/>
                    <w:rPr>
                      <w:rFonts w:ascii="Times New Roman" w:hAnsi="Times New Roman" w:cs="Times New Roman"/>
                      <w:bCs/>
                      <w:color w:val="000000" w:themeColor="text1"/>
                      <w:sz w:val="21"/>
                      <w:szCs w:val="21"/>
                      <w14:textFill>
                        <w14:solidFill>
                          <w14:schemeClr w14:val="tx1"/>
                        </w14:solidFill>
                      </w14:textFill>
                    </w:rPr>
                  </w:pPr>
                </w:p>
              </w:tc>
              <w:tc>
                <w:tcPr>
                  <w:tcW w:w="1284" w:type="dxa"/>
                  <w:vAlign w:val="center"/>
                </w:tcPr>
                <w:p w14:paraId="51063251">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2个月</w:t>
                  </w:r>
                </w:p>
              </w:tc>
            </w:tr>
            <w:tr w14:paraId="430F2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449" w:type="dxa"/>
                  <w:vAlign w:val="center"/>
                </w:tcPr>
                <w:p w14:paraId="7E1F6638">
                  <w:pPr>
                    <w:pStyle w:val="87"/>
                    <w:numPr>
                      <w:ilvl w:val="0"/>
                      <w:numId w:val="26"/>
                    </w:numPr>
                    <w:spacing w:after="0"/>
                    <w:ind w:leftChars="0" w:firstLineChars="0"/>
                    <w:jc w:val="center"/>
                    <w:rPr>
                      <w:rFonts w:ascii="Times New Roman" w:hAnsi="Times New Roman" w:cs="Times New Roman"/>
                      <w:color w:val="000000" w:themeColor="text1"/>
                      <w:sz w:val="21"/>
                      <w:szCs w:val="21"/>
                      <w14:textFill>
                        <w14:solidFill>
                          <w14:schemeClr w14:val="tx1"/>
                        </w14:solidFill>
                      </w14:textFill>
                    </w:rPr>
                  </w:pPr>
                </w:p>
              </w:tc>
              <w:tc>
                <w:tcPr>
                  <w:tcW w:w="894" w:type="dxa"/>
                  <w:vMerge w:val="continue"/>
                  <w:vAlign w:val="center"/>
                </w:tcPr>
                <w:p w14:paraId="0790B5D3">
                  <w:pPr>
                    <w:pStyle w:val="87"/>
                    <w:spacing w:after="0"/>
                    <w:ind w:left="0" w:leftChars="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11" w:type="dxa"/>
                  <w:vAlign w:val="center"/>
                </w:tcPr>
                <w:p w14:paraId="5C5EC3A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废酸</w:t>
                  </w:r>
                </w:p>
              </w:tc>
              <w:tc>
                <w:tcPr>
                  <w:tcW w:w="850" w:type="dxa"/>
                  <w:vAlign w:val="center"/>
                </w:tcPr>
                <w:p w14:paraId="451826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HW34</w:t>
                  </w:r>
                </w:p>
              </w:tc>
              <w:tc>
                <w:tcPr>
                  <w:tcW w:w="1199" w:type="dxa"/>
                  <w:vAlign w:val="center"/>
                </w:tcPr>
                <w:p w14:paraId="50B14D27">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900-349-34</w:t>
                  </w:r>
                </w:p>
              </w:tc>
              <w:tc>
                <w:tcPr>
                  <w:tcW w:w="474" w:type="dxa"/>
                  <w:vMerge w:val="continue"/>
                  <w:vAlign w:val="center"/>
                </w:tcPr>
                <w:p w14:paraId="4AD6AC88">
                  <w:pPr>
                    <w:jc w:val="center"/>
                    <w:rPr>
                      <w:rFonts w:ascii="Times New Roman" w:hAnsi="Times New Roman" w:cs="Times New Roman"/>
                      <w:bCs/>
                      <w:color w:val="FF0000"/>
                      <w:sz w:val="21"/>
                      <w:szCs w:val="21"/>
                    </w:rPr>
                  </w:pPr>
                </w:p>
              </w:tc>
              <w:tc>
                <w:tcPr>
                  <w:tcW w:w="709" w:type="dxa"/>
                  <w:vMerge w:val="continue"/>
                  <w:vAlign w:val="center"/>
                </w:tcPr>
                <w:p w14:paraId="29D531C3">
                  <w:pPr>
                    <w:pStyle w:val="87"/>
                    <w:spacing w:after="0"/>
                    <w:ind w:left="0" w:leftChars="0" w:firstLine="0" w:firstLineChars="0"/>
                    <w:jc w:val="center"/>
                    <w:rPr>
                      <w:rFonts w:ascii="Times New Roman" w:hAnsi="Times New Roman" w:cs="Times New Roman"/>
                      <w:color w:val="FF0000"/>
                      <w:sz w:val="21"/>
                      <w:szCs w:val="21"/>
                    </w:rPr>
                  </w:pPr>
                </w:p>
              </w:tc>
              <w:tc>
                <w:tcPr>
                  <w:tcW w:w="1544" w:type="dxa"/>
                </w:tcPr>
                <w:p w14:paraId="7765669B">
                  <w:pPr>
                    <w:rPr>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密封贮存（桶装）</w:t>
                  </w:r>
                </w:p>
              </w:tc>
              <w:tc>
                <w:tcPr>
                  <w:tcW w:w="789" w:type="dxa"/>
                  <w:vMerge w:val="continue"/>
                  <w:vAlign w:val="center"/>
                </w:tcPr>
                <w:p w14:paraId="294C00C3">
                  <w:pPr>
                    <w:jc w:val="center"/>
                    <w:rPr>
                      <w:rFonts w:ascii="Times New Roman" w:hAnsi="Times New Roman" w:cs="Times New Roman"/>
                      <w:bCs/>
                      <w:color w:val="000000" w:themeColor="text1"/>
                      <w:sz w:val="21"/>
                      <w:szCs w:val="21"/>
                      <w14:textFill>
                        <w14:solidFill>
                          <w14:schemeClr w14:val="tx1"/>
                        </w14:solidFill>
                      </w14:textFill>
                    </w:rPr>
                  </w:pPr>
                </w:p>
              </w:tc>
              <w:tc>
                <w:tcPr>
                  <w:tcW w:w="1284" w:type="dxa"/>
                  <w:vAlign w:val="center"/>
                </w:tcPr>
                <w:p w14:paraId="74BD278A">
                  <w:pPr>
                    <w:jc w:val="center"/>
                    <w:rPr>
                      <w:color w:val="000000" w:themeColor="text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2个月</w:t>
                  </w:r>
                </w:p>
              </w:tc>
            </w:tr>
            <w:tr w14:paraId="1F8AB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449" w:type="dxa"/>
                  <w:vAlign w:val="center"/>
                </w:tcPr>
                <w:p w14:paraId="746A5276">
                  <w:pPr>
                    <w:pStyle w:val="87"/>
                    <w:numPr>
                      <w:ilvl w:val="0"/>
                      <w:numId w:val="26"/>
                    </w:numPr>
                    <w:spacing w:after="0"/>
                    <w:ind w:leftChars="0" w:firstLineChars="0"/>
                    <w:jc w:val="center"/>
                    <w:rPr>
                      <w:rFonts w:ascii="Times New Roman" w:hAnsi="Times New Roman" w:cs="Times New Roman"/>
                      <w:color w:val="000000" w:themeColor="text1"/>
                      <w:sz w:val="21"/>
                      <w:szCs w:val="21"/>
                      <w14:textFill>
                        <w14:solidFill>
                          <w14:schemeClr w14:val="tx1"/>
                        </w14:solidFill>
                      </w14:textFill>
                    </w:rPr>
                  </w:pPr>
                </w:p>
              </w:tc>
              <w:tc>
                <w:tcPr>
                  <w:tcW w:w="894" w:type="dxa"/>
                  <w:vMerge w:val="continue"/>
                  <w:vAlign w:val="center"/>
                </w:tcPr>
                <w:p w14:paraId="04038259">
                  <w:pPr>
                    <w:pStyle w:val="87"/>
                    <w:spacing w:after="0"/>
                    <w:ind w:left="0" w:leftChars="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111" w:type="dxa"/>
                  <w:vAlign w:val="center"/>
                </w:tcPr>
                <w:p w14:paraId="58EA127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废碱</w:t>
                  </w:r>
                </w:p>
              </w:tc>
              <w:tc>
                <w:tcPr>
                  <w:tcW w:w="850" w:type="dxa"/>
                  <w:vAlign w:val="center"/>
                </w:tcPr>
                <w:p w14:paraId="5BEA4FD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HW35</w:t>
                  </w:r>
                </w:p>
              </w:tc>
              <w:tc>
                <w:tcPr>
                  <w:tcW w:w="1199" w:type="dxa"/>
                  <w:vAlign w:val="center"/>
                </w:tcPr>
                <w:p w14:paraId="542BBA8F">
                  <w:pPr>
                    <w:tabs>
                      <w:tab w:val="left" w:pos="945"/>
                      <w:tab w:val="right" w:leader="dot" w:pos="1155"/>
                      <w:tab w:val="left" w:pos="8715"/>
                    </w:tabs>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900-399-35</w:t>
                  </w:r>
                </w:p>
              </w:tc>
              <w:tc>
                <w:tcPr>
                  <w:tcW w:w="474" w:type="dxa"/>
                  <w:vMerge w:val="continue"/>
                  <w:vAlign w:val="center"/>
                </w:tcPr>
                <w:p w14:paraId="52F50EE1">
                  <w:pPr>
                    <w:jc w:val="center"/>
                    <w:rPr>
                      <w:rFonts w:ascii="Times New Roman" w:hAnsi="Times New Roman" w:cs="Times New Roman"/>
                      <w:bCs/>
                      <w:color w:val="FF0000"/>
                      <w:sz w:val="21"/>
                      <w:szCs w:val="21"/>
                    </w:rPr>
                  </w:pPr>
                </w:p>
              </w:tc>
              <w:tc>
                <w:tcPr>
                  <w:tcW w:w="709" w:type="dxa"/>
                  <w:vMerge w:val="continue"/>
                  <w:vAlign w:val="center"/>
                </w:tcPr>
                <w:p w14:paraId="1D8FBAAE">
                  <w:pPr>
                    <w:pStyle w:val="87"/>
                    <w:spacing w:after="0"/>
                    <w:ind w:left="0" w:leftChars="0" w:firstLine="0" w:firstLineChars="0"/>
                    <w:jc w:val="center"/>
                    <w:rPr>
                      <w:rFonts w:ascii="Times New Roman" w:hAnsi="Times New Roman" w:cs="Times New Roman"/>
                      <w:color w:val="FF0000"/>
                      <w:sz w:val="21"/>
                      <w:szCs w:val="21"/>
                    </w:rPr>
                  </w:pPr>
                </w:p>
              </w:tc>
              <w:tc>
                <w:tcPr>
                  <w:tcW w:w="1544" w:type="dxa"/>
                </w:tcPr>
                <w:p w14:paraId="2861AFA4">
                  <w:pPr>
                    <w:rPr>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密封贮存（桶装）</w:t>
                  </w:r>
                </w:p>
              </w:tc>
              <w:tc>
                <w:tcPr>
                  <w:tcW w:w="789" w:type="dxa"/>
                  <w:vMerge w:val="continue"/>
                  <w:vAlign w:val="center"/>
                </w:tcPr>
                <w:p w14:paraId="3AE4588F">
                  <w:pPr>
                    <w:jc w:val="center"/>
                    <w:rPr>
                      <w:rFonts w:ascii="Times New Roman" w:hAnsi="Times New Roman" w:cs="Times New Roman"/>
                      <w:bCs/>
                      <w:color w:val="000000" w:themeColor="text1"/>
                      <w:sz w:val="21"/>
                      <w:szCs w:val="21"/>
                      <w14:textFill>
                        <w14:solidFill>
                          <w14:schemeClr w14:val="tx1"/>
                        </w14:solidFill>
                      </w14:textFill>
                    </w:rPr>
                  </w:pPr>
                </w:p>
              </w:tc>
              <w:tc>
                <w:tcPr>
                  <w:tcW w:w="1284" w:type="dxa"/>
                  <w:vAlign w:val="center"/>
                </w:tcPr>
                <w:p w14:paraId="780B2C29">
                  <w:pPr>
                    <w:jc w:val="center"/>
                    <w:rPr>
                      <w:color w:val="000000" w:themeColor="text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2个月</w:t>
                  </w:r>
                </w:p>
              </w:tc>
            </w:tr>
          </w:tbl>
          <w:p w14:paraId="50D432CD">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（1）选址符合性要求</w:t>
            </w:r>
          </w:p>
          <w:p w14:paraId="195BB7A7">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根据《危险废物贮存污染控制标准》（GB18597-2023）</w:t>
            </w:r>
            <w:r>
              <w:rPr>
                <w:rFonts w:hint="eastAsia" w:ascii="Times New Roman" w:hAnsi="Times New Roman" w:cs="Times New Roman"/>
                <w:color w:val="000000" w:themeColor="text1"/>
                <w14:textFill>
                  <w14:solidFill>
                    <w14:schemeClr w14:val="tx1"/>
                  </w14:solidFill>
                </w14:textFill>
              </w:rPr>
              <w:t>的选址要求：A</w:t>
            </w:r>
            <w:r>
              <w:rPr>
                <w:rFonts w:ascii="Times New Roman" w:hAnsi="Times New Roman" w:cs="Times New Roman"/>
                <w:color w:val="000000" w:themeColor="text1"/>
                <w14:textFill>
                  <w14:solidFill>
                    <w14:schemeClr w14:val="tx1"/>
                  </w14:solidFill>
                </w14:textFill>
              </w:rPr>
              <w:t>集中贮存设施不应选在生态保护红线区域、永久基本农田和其他需要特别保护的区域内，不应建</w:t>
            </w:r>
            <w:r>
              <w:rPr>
                <w:rFonts w:hint="eastAsia" w:ascii="Times New Roman" w:hAnsi="Times New Roman" w:cs="Times New Roman"/>
                <w:color w:val="000000" w:themeColor="text1"/>
                <w14:textFill>
                  <w14:solidFill>
                    <w14:schemeClr w14:val="tx1"/>
                  </w14:solidFill>
                </w14:textFill>
              </w:rPr>
              <w:t>在溶洞区或易遭受洪水、滑坡、泥石流、潮汐等严重自然灾害影响的地区。B</w:t>
            </w:r>
            <w:r>
              <w:rPr>
                <w:rFonts w:ascii="Times New Roman" w:hAnsi="Times New Roman" w:cs="Times New Roman"/>
                <w:color w:val="000000" w:themeColor="text1"/>
                <w14:textFill>
                  <w14:solidFill>
                    <w14:schemeClr w14:val="tx1"/>
                  </w14:solidFill>
                </w14:textFill>
              </w:rPr>
              <w:t>贮存设施不应选在江河、湖泊、运河、渠道、水库及其最高水位线以下的滩地和岸坡，以及法律</w:t>
            </w:r>
            <w:r>
              <w:rPr>
                <w:rFonts w:hint="eastAsia" w:ascii="Times New Roman" w:hAnsi="Times New Roman" w:cs="Times New Roman"/>
                <w:color w:val="000000" w:themeColor="text1"/>
                <w14:textFill>
                  <w14:solidFill>
                    <w14:schemeClr w14:val="tx1"/>
                  </w14:solidFill>
                </w14:textFill>
              </w:rPr>
              <w:t>法规规定禁止贮存危险废物的其他地点。C</w:t>
            </w:r>
            <w:r>
              <w:rPr>
                <w:rFonts w:ascii="Times New Roman" w:hAnsi="Times New Roman" w:cs="Times New Roman"/>
                <w:color w:val="000000" w:themeColor="text1"/>
                <w14:textFill>
                  <w14:solidFill>
                    <w14:schemeClr w14:val="tx1"/>
                  </w14:solidFill>
                </w14:textFill>
              </w:rPr>
              <w:t>贮存设施场址的位置以及其与周围环境敏感目标的距离应依据环境影响评价文件确定</w:t>
            </w:r>
            <w:r>
              <w:rPr>
                <w:rFonts w:hint="eastAsia" w:ascii="Times New Roman" w:hAnsi="Times New Roman" w:cs="Times New Roman"/>
                <w:color w:val="000000" w:themeColor="text1"/>
                <w14:textFill>
                  <w14:solidFill>
                    <w14:schemeClr w14:val="tx1"/>
                  </w14:solidFill>
                </w14:textFill>
              </w:rPr>
              <w:t>。</w:t>
            </w:r>
          </w:p>
          <w:p w14:paraId="60D7AB45">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本项目</w:t>
            </w:r>
            <w:r>
              <w:rPr>
                <w:rFonts w:ascii="Times New Roman" w:hAnsi="Times New Roman" w:cs="Times New Roman"/>
                <w:color w:val="000000" w:themeColor="text1"/>
                <w:szCs w:val="21"/>
                <w14:textFill>
                  <w14:solidFill>
                    <w14:schemeClr w14:val="tx1"/>
                  </w14:solidFill>
                </w14:textFill>
              </w:rPr>
              <w:t>危废</w:t>
            </w:r>
            <w:r>
              <w:rPr>
                <w:rFonts w:hint="eastAsia" w:ascii="Times New Roman" w:hAnsi="Times New Roman" w:cs="Times New Roman"/>
                <w:color w:val="000000" w:themeColor="text1"/>
                <w:szCs w:val="21"/>
                <w14:textFill>
                  <w14:solidFill>
                    <w14:schemeClr w14:val="tx1"/>
                  </w14:solidFill>
                </w14:textFill>
              </w:rPr>
              <w:t>贮存库</w:t>
            </w:r>
            <w:r>
              <w:rPr>
                <w:rFonts w:ascii="Times New Roman" w:hAnsi="Times New Roman" w:cs="Times New Roman"/>
                <w:bCs/>
                <w:color w:val="000000" w:themeColor="text1"/>
                <w:szCs w:val="21"/>
                <w14:textFill>
                  <w14:solidFill>
                    <w14:schemeClr w14:val="tx1"/>
                  </w14:solidFill>
                </w14:textFill>
              </w:rPr>
              <w:t>位于厂区</w:t>
            </w:r>
            <w:r>
              <w:rPr>
                <w:rFonts w:hint="eastAsia" w:ascii="Times New Roman" w:hAnsi="Times New Roman" w:cs="Times New Roman"/>
                <w:bCs/>
                <w:color w:val="000000" w:themeColor="text1"/>
                <w:szCs w:val="21"/>
                <w14:textFill>
                  <w14:solidFill>
                    <w14:schemeClr w14:val="tx1"/>
                  </w14:solidFill>
                </w14:textFill>
              </w:rPr>
              <w:t>南部引桥旁，项目所在地不涉及</w:t>
            </w:r>
            <w:r>
              <w:rPr>
                <w:rFonts w:ascii="Times New Roman" w:hAnsi="Times New Roman" w:cs="Times New Roman"/>
                <w:color w:val="000000" w:themeColor="text1"/>
                <w14:textFill>
                  <w14:solidFill>
                    <w14:schemeClr w14:val="tx1"/>
                  </w14:solidFill>
                </w14:textFill>
              </w:rPr>
              <w:t>生态保护红线区域、永久基本农田和其他需要特别保护的区域内</w:t>
            </w:r>
            <w:r>
              <w:rPr>
                <w:rFonts w:hint="eastAsia" w:ascii="Times New Roman" w:hAnsi="Times New Roman" w:cs="Times New Roman"/>
                <w:color w:val="000000" w:themeColor="text1"/>
                <w14:textFill>
                  <w14:solidFill>
                    <w14:schemeClr w14:val="tx1"/>
                  </w14:solidFill>
                </w14:textFill>
              </w:rPr>
              <w:t>。根据现场情况，项目场区区域地壳基本稳定，场地内及邻近区域未发现滑坡、地面塌陷等不良地质现象，也未见影响地基稳定的不良地质作用，项目区域东侧有海堤防护，本项目场地距离海堤最近距离约为105</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，据调查钦州湾海域的极端高水位</w:t>
            </w:r>
            <w:r>
              <w:rPr>
                <w:rFonts w:ascii="Times New Roman" w:hAnsi="Times New Roman" w:cs="Times New Roman"/>
                <w:color w:val="000000" w:themeColor="text1"/>
                <w14:textFill>
                  <w14:solidFill>
                    <w14:schemeClr w14:val="tx1"/>
                  </w14:solidFill>
                </w14:textFill>
              </w:rPr>
              <w:t>+3.76m（重现期50年）</w:t>
            </w:r>
            <w:r>
              <w:rPr>
                <w:rFonts w:hint="eastAsia" w:ascii="Times New Roman" w:hAnsi="Times New Roman" w:cs="Times New Roman"/>
                <w:color w:val="000000" w:themeColor="text1"/>
                <w14:textFill>
                  <w14:solidFill>
                    <w14:schemeClr w14:val="tx1"/>
                  </w14:solidFill>
                </w14:textFill>
              </w:rPr>
              <w:t>，项目现状地面标高约为</w:t>
            </w:r>
            <w:r>
              <w:rPr>
                <w:rFonts w:ascii="Times New Roman" w:hAnsi="Times New Roman" w:cs="Times New Roman"/>
                <w:color w:val="000000" w:themeColor="text1"/>
                <w14:textFill>
                  <w14:solidFill>
                    <w14:schemeClr w14:val="tx1"/>
                  </w14:solidFill>
                </w14:textFill>
              </w:rPr>
              <w:t>4.04～5.51m</w:t>
            </w:r>
            <w:r>
              <w:rPr>
                <w:rFonts w:hint="eastAsia" w:ascii="Times New Roman" w:hAnsi="Times New Roman" w:cs="Times New Roman"/>
                <w:color w:val="000000" w:themeColor="text1"/>
                <w14:textFill>
                  <w14:solidFill>
                    <w14:schemeClr w14:val="tx1"/>
                  </w14:solidFill>
                </w14:textFill>
              </w:rPr>
              <w:t>，项目危险贮存库所在地不属于严重自然灾害影响的地区，也不在最高水位线以下的</w:t>
            </w:r>
            <w:r>
              <w:rPr>
                <w:rFonts w:ascii="Times New Roman" w:hAnsi="Times New Roman" w:cs="Times New Roman"/>
                <w:color w:val="000000" w:themeColor="text1"/>
                <w14:textFill>
                  <w14:solidFill>
                    <w14:schemeClr w14:val="tx1"/>
                  </w14:solidFill>
                </w14:textFill>
              </w:rPr>
              <w:t>滩地和岸坡</w:t>
            </w:r>
            <w:r>
              <w:rPr>
                <w:rFonts w:hint="eastAsia" w:ascii="Times New Roman" w:hAnsi="Times New Roman" w:cs="Times New Roman"/>
                <w:color w:val="000000" w:themeColor="text1"/>
                <w14:textFill>
                  <w14:solidFill>
                    <w14:schemeClr w14:val="tx1"/>
                  </w14:solidFill>
                </w14:textFill>
              </w:rPr>
              <w:t>，项目周边500m范围内无环境敏感目标。因此，本项目贮存库的选址符合规范要求。</w:t>
            </w:r>
          </w:p>
          <w:p w14:paraId="6BA09D47">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（2）储存能力分析</w:t>
            </w:r>
          </w:p>
          <w:p w14:paraId="6668983A">
            <w:pPr>
              <w:pStyle w:val="203"/>
              <w:rPr>
                <w:rFonts w:ascii="Times New Roman" w:hAnsi="Times New Roman" w:cs="Times New Roman"/>
                <w:color w:val="FF0000"/>
                <w:u w:val="single"/>
              </w:rPr>
            </w:pPr>
            <w:r>
              <w:rPr>
                <w:rFonts w:hint="eastAsia" w:ascii="Times New Roman" w:hAnsi="Times New Roman" w:cs="Times New Roman"/>
                <w:color w:val="000000" w:themeColor="text1"/>
                <w14:textFill>
                  <w14:solidFill>
                    <w14:schemeClr w14:val="tx1"/>
                  </w14:solidFill>
                </w14:textFill>
              </w:rPr>
              <w:t>项目危废贮存库主要储存废抹布等吸附材料、废油漆、废酸、废碱，总产生量为1.9t/a。。危废贮存库的危险废物至少半年清运一次，项目危废贮存库储存能力为10吨，贮存能力满足要求。</w:t>
            </w:r>
          </w:p>
          <w:p w14:paraId="187DDAC6">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（3）危废贮存库</w:t>
            </w:r>
            <w:r>
              <w:rPr>
                <w:rFonts w:ascii="Times New Roman" w:hAnsi="Times New Roman" w:cs="Times New Roman"/>
                <w:color w:val="000000" w:themeColor="text1"/>
                <w14:textFill>
                  <w14:solidFill>
                    <w14:schemeClr w14:val="tx1"/>
                  </w14:solidFill>
                </w14:textFill>
              </w:rPr>
              <w:t>控制要求</w:t>
            </w:r>
          </w:p>
          <w:p w14:paraId="5EF576FA">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根据《危险废物贮存污染控制标准》（GB18597-2023），</w:t>
            </w:r>
            <w:r>
              <w:rPr>
                <w:rFonts w:hint="eastAsia" w:ascii="Times New Roman" w:hAnsi="Times New Roman" w:cs="Times New Roman"/>
                <w:color w:val="000000" w:themeColor="text1"/>
                <w14:textFill>
                  <w14:solidFill>
                    <w14:schemeClr w14:val="tx1"/>
                  </w14:solidFill>
                </w14:textFill>
              </w:rPr>
              <w:t>危废贮存库</w:t>
            </w:r>
            <w:r>
              <w:rPr>
                <w:rFonts w:ascii="Times New Roman" w:hAnsi="Times New Roman" w:cs="Times New Roman"/>
                <w:color w:val="000000" w:themeColor="text1"/>
                <w14:textFill>
                  <w14:solidFill>
                    <w14:schemeClr w14:val="tx1"/>
                  </w14:solidFill>
                </w14:textFill>
              </w:rPr>
              <w:t>控制要求如下：</w:t>
            </w:r>
          </w:p>
          <w:p w14:paraId="575AA11C">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1）危废贮存库应采取必要的防风、防晒、防雨、防漏、防渗、防腐以及其他环境污染防治措施，不应露天堆放危险废物。</w:t>
            </w:r>
          </w:p>
          <w:p w14:paraId="0655E9DE">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2）贮存设施或贮存分区内地面、墙面裙脚、堵截泄漏的围堰、接触危险废物的隔板和墙体等应采用坚固的材料建造，表面无裂缝。</w:t>
            </w:r>
          </w:p>
          <w:p w14:paraId="53498A4A">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3）贮存设施地面与裙脚应采取表面防渗措施；表面防渗材料应与所接触的物料或污染物相容，可采用抗渗混凝土、高密度聚乙烯膜、钠基膨润土防水毯或其他防渗性能等效的材料。</w:t>
            </w:r>
          </w:p>
          <w:p w14:paraId="5E9BB213">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）不同贮存分区之间应采取隔离措施。隔离措施可根据危险废物特性采用过道、隔板或隔墙等方式。</w:t>
            </w:r>
          </w:p>
          <w:p w14:paraId="012464C9">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废抹布等固态危险废物与废酸、废碱等液态危险废物采取分区方式贮存，废水等液态危险废物区</w:t>
            </w:r>
            <w:r>
              <w:rPr>
                <w:rFonts w:ascii="Times New Roman" w:hAnsi="Times New Roman" w:cs="Times New Roman"/>
                <w:color w:val="000000" w:themeColor="text1"/>
                <w14:textFill>
                  <w14:solidFill>
                    <w14:schemeClr w14:val="tx1"/>
                  </w14:solidFill>
                </w14:textFill>
              </w:rPr>
              <w:t>应具有液体泄漏堵截设施，堵截设施最小容积不应低于对应贮存区域最大液态废物容器容积或液态废物总储量 1/10（二者取较大者）。</w:t>
            </w:r>
          </w:p>
          <w:p w14:paraId="27D0D9EB">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）液态危险废物应装入容器内贮存；半固态危险废物应装入容器或包装袋内贮存，或直接采用贮存池贮存；固态危险废物应装入容器或包装物内贮存。</w:t>
            </w:r>
          </w:p>
          <w:p w14:paraId="1AAD80E6">
            <w:pPr>
              <w:pStyle w:val="203"/>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（4）危废贮存库建设要求的相符性分析</w:t>
            </w:r>
          </w:p>
          <w:p w14:paraId="7E4DA314">
            <w:pPr>
              <w:pStyle w:val="203"/>
              <w:rPr>
                <w:rFonts w:ascii="Times New Roman" w:hAnsi="Times New Roman" w:cs="Times New Roman"/>
                <w:color w:val="FF0000"/>
              </w:rPr>
            </w:pPr>
            <w:r>
              <w:rPr>
                <w:rFonts w:hint="eastAsia" w:ascii="Times New Roman" w:hAnsi="Times New Roman" w:cs="Times New Roman"/>
                <w:color w:val="000000" w:themeColor="text1"/>
                <w14:textFill>
                  <w14:solidFill>
                    <w14:schemeClr w14:val="tx1"/>
                  </w14:solidFill>
                </w14:textFill>
              </w:rPr>
              <w:t>本项目危废贮存库设有单独的房间，地面铺设防渗混凝土，危废贮存库内的液态危险废物均采用密封的桶储存，固态危险废物采用密封袋储存，不同种类的危险废物之间分区存放，项目危险废物贮存在五防、分区存放方面满足</w:t>
            </w:r>
            <w:r>
              <w:rPr>
                <w:rFonts w:ascii="Times New Roman" w:hAnsi="Times New Roman" w:cs="Times New Roman"/>
                <w:color w:val="000000" w:themeColor="text1"/>
                <w14:textFill>
                  <w14:solidFill>
                    <w14:schemeClr w14:val="tx1"/>
                  </w14:solidFill>
                </w14:textFill>
              </w:rPr>
              <w:t>《危险废物贮存污染控制标准》（GB18597-2023）</w:t>
            </w:r>
            <w:r>
              <w:rPr>
                <w:rFonts w:hint="eastAsia" w:ascii="Times New Roman" w:hAnsi="Times New Roman" w:cs="Times New Roman"/>
                <w:color w:val="000000" w:themeColor="text1"/>
                <w14:textFill>
                  <w14:solidFill>
                    <w14:schemeClr w14:val="tx1"/>
                  </w14:solidFill>
                </w14:textFill>
              </w:rPr>
              <w:t>中危险贮存库的要求。由于液态危险废物较多，要求建设单位需在废酸、废碱等液态危险废物与废抹布等固态危险废物存放区域之间使用围堰进行隔离，同时围堰也能防止液体物料泄漏至危废贮存库外。本评价要求建设单位根据《危险废物识别标志设置技术规范》（HJ1276-2022）设置标志牌、危险废物标签等。</w:t>
            </w:r>
          </w:p>
          <w:p w14:paraId="32ECDB6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4.3环境管理要求</w:t>
            </w:r>
          </w:p>
          <w:p w14:paraId="3824488B">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危险废物其储存、转运和处理途径需遵守国家有关危险废物储存、转移及处理的相关规定。该项目危险废物储存应遵守以下要求：</w:t>
            </w:r>
          </w:p>
          <w:p w14:paraId="38D9FC72">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（1）危险废物存入贮存设施前应对危险废物类别和特性与危险废物标签等危险废物识别标志的一致性进行核验，不一致的或类别、特性不明的不应存入。</w:t>
            </w:r>
          </w:p>
          <w:p w14:paraId="2C0A073D">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（2）应定期检查危险废物的贮存状况，及时清理贮存设施地面，更换破损泄漏的危险废物贮存容器和包装物，保证堆存危险废物的防雨、防风、防扬尘等设施功能完好。</w:t>
            </w:r>
          </w:p>
          <w:p w14:paraId="0239DC9C">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（3）贮存设施运行期间，应按国家有关标准和规定建立危险废物管理台账并保存。</w:t>
            </w:r>
          </w:p>
          <w:p w14:paraId="02559C68">
            <w:pPr>
              <w:pStyle w:val="203"/>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（4）贮存设施所有者或运营者应建立贮存设施环境管理制度、管理人员岗位职责制度、设施运行操作制度、人员岗位培训制度等。</w:t>
            </w:r>
          </w:p>
          <w:p w14:paraId="456773E9">
            <w:pPr>
              <w:pStyle w:val="203"/>
              <w:ind w:firstLine="482"/>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5、地下水、土壤</w:t>
            </w:r>
          </w:p>
          <w:p w14:paraId="3CCAAE41">
            <w:pPr>
              <w:tabs>
                <w:tab w:val="left" w:pos="462"/>
              </w:tabs>
              <w:spacing w:line="360" w:lineRule="auto"/>
              <w:ind w:firstLine="480" w:firstLineChars="200"/>
              <w:rPr>
                <w:rFonts w:ascii="Times New Roman" w:hAnsi="Times New Roman" w:cs="Times New Roman"/>
                <w:color w:val="000000" w:themeColor="text1"/>
                <w:szCs w:val="32"/>
                <w14:textFill>
                  <w14:solidFill>
                    <w14:schemeClr w14:val="tx1"/>
                  </w14:solidFill>
                </w14:textFill>
              </w:rPr>
            </w:pPr>
            <w:r>
              <w:rPr>
                <w:rFonts w:ascii="Times New Roman" w:hAnsi="Times New Roman" w:cs="Times New Roman"/>
                <w:color w:val="000000" w:themeColor="text1"/>
                <w:szCs w:val="32"/>
                <w14:textFill>
                  <w14:solidFill>
                    <w14:schemeClr w14:val="tx1"/>
                  </w14:solidFill>
                </w14:textFill>
              </w:rPr>
              <w:t>（1）污染源、污染物类型及污染途径</w:t>
            </w:r>
          </w:p>
          <w:p w14:paraId="433E5494">
            <w:pPr>
              <w:tabs>
                <w:tab w:val="left" w:pos="462"/>
              </w:tabs>
              <w:spacing w:line="360" w:lineRule="auto"/>
              <w:ind w:firstLine="480" w:firstLineChars="200"/>
              <w:rPr>
                <w:rFonts w:ascii="Times New Roman" w:hAnsi="Times New Roman" w:cs="Times New Roman"/>
                <w:color w:val="000000" w:themeColor="text1"/>
                <w:szCs w:val="32"/>
                <w14:textFill>
                  <w14:solidFill>
                    <w14:schemeClr w14:val="tx1"/>
                  </w14:solidFill>
                </w14:textFill>
              </w:rPr>
            </w:pPr>
            <w:r>
              <w:rPr>
                <w:rFonts w:ascii="Times New Roman" w:hAnsi="Times New Roman" w:cs="Times New Roman"/>
                <w:color w:val="000000" w:themeColor="text1"/>
                <w:szCs w:val="32"/>
                <w14:textFill>
                  <w14:solidFill>
                    <w14:schemeClr w14:val="tx1"/>
                  </w14:solidFill>
                </w14:textFill>
              </w:rPr>
              <w:t>本项目污染地下水和土壤的污染源</w:t>
            </w:r>
            <w:r>
              <w:rPr>
                <w:rFonts w:hint="eastAsia" w:ascii="Times New Roman" w:hAnsi="Times New Roman" w:cs="Times New Roman"/>
                <w:color w:val="000000" w:themeColor="text1"/>
                <w:szCs w:val="32"/>
                <w14:textFill>
                  <w14:solidFill>
                    <w14:schemeClr w14:val="tx1"/>
                  </w14:solidFill>
                </w14:textFill>
              </w:rPr>
              <w:t>产生区域</w:t>
            </w:r>
            <w:r>
              <w:rPr>
                <w:rFonts w:ascii="Times New Roman" w:hAnsi="Times New Roman" w:cs="Times New Roman"/>
                <w:color w:val="000000" w:themeColor="text1"/>
                <w:szCs w:val="32"/>
                <w14:textFill>
                  <w14:solidFill>
                    <w14:schemeClr w14:val="tx1"/>
                  </w14:solidFill>
                </w14:textFill>
              </w:rPr>
              <w:t>主要</w:t>
            </w:r>
            <w:r>
              <w:rPr>
                <w:rFonts w:hint="eastAsia" w:ascii="Times New Roman" w:hAnsi="Times New Roman" w:cs="Times New Roman"/>
                <w:color w:val="000000" w:themeColor="text1"/>
                <w:szCs w:val="32"/>
                <w14:textFill>
                  <w14:solidFill>
                    <w14:schemeClr w14:val="tx1"/>
                  </w14:solidFill>
                </w14:textFill>
              </w:rPr>
              <w:t>为</w:t>
            </w:r>
            <w:r>
              <w:rPr>
                <w:rFonts w:ascii="Times New Roman" w:hAnsi="Times New Roman" w:cs="Times New Roman"/>
                <w:color w:val="000000" w:themeColor="text1"/>
                <w:szCs w:val="32"/>
                <w14:textFill>
                  <w14:solidFill>
                    <w14:schemeClr w14:val="tx1"/>
                  </w14:solidFill>
                </w14:textFill>
              </w:rPr>
              <w:t>储罐区、装卸</w:t>
            </w:r>
            <w:r>
              <w:rPr>
                <w:rFonts w:hint="eastAsia" w:ascii="Times New Roman" w:hAnsi="Times New Roman" w:cs="Times New Roman"/>
                <w:color w:val="000000" w:themeColor="text1"/>
                <w:szCs w:val="32"/>
                <w14:textFill>
                  <w14:solidFill>
                    <w14:schemeClr w14:val="tx1"/>
                  </w14:solidFill>
                </w14:textFill>
              </w:rPr>
              <w:t>车台、危废贮存库</w:t>
            </w:r>
            <w:r>
              <w:rPr>
                <w:rFonts w:ascii="Times New Roman" w:hAnsi="Times New Roman" w:cs="Times New Roman"/>
                <w:color w:val="000000" w:themeColor="text1"/>
                <w:szCs w:val="32"/>
                <w14:textFill>
                  <w14:solidFill>
                    <w14:schemeClr w14:val="tx1"/>
                  </w14:solidFill>
                </w14:textFill>
              </w:rPr>
              <w:t>等；产生影响的途径主要为</w:t>
            </w:r>
            <w:r>
              <w:rPr>
                <w:rFonts w:hint="eastAsia" w:ascii="Times New Roman" w:hAnsi="Times New Roman" w:cs="Times New Roman"/>
                <w:color w:val="000000" w:themeColor="text1"/>
                <w:szCs w:val="32"/>
                <w14:textFill>
                  <w14:solidFill>
                    <w14:schemeClr w14:val="tx1"/>
                  </w14:solidFill>
                </w14:textFill>
              </w:rPr>
              <w:t>液硫、</w:t>
            </w:r>
            <w:r>
              <w:rPr>
                <w:rFonts w:ascii="Times New Roman" w:hAnsi="Times New Roman" w:cs="Times New Roman"/>
                <w:color w:val="000000" w:themeColor="text1"/>
                <w:szCs w:val="32"/>
                <w14:textFill>
                  <w14:solidFill>
                    <w14:schemeClr w14:val="tx1"/>
                  </w14:solidFill>
                </w14:textFill>
              </w:rPr>
              <w:t>硫酸、液碱等泄漏进入地下水和土壤</w:t>
            </w:r>
            <w:r>
              <w:rPr>
                <w:rFonts w:hint="eastAsia" w:ascii="Times New Roman" w:hAnsi="Times New Roman" w:cs="Times New Roman"/>
                <w:color w:val="000000" w:themeColor="text1"/>
                <w:szCs w:val="32"/>
                <w14:textFill>
                  <w14:solidFill>
                    <w14:schemeClr w14:val="tx1"/>
                  </w14:solidFill>
                </w14:textFill>
              </w:rPr>
              <w:t>；非甲烷总烃、硫酸雾、碱雾等污染物通过大气沉降进入土壤；贮存的液态危险废物泄漏后通过下渗、地面裂缝等方式进入地下水和土壤</w:t>
            </w:r>
            <w:r>
              <w:rPr>
                <w:rFonts w:ascii="Times New Roman" w:hAnsi="Times New Roman" w:cs="Times New Roman"/>
                <w:color w:val="000000" w:themeColor="text1"/>
                <w:szCs w:val="32"/>
                <w14:textFill>
                  <w14:solidFill>
                    <w14:schemeClr w14:val="tx1"/>
                  </w14:solidFill>
                </w14:textFill>
              </w:rPr>
              <w:t>。</w:t>
            </w:r>
          </w:p>
          <w:p w14:paraId="751FE473">
            <w:pPr>
              <w:tabs>
                <w:tab w:val="left" w:pos="462"/>
              </w:tabs>
              <w:spacing w:line="360" w:lineRule="auto"/>
              <w:ind w:firstLine="480" w:firstLineChars="200"/>
              <w:rPr>
                <w:rFonts w:ascii="Times New Roman" w:hAnsi="Times New Roman" w:cs="Times New Roman"/>
                <w:color w:val="000000" w:themeColor="text1"/>
                <w:szCs w:val="32"/>
                <w14:textFill>
                  <w14:solidFill>
                    <w14:schemeClr w14:val="tx1"/>
                  </w14:solidFill>
                </w14:textFill>
              </w:rPr>
            </w:pPr>
            <w:r>
              <w:rPr>
                <w:rFonts w:ascii="Times New Roman" w:hAnsi="Times New Roman" w:cs="Times New Roman"/>
                <w:color w:val="000000" w:themeColor="text1"/>
                <w:szCs w:val="32"/>
                <w14:textFill>
                  <w14:solidFill>
                    <w14:schemeClr w14:val="tx1"/>
                  </w14:solidFill>
                </w14:textFill>
              </w:rPr>
              <w:t>（2）污染防控措施</w:t>
            </w:r>
          </w:p>
          <w:p w14:paraId="3BBA9739">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根据可能造成地下水污染等的影响程度不同，</w:t>
            </w:r>
            <w:r>
              <w:rPr>
                <w:rFonts w:ascii="Times New Roman" w:hAnsi="Times New Roman" w:cs="Times New Roman"/>
                <w:color w:val="000000" w:themeColor="text1"/>
                <w14:textFill>
                  <w14:solidFill>
                    <w14:schemeClr w14:val="tx1"/>
                  </w14:solidFill>
                </w14:textFill>
              </w:rPr>
              <w:t>参照《环境影响评价技术导则地下水环境》（HJ610-2016）中的地下水污染防渗分区参照表，</w:t>
            </w:r>
            <w:r>
              <w:rPr>
                <w:rFonts w:ascii="Times New Roman" w:hAnsi="Times New Roman" w:cs="Times New Roman"/>
                <w:bCs/>
                <w:color w:val="000000" w:themeColor="text1"/>
                <w14:textFill>
                  <w14:solidFill>
                    <w14:schemeClr w14:val="tx1"/>
                  </w14:solidFill>
                </w14:textFill>
              </w:rPr>
              <w:t>将本项目进行分区防控，分别是：重点防渗区、一般防渗区。重点防渗区为储罐区、危废</w:t>
            </w:r>
            <w:r>
              <w:rPr>
                <w:rFonts w:hint="eastAsia" w:ascii="Times New Roman" w:hAnsi="Times New Roman" w:cs="Times New Roman"/>
                <w:bCs/>
                <w:color w:val="000000" w:themeColor="text1"/>
                <w14:textFill>
                  <w14:solidFill>
                    <w14:schemeClr w14:val="tx1"/>
                  </w14:solidFill>
                </w14:textFill>
              </w:rPr>
              <w:t>贮存库、</w:t>
            </w:r>
            <w:r>
              <w:rPr>
                <w:rFonts w:ascii="Times New Roman" w:hAnsi="Times New Roman" w:cs="Times New Roman"/>
                <w:bCs/>
                <w:color w:val="000000" w:themeColor="text1"/>
                <w14:textFill>
                  <w14:solidFill>
                    <w14:schemeClr w14:val="tx1"/>
                  </w14:solidFill>
                </w14:textFill>
              </w:rPr>
              <w:t>装卸区等，一般防渗区</w:t>
            </w:r>
            <w:r>
              <w:rPr>
                <w:rFonts w:hint="eastAsia" w:ascii="Times New Roman" w:hAnsi="Times New Roman" w:cs="Times New Roman"/>
                <w:bCs/>
                <w:color w:val="000000" w:themeColor="text1"/>
                <w14:textFill>
                  <w14:solidFill>
                    <w14:schemeClr w14:val="tx1"/>
                  </w14:solidFill>
                </w14:textFill>
              </w:rPr>
              <w:t>为</w:t>
            </w:r>
            <w:r>
              <w:rPr>
                <w:rFonts w:ascii="Times New Roman" w:hAnsi="Times New Roman" w:cs="Times New Roman"/>
                <w:bCs/>
                <w:color w:val="000000" w:themeColor="text1"/>
                <w14:textFill>
                  <w14:solidFill>
                    <w14:schemeClr w14:val="tx1"/>
                  </w14:solidFill>
                </w14:textFill>
              </w:rPr>
              <w:t>厂区其他区域。由于污水收集池为依托</w:t>
            </w:r>
            <w:r>
              <w:rPr>
                <w:rFonts w:hint="eastAsia" w:ascii="Times New Roman" w:hAnsi="Times New Roman" w:cs="Times New Roman"/>
                <w:bCs/>
                <w:color w:val="000000" w:themeColor="text1"/>
                <w14:textFill>
                  <w14:solidFill>
                    <w14:schemeClr w14:val="tx1"/>
                  </w14:solidFill>
                </w14:textFill>
              </w:rPr>
              <w:t>逸海</w:t>
            </w:r>
            <w:r>
              <w:rPr>
                <w:rFonts w:ascii="Times New Roman" w:hAnsi="Times New Roman" w:cs="Times New Roman"/>
                <w:bCs/>
                <w:color w:val="000000" w:themeColor="text1"/>
                <w14:textFill>
                  <w14:solidFill>
                    <w14:schemeClr w14:val="tx1"/>
                  </w14:solidFill>
                </w14:textFill>
              </w:rPr>
              <w:t>一期项目，本次评价不列入分区防</w:t>
            </w:r>
            <w:r>
              <w:rPr>
                <w:rFonts w:hint="eastAsia" w:ascii="Times New Roman" w:hAnsi="Times New Roman" w:cs="Times New Roman"/>
                <w:bCs/>
                <w:color w:val="000000" w:themeColor="text1"/>
                <w14:textFill>
                  <w14:solidFill>
                    <w14:schemeClr w14:val="tx1"/>
                  </w14:solidFill>
                </w14:textFill>
              </w:rPr>
              <w:t>控</w:t>
            </w:r>
            <w:r>
              <w:rPr>
                <w:rFonts w:ascii="Times New Roman" w:hAnsi="Times New Roman" w:cs="Times New Roman"/>
                <w:bCs/>
                <w:color w:val="000000" w:themeColor="text1"/>
                <w14:textFill>
                  <w14:solidFill>
                    <w14:schemeClr w14:val="tx1"/>
                  </w14:solidFill>
                </w14:textFill>
              </w:rPr>
              <w:t>范围。</w:t>
            </w:r>
          </w:p>
          <w:p w14:paraId="7EFEF364">
            <w:pPr>
              <w:pStyle w:val="3812"/>
              <w:shd w:val="clear" w:color="auto" w:fill="FFFFFF"/>
              <w:adjustRightInd w:val="0"/>
              <w:snapToGrid w:val="0"/>
              <w:spacing w:before="0" w:beforeAutospacing="0" w:after="0" w:afterAutospacing="0" w:line="240" w:lineRule="atLeas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表4-</w:t>
            </w:r>
            <w:r>
              <w:rPr>
                <w:rFonts w:hint="eastAsia" w:ascii="Times New Roman" w:hAnsi="Times New Roman" w:cs="Times New Roman"/>
                <w:b/>
                <w:bCs/>
                <w:color w:val="000000" w:themeColor="text1"/>
                <w:szCs w:val="21"/>
                <w14:textFill>
                  <w14:solidFill>
                    <w14:schemeClr w14:val="tx1"/>
                  </w14:solidFill>
                </w14:textFill>
              </w:rPr>
              <w:t xml:space="preserve">23 </w:t>
            </w:r>
            <w:r>
              <w:rPr>
                <w:rFonts w:ascii="Times New Roman" w:hAnsi="Times New Roman" w:cs="Times New Roman"/>
                <w:b/>
                <w:bCs/>
                <w:color w:val="000000" w:themeColor="text1"/>
                <w:szCs w:val="21"/>
                <w14:textFill>
                  <w14:solidFill>
                    <w14:schemeClr w14:val="tx1"/>
                  </w14:solidFill>
                </w14:textFill>
              </w:rPr>
              <w:t>地下水分区防渗措施表</w:t>
            </w:r>
          </w:p>
          <w:tbl>
            <w:tblPr>
              <w:tblStyle w:val="88"/>
              <w:tblW w:w="929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 w:type="dxa"/>
                <w:bottom w:w="0" w:type="dxa"/>
                <w:right w:w="11" w:type="dxa"/>
              </w:tblCellMar>
            </w:tblPr>
            <w:tblGrid>
              <w:gridCol w:w="1430"/>
              <w:gridCol w:w="2312"/>
              <w:gridCol w:w="5557"/>
            </w:tblGrid>
            <w:tr w14:paraId="728727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1430" w:type="dxa"/>
                  <w:vAlign w:val="center"/>
                </w:tcPr>
                <w:p w14:paraId="3F08C8C7">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防渗分区</w:t>
                  </w:r>
                </w:p>
              </w:tc>
              <w:tc>
                <w:tcPr>
                  <w:tcW w:w="2312" w:type="dxa"/>
                  <w:vAlign w:val="center"/>
                </w:tcPr>
                <w:p w14:paraId="41042ABC">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工程内容</w:t>
                  </w:r>
                </w:p>
              </w:tc>
              <w:tc>
                <w:tcPr>
                  <w:tcW w:w="5557" w:type="dxa"/>
                  <w:vAlign w:val="center"/>
                </w:tcPr>
                <w:p w14:paraId="25BC1849">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防渗做法</w:t>
                  </w:r>
                </w:p>
              </w:tc>
            </w:tr>
            <w:tr w14:paraId="084134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 w:type="dxa"/>
                  <w:bottom w:w="0" w:type="dxa"/>
                  <w:right w:w="11" w:type="dxa"/>
                </w:tblCellMar>
              </w:tblPrEx>
              <w:trPr>
                <w:trHeight w:val="555" w:hRule="atLeast"/>
                <w:jc w:val="center"/>
              </w:trPr>
              <w:tc>
                <w:tcPr>
                  <w:tcW w:w="1430" w:type="dxa"/>
                  <w:vAlign w:val="center"/>
                </w:tcPr>
                <w:p w14:paraId="7671756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重点防渗区</w:t>
                  </w:r>
                </w:p>
              </w:tc>
              <w:tc>
                <w:tcPr>
                  <w:tcW w:w="2312" w:type="dxa"/>
                  <w:vAlign w:val="center"/>
                </w:tcPr>
                <w:p w14:paraId="466AE8C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储罐区、装卸区</w:t>
                  </w:r>
                  <w:r>
                    <w:rPr>
                      <w:rFonts w:hint="eastAsia" w:ascii="Times New Roman" w:hAnsi="Times New Roman" w:cs="Times New Roman"/>
                      <w:color w:val="000000" w:themeColor="text1"/>
                      <w:sz w:val="21"/>
                      <w:szCs w:val="21"/>
                      <w14:textFill>
                        <w14:solidFill>
                          <w14:schemeClr w14:val="tx1"/>
                        </w14:solidFill>
                      </w14:textFill>
                    </w:rPr>
                    <w:t>、危废贮存库</w:t>
                  </w:r>
                  <w:r>
                    <w:rPr>
                      <w:rFonts w:ascii="Times New Roman" w:hAnsi="Times New Roman" w:cs="Times New Roman"/>
                      <w:color w:val="000000" w:themeColor="text1"/>
                      <w:sz w:val="21"/>
                      <w:szCs w:val="21"/>
                      <w14:textFill>
                        <w14:solidFill>
                          <w14:schemeClr w14:val="tx1"/>
                        </w14:solidFill>
                      </w14:textFill>
                    </w:rPr>
                    <w:t>等</w:t>
                  </w:r>
                </w:p>
              </w:tc>
              <w:tc>
                <w:tcPr>
                  <w:tcW w:w="5557" w:type="dxa"/>
                  <w:vAlign w:val="center"/>
                </w:tcPr>
                <w:p w14:paraId="3E76AD2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按照GB18597-2001的要求做好基础防渗，防渗层为至少6米黏土层（渗透系数≤10</w:t>
                  </w:r>
                  <w:r>
                    <w:rPr>
                      <w:rFonts w:ascii="Times New Roman" w:hAnsi="Times New Roman" w:cs="Times New Roman"/>
                      <w:color w:val="000000" w:themeColor="text1"/>
                      <w:sz w:val="21"/>
                      <w:szCs w:val="21"/>
                      <w:vertAlign w:val="superscript"/>
                      <w14:textFill>
                        <w14:solidFill>
                          <w14:schemeClr w14:val="tx1"/>
                        </w14:solidFill>
                      </w14:textFill>
                    </w:rPr>
                    <w:t>-7</w:t>
                  </w:r>
                  <w:r>
                    <w:rPr>
                      <w:rFonts w:ascii="Times New Roman" w:hAnsi="Times New Roman" w:cs="Times New Roman"/>
                      <w:color w:val="000000" w:themeColor="text1"/>
                      <w:sz w:val="21"/>
                      <w:szCs w:val="21"/>
                      <w14:textFill>
                        <w14:solidFill>
                          <w14:schemeClr w14:val="tx1"/>
                        </w14:solidFill>
                      </w14:textFill>
                    </w:rPr>
                    <w:t>厘米/秒）</w:t>
                  </w:r>
                </w:p>
              </w:tc>
            </w:tr>
            <w:tr w14:paraId="244E90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 w:type="dxa"/>
                  <w:bottom w:w="0" w:type="dxa"/>
                  <w:right w:w="11" w:type="dxa"/>
                </w:tblCellMar>
              </w:tblPrEx>
              <w:trPr>
                <w:jc w:val="center"/>
              </w:trPr>
              <w:tc>
                <w:tcPr>
                  <w:tcW w:w="1430" w:type="dxa"/>
                  <w:vAlign w:val="center"/>
                </w:tcPr>
                <w:p w14:paraId="670F309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一般防渗区</w:t>
                  </w:r>
                </w:p>
              </w:tc>
              <w:tc>
                <w:tcPr>
                  <w:tcW w:w="2312" w:type="dxa"/>
                  <w:vAlign w:val="center"/>
                </w:tcPr>
                <w:p w14:paraId="11BEA8B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道路等厂区其他区域</w:t>
                  </w:r>
                </w:p>
              </w:tc>
              <w:tc>
                <w:tcPr>
                  <w:tcW w:w="5557" w:type="dxa"/>
                  <w:vAlign w:val="center"/>
                </w:tcPr>
                <w:p w14:paraId="4819F90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等效黏土防渗层Mb≥1.5m，K≤1×10</w:t>
                  </w:r>
                  <w:r>
                    <w:rPr>
                      <w:rFonts w:ascii="Times New Roman" w:hAnsi="Times New Roman" w:cs="Times New Roman"/>
                      <w:color w:val="000000" w:themeColor="text1"/>
                      <w:sz w:val="21"/>
                      <w:szCs w:val="21"/>
                      <w:vertAlign w:val="superscript"/>
                      <w14:textFill>
                        <w14:solidFill>
                          <w14:schemeClr w14:val="tx1"/>
                        </w14:solidFill>
                      </w14:textFill>
                    </w:rPr>
                    <w:t>-7</w:t>
                  </w:r>
                  <w:r>
                    <w:rPr>
                      <w:rFonts w:ascii="Times New Roman" w:hAnsi="Times New Roman" w:cs="Times New Roman"/>
                      <w:color w:val="000000" w:themeColor="text1"/>
                      <w:sz w:val="21"/>
                      <w:szCs w:val="21"/>
                      <w14:textFill>
                        <w14:solidFill>
                          <w14:schemeClr w14:val="tx1"/>
                        </w14:solidFill>
                      </w14:textFill>
                    </w:rPr>
                    <w:t>cm/s；或参照GB16889执行。</w:t>
                  </w:r>
                </w:p>
              </w:tc>
            </w:tr>
          </w:tbl>
          <w:p w14:paraId="7EDEE254">
            <w:pPr>
              <w:spacing w:line="360" w:lineRule="auto"/>
              <w:ind w:firstLine="482" w:firstLineChars="200"/>
              <w:rPr>
                <w:rFonts w:ascii="Times New Roman" w:hAnsi="Times New Roman" w:cs="Times New Roman"/>
                <w:bCs/>
                <w:color w:val="0527F9"/>
              </w:rPr>
            </w:pPr>
            <w:r>
              <w:rPr>
                <w:rFonts w:ascii="Times New Roman" w:hAnsi="Times New Roman" w:cs="Times New Roman"/>
                <w:b/>
                <w:bCs/>
                <w:color w:val="000000" w:themeColor="text1"/>
                <w14:textFill>
                  <w14:solidFill>
                    <w14:schemeClr w14:val="tx1"/>
                  </w14:solidFill>
                </w14:textFill>
              </w:rPr>
              <w:t>重点防渗区</w:t>
            </w:r>
            <w:r>
              <w:rPr>
                <w:rFonts w:ascii="Times New Roman" w:hAnsi="Times New Roman" w:cs="Times New Roman"/>
                <w:bCs/>
                <w:color w:val="000000" w:themeColor="text1"/>
                <w14:textFill>
                  <w14:solidFill>
                    <w14:schemeClr w14:val="tx1"/>
                  </w14:solidFill>
                </w14:textFill>
              </w:rPr>
              <w:t>：污染地下水的物料泄漏较集中、浓度大或不容易及时发现和处理的区域。本项目重点防渗区为储罐区、装卸区等。</w:t>
            </w:r>
            <w:r>
              <w:rPr>
                <w:rFonts w:hint="eastAsia" w:ascii="Times New Roman" w:hAnsi="Times New Roman" w:cs="Times New Roman"/>
                <w:bCs/>
                <w:color w:val="000000" w:themeColor="text1"/>
                <w14:textFill>
                  <w14:solidFill>
                    <w14:schemeClr w14:val="tx1"/>
                  </w14:solidFill>
                </w14:textFill>
              </w:rPr>
              <w:t>根据建设单位提供的资料，</w:t>
            </w:r>
            <w:r>
              <w:rPr>
                <w:rFonts w:ascii="Times New Roman" w:hAnsi="Times New Roman" w:cs="Times New Roman"/>
                <w:bCs/>
                <w:color w:val="000000" w:themeColor="text1"/>
                <w14:textFill>
                  <w14:solidFill>
                    <w14:schemeClr w14:val="tx1"/>
                  </w14:solidFill>
                </w14:textFill>
              </w:rPr>
              <w:t>罐区在填海造陆的基础上，防渗措施为“C20混凝土垫层100mm厚度+600mm的C35钢筋混凝土承台板+厚度≥300μm的环氧沥青涂层+358mm厚的中粗砂垫层（压实系数≥0.96）+100mm厚的沥青砂绝缘层（压实系数≥0.95）+耐热层(平铺240</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115</w:t>
            </w:r>
            <w:r>
              <w:rPr>
                <w:rFonts w:hint="eastAsia" w:ascii="Times New Roman" w:hAnsi="Times New Roman" w:cs="Times New Roman"/>
                <w:bCs/>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53耐火粘土砖4皮)+耐热砂浆抹面(最薄处为30mm厚)+</w:t>
            </w:r>
            <w:r>
              <w:rPr>
                <w:rFonts w:ascii="Times New Roman" w:hAnsi="Times New Roman" w:cs="Times New Roman"/>
                <w:color w:val="000000" w:themeColor="text1"/>
                <w14:textFill>
                  <w14:solidFill>
                    <w14:schemeClr w14:val="tx1"/>
                  </w14:solidFill>
                </w14:textFill>
              </w:rPr>
              <w:t xml:space="preserve"> </w:t>
            </w:r>
            <w:r>
              <w:rPr>
                <w:rFonts w:ascii="Times New Roman" w:hAnsi="Times New Roman" w:cs="Times New Roman"/>
                <w:bCs/>
                <w:color w:val="000000" w:themeColor="text1"/>
                <w14:textFill>
                  <w14:solidFill>
                    <w14:schemeClr w14:val="tx1"/>
                  </w14:solidFill>
                </w14:textFill>
              </w:rPr>
              <w:t>罐底板”。罐区环墙采用C35的抗渗混凝土，表面做≥300μm厚度的环氧沥青涂层。装卸区铺设防渗混凝土，表面覆盖环氧沥青涂层。</w:t>
            </w:r>
          </w:p>
          <w:p w14:paraId="47E1F7B8">
            <w:pPr>
              <w:spacing w:line="360" w:lineRule="auto"/>
              <w:ind w:firstLine="482"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一般防渗区</w:t>
            </w:r>
            <w:r>
              <w:rPr>
                <w:rFonts w:ascii="Times New Roman" w:hAnsi="Times New Roman" w:cs="Times New Roman"/>
                <w:bCs/>
                <w:color w:val="000000" w:themeColor="text1"/>
                <w14:textFill>
                  <w14:solidFill>
                    <w14:schemeClr w14:val="tx1"/>
                  </w14:solidFill>
                </w14:textFill>
              </w:rPr>
              <w:t>：污染地下水环境的物料泄漏容易及时发现和处理的区域，主要为储运区。本项目一般防渗区为</w:t>
            </w:r>
            <w:r>
              <w:rPr>
                <w:rFonts w:ascii="Times New Roman" w:hAnsi="Times New Roman" w:cs="Times New Roman"/>
                <w:color w:val="000000" w:themeColor="text1"/>
                <w:szCs w:val="21"/>
                <w14:textFill>
                  <w14:solidFill>
                    <w14:schemeClr w14:val="tx1"/>
                  </w14:solidFill>
                </w14:textFill>
              </w:rPr>
              <w:t>道路等厂区其他区域</w:t>
            </w:r>
            <w:r>
              <w:rPr>
                <w:rFonts w:ascii="Times New Roman" w:hAnsi="Times New Roman" w:cs="Times New Roman"/>
                <w:bCs/>
                <w:color w:val="000000" w:themeColor="text1"/>
                <w14:textFill>
                  <w14:solidFill>
                    <w14:schemeClr w14:val="tx1"/>
                  </w14:solidFill>
                </w14:textFill>
              </w:rPr>
              <w:t>。一般污染防治区严格按照《石油化工工程防渗技术规范》（GB/T 50934-2013）要求制定防渗措施，一般通过在抗渗钢纤维混凝土面层中掺水泥基渗透结晶型防水剂，其下铺砌砂石基层，原土夯实达到防渗的目的。对于混凝土中间的伸缩缝、缩缝和与实体基础的缝隙，通过填充柔性材料、防渗填塞料达到防渗的目的。</w:t>
            </w:r>
          </w:p>
          <w:p w14:paraId="435A11A6">
            <w:pPr>
              <w:tabs>
                <w:tab w:val="left" w:pos="462"/>
              </w:tabs>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厂区罐区、</w:t>
            </w:r>
            <w:r>
              <w:rPr>
                <w:rFonts w:hint="eastAsia" w:ascii="Times New Roman" w:hAnsi="Times New Roman" w:cs="Times New Roman"/>
                <w:bCs/>
                <w:color w:val="000000" w:themeColor="text1"/>
                <w14:textFill>
                  <w14:solidFill>
                    <w14:schemeClr w14:val="tx1"/>
                  </w14:solidFill>
                </w14:textFill>
              </w:rPr>
              <w:t>危废贮存库</w:t>
            </w:r>
            <w:r>
              <w:rPr>
                <w:rFonts w:ascii="Times New Roman" w:hAnsi="Times New Roman" w:cs="Times New Roman"/>
                <w:bCs/>
                <w:color w:val="000000" w:themeColor="text1"/>
                <w14:textFill>
                  <w14:solidFill>
                    <w14:schemeClr w14:val="tx1"/>
                  </w14:solidFill>
                </w14:textFill>
              </w:rPr>
              <w:t>、装卸区及厂区地面均满足《环境影响评价技术导则 地下水环境》（HJ610-2016）及《石油化工工程防渗技术规范》（GBT50934-2013）的</w:t>
            </w:r>
            <w:r>
              <w:rPr>
                <w:rFonts w:hint="eastAsia" w:ascii="Times New Roman" w:hAnsi="Times New Roman" w:cs="Times New Roman"/>
                <w:bCs/>
                <w:color w:val="000000" w:themeColor="text1"/>
                <w14:textFill>
                  <w14:solidFill>
                    <w14:schemeClr w14:val="tx1"/>
                  </w14:solidFill>
                </w14:textFill>
              </w:rPr>
              <w:t>地下水、土壤</w:t>
            </w:r>
            <w:r>
              <w:rPr>
                <w:rFonts w:ascii="Times New Roman" w:hAnsi="Times New Roman" w:cs="Times New Roman"/>
                <w:bCs/>
                <w:color w:val="000000" w:themeColor="text1"/>
                <w14:textFill>
                  <w14:solidFill>
                    <w14:schemeClr w14:val="tx1"/>
                  </w14:solidFill>
                </w14:textFill>
              </w:rPr>
              <w:t>防渗要求。</w:t>
            </w:r>
          </w:p>
          <w:p w14:paraId="47DD59B4">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（3）加强环境管理。加强厂区巡检，对跑冒滴漏做到及时发现、及时控制；做好厂区化学品仓库、装置区地面防渗等的管理，防渗层破裂后及时补救、更换。</w:t>
            </w:r>
          </w:p>
          <w:p w14:paraId="06CAFD9D">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在采取严格地下水</w:t>
            </w:r>
            <w:r>
              <w:rPr>
                <w:rFonts w:hint="eastAsia" w:ascii="Times New Roman" w:hAnsi="Times New Roman" w:cs="Times New Roman"/>
                <w:bCs/>
                <w:color w:val="000000" w:themeColor="text1"/>
                <w14:textFill>
                  <w14:solidFill>
                    <w14:schemeClr w14:val="tx1"/>
                  </w14:solidFill>
                </w14:textFill>
              </w:rPr>
              <w:t>、土壤</w:t>
            </w:r>
            <w:r>
              <w:rPr>
                <w:rFonts w:ascii="Times New Roman" w:hAnsi="Times New Roman" w:cs="Times New Roman"/>
                <w:bCs/>
                <w:color w:val="000000" w:themeColor="text1"/>
                <w14:textFill>
                  <w14:solidFill>
                    <w14:schemeClr w14:val="tx1"/>
                  </w14:solidFill>
                </w14:textFill>
              </w:rPr>
              <w:t>风险防范措施后，项目事故状态下污染物泄露下渗对地下水</w:t>
            </w:r>
            <w:r>
              <w:rPr>
                <w:rFonts w:hint="eastAsia" w:ascii="Times New Roman" w:hAnsi="Times New Roman" w:cs="Times New Roman"/>
                <w:bCs/>
                <w:color w:val="000000" w:themeColor="text1"/>
                <w14:textFill>
                  <w14:solidFill>
                    <w14:schemeClr w14:val="tx1"/>
                  </w14:solidFill>
                </w14:textFill>
              </w:rPr>
              <w:t>、土壤</w:t>
            </w:r>
            <w:r>
              <w:rPr>
                <w:rFonts w:ascii="Times New Roman" w:hAnsi="Times New Roman" w:cs="Times New Roman"/>
                <w:bCs/>
                <w:color w:val="000000" w:themeColor="text1"/>
                <w14:textFill>
                  <w14:solidFill>
                    <w14:schemeClr w14:val="tx1"/>
                  </w14:solidFill>
                </w14:textFill>
              </w:rPr>
              <w:t>环境影响不大。</w:t>
            </w:r>
          </w:p>
          <w:p w14:paraId="168C5159">
            <w:pPr>
              <w:pStyle w:val="203"/>
              <w:ind w:firstLine="482"/>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6、生态环境</w:t>
            </w:r>
          </w:p>
          <w:p w14:paraId="4B01FF6D">
            <w:pPr>
              <w:autoSpaceDE w:val="0"/>
              <w:autoSpaceDN w:val="0"/>
              <w:adjustRightInd w:val="0"/>
              <w:spacing w:line="360" w:lineRule="auto"/>
              <w:ind w:firstLine="480" w:firstLineChars="200"/>
              <w:rPr>
                <w:rFonts w:ascii="Times New Roman" w:hAnsi="Times New Roman" w:eastAsia="新宋体" w:cs="Times New Roman"/>
                <w:color w:val="000000" w:themeColor="text1"/>
                <w14:textFill>
                  <w14:solidFill>
                    <w14:schemeClr w14:val="tx1"/>
                  </w14:solidFill>
                </w14:textFill>
              </w:rPr>
            </w:pPr>
            <w:r>
              <w:rPr>
                <w:rFonts w:ascii="Times New Roman" w:hAnsi="Times New Roman" w:eastAsia="新宋体" w:cs="Times New Roman"/>
                <w:color w:val="000000" w:themeColor="text1"/>
                <w14:textFill>
                  <w14:solidFill>
                    <w14:schemeClr w14:val="tx1"/>
                  </w14:solidFill>
                </w14:textFill>
              </w:rPr>
              <w:t>项目厂址周围</w:t>
            </w:r>
            <w:r>
              <w:rPr>
                <w:rFonts w:hint="eastAsia" w:ascii="Times New Roman" w:hAnsi="Times New Roman" w:eastAsia="新宋体" w:cs="Times New Roman"/>
                <w:color w:val="000000" w:themeColor="text1"/>
                <w14:textFill>
                  <w14:solidFill>
                    <w14:schemeClr w14:val="tx1"/>
                  </w14:solidFill>
                </w14:textFill>
              </w:rPr>
              <w:t>西北方向约</w:t>
            </w:r>
            <w:r>
              <w:rPr>
                <w:rFonts w:ascii="Times New Roman" w:hAnsi="Times New Roman" w:eastAsia="新宋体" w:cs="Times New Roman"/>
                <w:color w:val="000000" w:themeColor="text1"/>
                <w14:textFill>
                  <w14:solidFill>
                    <w14:schemeClr w14:val="tx1"/>
                  </w14:solidFill>
                </w14:textFill>
              </w:rPr>
              <w:t>3</w:t>
            </w:r>
            <w:r>
              <w:rPr>
                <w:rFonts w:hint="eastAsia" w:ascii="Times New Roman" w:hAnsi="Times New Roman" w:eastAsia="新宋体" w:cs="Times New Roman"/>
                <w:color w:val="000000" w:themeColor="text1"/>
                <w14:textFill>
                  <w14:solidFill>
                    <w14:schemeClr w14:val="tx1"/>
                  </w14:solidFill>
                </w14:textFill>
              </w:rPr>
              <w:t>.8k</w:t>
            </w:r>
            <w:r>
              <w:rPr>
                <w:rFonts w:ascii="Times New Roman" w:hAnsi="Times New Roman" w:eastAsia="新宋体" w:cs="Times New Roman"/>
                <w:color w:val="000000" w:themeColor="text1"/>
                <w14:textFill>
                  <w14:solidFill>
                    <w14:schemeClr w14:val="tx1"/>
                  </w14:solidFill>
                </w14:textFill>
              </w:rPr>
              <w:t>m有生态环境保护目标广西茅尾海红树林自治区级自然保护区（七十二泾片）</w:t>
            </w:r>
            <w:r>
              <w:rPr>
                <w:rFonts w:hint="eastAsia" w:ascii="Times New Roman" w:hAnsi="Times New Roman" w:eastAsia="新宋体" w:cs="Times New Roman"/>
                <w:color w:val="000000" w:themeColor="text1"/>
                <w14:textFill>
                  <w14:solidFill>
                    <w14:schemeClr w14:val="tx1"/>
                  </w14:solidFill>
                </w14:textFill>
              </w:rPr>
              <w:t>，项目对保护目标的主要影响途径为：非甲烷总烃、硫酸雾等污染物通过大气扩散，迁移至</w:t>
            </w:r>
            <w:r>
              <w:rPr>
                <w:rFonts w:ascii="Times New Roman" w:hAnsi="Times New Roman" w:eastAsia="新宋体" w:cs="Times New Roman"/>
                <w:color w:val="000000" w:themeColor="text1"/>
                <w14:textFill>
                  <w14:solidFill>
                    <w14:schemeClr w14:val="tx1"/>
                  </w14:solidFill>
                </w14:textFill>
              </w:rPr>
              <w:t>广西茅尾海红树林自治区级自然保护区（七十二泾片）</w:t>
            </w:r>
            <w:r>
              <w:rPr>
                <w:rFonts w:hint="eastAsia" w:ascii="Times New Roman" w:hAnsi="Times New Roman" w:eastAsia="新宋体" w:cs="Times New Roman"/>
                <w:color w:val="000000" w:themeColor="text1"/>
                <w14:textFill>
                  <w14:solidFill>
                    <w14:schemeClr w14:val="tx1"/>
                  </w14:solidFill>
                </w14:textFill>
              </w:rPr>
              <w:t>，影响保护目标的空气质量</w:t>
            </w:r>
            <w:r>
              <w:rPr>
                <w:rFonts w:ascii="Times New Roman" w:hAnsi="Times New Roman" w:eastAsia="新宋体" w:cs="Times New Roman"/>
                <w:color w:val="000000" w:themeColor="text1"/>
                <w14:textFill>
                  <w14:solidFill>
                    <w14:schemeClr w14:val="tx1"/>
                  </w14:solidFill>
                </w14:textFill>
              </w:rPr>
              <w:t>。运营期各工序污染源采取相应的污染控制措施后，均可实现达标排放，不会对区域环境产生明显影响。</w:t>
            </w:r>
          </w:p>
          <w:p w14:paraId="433BC438">
            <w:pPr>
              <w:keepNext/>
              <w:keepLines/>
              <w:adjustRightInd w:val="0"/>
              <w:spacing w:line="360" w:lineRule="auto"/>
              <w:ind w:firstLine="482" w:firstLineChars="200"/>
              <w:textAlignment w:val="baseline"/>
              <w:rPr>
                <w:rFonts w:ascii="Times New Roman" w:hAnsi="Times New Roman" w:cs="Times New Roman"/>
                <w:b/>
                <w:bCs/>
                <w:color w:val="000000" w:themeColor="text1"/>
                <w:szCs w:val="22"/>
                <w14:textFill>
                  <w14:solidFill>
                    <w14:schemeClr w14:val="tx1"/>
                  </w14:solidFill>
                </w14:textFill>
              </w:rPr>
            </w:pPr>
            <w:r>
              <w:rPr>
                <w:rFonts w:ascii="Times New Roman" w:hAnsi="Times New Roman" w:cs="Times New Roman"/>
                <w:b/>
                <w:bCs/>
                <w:color w:val="000000" w:themeColor="text1"/>
                <w:szCs w:val="22"/>
                <w14:textFill>
                  <w14:solidFill>
                    <w14:schemeClr w14:val="tx1"/>
                  </w14:solidFill>
                </w14:textFill>
              </w:rPr>
              <w:t>7、环境风险分析</w:t>
            </w:r>
          </w:p>
          <w:p w14:paraId="2C3F107B">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根据《建设项目环境影响报告表编制技术指南（污染影响类）（试行）》中“有毒有害和易燃易爆危险物质存储量超过临界量的建设项目”需设置环境风险专章，项目</w:t>
            </w:r>
            <w:r>
              <w:rPr>
                <w:rFonts w:hint="eastAsia" w:ascii="Times New Roman" w:hAnsi="Times New Roman" w:cs="Times New Roman"/>
                <w:bCs/>
                <w:color w:val="000000" w:themeColor="text1"/>
                <w14:textFill>
                  <w14:solidFill>
                    <w14:schemeClr w14:val="tx1"/>
                  </w14:solidFill>
                </w14:textFill>
              </w:rPr>
              <w:t>液硫、发烟硫酸/98%</w:t>
            </w:r>
            <w:r>
              <w:rPr>
                <w:rFonts w:ascii="Times New Roman" w:hAnsi="Times New Roman" w:cs="Times New Roman"/>
                <w:bCs/>
                <w:color w:val="000000" w:themeColor="text1"/>
                <w14:textFill>
                  <w14:solidFill>
                    <w14:schemeClr w14:val="tx1"/>
                  </w14:solidFill>
                </w14:textFill>
              </w:rPr>
              <w:t>硫酸、液碱等危险物质最大储存量超过《建设项目环境风险评价技术导则》（HJ169-2018）附录B的临界量，具体分析见环境风险专项评价。</w:t>
            </w:r>
          </w:p>
          <w:p w14:paraId="6245DB83">
            <w:pPr>
              <w:pStyle w:val="118"/>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根据风险识别，本项目最大风险单元为储罐区，最大可信事故为储罐区</w:t>
            </w:r>
            <w:r>
              <w:rPr>
                <w:rFonts w:hint="eastAsia" w:ascii="Times New Roman" w:hAnsi="Times New Roman" w:cs="Times New Roman"/>
                <w:color w:val="000000" w:themeColor="text1"/>
                <w14:textFill>
                  <w14:solidFill>
                    <w14:schemeClr w14:val="tx1"/>
                  </w14:solidFill>
                </w14:textFill>
              </w:rPr>
              <w:t>液硫、发烟硫酸</w:t>
            </w:r>
            <w:r>
              <w:rPr>
                <w:rFonts w:ascii="Times New Roman" w:hAnsi="Times New Roman" w:cs="Times New Roman"/>
                <w:color w:val="000000" w:themeColor="text1"/>
                <w14:textFill>
                  <w14:solidFill>
                    <w14:schemeClr w14:val="tx1"/>
                  </w14:solidFill>
                </w14:textFill>
              </w:rPr>
              <w:t>的泄漏，及引发火灾、爆炸产生的次/伴生污染物带来的环境污染事故。</w:t>
            </w:r>
          </w:p>
          <w:p w14:paraId="720B322D">
            <w:pPr>
              <w:pStyle w:val="118"/>
              <w:rPr>
                <w:rFonts w:ascii="Times New Roman" w:hAnsi="Times New Roman" w:cs="Times New Roman"/>
                <w:color w:val="FF0000"/>
              </w:rPr>
            </w:pPr>
            <w:r>
              <w:rPr>
                <w:rFonts w:hint="eastAsia" w:ascii="Times New Roman" w:hAnsi="Times New Roman" w:cs="Times New Roman"/>
                <w:color w:val="000000" w:themeColor="text1"/>
                <w14:textFill>
                  <w14:solidFill>
                    <w14:schemeClr w14:val="tx1"/>
                  </w14:solidFill>
                </w14:textFill>
              </w:rPr>
              <w:t>本项目罐组消防事故水通过防火堤内进行暂存，防火堤高度1.40米，防火堤占地面积为4316m</w:t>
            </w:r>
            <w:r>
              <w:rPr>
                <w:rFonts w:hint="eastAsia"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，罐区围堰</w:t>
            </w:r>
            <w:r>
              <w:rPr>
                <w:rFonts w:ascii="Times New Roman" w:hAnsi="Times New Roman" w:cs="Times New Roman"/>
                <w:color w:val="000000" w:themeColor="text1"/>
                <w14:textFill>
                  <w14:solidFill>
                    <w14:schemeClr w14:val="tx1"/>
                  </w14:solidFill>
                </w14:textFill>
              </w:rPr>
              <w:t>容积为</w:t>
            </w:r>
            <w:r>
              <w:rPr>
                <w:rFonts w:hint="eastAsia" w:ascii="Times New Roman" w:hAnsi="Times New Roman" w:cs="Times New Roman"/>
                <w:color w:val="000000" w:themeColor="text1"/>
                <w14:textFill>
                  <w14:solidFill>
                    <w14:schemeClr w14:val="tx1"/>
                  </w14:solidFill>
                </w14:textFill>
              </w:rPr>
              <w:t>6042.4</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经计算液硫罐组防火堤内可存容积6042.4</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，剩余不足部分，通过场地废水管网收集排入界区内事故水收集系统。14号泊位码头（一期工程）在厂区西北侧已建有1处地下式消防事故应急池，有效容积为6400</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的事故应急池</w:t>
            </w:r>
            <w:r>
              <w:rPr>
                <w:rFonts w:hint="eastAsia" w:ascii="Times New Roman" w:hAnsi="Times New Roman" w:cs="Times New Roman"/>
                <w:color w:val="000000" w:themeColor="text1"/>
                <w14:textFill>
                  <w14:solidFill>
                    <w14:schemeClr w14:val="tx1"/>
                  </w14:solidFill>
                </w14:textFill>
              </w:rPr>
              <w:t>。</w:t>
            </w:r>
            <w:r>
              <w:rPr>
                <w:color w:val="000000" w:themeColor="text1"/>
                <w14:textFill>
                  <w14:solidFill>
                    <w14:schemeClr w14:val="tx1"/>
                  </w14:solidFill>
                </w14:textFill>
              </w:rPr>
              <w:t>厂区现有消防事故水通过低浓度生产废水管收集，经废水管末端排口管道上阀门（平时开、火</w:t>
            </w:r>
            <w:r>
              <w:t>灾时关闭）与消防事故水收集池进水管道上阀门（平时关闭、火灾时打开）切换后使消防事故污水进入消防事故水收集池，可确保事故污水不外排污染外部水体。</w:t>
            </w:r>
          </w:p>
          <w:p w14:paraId="447606D5">
            <w:pPr>
              <w:pStyle w:val="118"/>
              <w:rPr>
                <w:rFonts w:ascii="Times New Roman" w:hAnsi="Times New Roman" w:cs="Times New Roman"/>
                <w:color w:val="000000" w:themeColor="text1"/>
                <w:szCs w:val="28"/>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厂区设计综合考虑风向、安全防护、消防等因素，建、构筑物尽量留足安全间距，设计遵循防火规范，厂区总平面布置符合《石油库设计规范》（GB50074-2014）的相关要求。同时</w:t>
            </w:r>
            <w:r>
              <w:rPr>
                <w:rFonts w:ascii="Times New Roman" w:hAnsi="Times New Roman" w:cs="Times New Roman"/>
                <w:color w:val="000000" w:themeColor="text1"/>
                <w:szCs w:val="28"/>
                <w14:textFill>
                  <w14:solidFill>
                    <w14:schemeClr w14:val="tx1"/>
                  </w14:solidFill>
                </w14:textFill>
              </w:rPr>
              <w:t>环绕罐区敷设消防水主干管，管径DN300，形成环状管网供水，每隔约50m设置室外消火栓1个。同时</w:t>
            </w:r>
            <w:r>
              <w:rPr>
                <w:rFonts w:ascii="Times New Roman" w:hAnsi="Times New Roman" w:cs="Times New Roman"/>
                <w:color w:val="000000" w:themeColor="text1"/>
                <w14:textFill>
                  <w14:solidFill>
                    <w14:schemeClr w14:val="tx1"/>
                  </w14:solidFill>
                </w14:textFill>
              </w:rPr>
              <w:t>采取必要的风险防范措施和事故应急措施，加大风险管理措施，对</w:t>
            </w:r>
            <w:r>
              <w:rPr>
                <w:rFonts w:hint="eastAsia" w:ascii="Times New Roman" w:hAnsi="Times New Roman" w:cs="Times New Roman"/>
                <w:color w:val="000000" w:themeColor="text1"/>
                <w14:textFill>
                  <w14:solidFill>
                    <w14:schemeClr w14:val="tx1"/>
                  </w14:solidFill>
                </w14:textFill>
              </w:rPr>
              <w:t>液硫、发烟硫酸/98%硫酸、苯酚、己内酰胺等</w:t>
            </w:r>
            <w:r>
              <w:rPr>
                <w:rFonts w:ascii="Times New Roman" w:hAnsi="Times New Roman" w:cs="Times New Roman"/>
                <w:color w:val="000000" w:themeColor="text1"/>
                <w14:textFill>
                  <w14:solidFill>
                    <w14:schemeClr w14:val="tx1"/>
                  </w14:solidFill>
                </w14:textFill>
              </w:rPr>
              <w:t>易燃、易爆、有毒有害物质分别制定相应的贮运及使用管理措施，对可能发生的事故，企业应制定《突发环境事件应急预案》，使各部门在事故发生后能有步骤、有秩序地采取各项应急措施，并与政府安全防火部门和紧急救援中心的应急预案衔接，统一采取救援行动。加强对全体员工防范事故风险能力的培训，建立应急计划和事故应急预案。</w:t>
            </w:r>
          </w:p>
          <w:p w14:paraId="3E624ECE">
            <w:pPr>
              <w:pStyle w:val="118"/>
              <w:rPr>
                <w:rFonts w:ascii="Times New Roman" w:hAnsi="Times New Roman" w:cs="Times New Roman"/>
                <w:color w:val="000000" w:themeColor="text1"/>
                <w:szCs w:val="28"/>
                <w14:textFill>
                  <w14:solidFill>
                    <w14:schemeClr w14:val="tx1"/>
                  </w14:solidFill>
                </w14:textFill>
              </w:rPr>
            </w:pPr>
            <w:r>
              <w:rPr>
                <w:rFonts w:ascii="Times New Roman" w:hAnsi="Times New Roman" w:cs="Times New Roman"/>
                <w:color w:val="000000" w:themeColor="text1"/>
                <w:szCs w:val="28"/>
                <w14:textFill>
                  <w14:solidFill>
                    <w14:schemeClr w14:val="tx1"/>
                  </w14:solidFill>
                </w14:textFill>
              </w:rPr>
              <w:t>在各环境风险防范措施和安全评价报告措施均落实到位的情况下，将大幅度降低本项目的环境风险，最大程度上减少对环境可能造成的危害。因此，本项目建设的环境风险水平，与同行业相比，是可以接受的。</w:t>
            </w:r>
          </w:p>
          <w:p w14:paraId="20C8EDB9">
            <w:pPr>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8.环保投资估算</w:t>
            </w:r>
          </w:p>
          <w:p w14:paraId="7EED8A0D">
            <w:pPr>
              <w:autoSpaceDE w:val="0"/>
              <w:autoSpaceDN w:val="0"/>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本项目总投资</w:t>
            </w:r>
            <w:r>
              <w:rPr>
                <w:rFonts w:hint="eastAsia" w:ascii="Times New Roman" w:hAnsi="Times New Roman" w:cs="Times New Roman"/>
                <w:color w:val="000000" w:themeColor="text1"/>
                <w14:textFill>
                  <w14:solidFill>
                    <w14:schemeClr w14:val="tx1"/>
                  </w14:solidFill>
                </w14:textFill>
              </w:rPr>
              <w:t>15200</w:t>
            </w:r>
            <w:r>
              <w:rPr>
                <w:rFonts w:ascii="Times New Roman" w:hAnsi="Times New Roman" w:cs="Times New Roman"/>
                <w:color w:val="000000" w:themeColor="text1"/>
                <w14:textFill>
                  <w14:solidFill>
                    <w14:schemeClr w14:val="tx1"/>
                  </w14:solidFill>
                </w14:textFill>
              </w:rPr>
              <w:t>万元，环保投资共</w:t>
            </w:r>
            <w:r>
              <w:rPr>
                <w:rFonts w:hint="eastAsia" w:ascii="Times New Roman" w:hAnsi="Times New Roman" w:cs="Times New Roman"/>
                <w:color w:val="000000" w:themeColor="text1"/>
                <w14:textFill>
                  <w14:solidFill>
                    <w14:schemeClr w14:val="tx1"/>
                  </w14:solidFill>
                </w14:textFill>
              </w:rPr>
              <w:t>160</w:t>
            </w:r>
            <w:r>
              <w:rPr>
                <w:rFonts w:ascii="Times New Roman" w:hAnsi="Times New Roman" w:cs="Times New Roman"/>
                <w:color w:val="000000" w:themeColor="text1"/>
                <w14:textFill>
                  <w14:solidFill>
                    <w14:schemeClr w14:val="tx1"/>
                  </w14:solidFill>
                </w14:textFill>
              </w:rPr>
              <w:t>万元，占总投资的</w:t>
            </w:r>
            <w:r>
              <w:rPr>
                <w:rFonts w:hint="eastAsia" w:ascii="Times New Roman" w:hAnsi="Times New Roman" w:cs="Times New Roman"/>
                <w:color w:val="000000" w:themeColor="text1"/>
                <w14:textFill>
                  <w14:solidFill>
                    <w14:schemeClr w14:val="tx1"/>
                  </w14:solidFill>
                </w14:textFill>
              </w:rPr>
              <w:t>1.05</w:t>
            </w:r>
            <w:r>
              <w:rPr>
                <w:rFonts w:ascii="Times New Roman" w:hAnsi="Times New Roman" w:cs="Times New Roman"/>
                <w:color w:val="000000" w:themeColor="text1"/>
                <w14:textFill>
                  <w14:solidFill>
                    <w14:schemeClr w14:val="tx1"/>
                  </w14:solidFill>
                </w14:textFill>
              </w:rPr>
              <w:t>%，建设方必须落实环保资金，保证专款专用。</w:t>
            </w:r>
            <w:r>
              <w:rPr>
                <w:rFonts w:ascii="Times New Roman" w:hAnsi="Times New Roman" w:cs="Times New Roman"/>
                <w:bCs/>
                <w:color w:val="000000" w:themeColor="text1"/>
                <w14:textFill>
                  <w14:solidFill>
                    <w14:schemeClr w14:val="tx1"/>
                  </w14:solidFill>
                </w14:textFill>
              </w:rPr>
              <w:t>项目环保投资详见</w:t>
            </w:r>
            <w:r>
              <w:rPr>
                <w:rFonts w:hint="eastAsia" w:ascii="Times New Roman" w:hAnsi="Times New Roman" w:cs="Times New Roman"/>
                <w:bCs/>
                <w:color w:val="000000" w:themeColor="text1"/>
                <w14:textFill>
                  <w14:solidFill>
                    <w14:schemeClr w14:val="tx1"/>
                  </w14:solidFill>
                </w14:textFill>
              </w:rPr>
              <w:t>下表</w:t>
            </w:r>
            <w:r>
              <w:rPr>
                <w:rFonts w:ascii="Times New Roman" w:hAnsi="Times New Roman" w:cs="Times New Roman"/>
                <w:bCs/>
                <w:color w:val="000000" w:themeColor="text1"/>
                <w14:textFill>
                  <w14:solidFill>
                    <w14:schemeClr w14:val="tx1"/>
                  </w14:solidFill>
                </w14:textFill>
              </w:rPr>
              <w:t>。</w:t>
            </w:r>
          </w:p>
          <w:p w14:paraId="24D0BC3C">
            <w:pPr>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表4-2</w:t>
            </w:r>
            <w:r>
              <w:rPr>
                <w:rFonts w:hint="eastAsia" w:ascii="Times New Roman" w:hAnsi="Times New Roman" w:cs="Times New Roman"/>
                <w:b/>
                <w:color w:val="000000" w:themeColor="text1"/>
                <w14:textFill>
                  <w14:solidFill>
                    <w14:schemeClr w14:val="tx1"/>
                  </w14:solidFill>
                </w14:textFill>
              </w:rPr>
              <w:t>4</w:t>
            </w:r>
            <w:r>
              <w:rPr>
                <w:rFonts w:ascii="Times New Roman" w:hAnsi="Times New Roman" w:cs="Times New Roman"/>
                <w:b/>
                <w:color w:val="000000" w:themeColor="text1"/>
                <w14:textFill>
                  <w14:solidFill>
                    <w14:schemeClr w14:val="tx1"/>
                  </w14:solidFill>
                </w14:textFill>
              </w:rPr>
              <w:t>项目环保投资一览表</w:t>
            </w:r>
          </w:p>
          <w:tbl>
            <w:tblPr>
              <w:tblStyle w:val="88"/>
              <w:tblW w:w="91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451"/>
              <w:gridCol w:w="514"/>
              <w:gridCol w:w="1304"/>
              <w:gridCol w:w="5358"/>
              <w:gridCol w:w="1533"/>
            </w:tblGrid>
            <w:tr w14:paraId="73DDB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451" w:type="dxa"/>
                  <w:vAlign w:val="center"/>
                </w:tcPr>
                <w:p w14:paraId="6EF1A23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序号</w:t>
                  </w:r>
                </w:p>
              </w:tc>
              <w:tc>
                <w:tcPr>
                  <w:tcW w:w="514" w:type="dxa"/>
                  <w:vAlign w:val="center"/>
                </w:tcPr>
                <w:p w14:paraId="2BAEE20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时期</w:t>
                  </w:r>
                </w:p>
              </w:tc>
              <w:tc>
                <w:tcPr>
                  <w:tcW w:w="1304" w:type="dxa"/>
                  <w:vAlign w:val="center"/>
                </w:tcPr>
                <w:p w14:paraId="10DDE0B2">
                  <w:pPr>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类别</w:t>
                  </w:r>
                </w:p>
              </w:tc>
              <w:tc>
                <w:tcPr>
                  <w:tcW w:w="5358" w:type="dxa"/>
                  <w:vAlign w:val="center"/>
                </w:tcPr>
                <w:p w14:paraId="72128B1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环保设施</w:t>
                  </w:r>
                </w:p>
              </w:tc>
              <w:tc>
                <w:tcPr>
                  <w:tcW w:w="1533" w:type="dxa"/>
                  <w:vAlign w:val="center"/>
                </w:tcPr>
                <w:p w14:paraId="3496FD3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投资估算（万元）</w:t>
                  </w:r>
                </w:p>
              </w:tc>
            </w:tr>
            <w:tr w14:paraId="2E167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451" w:type="dxa"/>
                  <w:vMerge w:val="restart"/>
                  <w:vAlign w:val="center"/>
                </w:tcPr>
                <w:p w14:paraId="5FBEF9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514" w:type="dxa"/>
                  <w:vMerge w:val="restart"/>
                  <w:vAlign w:val="center"/>
                </w:tcPr>
                <w:p w14:paraId="795CE59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运营期</w:t>
                  </w:r>
                </w:p>
              </w:tc>
              <w:tc>
                <w:tcPr>
                  <w:tcW w:w="1304" w:type="dxa"/>
                  <w:vAlign w:val="center"/>
                </w:tcPr>
                <w:p w14:paraId="2522AA3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废水</w:t>
                  </w:r>
                </w:p>
              </w:tc>
              <w:tc>
                <w:tcPr>
                  <w:tcW w:w="5358" w:type="dxa"/>
                  <w:vAlign w:val="center"/>
                </w:tcPr>
                <w:p w14:paraId="66D93971">
                  <w:pPr>
                    <w:tabs>
                      <w:tab w:val="left" w:pos="624"/>
                    </w:tab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水泵、管道、</w:t>
                  </w:r>
                  <w:r>
                    <w:rPr>
                      <w:rFonts w:hint="eastAsia" w:ascii="Times New Roman" w:hAnsi="Times New Roman" w:cs="Times New Roman"/>
                      <w:color w:val="000000" w:themeColor="text1"/>
                      <w:sz w:val="21"/>
                      <w:szCs w:val="21"/>
                      <w14:textFill>
                        <w14:solidFill>
                          <w14:schemeClr w14:val="tx1"/>
                        </w14:solidFill>
                      </w14:textFill>
                    </w:rPr>
                    <w:t>污水管网、雨水管网</w:t>
                  </w:r>
                </w:p>
              </w:tc>
              <w:tc>
                <w:tcPr>
                  <w:tcW w:w="1533" w:type="dxa"/>
                  <w:vAlign w:val="center"/>
                </w:tcPr>
                <w:p w14:paraId="21335DD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r>
            <w:tr w14:paraId="2D223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451" w:type="dxa"/>
                  <w:vMerge w:val="continue"/>
                  <w:vAlign w:val="center"/>
                </w:tcPr>
                <w:p w14:paraId="0AF6FB81">
                  <w:pPr>
                    <w:jc w:val="center"/>
                    <w:rPr>
                      <w:rFonts w:ascii="Times New Roman" w:hAnsi="Times New Roman" w:cs="Times New Roman"/>
                      <w:color w:val="000000" w:themeColor="text1"/>
                      <w:sz w:val="21"/>
                      <w:szCs w:val="21"/>
                      <w14:textFill>
                        <w14:solidFill>
                          <w14:schemeClr w14:val="tx1"/>
                        </w14:solidFill>
                      </w14:textFill>
                    </w:rPr>
                  </w:pPr>
                </w:p>
              </w:tc>
              <w:tc>
                <w:tcPr>
                  <w:tcW w:w="514" w:type="dxa"/>
                  <w:vMerge w:val="continue"/>
                  <w:vAlign w:val="center"/>
                </w:tcPr>
                <w:p w14:paraId="4E3C1857">
                  <w:pPr>
                    <w:jc w:val="center"/>
                    <w:rPr>
                      <w:rFonts w:ascii="Times New Roman" w:hAnsi="Times New Roman" w:cs="Times New Roman"/>
                      <w:color w:val="000000" w:themeColor="text1"/>
                      <w:sz w:val="21"/>
                      <w:szCs w:val="21"/>
                      <w14:textFill>
                        <w14:solidFill>
                          <w14:schemeClr w14:val="tx1"/>
                        </w14:solidFill>
                      </w14:textFill>
                    </w:rPr>
                  </w:pPr>
                </w:p>
              </w:tc>
              <w:tc>
                <w:tcPr>
                  <w:tcW w:w="1304" w:type="dxa"/>
                  <w:vAlign w:val="center"/>
                </w:tcPr>
                <w:p w14:paraId="6F56879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w:t>
                  </w:r>
                </w:p>
              </w:tc>
              <w:tc>
                <w:tcPr>
                  <w:tcW w:w="5358" w:type="dxa"/>
                  <w:vAlign w:val="center"/>
                </w:tcPr>
                <w:p w14:paraId="1F2DE53F">
                  <w:pPr>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液硫储罐：氮封系统</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升华硫回收器；</w:t>
                  </w:r>
                </w:p>
                <w:p w14:paraId="25C3344F">
                  <w:pPr>
                    <w:pStyle w:val="34"/>
                    <w:spacing w:before="0" w:after="0" w:line="240" w:lineRule="auto"/>
                    <w:ind w:right="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发烟硫酸/98%硫酸储罐：</w:t>
                  </w:r>
                  <w:r>
                    <w:rPr>
                      <w:rFonts w:hint="eastAsia" w:ascii="Times New Roman" w:hAnsi="Times New Roman" w:cs="Times New Roman"/>
                      <w:color w:val="000000" w:themeColor="text1"/>
                      <w:sz w:val="21"/>
                      <w:szCs w:val="21"/>
                      <w14:textFill>
                        <w14:solidFill>
                          <w14:schemeClr w14:val="tx1"/>
                        </w14:solidFill>
                      </w14:textFill>
                    </w:rPr>
                    <w:t>氮封系统+</w:t>
                  </w:r>
                  <w:r>
                    <w:rPr>
                      <w:rFonts w:ascii="Times New Roman" w:hAnsi="Times New Roman" w:cs="Times New Roman"/>
                      <w:color w:val="000000" w:themeColor="text1"/>
                      <w:sz w:val="21"/>
                      <w:szCs w:val="21"/>
                      <w14:textFill>
                        <w14:solidFill>
                          <w14:schemeClr w14:val="tx1"/>
                        </w14:solidFill>
                      </w14:textFill>
                    </w:rPr>
                    <w:t>二级三氧化硫吸收塔</w:t>
                  </w:r>
                  <w:r>
                    <w:rPr>
                      <w:rFonts w:hint="eastAsia" w:ascii="Times New Roman" w:hAnsi="Times New Roman" w:cs="Times New Roman"/>
                      <w:color w:val="000000" w:themeColor="text1"/>
                      <w:sz w:val="21"/>
                      <w:szCs w:val="21"/>
                      <w14:textFill>
                        <w14:solidFill>
                          <w14:schemeClr w14:val="tx1"/>
                        </w14:solidFill>
                      </w14:textFill>
                    </w:rPr>
                    <w:t>；</w:t>
                  </w:r>
                </w:p>
                <w:p w14:paraId="60E1F953">
                  <w:pPr>
                    <w:pStyle w:val="34"/>
                    <w:spacing w:before="0" w:after="0" w:line="240" w:lineRule="auto"/>
                    <w:ind w:right="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苯酚储罐：氮封系统+油气回收处理系统+活性炭吸附装置；</w:t>
                  </w:r>
                </w:p>
                <w:p w14:paraId="7D8B455C">
                  <w:pPr>
                    <w:pStyle w:val="34"/>
                    <w:spacing w:before="0" w:after="0" w:line="240" w:lineRule="auto"/>
                    <w:ind w:right="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己内酰胺储罐：氮封系统+水洗塔+活性炭吸附装置；</w:t>
                  </w:r>
                </w:p>
                <w:p w14:paraId="1F9A2784">
                  <w:pPr>
                    <w:pStyle w:val="34"/>
                    <w:spacing w:before="0" w:after="0" w:line="240" w:lineRule="auto"/>
                    <w:ind w:right="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装卸站：气相平衡管等</w:t>
                  </w:r>
                </w:p>
              </w:tc>
              <w:tc>
                <w:tcPr>
                  <w:tcW w:w="1533" w:type="dxa"/>
                  <w:vAlign w:val="center"/>
                </w:tcPr>
                <w:p w14:paraId="6F87D6E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w:t>
                  </w:r>
                </w:p>
              </w:tc>
            </w:tr>
            <w:tr w14:paraId="5FA59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451" w:type="dxa"/>
                  <w:vMerge w:val="continue"/>
                  <w:vAlign w:val="center"/>
                </w:tcPr>
                <w:p w14:paraId="1D437860">
                  <w:pPr>
                    <w:jc w:val="center"/>
                    <w:rPr>
                      <w:rFonts w:ascii="Times New Roman" w:hAnsi="Times New Roman" w:cs="Times New Roman"/>
                      <w:color w:val="000000" w:themeColor="text1"/>
                      <w:sz w:val="21"/>
                      <w:szCs w:val="21"/>
                      <w14:textFill>
                        <w14:solidFill>
                          <w14:schemeClr w14:val="tx1"/>
                        </w14:solidFill>
                      </w14:textFill>
                    </w:rPr>
                  </w:pPr>
                </w:p>
              </w:tc>
              <w:tc>
                <w:tcPr>
                  <w:tcW w:w="514" w:type="dxa"/>
                  <w:vMerge w:val="continue"/>
                  <w:vAlign w:val="center"/>
                </w:tcPr>
                <w:p w14:paraId="0E61769B">
                  <w:pPr>
                    <w:jc w:val="center"/>
                    <w:rPr>
                      <w:rFonts w:ascii="Times New Roman" w:hAnsi="Times New Roman" w:cs="Times New Roman"/>
                      <w:color w:val="000000" w:themeColor="text1"/>
                      <w:sz w:val="21"/>
                      <w:szCs w:val="21"/>
                      <w14:textFill>
                        <w14:solidFill>
                          <w14:schemeClr w14:val="tx1"/>
                        </w14:solidFill>
                      </w14:textFill>
                    </w:rPr>
                  </w:pPr>
                </w:p>
              </w:tc>
              <w:tc>
                <w:tcPr>
                  <w:tcW w:w="1304" w:type="dxa"/>
                  <w:vAlign w:val="center"/>
                </w:tcPr>
                <w:p w14:paraId="54394E3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噪声</w:t>
                  </w:r>
                </w:p>
              </w:tc>
              <w:tc>
                <w:tcPr>
                  <w:tcW w:w="5358" w:type="dxa"/>
                  <w:vAlign w:val="center"/>
                </w:tcPr>
                <w:p w14:paraId="4F784B71">
                  <w:pPr>
                    <w:tabs>
                      <w:tab w:val="left" w:pos="624"/>
                    </w:tab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低噪声设备、隔声减震</w:t>
                  </w:r>
                </w:p>
              </w:tc>
              <w:tc>
                <w:tcPr>
                  <w:tcW w:w="1533" w:type="dxa"/>
                  <w:vAlign w:val="center"/>
                </w:tcPr>
                <w:p w14:paraId="6C7F17D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r>
            <w:tr w14:paraId="4C3DB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451" w:type="dxa"/>
                  <w:vMerge w:val="continue"/>
                  <w:vAlign w:val="center"/>
                </w:tcPr>
                <w:p w14:paraId="09BCFC0C">
                  <w:pPr>
                    <w:jc w:val="center"/>
                    <w:rPr>
                      <w:rFonts w:ascii="Times New Roman" w:hAnsi="Times New Roman" w:cs="Times New Roman"/>
                      <w:color w:val="000000" w:themeColor="text1"/>
                      <w:sz w:val="21"/>
                      <w:szCs w:val="21"/>
                      <w14:textFill>
                        <w14:solidFill>
                          <w14:schemeClr w14:val="tx1"/>
                        </w14:solidFill>
                      </w14:textFill>
                    </w:rPr>
                  </w:pPr>
                </w:p>
              </w:tc>
              <w:tc>
                <w:tcPr>
                  <w:tcW w:w="514" w:type="dxa"/>
                  <w:vMerge w:val="continue"/>
                  <w:vAlign w:val="center"/>
                </w:tcPr>
                <w:p w14:paraId="6DB648EC">
                  <w:pPr>
                    <w:jc w:val="center"/>
                    <w:rPr>
                      <w:rFonts w:ascii="Times New Roman" w:hAnsi="Times New Roman" w:cs="Times New Roman"/>
                      <w:color w:val="000000" w:themeColor="text1"/>
                      <w:sz w:val="21"/>
                      <w:szCs w:val="21"/>
                      <w14:textFill>
                        <w14:solidFill>
                          <w14:schemeClr w14:val="tx1"/>
                        </w14:solidFill>
                      </w14:textFill>
                    </w:rPr>
                  </w:pPr>
                </w:p>
              </w:tc>
              <w:tc>
                <w:tcPr>
                  <w:tcW w:w="1304" w:type="dxa"/>
                  <w:vAlign w:val="center"/>
                </w:tcPr>
                <w:p w14:paraId="08BF1A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固体废物</w:t>
                  </w:r>
                </w:p>
              </w:tc>
              <w:tc>
                <w:tcPr>
                  <w:tcW w:w="5358" w:type="dxa"/>
                  <w:vAlign w:val="center"/>
                </w:tcPr>
                <w:p w14:paraId="0F2745CA">
                  <w:pPr>
                    <w:tabs>
                      <w:tab w:val="left" w:pos="624"/>
                    </w:tab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废抹布、废酸、废碱</w:t>
                  </w:r>
                  <w:r>
                    <w:rPr>
                      <w:rFonts w:hint="eastAsia" w:ascii="Times New Roman" w:hAnsi="Times New Roman" w:cs="Times New Roman"/>
                      <w:color w:val="000000" w:themeColor="text1"/>
                      <w:sz w:val="21"/>
                      <w:szCs w:val="21"/>
                      <w14:textFill>
                        <w14:solidFill>
                          <w14:schemeClr w14:val="tx1"/>
                        </w14:solidFill>
                      </w14:textFill>
                    </w:rPr>
                    <w:t>、废活性炭</w:t>
                  </w:r>
                  <w:r>
                    <w:rPr>
                      <w:rFonts w:ascii="Times New Roman" w:hAnsi="Times New Roman" w:cs="Times New Roman"/>
                      <w:color w:val="000000" w:themeColor="text1"/>
                      <w:sz w:val="21"/>
                      <w:szCs w:val="21"/>
                      <w14:textFill>
                        <w14:solidFill>
                          <w14:schemeClr w14:val="tx1"/>
                        </w14:solidFill>
                      </w14:textFill>
                    </w:rPr>
                    <w:t>等危险废物依托现有危废暂存间储存，定期交由资质单位进行处置</w:t>
                  </w:r>
                </w:p>
              </w:tc>
              <w:tc>
                <w:tcPr>
                  <w:tcW w:w="1533" w:type="dxa"/>
                  <w:vAlign w:val="center"/>
                </w:tcPr>
                <w:p w14:paraId="1054AE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r>
            <w:tr w14:paraId="15952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451" w:type="dxa"/>
                  <w:vMerge w:val="continue"/>
                  <w:vAlign w:val="center"/>
                </w:tcPr>
                <w:p w14:paraId="3F0D337C">
                  <w:pPr>
                    <w:jc w:val="center"/>
                    <w:rPr>
                      <w:rFonts w:ascii="Times New Roman" w:hAnsi="Times New Roman" w:cs="Times New Roman"/>
                      <w:color w:val="000000" w:themeColor="text1"/>
                      <w:sz w:val="21"/>
                      <w:szCs w:val="21"/>
                      <w14:textFill>
                        <w14:solidFill>
                          <w14:schemeClr w14:val="tx1"/>
                        </w14:solidFill>
                      </w14:textFill>
                    </w:rPr>
                  </w:pPr>
                </w:p>
              </w:tc>
              <w:tc>
                <w:tcPr>
                  <w:tcW w:w="514" w:type="dxa"/>
                  <w:vMerge w:val="continue"/>
                  <w:vAlign w:val="center"/>
                </w:tcPr>
                <w:p w14:paraId="20A17169">
                  <w:pPr>
                    <w:jc w:val="center"/>
                    <w:rPr>
                      <w:rFonts w:ascii="Times New Roman" w:hAnsi="Times New Roman" w:cs="Times New Roman"/>
                      <w:color w:val="000000" w:themeColor="text1"/>
                      <w:sz w:val="21"/>
                      <w:szCs w:val="21"/>
                      <w14:textFill>
                        <w14:solidFill>
                          <w14:schemeClr w14:val="tx1"/>
                        </w14:solidFill>
                      </w14:textFill>
                    </w:rPr>
                  </w:pPr>
                </w:p>
              </w:tc>
              <w:tc>
                <w:tcPr>
                  <w:tcW w:w="1304" w:type="dxa"/>
                  <w:vAlign w:val="center"/>
                </w:tcPr>
                <w:p w14:paraId="23C3CE2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环境管理</w:t>
                  </w:r>
                </w:p>
              </w:tc>
              <w:tc>
                <w:tcPr>
                  <w:tcW w:w="5358" w:type="dxa"/>
                  <w:vAlign w:val="center"/>
                </w:tcPr>
                <w:p w14:paraId="66A19CFA">
                  <w:pPr>
                    <w:tabs>
                      <w:tab w:val="left" w:pos="624"/>
                    </w:tab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废气、废水、噪声常规检测</w:t>
                  </w:r>
                </w:p>
              </w:tc>
              <w:tc>
                <w:tcPr>
                  <w:tcW w:w="1533" w:type="dxa"/>
                  <w:vAlign w:val="center"/>
                </w:tcPr>
                <w:p w14:paraId="32EC1D1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w:t>
                  </w:r>
                </w:p>
              </w:tc>
            </w:tr>
            <w:tr w14:paraId="542E7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451" w:type="dxa"/>
                  <w:vMerge w:val="continue"/>
                  <w:vAlign w:val="center"/>
                </w:tcPr>
                <w:p w14:paraId="25699987">
                  <w:pPr>
                    <w:jc w:val="center"/>
                    <w:rPr>
                      <w:rFonts w:ascii="Times New Roman" w:hAnsi="Times New Roman" w:cs="Times New Roman"/>
                      <w:color w:val="000000" w:themeColor="text1"/>
                      <w:sz w:val="21"/>
                      <w:szCs w:val="21"/>
                      <w14:textFill>
                        <w14:solidFill>
                          <w14:schemeClr w14:val="tx1"/>
                        </w14:solidFill>
                      </w14:textFill>
                    </w:rPr>
                  </w:pPr>
                </w:p>
              </w:tc>
              <w:tc>
                <w:tcPr>
                  <w:tcW w:w="514" w:type="dxa"/>
                  <w:vMerge w:val="continue"/>
                  <w:vAlign w:val="center"/>
                </w:tcPr>
                <w:p w14:paraId="3F9FE530">
                  <w:pPr>
                    <w:jc w:val="center"/>
                    <w:rPr>
                      <w:rFonts w:ascii="Times New Roman" w:hAnsi="Times New Roman" w:cs="Times New Roman"/>
                      <w:color w:val="000000" w:themeColor="text1"/>
                      <w:sz w:val="21"/>
                      <w:szCs w:val="21"/>
                      <w14:textFill>
                        <w14:solidFill>
                          <w14:schemeClr w14:val="tx1"/>
                        </w14:solidFill>
                      </w14:textFill>
                    </w:rPr>
                  </w:pPr>
                </w:p>
              </w:tc>
              <w:tc>
                <w:tcPr>
                  <w:tcW w:w="1304" w:type="dxa"/>
                  <w:vAlign w:val="center"/>
                </w:tcPr>
                <w:p w14:paraId="1AB25AF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地下水、土壤</w:t>
                  </w:r>
                </w:p>
              </w:tc>
              <w:tc>
                <w:tcPr>
                  <w:tcW w:w="5358" w:type="dxa"/>
                  <w:vAlign w:val="center"/>
                </w:tcPr>
                <w:p w14:paraId="23690A7E">
                  <w:pPr>
                    <w:tabs>
                      <w:tab w:val="left" w:pos="624"/>
                    </w:tab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防渗措施</w:t>
                  </w:r>
                </w:p>
              </w:tc>
              <w:tc>
                <w:tcPr>
                  <w:tcW w:w="1533" w:type="dxa"/>
                  <w:vAlign w:val="center"/>
                </w:tcPr>
                <w:p w14:paraId="6FA737C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50</w:t>
                  </w:r>
                </w:p>
              </w:tc>
            </w:tr>
            <w:tr w14:paraId="28AE2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269" w:type="dxa"/>
                  <w:gridSpan w:val="3"/>
                  <w:vAlign w:val="center"/>
                </w:tcPr>
                <w:p w14:paraId="72293FF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合计</w:t>
                  </w:r>
                </w:p>
              </w:tc>
              <w:tc>
                <w:tcPr>
                  <w:tcW w:w="5358" w:type="dxa"/>
                  <w:vAlign w:val="center"/>
                </w:tcPr>
                <w:p w14:paraId="43450E9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533" w:type="dxa"/>
                  <w:vAlign w:val="center"/>
                </w:tcPr>
                <w:p w14:paraId="69E8932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160</w:t>
                  </w:r>
                </w:p>
              </w:tc>
            </w:tr>
          </w:tbl>
          <w:p w14:paraId="602A841B">
            <w:pPr>
              <w:spacing w:line="360" w:lineRule="auto"/>
              <w:jc w:val="both"/>
              <w:rPr>
                <w:rFonts w:ascii="Times New Roman" w:hAnsi="Times New Roman" w:cs="Times New Roman"/>
                <w:color w:val="FF0000"/>
                <w:kern w:val="21"/>
              </w:rPr>
            </w:pPr>
          </w:p>
        </w:tc>
      </w:tr>
    </w:tbl>
    <w:p w14:paraId="75120042">
      <w:pPr>
        <w:adjustRightInd w:val="0"/>
        <w:snapToGrid w:val="0"/>
        <w:spacing w:line="360" w:lineRule="auto"/>
        <w:rPr>
          <w:rFonts w:ascii="Times New Roman" w:hAnsi="Times New Roman" w:cs="Times New Roman"/>
          <w:b/>
          <w:color w:val="FF0000"/>
          <w:sz w:val="28"/>
          <w:szCs w:val="28"/>
        </w:rPr>
        <w:sectPr>
          <w:pgSz w:w="11907" w:h="16840"/>
          <w:pgMar w:top="1418" w:right="1304" w:bottom="1418" w:left="1304" w:header="851" w:footer="851" w:gutter="0"/>
          <w:cols w:space="720" w:num="1"/>
          <w:docGrid w:linePitch="326" w:charSpace="0"/>
        </w:sectPr>
      </w:pPr>
    </w:p>
    <w:p w14:paraId="369FC4DB">
      <w:pPr>
        <w:pStyle w:val="81"/>
        <w:spacing w:before="0" w:beforeAutospacing="0" w:after="0" w:afterAutospacing="0" w:line="360" w:lineRule="auto"/>
        <w:jc w:val="center"/>
        <w:outlineLvl w:val="0"/>
        <w:rPr>
          <w:rFonts w:ascii="Times New Roman" w:hAnsi="Times New Roman" w:cs="Times New Roman"/>
          <w:b/>
          <w:bCs/>
          <w:snapToGrid w:val="0"/>
          <w:color w:val="FF0000"/>
          <w:sz w:val="30"/>
          <w:szCs w:val="30"/>
        </w:rPr>
      </w:pPr>
      <w:bookmarkStart w:id="19" w:name="_Toc144375213"/>
      <w:bookmarkStart w:id="20" w:name="_Toc146041490"/>
      <w:r>
        <w:rPr>
          <w:rFonts w:ascii="Times New Roman" w:hAnsi="Times New Roman" w:cs="Times New Roman"/>
          <w:b/>
          <w:bCs/>
          <w:snapToGrid w:val="0"/>
          <w:color w:val="000000" w:themeColor="text1"/>
          <w:sz w:val="30"/>
          <w:szCs w:val="30"/>
          <w14:textFill>
            <w14:solidFill>
              <w14:schemeClr w14:val="tx1"/>
            </w14:solidFill>
          </w14:textFill>
        </w:rPr>
        <w:t>五、</w:t>
      </w:r>
      <w:bookmarkStart w:id="21" w:name="_Hlk54167917"/>
      <w:r>
        <w:rPr>
          <w:rFonts w:ascii="Times New Roman" w:hAnsi="Times New Roman" w:cs="Times New Roman"/>
          <w:b/>
          <w:bCs/>
          <w:snapToGrid w:val="0"/>
          <w:color w:val="000000" w:themeColor="text1"/>
          <w:sz w:val="30"/>
          <w:szCs w:val="30"/>
          <w14:textFill>
            <w14:solidFill>
              <w14:schemeClr w14:val="tx1"/>
            </w14:solidFill>
          </w14:textFill>
        </w:rPr>
        <w:t>环境保护措施监督检查清单</w:t>
      </w:r>
      <w:bookmarkEnd w:id="19"/>
      <w:bookmarkEnd w:id="20"/>
      <w:bookmarkEnd w:id="21"/>
    </w:p>
    <w:tbl>
      <w:tblPr>
        <w:tblStyle w:val="88"/>
        <w:tblW w:w="92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1" w:type="dxa"/>
          <w:bottom w:w="0" w:type="dxa"/>
          <w:right w:w="11" w:type="dxa"/>
        </w:tblCellMar>
      </w:tblPr>
      <w:tblGrid>
        <w:gridCol w:w="956"/>
        <w:gridCol w:w="709"/>
        <w:gridCol w:w="1275"/>
        <w:gridCol w:w="1514"/>
        <w:gridCol w:w="2640"/>
        <w:gridCol w:w="2187"/>
      </w:tblGrid>
      <w:tr w14:paraId="003AA9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425" w:hRule="atLeast"/>
          <w:jc w:val="center"/>
        </w:trPr>
        <w:tc>
          <w:tcPr>
            <w:tcW w:w="956" w:type="dxa"/>
            <w:tcBorders>
              <w:tl2br w:val="single" w:color="auto" w:sz="4" w:space="0"/>
            </w:tcBorders>
          </w:tcPr>
          <w:p w14:paraId="73D0ED56">
            <w:pPr>
              <w:adjustRightInd w:val="0"/>
              <w:snapToGrid w:val="0"/>
              <w:jc w:val="right"/>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内容</w:t>
            </w:r>
          </w:p>
          <w:p w14:paraId="12D6B21A">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要素</w:t>
            </w:r>
          </w:p>
        </w:tc>
        <w:tc>
          <w:tcPr>
            <w:tcW w:w="1984" w:type="dxa"/>
            <w:gridSpan w:val="2"/>
            <w:vAlign w:val="center"/>
          </w:tcPr>
          <w:p w14:paraId="5A25025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排放口(编号、</w:t>
            </w:r>
          </w:p>
          <w:p w14:paraId="104A473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名称)/污染源</w:t>
            </w:r>
          </w:p>
        </w:tc>
        <w:tc>
          <w:tcPr>
            <w:tcW w:w="1514" w:type="dxa"/>
            <w:vAlign w:val="center"/>
          </w:tcPr>
          <w:p w14:paraId="5E97085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污染物项目</w:t>
            </w:r>
          </w:p>
        </w:tc>
        <w:tc>
          <w:tcPr>
            <w:tcW w:w="2640" w:type="dxa"/>
            <w:vAlign w:val="center"/>
          </w:tcPr>
          <w:p w14:paraId="1D88D62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环境保护措施</w:t>
            </w:r>
          </w:p>
        </w:tc>
        <w:tc>
          <w:tcPr>
            <w:tcW w:w="2187" w:type="dxa"/>
            <w:vAlign w:val="center"/>
          </w:tcPr>
          <w:p w14:paraId="33FF8F4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执行标准</w:t>
            </w:r>
          </w:p>
        </w:tc>
      </w:tr>
      <w:tr w14:paraId="5579DD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1059" w:hRule="atLeast"/>
          <w:jc w:val="center"/>
        </w:trPr>
        <w:tc>
          <w:tcPr>
            <w:tcW w:w="956" w:type="dxa"/>
            <w:vMerge w:val="restart"/>
            <w:vAlign w:val="center"/>
          </w:tcPr>
          <w:p w14:paraId="166AF6F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大气环境</w:t>
            </w:r>
          </w:p>
        </w:tc>
        <w:tc>
          <w:tcPr>
            <w:tcW w:w="709" w:type="dxa"/>
            <w:vMerge w:val="restart"/>
            <w:vAlign w:val="center"/>
          </w:tcPr>
          <w:p w14:paraId="21CD1E6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运营期</w:t>
            </w:r>
          </w:p>
        </w:tc>
        <w:tc>
          <w:tcPr>
            <w:tcW w:w="1275" w:type="dxa"/>
            <w:vAlign w:val="center"/>
          </w:tcPr>
          <w:p w14:paraId="2302E6C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装卸料</w:t>
            </w:r>
          </w:p>
        </w:tc>
        <w:tc>
          <w:tcPr>
            <w:tcW w:w="1514" w:type="dxa"/>
            <w:vAlign w:val="center"/>
          </w:tcPr>
          <w:p w14:paraId="2D05881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硫（颗粒物）、</w:t>
            </w:r>
            <w:r>
              <w:rPr>
                <w:rFonts w:ascii="Times New Roman" w:hAnsi="Times New Roman" w:cs="Times New Roman"/>
                <w:color w:val="000000" w:themeColor="text1"/>
                <w:sz w:val="21"/>
                <w:szCs w:val="21"/>
                <w14:textFill>
                  <w14:solidFill>
                    <w14:schemeClr w14:val="tx1"/>
                  </w14:solidFill>
                </w14:textFill>
              </w:rPr>
              <w:t>硫酸雾</w:t>
            </w:r>
            <w:r>
              <w:rPr>
                <w:rFonts w:hint="eastAsia" w:ascii="Times New Roman" w:hAnsi="Times New Roman" w:cs="Times New Roman"/>
                <w:color w:val="000000" w:themeColor="text1"/>
                <w:sz w:val="21"/>
                <w:szCs w:val="21"/>
                <w14:textFill>
                  <w14:solidFill>
                    <w14:schemeClr w14:val="tx1"/>
                  </w14:solidFill>
                </w14:textFill>
              </w:rPr>
              <w:t>、酚类、非甲烷总烃</w:t>
            </w:r>
          </w:p>
        </w:tc>
        <w:tc>
          <w:tcPr>
            <w:tcW w:w="2640" w:type="dxa"/>
            <w:vAlign w:val="center"/>
          </w:tcPr>
          <w:p w14:paraId="333299E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密闭输送、液下装卸、储罐氮封</w:t>
            </w:r>
            <w:r>
              <w:rPr>
                <w:rFonts w:hint="eastAsia" w:ascii="Times New Roman" w:hAnsi="Times New Roman" w:cs="Times New Roman"/>
                <w:color w:val="000000" w:themeColor="text1"/>
                <w:kern w:val="21"/>
                <w:sz w:val="21"/>
                <w:szCs w:val="21"/>
                <w14:textFill>
                  <w14:solidFill>
                    <w14:schemeClr w14:val="tx1"/>
                  </w14:solidFill>
                </w14:textFill>
              </w:rPr>
              <w:t>、气相平衡</w:t>
            </w:r>
            <w:r>
              <w:rPr>
                <w:rFonts w:ascii="Times New Roman" w:hAnsi="Times New Roman" w:cs="Times New Roman"/>
                <w:color w:val="000000" w:themeColor="text1"/>
                <w:kern w:val="21"/>
                <w:sz w:val="21"/>
                <w:szCs w:val="21"/>
                <w14:textFill>
                  <w14:solidFill>
                    <w14:schemeClr w14:val="tx1"/>
                  </w14:solidFill>
                </w14:textFill>
              </w:rPr>
              <w:t>等</w:t>
            </w:r>
          </w:p>
        </w:tc>
        <w:tc>
          <w:tcPr>
            <w:tcW w:w="2187" w:type="dxa"/>
            <w:vMerge w:val="restart"/>
            <w:vAlign w:val="center"/>
          </w:tcPr>
          <w:p w14:paraId="666E69B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硫（颗粒物）、</w:t>
            </w:r>
            <w:r>
              <w:rPr>
                <w:rFonts w:ascii="Times New Roman" w:hAnsi="Times New Roman" w:cs="Times New Roman"/>
                <w:color w:val="000000" w:themeColor="text1"/>
                <w:sz w:val="21"/>
                <w:szCs w:val="21"/>
                <w14:textFill>
                  <w14:solidFill>
                    <w14:schemeClr w14:val="tx1"/>
                  </w14:solidFill>
                </w14:textFill>
              </w:rPr>
              <w:t>硫酸雾《大气污染物综合排放标准》(GB16297-1996)表2新污染源大气污染物无组织排放限值标准</w:t>
            </w:r>
            <w:r>
              <w:rPr>
                <w:rFonts w:hint="eastAsia" w:ascii="Times New Roman" w:hAnsi="Times New Roman" w:cs="Times New Roman"/>
                <w:color w:val="000000" w:themeColor="text1"/>
                <w:sz w:val="21"/>
                <w:szCs w:val="21"/>
                <w14:textFill>
                  <w14:solidFill>
                    <w14:schemeClr w14:val="tx1"/>
                  </w14:solidFill>
                </w14:textFill>
              </w:rPr>
              <w:t>。</w:t>
            </w:r>
          </w:p>
        </w:tc>
      </w:tr>
      <w:tr w14:paraId="246A6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267" w:hRule="atLeast"/>
          <w:jc w:val="center"/>
        </w:trPr>
        <w:tc>
          <w:tcPr>
            <w:tcW w:w="956" w:type="dxa"/>
            <w:vMerge w:val="continue"/>
            <w:vAlign w:val="center"/>
          </w:tcPr>
          <w:p w14:paraId="21650220">
            <w:pPr>
              <w:adjustRightInd w:val="0"/>
              <w:snapToGrid w:val="0"/>
              <w:jc w:val="center"/>
              <w:rPr>
                <w:rFonts w:ascii="Times New Roman" w:hAnsi="Times New Roman" w:cs="Times New Roman"/>
                <w:color w:val="FF0000"/>
                <w:sz w:val="21"/>
                <w:szCs w:val="21"/>
              </w:rPr>
            </w:pPr>
          </w:p>
        </w:tc>
        <w:tc>
          <w:tcPr>
            <w:tcW w:w="709" w:type="dxa"/>
            <w:vMerge w:val="continue"/>
            <w:vAlign w:val="center"/>
          </w:tcPr>
          <w:p w14:paraId="5B8650D8">
            <w:pPr>
              <w:adjustRightInd w:val="0"/>
              <w:snapToGrid w:val="0"/>
              <w:jc w:val="center"/>
              <w:rPr>
                <w:rFonts w:ascii="Times New Roman" w:hAnsi="Times New Roman" w:cs="Times New Roman"/>
                <w:color w:val="FF0000"/>
                <w:sz w:val="21"/>
                <w:szCs w:val="21"/>
              </w:rPr>
            </w:pPr>
          </w:p>
        </w:tc>
        <w:tc>
          <w:tcPr>
            <w:tcW w:w="1275" w:type="dxa"/>
            <w:vMerge w:val="restart"/>
            <w:vAlign w:val="center"/>
          </w:tcPr>
          <w:p w14:paraId="5F28C19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储罐呼吸</w:t>
            </w:r>
          </w:p>
        </w:tc>
        <w:tc>
          <w:tcPr>
            <w:tcW w:w="1514" w:type="dxa"/>
            <w:vMerge w:val="restart"/>
            <w:vAlign w:val="center"/>
          </w:tcPr>
          <w:p w14:paraId="51B412A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硫（颗粒物）、</w:t>
            </w:r>
            <w:r>
              <w:rPr>
                <w:rFonts w:ascii="Times New Roman" w:hAnsi="Times New Roman" w:cs="Times New Roman"/>
                <w:color w:val="000000" w:themeColor="text1"/>
                <w:sz w:val="21"/>
                <w:szCs w:val="21"/>
                <w14:textFill>
                  <w14:solidFill>
                    <w14:schemeClr w14:val="tx1"/>
                  </w14:solidFill>
                </w14:textFill>
              </w:rPr>
              <w:t>硫酸雾</w:t>
            </w:r>
            <w:r>
              <w:rPr>
                <w:rFonts w:hint="eastAsia" w:ascii="Times New Roman" w:hAnsi="Times New Roman" w:cs="Times New Roman"/>
                <w:color w:val="000000" w:themeColor="text1"/>
                <w:sz w:val="21"/>
                <w:szCs w:val="21"/>
                <w14:textFill>
                  <w14:solidFill>
                    <w14:schemeClr w14:val="tx1"/>
                  </w14:solidFill>
                </w14:textFill>
              </w:rPr>
              <w:t>、酚类、非甲烷总烃</w:t>
            </w:r>
          </w:p>
        </w:tc>
        <w:tc>
          <w:tcPr>
            <w:tcW w:w="2640" w:type="dxa"/>
            <w:vAlign w:val="center"/>
          </w:tcPr>
          <w:p w14:paraId="34BAE27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液硫储罐设置氮封系统及升华硫回收装置。液硫储罐呼吸废气经升华硫回收装置处理后，经罐顶排气口（DA001，H=15m）排放。</w:t>
            </w:r>
          </w:p>
        </w:tc>
        <w:tc>
          <w:tcPr>
            <w:tcW w:w="2187" w:type="dxa"/>
            <w:vMerge w:val="continue"/>
            <w:vAlign w:val="center"/>
          </w:tcPr>
          <w:p w14:paraId="312DA69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3BDBE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267" w:hRule="atLeast"/>
          <w:jc w:val="center"/>
        </w:trPr>
        <w:tc>
          <w:tcPr>
            <w:tcW w:w="956" w:type="dxa"/>
            <w:vMerge w:val="continue"/>
            <w:vAlign w:val="center"/>
          </w:tcPr>
          <w:p w14:paraId="50B8F260">
            <w:pPr>
              <w:adjustRightInd w:val="0"/>
              <w:snapToGrid w:val="0"/>
              <w:jc w:val="center"/>
            </w:pPr>
          </w:p>
        </w:tc>
        <w:tc>
          <w:tcPr>
            <w:tcW w:w="709" w:type="dxa"/>
            <w:vMerge w:val="continue"/>
            <w:vAlign w:val="center"/>
          </w:tcPr>
          <w:p w14:paraId="7AA8377D">
            <w:pPr>
              <w:adjustRightInd w:val="0"/>
              <w:snapToGrid w:val="0"/>
              <w:jc w:val="center"/>
            </w:pPr>
          </w:p>
        </w:tc>
        <w:tc>
          <w:tcPr>
            <w:tcW w:w="1275" w:type="dxa"/>
            <w:vMerge w:val="continue"/>
            <w:vAlign w:val="center"/>
          </w:tcPr>
          <w:p w14:paraId="63941EA6">
            <w:pPr>
              <w:adjustRightInd w:val="0"/>
              <w:snapToGrid w:val="0"/>
              <w:jc w:val="center"/>
            </w:pPr>
          </w:p>
        </w:tc>
        <w:tc>
          <w:tcPr>
            <w:tcW w:w="1514" w:type="dxa"/>
            <w:vMerge w:val="continue"/>
            <w:vAlign w:val="center"/>
          </w:tcPr>
          <w:p w14:paraId="46DD4D26">
            <w:pPr>
              <w:adjustRightInd w:val="0"/>
              <w:snapToGrid w:val="0"/>
              <w:jc w:val="center"/>
              <w:rPr>
                <w:color w:val="000000" w:themeColor="text1"/>
                <w14:textFill>
                  <w14:solidFill>
                    <w14:schemeClr w14:val="tx1"/>
                  </w14:solidFill>
                </w14:textFill>
              </w:rPr>
            </w:pPr>
          </w:p>
        </w:tc>
        <w:tc>
          <w:tcPr>
            <w:tcW w:w="2640" w:type="dxa"/>
            <w:vAlign w:val="center"/>
          </w:tcPr>
          <w:p w14:paraId="2457FCC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发烟硫酸/98%硫酸储罐罐上设置氮封系统，气相管设置液封，正负压液封(V-401液封介质采用98%硫酸)，负压水封气相出口送至二级三氧化硫吸收塔进行吸收后，经二级吸收塔顶部排气口（DA002，H=15m）排放。</w:t>
            </w:r>
          </w:p>
        </w:tc>
        <w:tc>
          <w:tcPr>
            <w:tcW w:w="2187" w:type="dxa"/>
            <w:vMerge w:val="continue"/>
            <w:vAlign w:val="center"/>
          </w:tcPr>
          <w:p w14:paraId="1E48AF8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03F702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267" w:hRule="atLeast"/>
          <w:jc w:val="center"/>
        </w:trPr>
        <w:tc>
          <w:tcPr>
            <w:tcW w:w="956" w:type="dxa"/>
            <w:vMerge w:val="continue"/>
            <w:vAlign w:val="center"/>
          </w:tcPr>
          <w:p w14:paraId="697ECDE1">
            <w:pPr>
              <w:adjustRightInd w:val="0"/>
              <w:snapToGrid w:val="0"/>
              <w:jc w:val="center"/>
            </w:pPr>
          </w:p>
        </w:tc>
        <w:tc>
          <w:tcPr>
            <w:tcW w:w="709" w:type="dxa"/>
            <w:vMerge w:val="continue"/>
            <w:vAlign w:val="center"/>
          </w:tcPr>
          <w:p w14:paraId="7A0C6E1B">
            <w:pPr>
              <w:adjustRightInd w:val="0"/>
              <w:snapToGrid w:val="0"/>
              <w:jc w:val="center"/>
            </w:pPr>
          </w:p>
        </w:tc>
        <w:tc>
          <w:tcPr>
            <w:tcW w:w="1275" w:type="dxa"/>
            <w:vMerge w:val="continue"/>
            <w:vAlign w:val="center"/>
          </w:tcPr>
          <w:p w14:paraId="038137AE">
            <w:pPr>
              <w:adjustRightInd w:val="0"/>
              <w:snapToGrid w:val="0"/>
              <w:jc w:val="center"/>
            </w:pPr>
          </w:p>
        </w:tc>
        <w:tc>
          <w:tcPr>
            <w:tcW w:w="1514" w:type="dxa"/>
            <w:vMerge w:val="continue"/>
            <w:vAlign w:val="center"/>
          </w:tcPr>
          <w:p w14:paraId="5160A4C4">
            <w:pPr>
              <w:adjustRightInd w:val="0"/>
              <w:snapToGrid w:val="0"/>
              <w:jc w:val="center"/>
              <w:rPr>
                <w:color w:val="000000" w:themeColor="text1"/>
                <w14:textFill>
                  <w14:solidFill>
                    <w14:schemeClr w14:val="tx1"/>
                  </w14:solidFill>
                </w14:textFill>
              </w:rPr>
            </w:pPr>
          </w:p>
        </w:tc>
        <w:tc>
          <w:tcPr>
            <w:tcW w:w="2640" w:type="dxa"/>
            <w:vAlign w:val="center"/>
          </w:tcPr>
          <w:p w14:paraId="1F657BA9">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苯酚储罐：设置氮封系统+油气回收装置，废气经活性炭吸附后经排气筒（DA003，H=15m）排放。</w:t>
            </w:r>
          </w:p>
        </w:tc>
        <w:tc>
          <w:tcPr>
            <w:tcW w:w="2187" w:type="dxa"/>
            <w:vMerge w:val="continue"/>
            <w:vAlign w:val="center"/>
          </w:tcPr>
          <w:p w14:paraId="52D5428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49F1A1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267" w:hRule="atLeast"/>
          <w:jc w:val="center"/>
        </w:trPr>
        <w:tc>
          <w:tcPr>
            <w:tcW w:w="956" w:type="dxa"/>
            <w:vMerge w:val="continue"/>
            <w:vAlign w:val="center"/>
          </w:tcPr>
          <w:p w14:paraId="33A078E8">
            <w:pPr>
              <w:adjustRightInd w:val="0"/>
              <w:snapToGrid w:val="0"/>
              <w:jc w:val="center"/>
            </w:pPr>
          </w:p>
        </w:tc>
        <w:tc>
          <w:tcPr>
            <w:tcW w:w="709" w:type="dxa"/>
            <w:vMerge w:val="continue"/>
            <w:vAlign w:val="center"/>
          </w:tcPr>
          <w:p w14:paraId="1B17CCF8">
            <w:pPr>
              <w:adjustRightInd w:val="0"/>
              <w:snapToGrid w:val="0"/>
              <w:jc w:val="center"/>
            </w:pPr>
          </w:p>
        </w:tc>
        <w:tc>
          <w:tcPr>
            <w:tcW w:w="1275" w:type="dxa"/>
            <w:vMerge w:val="continue"/>
            <w:vAlign w:val="center"/>
          </w:tcPr>
          <w:p w14:paraId="7023C8C3">
            <w:pPr>
              <w:adjustRightInd w:val="0"/>
              <w:snapToGrid w:val="0"/>
              <w:jc w:val="center"/>
            </w:pPr>
          </w:p>
        </w:tc>
        <w:tc>
          <w:tcPr>
            <w:tcW w:w="1514" w:type="dxa"/>
            <w:vMerge w:val="continue"/>
            <w:vAlign w:val="center"/>
          </w:tcPr>
          <w:p w14:paraId="4D41CF51">
            <w:pPr>
              <w:adjustRightInd w:val="0"/>
              <w:snapToGrid w:val="0"/>
              <w:jc w:val="center"/>
              <w:rPr>
                <w:color w:val="000000" w:themeColor="text1"/>
                <w14:textFill>
                  <w14:solidFill>
                    <w14:schemeClr w14:val="tx1"/>
                  </w14:solidFill>
                </w14:textFill>
              </w:rPr>
            </w:pPr>
          </w:p>
        </w:tc>
        <w:tc>
          <w:tcPr>
            <w:tcW w:w="2640" w:type="dxa"/>
            <w:vAlign w:val="center"/>
          </w:tcPr>
          <w:p w14:paraId="5A512D84">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己内酰胺储罐：设置氮封系统+水洗塔，废气经水洗塔吸收后经排气筒（DA004，H=15m）排放。</w:t>
            </w:r>
          </w:p>
        </w:tc>
        <w:tc>
          <w:tcPr>
            <w:tcW w:w="2187" w:type="dxa"/>
            <w:vMerge w:val="continue"/>
            <w:vAlign w:val="center"/>
          </w:tcPr>
          <w:p w14:paraId="6B2B0A7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7274A7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282" w:hRule="atLeast"/>
          <w:jc w:val="center"/>
        </w:trPr>
        <w:tc>
          <w:tcPr>
            <w:tcW w:w="956" w:type="dxa"/>
            <w:vMerge w:val="continue"/>
            <w:vAlign w:val="center"/>
          </w:tcPr>
          <w:p w14:paraId="23400D45">
            <w:pPr>
              <w:adjustRightInd w:val="0"/>
              <w:snapToGrid w:val="0"/>
              <w:jc w:val="center"/>
              <w:rPr>
                <w:rFonts w:ascii="Times New Roman" w:hAnsi="Times New Roman" w:cs="Times New Roman"/>
                <w:color w:val="FF0000"/>
                <w:sz w:val="21"/>
                <w:szCs w:val="21"/>
              </w:rPr>
            </w:pPr>
          </w:p>
        </w:tc>
        <w:tc>
          <w:tcPr>
            <w:tcW w:w="709" w:type="dxa"/>
            <w:vMerge w:val="continue"/>
            <w:vAlign w:val="center"/>
          </w:tcPr>
          <w:p w14:paraId="4352350C">
            <w:pPr>
              <w:adjustRightInd w:val="0"/>
              <w:snapToGrid w:val="0"/>
              <w:jc w:val="center"/>
              <w:rPr>
                <w:rFonts w:ascii="Times New Roman" w:hAnsi="Times New Roman" w:cs="Times New Roman"/>
                <w:color w:val="FF0000"/>
                <w:sz w:val="21"/>
                <w:szCs w:val="21"/>
              </w:rPr>
            </w:pPr>
          </w:p>
        </w:tc>
        <w:tc>
          <w:tcPr>
            <w:tcW w:w="1275" w:type="dxa"/>
            <w:vAlign w:val="center"/>
          </w:tcPr>
          <w:p w14:paraId="2C426F4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动静密封点</w:t>
            </w:r>
          </w:p>
        </w:tc>
        <w:tc>
          <w:tcPr>
            <w:tcW w:w="1514" w:type="dxa"/>
            <w:vMerge w:val="continue"/>
            <w:vAlign w:val="center"/>
          </w:tcPr>
          <w:p w14:paraId="3010023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2640" w:type="dxa"/>
            <w:vAlign w:val="center"/>
          </w:tcPr>
          <w:p w14:paraId="66F2BECD">
            <w:pPr>
              <w:adjustRightInd w:val="0"/>
              <w:snapToGrid w:val="0"/>
              <w:jc w:val="center"/>
              <w:rPr>
                <w:rFonts w:ascii="Times New Roman" w:hAnsi="Times New Roman" w:cs="Times New Roman"/>
                <w:color w:val="000000" w:themeColor="text1"/>
                <w:kern w:val="21"/>
                <w:sz w:val="21"/>
                <w:szCs w:val="21"/>
                <w14:textFill>
                  <w14:solidFill>
                    <w14:schemeClr w14:val="tx1"/>
                  </w14:solidFill>
                </w14:textFill>
              </w:rPr>
            </w:pPr>
            <w:r>
              <w:rPr>
                <w:rFonts w:ascii="Times New Roman" w:hAnsi="Times New Roman" w:cs="Times New Roman"/>
                <w:color w:val="000000" w:themeColor="text1"/>
                <w:kern w:val="21"/>
                <w:sz w:val="21"/>
                <w:szCs w:val="21"/>
                <w14:textFill>
                  <w14:solidFill>
                    <w14:schemeClr w14:val="tx1"/>
                  </w14:solidFill>
                </w14:textFill>
              </w:rPr>
              <w:t>/</w:t>
            </w:r>
          </w:p>
        </w:tc>
        <w:tc>
          <w:tcPr>
            <w:tcW w:w="2187" w:type="dxa"/>
            <w:vMerge w:val="continue"/>
            <w:vAlign w:val="center"/>
          </w:tcPr>
          <w:p w14:paraId="22D005A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792BCE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425" w:hRule="atLeast"/>
          <w:jc w:val="center"/>
        </w:trPr>
        <w:tc>
          <w:tcPr>
            <w:tcW w:w="956" w:type="dxa"/>
            <w:vMerge w:val="restart"/>
            <w:vAlign w:val="center"/>
          </w:tcPr>
          <w:p w14:paraId="7B857DA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地表水环境</w:t>
            </w:r>
          </w:p>
        </w:tc>
        <w:tc>
          <w:tcPr>
            <w:tcW w:w="709" w:type="dxa"/>
            <w:vMerge w:val="restart"/>
            <w:vAlign w:val="center"/>
          </w:tcPr>
          <w:p w14:paraId="15D4835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运营期</w:t>
            </w:r>
          </w:p>
        </w:tc>
        <w:tc>
          <w:tcPr>
            <w:tcW w:w="1275" w:type="dxa"/>
            <w:vAlign w:val="center"/>
          </w:tcPr>
          <w:p w14:paraId="6D63CF52">
            <w:pPr>
              <w:adjustRightInd w:val="0"/>
              <w:snapToGrid w:val="0"/>
              <w:jc w:val="center"/>
              <w:rPr>
                <w:rFonts w:ascii="Times New Roman" w:hAnsi="Times New Roman" w:cs="Times New Roman"/>
                <w:snapToGrid w:val="0"/>
                <w:color w:val="000000" w:themeColor="text1"/>
                <w:sz w:val="21"/>
                <w:szCs w:val="21"/>
                <w:lang w:bidi="zh-CN"/>
                <w14:textFill>
                  <w14:solidFill>
                    <w14:schemeClr w14:val="tx1"/>
                  </w14:solidFill>
                </w14:textFill>
              </w:rPr>
            </w:pPr>
            <w:r>
              <w:rPr>
                <w:rFonts w:hint="eastAsia" w:ascii="Times New Roman" w:hAnsi="Times New Roman" w:cs="Times New Roman"/>
                <w:snapToGrid w:val="0"/>
                <w:color w:val="000000" w:themeColor="text1"/>
                <w:sz w:val="21"/>
                <w:szCs w:val="21"/>
                <w:lang w:bidi="zh-CN"/>
                <w14:textFill>
                  <w14:solidFill>
                    <w14:schemeClr w14:val="tx1"/>
                  </w14:solidFill>
                </w14:textFill>
              </w:rPr>
              <w:t>生产废水</w:t>
            </w:r>
          </w:p>
        </w:tc>
        <w:tc>
          <w:tcPr>
            <w:tcW w:w="1514" w:type="dxa"/>
            <w:vAlign w:val="center"/>
          </w:tcPr>
          <w:p w14:paraId="2C4C52E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COD、SS</w:t>
            </w:r>
          </w:p>
        </w:tc>
        <w:tc>
          <w:tcPr>
            <w:tcW w:w="2640" w:type="dxa"/>
            <w:vAlign w:val="center"/>
          </w:tcPr>
          <w:p w14:paraId="49A5AA68">
            <w:pPr>
              <w:adjustRightInd w:val="0"/>
              <w:snapToGrid w:val="0"/>
              <w:jc w:val="center"/>
              <w:rPr>
                <w:rFonts w:ascii="Times New Roman" w:hAnsi="Times New Roman" w:cs="Times New Roman"/>
                <w:snapToGrid w:val="0"/>
                <w:color w:val="000000" w:themeColor="text1"/>
                <w:sz w:val="21"/>
                <w:szCs w:val="21"/>
                <w:lang w:bidi="zh-CN"/>
                <w14:textFill>
                  <w14:solidFill>
                    <w14:schemeClr w14:val="tx1"/>
                  </w14:solidFill>
                </w14:textFill>
              </w:rPr>
            </w:pPr>
            <w:r>
              <w:rPr>
                <w:rFonts w:hint="eastAsia" w:ascii="Times New Roman" w:hAnsi="Times New Roman" w:cs="Times New Roman"/>
                <w:snapToGrid w:val="0"/>
                <w:color w:val="000000" w:themeColor="text1"/>
                <w:sz w:val="21"/>
                <w:szCs w:val="21"/>
                <w:lang w:bidi="zh-CN"/>
                <w14:textFill>
                  <w14:solidFill>
                    <w14:schemeClr w14:val="tx1"/>
                  </w14:solidFill>
                </w14:textFill>
              </w:rPr>
              <w:t>己内酰胺储罐废气水洗塔废水经污水管道泵送至广西恒逸污水处理厂处理</w:t>
            </w:r>
          </w:p>
        </w:tc>
        <w:tc>
          <w:tcPr>
            <w:tcW w:w="2187" w:type="dxa"/>
            <w:vMerge w:val="restart"/>
            <w:vAlign w:val="center"/>
          </w:tcPr>
          <w:p w14:paraId="63836B7C">
            <w:pPr>
              <w:adjustRightInd w:val="0"/>
              <w:snapToGrid w:val="0"/>
              <w:jc w:val="center"/>
              <w:rPr>
                <w:rFonts w:ascii="Times New Roman" w:hAnsi="Times New Roman" w:cs="Times New Roman"/>
                <w:color w:val="000000" w:themeColor="text1"/>
                <w:sz w:val="21"/>
                <w:szCs w:val="21"/>
                <w:lang w:val="zh-CN"/>
                <w14:textFill>
                  <w14:solidFill>
                    <w14:schemeClr w14:val="tx1"/>
                  </w14:solidFill>
                </w14:textFill>
              </w:rPr>
            </w:pPr>
            <w:r>
              <w:rPr>
                <w:rFonts w:ascii="Times New Roman" w:hAnsi="Times New Roman" w:cs="Times New Roman"/>
                <w:color w:val="000000" w:themeColor="text1"/>
                <w:sz w:val="21"/>
                <w:szCs w:val="21"/>
                <w:lang w:val="zh-CN"/>
                <w14:textFill>
                  <w14:solidFill>
                    <w14:schemeClr w14:val="tx1"/>
                  </w14:solidFill>
                </w14:textFill>
              </w:rPr>
              <w:t>《污水综合排放标准》（GB8978-1996）表4三级标准限值及</w:t>
            </w:r>
            <w:r>
              <w:rPr>
                <w:rFonts w:hint="eastAsia" w:ascii="Times New Roman" w:hAnsi="Times New Roman" w:cs="Times New Roman"/>
                <w:color w:val="000000" w:themeColor="text1"/>
                <w:sz w:val="21"/>
                <w:szCs w:val="21"/>
                <w:lang w:val="zh-CN"/>
                <w14:textFill>
                  <w14:solidFill>
                    <w14:schemeClr w14:val="tx1"/>
                  </w14:solidFill>
                </w14:textFill>
              </w:rPr>
              <w:t>广西恒逸污水处理厂</w:t>
            </w:r>
            <w:r>
              <w:rPr>
                <w:rFonts w:ascii="Times New Roman" w:hAnsi="Times New Roman" w:cs="Times New Roman"/>
                <w:color w:val="000000" w:themeColor="text1"/>
                <w:sz w:val="21"/>
                <w:szCs w:val="21"/>
                <w:lang w:val="zh-CN"/>
                <w14:textFill>
                  <w14:solidFill>
                    <w14:schemeClr w14:val="tx1"/>
                  </w14:solidFill>
                </w14:textFill>
              </w:rPr>
              <w:t>接管要求</w:t>
            </w:r>
          </w:p>
        </w:tc>
      </w:tr>
      <w:tr w14:paraId="224C2E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425" w:hRule="atLeast"/>
          <w:jc w:val="center"/>
        </w:trPr>
        <w:tc>
          <w:tcPr>
            <w:tcW w:w="956" w:type="dxa"/>
            <w:vMerge w:val="continue"/>
            <w:vAlign w:val="center"/>
          </w:tcPr>
          <w:p w14:paraId="7D18134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709" w:type="dxa"/>
            <w:vMerge w:val="continue"/>
            <w:vAlign w:val="center"/>
          </w:tcPr>
          <w:p w14:paraId="0B4D435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275" w:type="dxa"/>
            <w:vAlign w:val="center"/>
          </w:tcPr>
          <w:p w14:paraId="5721D6D4">
            <w:pPr>
              <w:adjustRightInd w:val="0"/>
              <w:snapToGrid w:val="0"/>
              <w:jc w:val="center"/>
              <w:rPr>
                <w:rFonts w:ascii="Times New Roman" w:hAnsi="Times New Roman" w:cs="Times New Roman"/>
                <w:snapToGrid w:val="0"/>
                <w:color w:val="000000" w:themeColor="text1"/>
                <w:sz w:val="21"/>
                <w:szCs w:val="21"/>
                <w:lang w:bidi="zh-CN"/>
                <w14:textFill>
                  <w14:solidFill>
                    <w14:schemeClr w14:val="tx1"/>
                  </w14:solidFill>
                </w14:textFill>
              </w:rPr>
            </w:pPr>
            <w:r>
              <w:rPr>
                <w:rFonts w:ascii="Times New Roman" w:hAnsi="Times New Roman" w:cs="Times New Roman"/>
                <w:snapToGrid w:val="0"/>
                <w:color w:val="000000" w:themeColor="text1"/>
                <w:sz w:val="21"/>
                <w:szCs w:val="21"/>
                <w:lang w:bidi="zh-CN"/>
                <w14:textFill>
                  <w14:solidFill>
                    <w14:schemeClr w14:val="tx1"/>
                  </w14:solidFill>
                </w14:textFill>
              </w:rPr>
              <w:t>初期雨水</w:t>
            </w:r>
          </w:p>
        </w:tc>
        <w:tc>
          <w:tcPr>
            <w:tcW w:w="1514" w:type="dxa"/>
            <w:vAlign w:val="center"/>
          </w:tcPr>
          <w:p w14:paraId="67745E7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化学需氧量、悬浮物、石油类等</w:t>
            </w:r>
          </w:p>
        </w:tc>
        <w:tc>
          <w:tcPr>
            <w:tcW w:w="2640" w:type="dxa"/>
            <w:vAlign w:val="center"/>
          </w:tcPr>
          <w:p w14:paraId="4A792135">
            <w:pPr>
              <w:adjustRightInd w:val="0"/>
              <w:snapToGrid w:val="0"/>
              <w:jc w:val="center"/>
              <w:rPr>
                <w:rFonts w:ascii="Times New Roman" w:hAnsi="Times New Roman" w:cs="Times New Roman"/>
                <w:snapToGrid w:val="0"/>
                <w:color w:val="000000" w:themeColor="text1"/>
                <w:sz w:val="21"/>
                <w:szCs w:val="21"/>
                <w:lang w:bidi="zh-CN"/>
                <w14:textFill>
                  <w14:solidFill>
                    <w14:schemeClr w14:val="tx1"/>
                  </w14:solidFill>
                </w14:textFill>
              </w:rPr>
            </w:pPr>
            <w:r>
              <w:rPr>
                <w:rFonts w:hint="eastAsia" w:ascii="Times New Roman" w:hAnsi="Times New Roman" w:cs="Times New Roman"/>
                <w:snapToGrid w:val="0"/>
                <w:color w:val="000000" w:themeColor="text1"/>
                <w:sz w:val="21"/>
                <w:szCs w:val="21"/>
                <w:lang w:bidi="zh-CN"/>
                <w14:textFill>
                  <w14:solidFill>
                    <w14:schemeClr w14:val="tx1"/>
                  </w14:solidFill>
                </w14:textFill>
              </w:rPr>
              <w:t>进入初期雨水池收集后，泵送至广西恒逸污水处理厂处理</w:t>
            </w:r>
          </w:p>
        </w:tc>
        <w:tc>
          <w:tcPr>
            <w:tcW w:w="2187" w:type="dxa"/>
            <w:vMerge w:val="continue"/>
            <w:vAlign w:val="center"/>
          </w:tcPr>
          <w:p w14:paraId="65B78627">
            <w:pPr>
              <w:adjustRightInd w:val="0"/>
              <w:snapToGrid w:val="0"/>
              <w:jc w:val="center"/>
              <w:rPr>
                <w:rFonts w:ascii="Times New Roman" w:hAnsi="Times New Roman" w:cs="Times New Roman"/>
                <w:color w:val="000000" w:themeColor="text1"/>
                <w:sz w:val="21"/>
                <w:szCs w:val="21"/>
                <w:lang w:val="zh-CN"/>
                <w14:textFill>
                  <w14:solidFill>
                    <w14:schemeClr w14:val="tx1"/>
                  </w14:solidFill>
                </w14:textFill>
              </w:rPr>
            </w:pPr>
          </w:p>
        </w:tc>
      </w:tr>
      <w:tr w14:paraId="7F800B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425" w:hRule="atLeast"/>
          <w:jc w:val="center"/>
        </w:trPr>
        <w:tc>
          <w:tcPr>
            <w:tcW w:w="956" w:type="dxa"/>
            <w:vAlign w:val="center"/>
          </w:tcPr>
          <w:p w14:paraId="704A8AF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声环境</w:t>
            </w:r>
          </w:p>
        </w:tc>
        <w:tc>
          <w:tcPr>
            <w:tcW w:w="709" w:type="dxa"/>
            <w:vAlign w:val="center"/>
          </w:tcPr>
          <w:p w14:paraId="4BF2063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运营期</w:t>
            </w:r>
          </w:p>
        </w:tc>
        <w:tc>
          <w:tcPr>
            <w:tcW w:w="1275" w:type="dxa"/>
            <w:vAlign w:val="center"/>
          </w:tcPr>
          <w:p w14:paraId="6641ABE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设备噪声</w:t>
            </w:r>
          </w:p>
        </w:tc>
        <w:tc>
          <w:tcPr>
            <w:tcW w:w="1514" w:type="dxa"/>
            <w:vAlign w:val="center"/>
          </w:tcPr>
          <w:p w14:paraId="7531A46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设备噪声</w:t>
            </w:r>
          </w:p>
        </w:tc>
        <w:tc>
          <w:tcPr>
            <w:tcW w:w="2640" w:type="dxa"/>
            <w:vAlign w:val="center"/>
          </w:tcPr>
          <w:p w14:paraId="02B8689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减振、隔声</w:t>
            </w:r>
          </w:p>
        </w:tc>
        <w:tc>
          <w:tcPr>
            <w:tcW w:w="2187" w:type="dxa"/>
            <w:vAlign w:val="center"/>
          </w:tcPr>
          <w:p w14:paraId="76EBA47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napToGrid w:val="0"/>
                <w:color w:val="000000" w:themeColor="text1"/>
                <w:sz w:val="21"/>
                <w:szCs w:val="21"/>
                <w:lang w:val="zh-CN" w:bidi="zh-CN"/>
                <w14:textFill>
                  <w14:solidFill>
                    <w14:schemeClr w14:val="tx1"/>
                  </w14:solidFill>
                </w14:textFill>
              </w:rPr>
              <w:t>《工业企业厂界环境噪声排放标准》（GB12348—2008）</w:t>
            </w:r>
            <w:r>
              <w:rPr>
                <w:rFonts w:ascii="Times New Roman" w:hAnsi="Times New Roman" w:cs="Times New Roman"/>
                <w:snapToGrid w:val="0"/>
                <w:color w:val="000000" w:themeColor="text1"/>
                <w:sz w:val="21"/>
                <w:szCs w:val="21"/>
                <w:lang w:bidi="zh-CN"/>
                <w14:textFill>
                  <w14:solidFill>
                    <w14:schemeClr w14:val="tx1"/>
                  </w14:solidFill>
                </w14:textFill>
              </w:rPr>
              <w:t>3</w:t>
            </w:r>
            <w:r>
              <w:rPr>
                <w:rFonts w:ascii="Times New Roman" w:hAnsi="Times New Roman" w:cs="Times New Roman"/>
                <w:snapToGrid w:val="0"/>
                <w:color w:val="000000" w:themeColor="text1"/>
                <w:sz w:val="21"/>
                <w:szCs w:val="21"/>
                <w:lang w:val="zh-CN" w:bidi="zh-CN"/>
                <w14:textFill>
                  <w14:solidFill>
                    <w14:schemeClr w14:val="tx1"/>
                  </w14:solidFill>
                </w14:textFill>
              </w:rPr>
              <w:t>类标准</w:t>
            </w:r>
          </w:p>
        </w:tc>
      </w:tr>
      <w:tr w14:paraId="4BDF8F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425" w:hRule="atLeast"/>
          <w:jc w:val="center"/>
        </w:trPr>
        <w:tc>
          <w:tcPr>
            <w:tcW w:w="956" w:type="dxa"/>
            <w:vAlign w:val="center"/>
          </w:tcPr>
          <w:p w14:paraId="4CA122B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电磁辐射</w:t>
            </w:r>
          </w:p>
        </w:tc>
        <w:tc>
          <w:tcPr>
            <w:tcW w:w="8325" w:type="dxa"/>
            <w:gridSpan w:val="5"/>
            <w:vAlign w:val="center"/>
          </w:tcPr>
          <w:p w14:paraId="0911342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w:t>
            </w:r>
          </w:p>
        </w:tc>
      </w:tr>
      <w:tr w14:paraId="7E2E68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jc w:val="center"/>
        </w:trPr>
        <w:tc>
          <w:tcPr>
            <w:tcW w:w="956" w:type="dxa"/>
            <w:vAlign w:val="center"/>
          </w:tcPr>
          <w:p w14:paraId="7D44F1E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固体废物</w:t>
            </w:r>
          </w:p>
        </w:tc>
        <w:tc>
          <w:tcPr>
            <w:tcW w:w="8325" w:type="dxa"/>
            <w:gridSpan w:val="5"/>
            <w:vAlign w:val="center"/>
          </w:tcPr>
          <w:p w14:paraId="7473B1C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废抹布</w:t>
            </w:r>
            <w:r>
              <w:rPr>
                <w:rFonts w:hint="eastAsia" w:ascii="Times New Roman" w:hAnsi="Times New Roman" w:cs="Times New Roman"/>
                <w:color w:val="000000" w:themeColor="text1"/>
                <w:sz w:val="21"/>
                <w:szCs w:val="21"/>
                <w14:textFill>
                  <w14:solidFill>
                    <w14:schemeClr w14:val="tx1"/>
                  </w14:solidFill>
                </w14:textFill>
              </w:rPr>
              <w:t>、废油漆、废酸、废碱、废活性炭</w:t>
            </w:r>
            <w:r>
              <w:rPr>
                <w:rFonts w:ascii="Times New Roman" w:hAnsi="Times New Roman" w:cs="Times New Roman"/>
                <w:color w:val="000000" w:themeColor="text1"/>
                <w:sz w:val="21"/>
                <w:szCs w:val="21"/>
                <w14:textFill>
                  <w14:solidFill>
                    <w14:schemeClr w14:val="tx1"/>
                  </w14:solidFill>
                </w14:textFill>
              </w:rPr>
              <w:t>等交由有资质的危险废物处理单位处理</w:t>
            </w:r>
          </w:p>
        </w:tc>
      </w:tr>
      <w:tr w14:paraId="5744F3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552" w:hRule="atLeast"/>
          <w:jc w:val="center"/>
        </w:trPr>
        <w:tc>
          <w:tcPr>
            <w:tcW w:w="956" w:type="dxa"/>
            <w:vAlign w:val="center"/>
          </w:tcPr>
          <w:p w14:paraId="6E5CB52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土壤及地下水污染防治措施</w:t>
            </w:r>
          </w:p>
        </w:tc>
        <w:tc>
          <w:tcPr>
            <w:tcW w:w="8325" w:type="dxa"/>
            <w:gridSpan w:val="5"/>
            <w:vAlign w:val="center"/>
          </w:tcPr>
          <w:p w14:paraId="473DE534">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①</w:t>
            </w:r>
            <w:r>
              <w:rPr>
                <w:rFonts w:ascii="Times New Roman" w:hAnsi="Times New Roman" w:cs="Times New Roman"/>
                <w:color w:val="000000" w:themeColor="text1"/>
                <w:sz w:val="21"/>
                <w:szCs w:val="21"/>
                <w14:textFill>
                  <w14:solidFill>
                    <w14:schemeClr w14:val="tx1"/>
                  </w14:solidFill>
                </w14:textFill>
              </w:rPr>
              <w:t>做好分区防控，对地下水、土壤存在污染风险的建设区应做好场地防渗，即根据污染可能性和影响程度划分为重点防渗区、一般防渗区、简单防渗区。重点防渗区储罐区、危废间严格按照设计要求做好防腐防渗措施。</w:t>
            </w:r>
          </w:p>
          <w:p w14:paraId="482B4254">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②</w:t>
            </w:r>
            <w:r>
              <w:rPr>
                <w:rFonts w:ascii="Times New Roman" w:hAnsi="Times New Roman" w:cs="Times New Roman"/>
                <w:color w:val="000000" w:themeColor="text1"/>
                <w:sz w:val="21"/>
                <w:szCs w:val="21"/>
                <w14:textFill>
                  <w14:solidFill>
                    <w14:schemeClr w14:val="tx1"/>
                  </w14:solidFill>
                </w14:textFill>
              </w:rPr>
              <w:t>从源头加强控制，采用明管输送，定期检查维护输送管道。</w:t>
            </w:r>
          </w:p>
          <w:p w14:paraId="633C2C39">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③</w:t>
            </w:r>
            <w:r>
              <w:rPr>
                <w:rFonts w:ascii="Times New Roman" w:hAnsi="Times New Roman" w:cs="Times New Roman"/>
                <w:color w:val="000000" w:themeColor="text1"/>
                <w:sz w:val="21"/>
                <w:szCs w:val="21"/>
                <w14:textFill>
                  <w14:solidFill>
                    <w14:schemeClr w14:val="tx1"/>
                  </w14:solidFill>
                </w14:textFill>
              </w:rPr>
              <w:t>加强环境管理，制定事故应急减缓措施。</w:t>
            </w:r>
          </w:p>
          <w:p w14:paraId="137FD977">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④</w:t>
            </w:r>
            <w:r>
              <w:rPr>
                <w:rFonts w:ascii="Times New Roman" w:hAnsi="Times New Roman" w:cs="Times New Roman"/>
                <w:color w:val="000000" w:themeColor="text1"/>
                <w:sz w:val="21"/>
                <w:szCs w:val="21"/>
                <w14:textFill>
                  <w14:solidFill>
                    <w14:schemeClr w14:val="tx1"/>
                  </w14:solidFill>
                </w14:textFill>
              </w:rPr>
              <w:t>储罐要安装液位、温度、压力超限报警设施，贮存区需安装气体泄漏检测报警装置和火灾报警系统。</w:t>
            </w:r>
          </w:p>
        </w:tc>
      </w:tr>
      <w:tr w14:paraId="307611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1276" w:hRule="atLeast"/>
          <w:jc w:val="center"/>
        </w:trPr>
        <w:tc>
          <w:tcPr>
            <w:tcW w:w="956" w:type="dxa"/>
            <w:vAlign w:val="center"/>
          </w:tcPr>
          <w:p w14:paraId="3D483BE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生态保护措施</w:t>
            </w:r>
          </w:p>
        </w:tc>
        <w:tc>
          <w:tcPr>
            <w:tcW w:w="8325" w:type="dxa"/>
            <w:gridSpan w:val="5"/>
            <w:vAlign w:val="center"/>
          </w:tcPr>
          <w:p w14:paraId="07D941E7">
            <w:pPr>
              <w:rPr>
                <w:rFonts w:ascii="Times New Roman" w:hAnsi="Times New Roman" w:cs="Times New Roman"/>
                <w:color w:val="FF0000"/>
                <w:sz w:val="21"/>
                <w:szCs w:val="21"/>
              </w:rPr>
            </w:pPr>
            <w:r>
              <w:rPr>
                <w:rFonts w:ascii="Times New Roman" w:hAnsi="Times New Roman" w:cs="Times New Roman"/>
                <w:color w:val="000000" w:themeColor="text1"/>
                <w:sz w:val="21"/>
                <w:szCs w:val="21"/>
                <w14:textFill>
                  <w14:solidFill>
                    <w14:schemeClr w14:val="tx1"/>
                  </w14:solidFill>
                </w14:textFill>
              </w:rPr>
              <w:t>项目区域周边主要为码头、油库、钦州湾海域等，人类活动较频繁，</w:t>
            </w:r>
            <w:r>
              <w:rPr>
                <w:rFonts w:hint="eastAsia" w:ascii="Times New Roman" w:hAnsi="Times New Roman" w:cs="Times New Roman"/>
                <w:color w:val="000000" w:themeColor="text1"/>
                <w:sz w:val="21"/>
                <w:szCs w:val="21"/>
                <w14:textFill>
                  <w14:solidFill>
                    <w14:schemeClr w14:val="tx1"/>
                  </w14:solidFill>
                </w14:textFill>
              </w:rPr>
              <w:t>项目西北方向约3.8k</w:t>
            </w:r>
            <w:r>
              <w:rPr>
                <w:rFonts w:ascii="Times New Roman" w:hAnsi="Times New Roman" w:cs="Times New Roman"/>
                <w:color w:val="000000" w:themeColor="text1"/>
                <w:sz w:val="21"/>
                <w:szCs w:val="21"/>
                <w14:textFill>
                  <w14:solidFill>
                    <w14:schemeClr w14:val="tx1"/>
                  </w14:solidFill>
                </w14:textFill>
              </w:rPr>
              <w:t>m有生态环境保护目标广西茅尾海红树林自治区级自然保护区（七十二泾片），</w:t>
            </w:r>
            <w:r>
              <w:rPr>
                <w:rFonts w:hint="eastAsia" w:ascii="Times New Roman" w:hAnsi="Times New Roman" w:cs="Times New Roman"/>
                <w:color w:val="000000" w:themeColor="text1"/>
                <w:sz w:val="21"/>
                <w:szCs w:val="21"/>
                <w14:textFill>
                  <w14:solidFill>
                    <w14:schemeClr w14:val="tx1"/>
                  </w14:solidFill>
                </w14:textFill>
              </w:rPr>
              <w:t>通过对大气、地下水、土壤等做好风险防范措施，基本</w:t>
            </w:r>
            <w:r>
              <w:rPr>
                <w:rFonts w:ascii="Times New Roman" w:hAnsi="Times New Roman" w:cs="Times New Roman"/>
                <w:color w:val="000000" w:themeColor="text1"/>
                <w:sz w:val="21"/>
                <w:szCs w:val="21"/>
                <w14:textFill>
                  <w14:solidFill>
                    <w14:schemeClr w14:val="tx1"/>
                  </w14:solidFill>
                </w14:textFill>
              </w:rPr>
              <w:t>不会对广西茅尾海红树林自治区级自然保护区（七十二泾片）产生影响</w:t>
            </w:r>
          </w:p>
        </w:tc>
      </w:tr>
      <w:tr w14:paraId="0645B4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1276" w:hRule="atLeast"/>
          <w:jc w:val="center"/>
        </w:trPr>
        <w:tc>
          <w:tcPr>
            <w:tcW w:w="956" w:type="dxa"/>
            <w:vAlign w:val="center"/>
          </w:tcPr>
          <w:p w14:paraId="639A1115">
            <w:pPr>
              <w:adjustRightInd w:val="0"/>
              <w:snapToGrid w:val="0"/>
              <w:jc w:val="center"/>
              <w:rPr>
                <w:rFonts w:ascii="Times New Roman" w:hAnsi="Times New Roman" w:cs="Times New Roman"/>
                <w:color w:val="000000" w:themeColor="text1"/>
                <w:spacing w:val="-8"/>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环境风险</w:t>
            </w:r>
          </w:p>
          <w:p w14:paraId="683D421E">
            <w:pPr>
              <w:adjustRightInd w:val="0"/>
              <w:snapToGrid w:val="0"/>
              <w:jc w:val="center"/>
              <w:rPr>
                <w:rFonts w:ascii="Times New Roman" w:hAnsi="Times New Roman" w:cs="Times New Roman"/>
                <w:color w:val="000000" w:themeColor="text1"/>
                <w:spacing w:val="-8"/>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防范措施</w:t>
            </w:r>
          </w:p>
        </w:tc>
        <w:tc>
          <w:tcPr>
            <w:tcW w:w="8325" w:type="dxa"/>
            <w:gridSpan w:val="5"/>
            <w:vAlign w:val="center"/>
          </w:tcPr>
          <w:p w14:paraId="16955C2D">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①</w:t>
            </w:r>
            <w:r>
              <w:rPr>
                <w:rFonts w:ascii="Times New Roman" w:hAnsi="Times New Roman" w:cs="Times New Roman"/>
                <w:color w:val="000000" w:themeColor="text1"/>
                <w:sz w:val="21"/>
                <w:szCs w:val="21"/>
                <w14:textFill>
                  <w14:solidFill>
                    <w14:schemeClr w14:val="tx1"/>
                  </w14:solidFill>
                </w14:textFill>
              </w:rPr>
              <w:t>加强巡检及对全体员工防范事故风险能力的培训，建立应急计划和事故应急预案。</w:t>
            </w:r>
          </w:p>
          <w:p w14:paraId="45C50A0C">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②</w:t>
            </w:r>
            <w:r>
              <w:rPr>
                <w:rFonts w:ascii="Times New Roman" w:hAnsi="Times New Roman" w:cs="Times New Roman"/>
                <w:color w:val="000000" w:themeColor="text1"/>
                <w:sz w:val="21"/>
                <w:szCs w:val="21"/>
                <w14:textFill>
                  <w14:solidFill>
                    <w14:schemeClr w14:val="tx1"/>
                  </w14:solidFill>
                </w14:textFill>
              </w:rPr>
              <w:t>厂区设计综合考虑风向、安全防护、消防等因素，建、构筑物尽量留足安全间距，设计遵循防火规范。</w:t>
            </w:r>
          </w:p>
          <w:p w14:paraId="077DD9C3">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③</w:t>
            </w:r>
            <w:r>
              <w:rPr>
                <w:rFonts w:ascii="Times New Roman" w:hAnsi="Times New Roman" w:cs="Times New Roman"/>
                <w:color w:val="000000" w:themeColor="text1"/>
                <w:sz w:val="21"/>
                <w:szCs w:val="21"/>
                <w14:textFill>
                  <w14:solidFill>
                    <w14:schemeClr w14:val="tx1"/>
                  </w14:solidFill>
                </w14:textFill>
              </w:rPr>
              <w:t>厂区做好分区防控，做好地下水、土壤防范措施，罐区设置1.</w:t>
            </w:r>
            <w:r>
              <w:rPr>
                <w:rFonts w:hint="eastAsia" w:ascii="Times New Roman" w:hAnsi="Times New Roman" w:cs="Times New Roman"/>
                <w:color w:val="000000" w:themeColor="text1"/>
                <w:sz w:val="21"/>
                <w:szCs w:val="21"/>
                <w14:textFill>
                  <w14:solidFill>
                    <w14:schemeClr w14:val="tx1"/>
                  </w14:solidFill>
                </w14:textFill>
              </w:rPr>
              <w:t>4</w:t>
            </w:r>
            <w:r>
              <w:rPr>
                <w:rFonts w:ascii="Times New Roman" w:hAnsi="Times New Roman" w:cs="Times New Roman"/>
                <w:color w:val="000000" w:themeColor="text1"/>
                <w:sz w:val="21"/>
                <w:szCs w:val="21"/>
                <w14:textFill>
                  <w14:solidFill>
                    <w14:schemeClr w14:val="tx1"/>
                  </w14:solidFill>
                </w14:textFill>
              </w:rPr>
              <w:t>m的防火堤，防止储存的物料泄漏至厂外环境，并在厂区雨水排放口设置事故应急阀门。</w:t>
            </w:r>
          </w:p>
          <w:p w14:paraId="1D47AFE6">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④</w:t>
            </w:r>
            <w:r>
              <w:rPr>
                <w:rFonts w:ascii="Times New Roman" w:hAnsi="Times New Roman" w:cs="Times New Roman"/>
                <w:color w:val="000000" w:themeColor="text1"/>
                <w:sz w:val="21"/>
                <w:szCs w:val="21"/>
                <w14:textFill>
                  <w14:solidFill>
                    <w14:schemeClr w14:val="tx1"/>
                  </w14:solidFill>
                </w14:textFill>
              </w:rPr>
              <w:t>危险废物贮存场所按照</w:t>
            </w:r>
            <w:r>
              <w:rPr>
                <w:rFonts w:hint="eastAsia" w:ascii="Times New Roman" w:hAnsi="Times New Roman" w:cs="Times New Roman"/>
                <w:color w:val="000000" w:themeColor="text1"/>
                <w:sz w:val="21"/>
                <w:szCs w:val="21"/>
                <w14:textFill>
                  <w14:solidFill>
                    <w14:schemeClr w14:val="tx1"/>
                  </w14:solidFill>
                </w14:textFill>
              </w:rPr>
              <w:t>《危险废物贮存污染控制标准》（</w:t>
            </w:r>
            <w:r>
              <w:rPr>
                <w:rFonts w:ascii="Times New Roman" w:hAnsi="Times New Roman" w:cs="Times New Roman"/>
                <w:color w:val="000000" w:themeColor="text1"/>
                <w:sz w:val="21"/>
                <w:szCs w:val="21"/>
                <w14:textFill>
                  <w14:solidFill>
                    <w14:schemeClr w14:val="tx1"/>
                  </w14:solidFill>
                </w14:textFill>
              </w:rPr>
              <w:t>GB18597-2023）的规定做好</w:t>
            </w:r>
            <w:r>
              <w:rPr>
                <w:rFonts w:hint="eastAsia" w:ascii="Times New Roman" w:hAnsi="Times New Roman" w:cs="Times New Roman"/>
                <w:color w:val="000000" w:themeColor="text1"/>
                <w:sz w:val="21"/>
                <w:szCs w:val="21"/>
                <w14:textFill>
                  <w14:solidFill>
                    <w14:schemeClr w14:val="tx1"/>
                  </w14:solidFill>
                </w14:textFill>
              </w:rPr>
              <w:t>防风、防晒、防雨、防漏、防渗、防腐以及其他环境污染防治措施</w:t>
            </w:r>
            <w:r>
              <w:rPr>
                <w:rFonts w:ascii="Times New Roman" w:hAnsi="Times New Roman" w:cs="Times New Roman"/>
                <w:color w:val="000000" w:themeColor="text1"/>
                <w:sz w:val="21"/>
                <w:szCs w:val="21"/>
                <w14:textFill>
                  <w14:solidFill>
                    <w14:schemeClr w14:val="tx1"/>
                  </w14:solidFill>
                </w14:textFill>
              </w:rPr>
              <w:t>，各类危险废物平时收集后妥善贮存于危废贮存</w:t>
            </w:r>
            <w:r>
              <w:rPr>
                <w:rFonts w:hint="eastAsia" w:ascii="Times New Roman" w:hAnsi="Times New Roman" w:cs="Times New Roman"/>
                <w:color w:val="000000" w:themeColor="text1"/>
                <w:sz w:val="21"/>
                <w:szCs w:val="21"/>
                <w14:textFill>
                  <w14:solidFill>
                    <w14:schemeClr w14:val="tx1"/>
                  </w14:solidFill>
                </w14:textFill>
              </w:rPr>
              <w:t>库</w:t>
            </w:r>
            <w:r>
              <w:rPr>
                <w:rFonts w:ascii="Times New Roman" w:hAnsi="Times New Roman" w:cs="Times New Roman"/>
                <w:color w:val="000000" w:themeColor="text1"/>
                <w:sz w:val="21"/>
                <w:szCs w:val="21"/>
                <w14:textFill>
                  <w14:solidFill>
                    <w14:schemeClr w14:val="tx1"/>
                  </w14:solidFill>
                </w14:textFill>
              </w:rPr>
              <w:t>，液态危险废物贮存于密闭容器中，定期委托有资质单位处置。同时，建设单位在危险废物转移过程中须严格执行转移联单制度，并做好记录台账，防止危险废物在转移过程中发生遗失事故。</w:t>
            </w:r>
          </w:p>
          <w:p w14:paraId="01DA15C2">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⑤</w:t>
            </w:r>
            <w:r>
              <w:rPr>
                <w:rFonts w:ascii="Times New Roman" w:hAnsi="Times New Roman" w:cs="Times New Roman"/>
                <w:bCs/>
                <w:color w:val="000000" w:themeColor="text1"/>
                <w:sz w:val="21"/>
                <w:szCs w:val="21"/>
                <w14:textFill>
                  <w14:solidFill>
                    <w14:schemeClr w14:val="tx1"/>
                  </w14:solidFill>
                </w14:textFill>
              </w:rPr>
              <w:t>装卸台、罐区放置吸油毡、沙等吸附物质，当员工在操作过程中发生少量的跑、冒、滴、漏现象时，</w:t>
            </w:r>
            <w:r>
              <w:rPr>
                <w:rFonts w:ascii="Times New Roman" w:hAnsi="Times New Roman" w:cs="Times New Roman"/>
                <w:color w:val="000000" w:themeColor="text1"/>
                <w:sz w:val="21"/>
                <w:szCs w:val="21"/>
                <w14:textFill>
                  <w14:solidFill>
                    <w14:schemeClr w14:val="tx1"/>
                  </w14:solidFill>
                </w14:textFill>
              </w:rPr>
              <w:t>要及时</w:t>
            </w:r>
            <w:r>
              <w:rPr>
                <w:rFonts w:ascii="Times New Roman" w:hAnsi="Times New Roman" w:cs="Times New Roman"/>
                <w:bCs/>
                <w:color w:val="000000" w:themeColor="text1"/>
                <w:sz w:val="21"/>
                <w:szCs w:val="21"/>
                <w14:textFill>
                  <w14:solidFill>
                    <w14:schemeClr w14:val="tx1"/>
                  </w14:solidFill>
                </w14:textFill>
              </w:rPr>
              <w:t>利用吸油毡等吸附物质</w:t>
            </w:r>
            <w:r>
              <w:rPr>
                <w:rFonts w:ascii="Times New Roman" w:hAnsi="Times New Roman" w:cs="Times New Roman"/>
                <w:color w:val="000000" w:themeColor="text1"/>
                <w:sz w:val="21"/>
                <w:szCs w:val="21"/>
                <w14:textFill>
                  <w14:solidFill>
                    <w14:schemeClr w14:val="tx1"/>
                  </w14:solidFill>
                </w14:textFill>
              </w:rPr>
              <w:t>将现场泄漏物进行覆盖、收容、稀释、处理</w:t>
            </w:r>
            <w:r>
              <w:rPr>
                <w:rFonts w:ascii="Times New Roman" w:hAnsi="Times New Roman" w:cs="Times New Roman"/>
                <w:bCs/>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使泄漏物得到安全可靠的处置，防止二次事故的发生。</w:t>
            </w:r>
          </w:p>
        </w:tc>
      </w:tr>
      <w:tr w14:paraId="70BA1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1" w:type="dxa"/>
            <w:bottom w:w="0" w:type="dxa"/>
            <w:right w:w="11" w:type="dxa"/>
          </w:tblCellMar>
        </w:tblPrEx>
        <w:trPr>
          <w:trHeight w:val="1002" w:hRule="atLeast"/>
          <w:jc w:val="center"/>
        </w:trPr>
        <w:tc>
          <w:tcPr>
            <w:tcW w:w="956" w:type="dxa"/>
            <w:vAlign w:val="center"/>
          </w:tcPr>
          <w:p w14:paraId="76F2C78F">
            <w:pPr>
              <w:adjustRightInd w:val="0"/>
              <w:snapToGrid w:val="0"/>
              <w:jc w:val="center"/>
              <w:rPr>
                <w:rFonts w:ascii="Times New Roman" w:hAnsi="Times New Roman" w:cs="Times New Roman"/>
                <w:color w:val="000000" w:themeColor="text1"/>
                <w:spacing w:val="-8"/>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其他环境</w:t>
            </w:r>
          </w:p>
          <w:p w14:paraId="28C69ED5">
            <w:pPr>
              <w:adjustRightInd w:val="0"/>
              <w:snapToGrid w:val="0"/>
              <w:jc w:val="center"/>
              <w:rPr>
                <w:rFonts w:ascii="Times New Roman" w:hAnsi="Times New Roman" w:cs="Times New Roman"/>
                <w:color w:val="000000" w:themeColor="text1"/>
                <w:spacing w:val="-8"/>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管理要求</w:t>
            </w:r>
          </w:p>
        </w:tc>
        <w:tc>
          <w:tcPr>
            <w:tcW w:w="8325" w:type="dxa"/>
            <w:gridSpan w:val="5"/>
            <w:vAlign w:val="center"/>
          </w:tcPr>
          <w:p w14:paraId="2817D296">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①</w:t>
            </w:r>
            <w:r>
              <w:rPr>
                <w:rFonts w:ascii="Times New Roman" w:hAnsi="Times New Roman" w:cs="Times New Roman"/>
                <w:color w:val="000000" w:themeColor="text1"/>
                <w:sz w:val="21"/>
                <w:szCs w:val="21"/>
                <w14:textFill>
                  <w14:solidFill>
                    <w14:schemeClr w14:val="tx1"/>
                  </w14:solidFill>
                </w14:textFill>
              </w:rPr>
              <w:t>企业应在项目产生实际排污前根据《排污许可管理办法(试行)》（环境保护部令第48号）和《排污许可管理条例》等要求申领排污许可证，上报基本信息、污染物排放去向、执行的污染物排放标准以及采取的污染防治措施等信息，按要求排污。</w:t>
            </w:r>
          </w:p>
          <w:p w14:paraId="4CA83279">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②</w:t>
            </w:r>
            <w:r>
              <w:rPr>
                <w:rFonts w:ascii="Times New Roman" w:hAnsi="Times New Roman" w:cs="Times New Roman"/>
                <w:color w:val="000000" w:themeColor="text1"/>
                <w:sz w:val="21"/>
                <w:szCs w:val="21"/>
                <w14:textFill>
                  <w14:solidFill>
                    <w14:schemeClr w14:val="tx1"/>
                  </w14:solidFill>
                </w14:textFill>
              </w:rPr>
              <w:t>及时根据《建设项目竣工环境保护验收暂行办法》国环规环评[2017]4号规定，完成环保验收。</w:t>
            </w:r>
          </w:p>
        </w:tc>
      </w:tr>
    </w:tbl>
    <w:p w14:paraId="69C64EE0">
      <w:pPr>
        <w:pStyle w:val="81"/>
        <w:spacing w:before="0" w:beforeAutospacing="0" w:after="0" w:afterAutospacing="0" w:line="360" w:lineRule="auto"/>
        <w:jc w:val="center"/>
        <w:outlineLvl w:val="0"/>
        <w:rPr>
          <w:rFonts w:ascii="Times New Roman" w:hAnsi="Times New Roman" w:cs="Times New Roman"/>
          <w:snapToGrid w:val="0"/>
          <w:color w:val="FF0000"/>
          <w:sz w:val="30"/>
          <w:szCs w:val="30"/>
        </w:rPr>
      </w:pPr>
      <w:r>
        <w:rPr>
          <w:rFonts w:ascii="Times New Roman" w:hAnsi="Times New Roman" w:cs="Times New Roman"/>
          <w:snapToGrid w:val="0"/>
          <w:color w:val="FF0000"/>
        </w:rPr>
        <w:br w:type="page"/>
      </w:r>
      <w:bookmarkStart w:id="22" w:name="_Toc144375214"/>
      <w:bookmarkStart w:id="23" w:name="_Toc146041491"/>
      <w:r>
        <w:rPr>
          <w:rFonts w:ascii="Times New Roman" w:hAnsi="Times New Roman" w:cs="Times New Roman"/>
          <w:b/>
          <w:bCs/>
          <w:snapToGrid w:val="0"/>
          <w:color w:val="000000" w:themeColor="text1"/>
          <w:sz w:val="30"/>
          <w:szCs w:val="30"/>
          <w14:textFill>
            <w14:solidFill>
              <w14:schemeClr w14:val="tx1"/>
            </w14:solidFill>
          </w14:textFill>
        </w:rPr>
        <w:t>六、结论</w:t>
      </w:r>
      <w:bookmarkEnd w:id="22"/>
      <w:bookmarkEnd w:id="23"/>
    </w:p>
    <w:tbl>
      <w:tblPr>
        <w:tblStyle w:val="88"/>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12B9D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865" w:type="dxa"/>
            <w:vAlign w:val="center"/>
          </w:tcPr>
          <w:p w14:paraId="00E3F33A">
            <w:pPr>
              <w:tabs>
                <w:tab w:val="left" w:pos="0"/>
              </w:tabs>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本项目符合国家和地方的产业政策和环保法规的要求。项目严格落实本报告提出的各项污染防治措施和相关管理规定，严格执行“三同时”制度，</w:t>
            </w:r>
            <w:r>
              <w:rPr>
                <w:rFonts w:hint="eastAsia" w:ascii="Times New Roman" w:hAnsi="Times New Roman" w:cs="Times New Roman"/>
                <w:color w:val="000000" w:themeColor="text1"/>
                <w14:textFill>
                  <w14:solidFill>
                    <w14:schemeClr w14:val="tx1"/>
                  </w14:solidFill>
                </w14:textFill>
              </w:rPr>
              <w:t>项目</w:t>
            </w:r>
            <w:r>
              <w:rPr>
                <w:rFonts w:ascii="Times New Roman" w:hAnsi="Times New Roman" w:cs="Times New Roman"/>
                <w:color w:val="000000" w:themeColor="text1"/>
                <w14:textFill>
                  <w14:solidFill>
                    <w14:schemeClr w14:val="tx1"/>
                  </w14:solidFill>
                </w14:textFill>
              </w:rPr>
              <w:t>产生的污染物经处理后可达标排放，对周围水环境、大气环境、声环境、生态环境的影响较小，环境风险可控。从环境保护角度分析，</w:t>
            </w:r>
            <w:r>
              <w:rPr>
                <w:rFonts w:hint="eastAsia" w:ascii="Times New Roman" w:hAnsi="Times New Roman" w:cs="Times New Roman"/>
                <w:color w:val="000000" w:themeColor="text1"/>
                <w14:textFill>
                  <w14:solidFill>
                    <w14:schemeClr w14:val="tx1"/>
                  </w14:solidFill>
                </w14:textFill>
              </w:rPr>
              <w:t>金鼓江作业区14号泊位后方储罐区工程</w:t>
            </w:r>
            <w:r>
              <w:rPr>
                <w:rFonts w:ascii="Times New Roman" w:hAnsi="Times New Roman" w:cs="Times New Roman"/>
                <w:color w:val="000000" w:themeColor="text1"/>
                <w14:textFill>
                  <w14:solidFill>
                    <w14:schemeClr w14:val="tx1"/>
                  </w14:solidFill>
                </w14:textFill>
              </w:rPr>
              <w:t>的建设是可行的。</w:t>
            </w:r>
          </w:p>
          <w:p w14:paraId="5E48B8B0">
            <w:pPr>
              <w:pStyle w:val="87"/>
              <w:ind w:left="480" w:firstLine="480"/>
              <w:rPr>
                <w:rFonts w:ascii="Times New Roman" w:hAnsi="Times New Roman" w:cs="Times New Roman"/>
                <w:snapToGrid w:val="0"/>
                <w:color w:val="FF0000"/>
                <w:lang w:bidi="zh-CN"/>
              </w:rPr>
            </w:pPr>
          </w:p>
          <w:p w14:paraId="6F755383">
            <w:pPr>
              <w:ind w:firstLine="480"/>
              <w:rPr>
                <w:rFonts w:ascii="Times New Roman" w:hAnsi="Times New Roman" w:cs="Times New Roman"/>
                <w:snapToGrid w:val="0"/>
                <w:color w:val="FF0000"/>
                <w:lang w:val="zh-CN" w:bidi="zh-CN"/>
              </w:rPr>
            </w:pPr>
          </w:p>
          <w:p w14:paraId="297988C8">
            <w:pPr>
              <w:pStyle w:val="87"/>
              <w:ind w:left="480" w:firstLine="480"/>
              <w:rPr>
                <w:rFonts w:ascii="Times New Roman" w:hAnsi="Times New Roman" w:cs="Times New Roman"/>
                <w:snapToGrid w:val="0"/>
                <w:color w:val="FF0000"/>
                <w:lang w:val="zh-CN" w:bidi="zh-CN"/>
              </w:rPr>
            </w:pPr>
          </w:p>
          <w:p w14:paraId="1E78F1E1">
            <w:pPr>
              <w:ind w:firstLine="480"/>
              <w:rPr>
                <w:rFonts w:ascii="Times New Roman" w:hAnsi="Times New Roman" w:cs="Times New Roman"/>
                <w:snapToGrid w:val="0"/>
                <w:color w:val="FF0000"/>
                <w:lang w:val="zh-CN" w:bidi="zh-CN"/>
              </w:rPr>
            </w:pPr>
          </w:p>
          <w:p w14:paraId="6DC0DEA4">
            <w:pPr>
              <w:pStyle w:val="87"/>
              <w:ind w:left="480" w:firstLine="480"/>
              <w:rPr>
                <w:rFonts w:ascii="Times New Roman" w:hAnsi="Times New Roman" w:cs="Times New Roman"/>
                <w:snapToGrid w:val="0"/>
                <w:color w:val="FF0000"/>
                <w:lang w:val="zh-CN" w:bidi="zh-CN"/>
              </w:rPr>
            </w:pPr>
          </w:p>
          <w:p w14:paraId="720D99A7">
            <w:pPr>
              <w:ind w:firstLine="480"/>
              <w:rPr>
                <w:rFonts w:ascii="Times New Roman" w:hAnsi="Times New Roman" w:cs="Times New Roman"/>
                <w:snapToGrid w:val="0"/>
                <w:color w:val="FF0000"/>
                <w:lang w:val="zh-CN" w:bidi="zh-CN"/>
              </w:rPr>
            </w:pPr>
          </w:p>
          <w:p w14:paraId="08673FB7">
            <w:pPr>
              <w:pStyle w:val="87"/>
              <w:ind w:left="480" w:firstLine="480"/>
              <w:rPr>
                <w:rFonts w:ascii="Times New Roman" w:hAnsi="Times New Roman" w:cs="Times New Roman"/>
                <w:snapToGrid w:val="0"/>
                <w:color w:val="FF0000"/>
                <w:lang w:val="zh-CN" w:bidi="zh-CN"/>
              </w:rPr>
            </w:pPr>
          </w:p>
          <w:p w14:paraId="48F1B722">
            <w:pPr>
              <w:ind w:firstLine="480"/>
              <w:rPr>
                <w:rFonts w:ascii="Times New Roman" w:hAnsi="Times New Roman" w:cs="Times New Roman"/>
                <w:snapToGrid w:val="0"/>
                <w:color w:val="FF0000"/>
                <w:lang w:val="zh-CN" w:bidi="zh-CN"/>
              </w:rPr>
            </w:pPr>
          </w:p>
          <w:p w14:paraId="3D4E1158">
            <w:pPr>
              <w:pStyle w:val="87"/>
              <w:ind w:left="480" w:firstLine="480"/>
              <w:rPr>
                <w:rFonts w:ascii="Times New Roman" w:hAnsi="Times New Roman" w:cs="Times New Roman"/>
                <w:snapToGrid w:val="0"/>
                <w:color w:val="FF0000"/>
                <w:lang w:val="zh-CN" w:bidi="zh-CN"/>
              </w:rPr>
            </w:pPr>
          </w:p>
          <w:p w14:paraId="2E64C34A">
            <w:pPr>
              <w:ind w:firstLine="480"/>
              <w:rPr>
                <w:rFonts w:ascii="Times New Roman" w:hAnsi="Times New Roman" w:cs="Times New Roman"/>
                <w:snapToGrid w:val="0"/>
                <w:color w:val="FF0000"/>
                <w:lang w:val="zh-CN" w:bidi="zh-CN"/>
              </w:rPr>
            </w:pPr>
          </w:p>
          <w:p w14:paraId="05631301">
            <w:pPr>
              <w:pStyle w:val="87"/>
              <w:ind w:left="480" w:firstLine="480"/>
              <w:rPr>
                <w:rFonts w:ascii="Times New Roman" w:hAnsi="Times New Roman" w:cs="Times New Roman"/>
                <w:snapToGrid w:val="0"/>
                <w:color w:val="FF0000"/>
                <w:lang w:val="zh-CN" w:bidi="zh-CN"/>
              </w:rPr>
            </w:pPr>
          </w:p>
          <w:p w14:paraId="2335D672">
            <w:pPr>
              <w:ind w:firstLine="480"/>
              <w:rPr>
                <w:rFonts w:ascii="Times New Roman" w:hAnsi="Times New Roman" w:cs="Times New Roman"/>
                <w:snapToGrid w:val="0"/>
                <w:color w:val="FF0000"/>
                <w:lang w:val="zh-CN" w:bidi="zh-CN"/>
              </w:rPr>
            </w:pPr>
          </w:p>
          <w:p w14:paraId="097C5030">
            <w:pPr>
              <w:pStyle w:val="87"/>
              <w:ind w:left="480" w:firstLine="480"/>
              <w:rPr>
                <w:rFonts w:ascii="Times New Roman" w:hAnsi="Times New Roman" w:cs="Times New Roman"/>
                <w:snapToGrid w:val="0"/>
                <w:color w:val="FF0000"/>
                <w:lang w:val="zh-CN" w:bidi="zh-CN"/>
              </w:rPr>
            </w:pPr>
          </w:p>
          <w:p w14:paraId="13FAFFB4">
            <w:pPr>
              <w:ind w:firstLine="480"/>
              <w:rPr>
                <w:rFonts w:ascii="Times New Roman" w:hAnsi="Times New Roman" w:cs="Times New Roman"/>
                <w:snapToGrid w:val="0"/>
                <w:color w:val="FF0000"/>
                <w:lang w:val="zh-CN" w:bidi="zh-CN"/>
              </w:rPr>
            </w:pPr>
          </w:p>
          <w:p w14:paraId="6A637590">
            <w:pPr>
              <w:pStyle w:val="87"/>
              <w:ind w:left="480" w:firstLine="480"/>
              <w:rPr>
                <w:rFonts w:ascii="Times New Roman" w:hAnsi="Times New Roman" w:cs="Times New Roman"/>
                <w:snapToGrid w:val="0"/>
                <w:color w:val="FF0000"/>
                <w:lang w:val="zh-CN" w:bidi="zh-CN"/>
              </w:rPr>
            </w:pPr>
          </w:p>
          <w:p w14:paraId="44B9245F">
            <w:pPr>
              <w:ind w:firstLine="480"/>
              <w:rPr>
                <w:rFonts w:ascii="Times New Roman" w:hAnsi="Times New Roman" w:cs="Times New Roman"/>
                <w:snapToGrid w:val="0"/>
                <w:color w:val="FF0000"/>
                <w:lang w:val="zh-CN" w:bidi="zh-CN"/>
              </w:rPr>
            </w:pPr>
          </w:p>
          <w:p w14:paraId="03C6F4B1">
            <w:pPr>
              <w:pStyle w:val="87"/>
              <w:ind w:left="480" w:firstLine="480"/>
              <w:rPr>
                <w:rFonts w:ascii="Times New Roman" w:hAnsi="Times New Roman" w:cs="Times New Roman"/>
                <w:snapToGrid w:val="0"/>
                <w:color w:val="FF0000"/>
                <w:lang w:val="zh-CN" w:bidi="zh-CN"/>
              </w:rPr>
            </w:pPr>
          </w:p>
          <w:p w14:paraId="3C54CB0E">
            <w:pPr>
              <w:ind w:firstLine="480"/>
              <w:rPr>
                <w:rFonts w:ascii="Times New Roman" w:hAnsi="Times New Roman" w:cs="Times New Roman"/>
                <w:snapToGrid w:val="0"/>
                <w:color w:val="FF0000"/>
                <w:lang w:val="zh-CN" w:bidi="zh-CN"/>
              </w:rPr>
            </w:pPr>
          </w:p>
          <w:p w14:paraId="73E4FAED">
            <w:pPr>
              <w:pStyle w:val="87"/>
              <w:ind w:left="480" w:firstLine="480"/>
              <w:rPr>
                <w:rFonts w:ascii="Times New Roman" w:hAnsi="Times New Roman" w:cs="Times New Roman"/>
                <w:snapToGrid w:val="0"/>
                <w:color w:val="FF0000"/>
                <w:lang w:val="zh-CN" w:bidi="zh-CN"/>
              </w:rPr>
            </w:pPr>
          </w:p>
          <w:p w14:paraId="4B3850A7">
            <w:pPr>
              <w:ind w:firstLine="480"/>
              <w:rPr>
                <w:rFonts w:ascii="Times New Roman" w:hAnsi="Times New Roman" w:cs="Times New Roman"/>
                <w:snapToGrid w:val="0"/>
                <w:color w:val="FF0000"/>
                <w:lang w:val="zh-CN" w:bidi="zh-CN"/>
              </w:rPr>
            </w:pPr>
          </w:p>
          <w:p w14:paraId="0F7F0258">
            <w:pPr>
              <w:pStyle w:val="87"/>
              <w:ind w:left="480" w:firstLine="480"/>
              <w:rPr>
                <w:rFonts w:ascii="Times New Roman" w:hAnsi="Times New Roman" w:cs="Times New Roman"/>
                <w:snapToGrid w:val="0"/>
                <w:color w:val="FF0000"/>
                <w:lang w:val="zh-CN" w:bidi="zh-CN"/>
              </w:rPr>
            </w:pPr>
          </w:p>
          <w:p w14:paraId="300506A9">
            <w:pPr>
              <w:ind w:firstLine="480"/>
              <w:rPr>
                <w:rFonts w:ascii="Times New Roman" w:hAnsi="Times New Roman" w:cs="Times New Roman"/>
                <w:snapToGrid w:val="0"/>
                <w:color w:val="FF0000"/>
                <w:lang w:val="zh-CN" w:bidi="zh-CN"/>
              </w:rPr>
            </w:pPr>
          </w:p>
          <w:p w14:paraId="6EB7C79F">
            <w:pPr>
              <w:pStyle w:val="87"/>
              <w:ind w:left="480" w:firstLine="480"/>
              <w:rPr>
                <w:rFonts w:ascii="Times New Roman" w:hAnsi="Times New Roman" w:cs="Times New Roman"/>
                <w:snapToGrid w:val="0"/>
                <w:color w:val="FF0000"/>
                <w:lang w:val="zh-CN" w:bidi="zh-CN"/>
              </w:rPr>
            </w:pPr>
          </w:p>
          <w:p w14:paraId="27D87E29">
            <w:pPr>
              <w:ind w:firstLine="480"/>
              <w:rPr>
                <w:rFonts w:ascii="Times New Roman" w:hAnsi="Times New Roman" w:cs="Times New Roman"/>
                <w:snapToGrid w:val="0"/>
                <w:color w:val="FF0000"/>
                <w:lang w:val="zh-CN" w:bidi="zh-CN"/>
              </w:rPr>
            </w:pPr>
          </w:p>
          <w:p w14:paraId="5F4772E0">
            <w:pPr>
              <w:pStyle w:val="87"/>
              <w:ind w:left="480" w:firstLine="480"/>
              <w:rPr>
                <w:rFonts w:ascii="Times New Roman" w:hAnsi="Times New Roman" w:cs="Times New Roman"/>
                <w:color w:val="FF0000"/>
                <w:lang w:val="zh-CN"/>
              </w:rPr>
            </w:pPr>
          </w:p>
          <w:p w14:paraId="6E4D06FB">
            <w:pPr>
              <w:spacing w:line="360" w:lineRule="auto"/>
              <w:ind w:firstLine="480"/>
              <w:rPr>
                <w:rFonts w:ascii="Times New Roman" w:hAnsi="Times New Roman" w:cs="Times New Roman"/>
                <w:color w:val="FF0000"/>
              </w:rPr>
            </w:pPr>
          </w:p>
          <w:p w14:paraId="310EA3FE">
            <w:pPr>
              <w:pStyle w:val="118"/>
              <w:rPr>
                <w:rFonts w:ascii="Times New Roman" w:hAnsi="Times New Roman" w:cs="Times New Roman"/>
                <w:color w:val="FF0000"/>
              </w:rPr>
            </w:pPr>
          </w:p>
          <w:p w14:paraId="56561DBF">
            <w:pPr>
              <w:pStyle w:val="118"/>
              <w:ind w:firstLine="0" w:firstLineChars="0"/>
              <w:rPr>
                <w:rFonts w:ascii="Times New Roman" w:hAnsi="Times New Roman" w:cs="Times New Roman"/>
                <w:color w:val="FF0000"/>
              </w:rPr>
            </w:pPr>
          </w:p>
          <w:p w14:paraId="0E20FA07">
            <w:pPr>
              <w:pStyle w:val="118"/>
              <w:ind w:firstLine="0" w:firstLineChars="0"/>
              <w:rPr>
                <w:rFonts w:ascii="Times New Roman" w:hAnsi="Times New Roman" w:cs="Times New Roman"/>
                <w:color w:val="FF0000"/>
              </w:rPr>
            </w:pPr>
          </w:p>
          <w:p w14:paraId="04DA1FB8">
            <w:pPr>
              <w:pStyle w:val="118"/>
              <w:ind w:firstLine="0" w:firstLineChars="0"/>
              <w:rPr>
                <w:rFonts w:ascii="Times New Roman" w:hAnsi="Times New Roman" w:cs="Times New Roman"/>
                <w:color w:val="FF0000"/>
              </w:rPr>
            </w:pPr>
          </w:p>
          <w:p w14:paraId="07D49047">
            <w:pPr>
              <w:pStyle w:val="118"/>
              <w:ind w:firstLine="0" w:firstLineChars="0"/>
              <w:rPr>
                <w:rFonts w:ascii="Times New Roman" w:hAnsi="Times New Roman" w:cs="Times New Roman"/>
                <w:color w:val="FF0000"/>
              </w:rPr>
            </w:pPr>
          </w:p>
        </w:tc>
      </w:tr>
    </w:tbl>
    <w:p w14:paraId="2CD799EC">
      <w:pPr>
        <w:ind w:firstLine="420"/>
        <w:rPr>
          <w:rFonts w:ascii="Times New Roman" w:hAnsi="Times New Roman" w:cs="Times New Roman"/>
          <w:color w:val="FF0000"/>
        </w:rPr>
        <w:sectPr>
          <w:pgSz w:w="11906" w:h="16838"/>
          <w:pgMar w:top="1417" w:right="1304" w:bottom="1417" w:left="1304" w:header="851" w:footer="851" w:gutter="0"/>
          <w:cols w:space="720" w:num="1"/>
          <w:docGrid w:linePitch="312" w:charSpace="0"/>
        </w:sectPr>
      </w:pPr>
    </w:p>
    <w:p w14:paraId="14AC4E0E">
      <w:pPr>
        <w:pStyle w:val="81"/>
        <w:adjustRightInd w:val="0"/>
        <w:snapToGrid w:val="0"/>
        <w:spacing w:before="0" w:beforeAutospacing="0" w:after="0" w:afterAutospacing="0"/>
        <w:jc w:val="center"/>
      </w:pPr>
      <w:r>
        <w:rPr>
          <w:rFonts w:ascii="Times New Roman" w:hAnsi="Times New Roman" w:cs="Times New Roman"/>
          <w:snapToGrid w:val="0"/>
          <w:color w:val="000000" w:themeColor="text1"/>
          <w:sz w:val="38"/>
          <w:szCs w:val="38"/>
          <w14:textFill>
            <w14:solidFill>
              <w14:schemeClr w14:val="tx1"/>
            </w14:solidFill>
          </w14:textFill>
        </w:rPr>
        <w:t>建设项目污染物排放量汇总表</w:t>
      </w:r>
      <w:r>
        <w:rPr>
          <w:rFonts w:hint="eastAsia" w:ascii="Times New Roman" w:hAnsi="Times New Roman" w:cs="Times New Roman"/>
          <w:snapToGrid w:val="0"/>
          <w:color w:val="000000" w:themeColor="text1"/>
          <w:sz w:val="38"/>
          <w:szCs w:val="38"/>
          <w14:textFill>
            <w14:solidFill>
              <w14:schemeClr w14:val="tx1"/>
            </w14:solidFill>
          </w14:textFill>
        </w:rPr>
        <w:t xml:space="preserve"> </w:t>
      </w:r>
      <w:r>
        <w:rPr>
          <w:rFonts w:hint="eastAsia" w:ascii="Times New Roman" w:hAnsi="Times New Roman" w:cs="Times New Roman"/>
          <w:snapToGrid w:val="0"/>
          <w:color w:val="000000" w:themeColor="text1"/>
          <w:szCs w:val="24"/>
          <w14:textFill>
            <w14:solidFill>
              <w14:schemeClr w14:val="tx1"/>
            </w14:solidFill>
          </w14:textFill>
        </w:rPr>
        <w:t xml:space="preserve"> 单位：t/a </w:t>
      </w:r>
    </w:p>
    <w:tbl>
      <w:tblPr>
        <w:tblStyle w:val="88"/>
        <w:tblW w:w="501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1" w:type="dxa"/>
          <w:bottom w:w="0" w:type="dxa"/>
          <w:right w:w="11" w:type="dxa"/>
        </w:tblCellMar>
      </w:tblPr>
      <w:tblGrid>
        <w:gridCol w:w="808"/>
        <w:gridCol w:w="1541"/>
        <w:gridCol w:w="1355"/>
        <w:gridCol w:w="1378"/>
        <w:gridCol w:w="1624"/>
        <w:gridCol w:w="1292"/>
        <w:gridCol w:w="1538"/>
        <w:gridCol w:w="1538"/>
        <w:gridCol w:w="1538"/>
        <w:gridCol w:w="1699"/>
      </w:tblGrid>
      <w:tr w14:paraId="179ABF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rPr>
          <w:tblHeader/>
        </w:trPr>
        <w:tc>
          <w:tcPr>
            <w:tcW w:w="282" w:type="pct"/>
            <w:vAlign w:val="center"/>
          </w:tcPr>
          <w:p w14:paraId="025BC2A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类别</w:t>
            </w:r>
          </w:p>
        </w:tc>
        <w:tc>
          <w:tcPr>
            <w:tcW w:w="538" w:type="pct"/>
            <w:vAlign w:val="center"/>
          </w:tcPr>
          <w:p w14:paraId="413D9331">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污染源</w:t>
            </w:r>
          </w:p>
        </w:tc>
        <w:tc>
          <w:tcPr>
            <w:tcW w:w="473" w:type="pct"/>
            <w:vAlign w:val="center"/>
          </w:tcPr>
          <w:p w14:paraId="667A03C5">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污染物</w:t>
            </w:r>
          </w:p>
        </w:tc>
        <w:tc>
          <w:tcPr>
            <w:tcW w:w="481" w:type="pct"/>
            <w:vAlign w:val="center"/>
          </w:tcPr>
          <w:p w14:paraId="57FBC535">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现有工程排放量（固体废物产生量）①</w:t>
            </w:r>
          </w:p>
        </w:tc>
        <w:tc>
          <w:tcPr>
            <w:tcW w:w="567" w:type="pct"/>
            <w:vAlign w:val="center"/>
          </w:tcPr>
          <w:p w14:paraId="49848594">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现有工程许可排放量②</w:t>
            </w:r>
          </w:p>
        </w:tc>
        <w:tc>
          <w:tcPr>
            <w:tcW w:w="451" w:type="pct"/>
            <w:vAlign w:val="center"/>
          </w:tcPr>
          <w:p w14:paraId="36F57B6D">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在建工程排放量（固体废物产生量）③</w:t>
            </w:r>
          </w:p>
        </w:tc>
        <w:tc>
          <w:tcPr>
            <w:tcW w:w="537" w:type="pct"/>
            <w:vAlign w:val="center"/>
          </w:tcPr>
          <w:p w14:paraId="585DF69F">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本项目排放量（固体废物产生量）④</w:t>
            </w:r>
          </w:p>
        </w:tc>
        <w:tc>
          <w:tcPr>
            <w:tcW w:w="537" w:type="pct"/>
            <w:vAlign w:val="center"/>
          </w:tcPr>
          <w:p w14:paraId="204F9FEF">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snapToGrid w:val="0"/>
                <w:color w:val="000000" w:themeColor="text1"/>
                <w:kern w:val="21"/>
                <w:sz w:val="21"/>
                <w:szCs w:val="21"/>
                <w14:textFill>
                  <w14:solidFill>
                    <w14:schemeClr w14:val="tx1"/>
                  </w14:solidFill>
                </w14:textFill>
              </w:rPr>
              <w:t>以新带老削减量（新建项目不填）</w:t>
            </w:r>
            <w:r>
              <w:rPr>
                <w:rFonts w:ascii="Times New Roman" w:hAnsi="Times New Roman" w:cs="Times New Roman"/>
                <w:b/>
                <w:snapToGrid w:val="0"/>
                <w:color w:val="000000" w:themeColor="text1"/>
                <w:kern w:val="21"/>
                <w:sz w:val="21"/>
                <w:szCs w:val="21"/>
                <w14:textFill>
                  <w14:solidFill>
                    <w14:schemeClr w14:val="tx1"/>
                  </w14:solidFill>
                </w14:textFill>
              </w:rPr>
              <w:fldChar w:fldCharType="begin"/>
            </w:r>
            <w:r>
              <w:rPr>
                <w:rFonts w:ascii="Times New Roman" w:hAnsi="Times New Roman" w:cs="Times New Roman"/>
                <w:b/>
                <w:snapToGrid w:val="0"/>
                <w:color w:val="000000" w:themeColor="text1"/>
                <w:kern w:val="21"/>
                <w:sz w:val="21"/>
                <w:szCs w:val="21"/>
                <w14:textFill>
                  <w14:solidFill>
                    <w14:schemeClr w14:val="tx1"/>
                  </w14:solidFill>
                </w14:textFill>
              </w:rPr>
              <w:instrText xml:space="preserve"> = 5 \* GB3 \* MERGEFORMAT </w:instrText>
            </w:r>
            <w:r>
              <w:rPr>
                <w:rFonts w:ascii="Times New Roman" w:hAnsi="Times New Roman" w:cs="Times New Roman"/>
                <w:b/>
                <w:snapToGrid w:val="0"/>
                <w:color w:val="000000" w:themeColor="text1"/>
                <w:kern w:val="21"/>
                <w:sz w:val="21"/>
                <w:szCs w:val="21"/>
                <w14:textFill>
                  <w14:solidFill>
                    <w14:schemeClr w14:val="tx1"/>
                  </w14:solidFill>
                </w14:textFill>
              </w:rPr>
              <w:fldChar w:fldCharType="separate"/>
            </w:r>
            <w:r>
              <w:rPr>
                <w:rFonts w:ascii="Times New Roman" w:hAnsi="Times New Roman" w:cs="Times New Roman"/>
                <w:b/>
                <w:color w:val="000000" w:themeColor="text1"/>
                <w:kern w:val="2"/>
                <w:sz w:val="21"/>
                <w:szCs w:val="21"/>
                <w14:textFill>
                  <w14:solidFill>
                    <w14:schemeClr w14:val="tx1"/>
                  </w14:solidFill>
                </w14:textFill>
              </w:rPr>
              <w:t>⑤</w:t>
            </w:r>
            <w:r>
              <w:rPr>
                <w:rFonts w:ascii="Times New Roman" w:hAnsi="Times New Roman" w:cs="Times New Roman"/>
                <w:b/>
                <w:snapToGrid w:val="0"/>
                <w:color w:val="000000" w:themeColor="text1"/>
                <w:kern w:val="21"/>
                <w:sz w:val="21"/>
                <w:szCs w:val="21"/>
                <w14:textFill>
                  <w14:solidFill>
                    <w14:schemeClr w14:val="tx1"/>
                  </w14:solidFill>
                </w14:textFill>
              </w:rPr>
              <w:fldChar w:fldCharType="end"/>
            </w:r>
          </w:p>
        </w:tc>
        <w:tc>
          <w:tcPr>
            <w:tcW w:w="537" w:type="pct"/>
            <w:vAlign w:val="center"/>
          </w:tcPr>
          <w:p w14:paraId="412AC99E">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snapToGrid w:val="0"/>
                <w:color w:val="000000" w:themeColor="text1"/>
                <w:kern w:val="21"/>
                <w:sz w:val="21"/>
                <w:szCs w:val="21"/>
                <w14:textFill>
                  <w14:solidFill>
                    <w14:schemeClr w14:val="tx1"/>
                  </w14:solidFill>
                </w14:textFill>
              </w:rPr>
              <w:t>本项目建成后全厂排放量（固体废物产生量）</w:t>
            </w:r>
            <w:r>
              <w:rPr>
                <w:rFonts w:ascii="Times New Roman" w:hAnsi="Times New Roman" w:cs="Times New Roman"/>
                <w:b/>
                <w:snapToGrid w:val="0"/>
                <w:color w:val="000000" w:themeColor="text1"/>
                <w:kern w:val="21"/>
                <w:sz w:val="21"/>
                <w:szCs w:val="21"/>
                <w14:textFill>
                  <w14:solidFill>
                    <w14:schemeClr w14:val="tx1"/>
                  </w14:solidFill>
                </w14:textFill>
              </w:rPr>
              <w:fldChar w:fldCharType="begin"/>
            </w:r>
            <w:r>
              <w:rPr>
                <w:rFonts w:ascii="Times New Roman" w:hAnsi="Times New Roman" w:cs="Times New Roman"/>
                <w:b/>
                <w:snapToGrid w:val="0"/>
                <w:color w:val="000000" w:themeColor="text1"/>
                <w:kern w:val="21"/>
                <w:sz w:val="21"/>
                <w:szCs w:val="21"/>
                <w14:textFill>
                  <w14:solidFill>
                    <w14:schemeClr w14:val="tx1"/>
                  </w14:solidFill>
                </w14:textFill>
              </w:rPr>
              <w:instrText xml:space="preserve"> = 6 \* GB3 \* MERGEFORMAT </w:instrText>
            </w:r>
            <w:r>
              <w:rPr>
                <w:rFonts w:ascii="Times New Roman" w:hAnsi="Times New Roman" w:cs="Times New Roman"/>
                <w:b/>
                <w:snapToGrid w:val="0"/>
                <w:color w:val="000000" w:themeColor="text1"/>
                <w:kern w:val="21"/>
                <w:sz w:val="21"/>
                <w:szCs w:val="21"/>
                <w14:textFill>
                  <w14:solidFill>
                    <w14:schemeClr w14:val="tx1"/>
                  </w14:solidFill>
                </w14:textFill>
              </w:rPr>
              <w:fldChar w:fldCharType="separate"/>
            </w:r>
            <w:r>
              <w:rPr>
                <w:rFonts w:ascii="Times New Roman" w:hAnsi="Times New Roman" w:cs="Times New Roman"/>
                <w:b/>
                <w:color w:val="000000" w:themeColor="text1"/>
                <w:kern w:val="2"/>
                <w:sz w:val="21"/>
                <w:szCs w:val="21"/>
                <w14:textFill>
                  <w14:solidFill>
                    <w14:schemeClr w14:val="tx1"/>
                  </w14:solidFill>
                </w14:textFill>
              </w:rPr>
              <w:t>⑥</w:t>
            </w:r>
            <w:r>
              <w:rPr>
                <w:rFonts w:ascii="Times New Roman" w:hAnsi="Times New Roman" w:cs="Times New Roman"/>
                <w:b/>
                <w:snapToGrid w:val="0"/>
                <w:color w:val="000000" w:themeColor="text1"/>
                <w:kern w:val="21"/>
                <w:sz w:val="21"/>
                <w:szCs w:val="21"/>
                <w14:textFill>
                  <w14:solidFill>
                    <w14:schemeClr w14:val="tx1"/>
                  </w14:solidFill>
                </w14:textFill>
              </w:rPr>
              <w:fldChar w:fldCharType="end"/>
            </w:r>
          </w:p>
        </w:tc>
        <w:tc>
          <w:tcPr>
            <w:tcW w:w="593" w:type="pct"/>
            <w:vAlign w:val="center"/>
          </w:tcPr>
          <w:p w14:paraId="2C79D728">
            <w:pPr>
              <w:pStyle w:val="145"/>
              <w:spacing w:beforeLines="0" w:afterLines="0" w:line="240" w:lineRule="auto"/>
              <w:rPr>
                <w:rFonts w:ascii="Times New Roman" w:hAnsi="Times New Roman" w:cs="Times New Roman"/>
                <w:b/>
                <w:snapToGrid w:val="0"/>
                <w:color w:val="000000" w:themeColor="text1"/>
                <w:kern w:val="21"/>
                <w:szCs w:val="21"/>
                <w14:textFill>
                  <w14:solidFill>
                    <w14:schemeClr w14:val="tx1"/>
                  </w14:solidFill>
                </w14:textFill>
              </w:rPr>
            </w:pPr>
            <w:r>
              <w:rPr>
                <w:rFonts w:ascii="Times New Roman" w:hAnsi="Times New Roman" w:cs="Times New Roman"/>
                <w:b/>
                <w:snapToGrid w:val="0"/>
                <w:color w:val="000000" w:themeColor="text1"/>
                <w:kern w:val="21"/>
                <w:szCs w:val="21"/>
                <w14:textFill>
                  <w14:solidFill>
                    <w14:schemeClr w14:val="tx1"/>
                  </w14:solidFill>
                </w14:textFill>
              </w:rPr>
              <w:t>变化量</w:t>
            </w:r>
          </w:p>
          <w:p w14:paraId="5F4563B2">
            <w:pPr>
              <w:pStyle w:val="145"/>
              <w:spacing w:beforeLines="0" w:afterLines="0" w:line="240" w:lineRule="auto"/>
              <w:rPr>
                <w:rFonts w:ascii="Times New Roman" w:hAnsi="Times New Roman" w:cs="Times New Roman"/>
                <w:b/>
                <w:snapToGrid w:val="0"/>
                <w:color w:val="000000" w:themeColor="text1"/>
                <w:kern w:val="21"/>
                <w:szCs w:val="21"/>
                <w14:textFill>
                  <w14:solidFill>
                    <w14:schemeClr w14:val="tx1"/>
                  </w14:solidFill>
                </w14:textFill>
              </w:rPr>
            </w:pPr>
            <w:r>
              <w:rPr>
                <w:rFonts w:ascii="Times New Roman" w:hAnsi="Times New Roman" w:cs="Times New Roman"/>
                <w:b/>
                <w:snapToGrid w:val="0"/>
                <w:color w:val="000000" w:themeColor="text1"/>
                <w:kern w:val="21"/>
                <w:szCs w:val="21"/>
                <w14:textFill>
                  <w14:solidFill>
                    <w14:schemeClr w14:val="tx1"/>
                  </w14:solidFill>
                </w14:textFill>
              </w:rPr>
              <w:fldChar w:fldCharType="begin"/>
            </w:r>
            <w:r>
              <w:rPr>
                <w:rFonts w:ascii="Times New Roman" w:hAnsi="Times New Roman" w:cs="Times New Roman"/>
                <w:b/>
                <w:snapToGrid w:val="0"/>
                <w:color w:val="000000" w:themeColor="text1"/>
                <w:kern w:val="21"/>
                <w:szCs w:val="21"/>
                <w14:textFill>
                  <w14:solidFill>
                    <w14:schemeClr w14:val="tx1"/>
                  </w14:solidFill>
                </w14:textFill>
              </w:rPr>
              <w:instrText xml:space="preserve"> = 7 \* GB3 \* MERGEFORMAT </w:instrText>
            </w:r>
            <w:r>
              <w:rPr>
                <w:rFonts w:ascii="Times New Roman" w:hAnsi="Times New Roman" w:cs="Times New Roman"/>
                <w:b/>
                <w:snapToGrid w:val="0"/>
                <w:color w:val="000000" w:themeColor="text1"/>
                <w:kern w:val="21"/>
                <w:szCs w:val="21"/>
                <w14:textFill>
                  <w14:solidFill>
                    <w14:schemeClr w14:val="tx1"/>
                  </w14:solidFill>
                </w14:textFill>
              </w:rPr>
              <w:fldChar w:fldCharType="separate"/>
            </w:r>
            <w:r>
              <w:rPr>
                <w:rFonts w:ascii="Times New Roman" w:hAnsi="Times New Roman" w:cs="Times New Roman"/>
                <w:b/>
                <w:color w:val="000000" w:themeColor="text1"/>
                <w:kern w:val="2"/>
                <w:szCs w:val="21"/>
                <w14:textFill>
                  <w14:solidFill>
                    <w14:schemeClr w14:val="tx1"/>
                  </w14:solidFill>
                </w14:textFill>
              </w:rPr>
              <w:t>⑦</w:t>
            </w:r>
            <w:r>
              <w:rPr>
                <w:rFonts w:ascii="Times New Roman" w:hAnsi="Times New Roman" w:cs="Times New Roman"/>
                <w:b/>
                <w:snapToGrid w:val="0"/>
                <w:color w:val="000000" w:themeColor="text1"/>
                <w:kern w:val="21"/>
                <w:szCs w:val="21"/>
                <w14:textFill>
                  <w14:solidFill>
                    <w14:schemeClr w14:val="tx1"/>
                  </w14:solidFill>
                </w14:textFill>
              </w:rPr>
              <w:fldChar w:fldCharType="end"/>
            </w:r>
          </w:p>
        </w:tc>
      </w:tr>
      <w:tr w14:paraId="28F57F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restart"/>
            <w:vAlign w:val="center"/>
          </w:tcPr>
          <w:p w14:paraId="091EB73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w:t>
            </w:r>
          </w:p>
        </w:tc>
        <w:tc>
          <w:tcPr>
            <w:tcW w:w="538" w:type="pct"/>
            <w:vMerge w:val="restart"/>
            <w:vAlign w:val="center"/>
          </w:tcPr>
          <w:p w14:paraId="2520945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有组织废气</w:t>
            </w:r>
          </w:p>
        </w:tc>
        <w:tc>
          <w:tcPr>
            <w:tcW w:w="473" w:type="pct"/>
            <w:vAlign w:val="center"/>
          </w:tcPr>
          <w:p w14:paraId="24CCBAF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硫（颗粒物）</w:t>
            </w:r>
          </w:p>
        </w:tc>
        <w:tc>
          <w:tcPr>
            <w:tcW w:w="481" w:type="pct"/>
            <w:vAlign w:val="center"/>
          </w:tcPr>
          <w:p w14:paraId="59C9641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7073DDD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9A08D3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33A164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0.00218</w:t>
            </w:r>
          </w:p>
        </w:tc>
        <w:tc>
          <w:tcPr>
            <w:tcW w:w="537" w:type="pct"/>
            <w:vAlign w:val="center"/>
          </w:tcPr>
          <w:p w14:paraId="5BBC393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D62208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683A73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sz w:val="21"/>
                <w:szCs w:val="21"/>
                <w:lang w:bidi="ar"/>
              </w:rPr>
              <w:t>0.00218</w:t>
            </w:r>
          </w:p>
        </w:tc>
      </w:tr>
      <w:tr w14:paraId="116DDA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06206EC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2F59CE5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644CDA6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481" w:type="pct"/>
            <w:vAlign w:val="center"/>
          </w:tcPr>
          <w:p w14:paraId="5F81B64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719E881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46C505F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287A37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0.00042</w:t>
            </w:r>
          </w:p>
        </w:tc>
        <w:tc>
          <w:tcPr>
            <w:tcW w:w="537" w:type="pct"/>
            <w:vAlign w:val="center"/>
          </w:tcPr>
          <w:p w14:paraId="7112D68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C2A88D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21C1DB6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sz w:val="21"/>
                <w:szCs w:val="21"/>
                <w:lang w:bidi="ar"/>
              </w:rPr>
              <w:t>0.00042</w:t>
            </w:r>
          </w:p>
        </w:tc>
      </w:tr>
      <w:tr w14:paraId="1D33C6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0B561B8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6A4A227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0C71A19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481" w:type="pct"/>
            <w:vAlign w:val="center"/>
          </w:tcPr>
          <w:p w14:paraId="6909B47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783223E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7EDDC99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87ACF1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0.00440</w:t>
            </w:r>
          </w:p>
        </w:tc>
        <w:tc>
          <w:tcPr>
            <w:tcW w:w="537" w:type="pct"/>
            <w:vAlign w:val="center"/>
          </w:tcPr>
          <w:p w14:paraId="26650DE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39BCE2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098C569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sz w:val="21"/>
                <w:szCs w:val="21"/>
                <w:lang w:bidi="ar"/>
              </w:rPr>
              <w:t>0.00440</w:t>
            </w:r>
          </w:p>
        </w:tc>
      </w:tr>
      <w:tr w14:paraId="3307AB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7E3FB16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7111C7B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079B40F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w:t>
            </w:r>
          </w:p>
        </w:tc>
        <w:tc>
          <w:tcPr>
            <w:tcW w:w="481" w:type="pct"/>
            <w:vAlign w:val="center"/>
          </w:tcPr>
          <w:p w14:paraId="7444FCE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0.0448</w:t>
            </w:r>
          </w:p>
        </w:tc>
        <w:tc>
          <w:tcPr>
            <w:tcW w:w="567" w:type="pct"/>
            <w:vAlign w:val="center"/>
          </w:tcPr>
          <w:p w14:paraId="08836A1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4450936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BF2818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2B73FC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853A06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1930E96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15F4AD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1E39148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1B45143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36DD96D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甲苯</w:t>
            </w:r>
          </w:p>
        </w:tc>
        <w:tc>
          <w:tcPr>
            <w:tcW w:w="481" w:type="pct"/>
            <w:vAlign w:val="center"/>
          </w:tcPr>
          <w:p w14:paraId="4012B17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0.0061</w:t>
            </w:r>
          </w:p>
        </w:tc>
        <w:tc>
          <w:tcPr>
            <w:tcW w:w="567" w:type="pct"/>
            <w:vAlign w:val="center"/>
          </w:tcPr>
          <w:p w14:paraId="223D7F4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A7FEB6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3F0E0D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BE4B3F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5BF10D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22E584A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7CF4F3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2697FEE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41952C0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5714CDF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二甲苯</w:t>
            </w:r>
          </w:p>
        </w:tc>
        <w:tc>
          <w:tcPr>
            <w:tcW w:w="481" w:type="pct"/>
            <w:vAlign w:val="center"/>
          </w:tcPr>
          <w:p w14:paraId="001DD4F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0.0132</w:t>
            </w:r>
          </w:p>
        </w:tc>
        <w:tc>
          <w:tcPr>
            <w:tcW w:w="567" w:type="pct"/>
            <w:vAlign w:val="center"/>
          </w:tcPr>
          <w:p w14:paraId="4AEDD75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AA7CEB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7DE3FD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39B2C9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6FA1AC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E2C7FB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422629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3ED476C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01FC144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421910B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甲醇</w:t>
            </w:r>
          </w:p>
        </w:tc>
        <w:tc>
          <w:tcPr>
            <w:tcW w:w="481" w:type="pct"/>
            <w:vAlign w:val="center"/>
          </w:tcPr>
          <w:p w14:paraId="14C24FD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0.0131</w:t>
            </w:r>
          </w:p>
        </w:tc>
        <w:tc>
          <w:tcPr>
            <w:tcW w:w="567" w:type="pct"/>
            <w:vAlign w:val="center"/>
          </w:tcPr>
          <w:p w14:paraId="5D30CCF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5DAD3E0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1504A9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39CCE4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137A38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4F0F25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6C2B8D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737ADC1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687BAF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348A967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VOCs</w:t>
            </w:r>
          </w:p>
        </w:tc>
        <w:tc>
          <w:tcPr>
            <w:tcW w:w="481" w:type="pct"/>
            <w:vAlign w:val="center"/>
          </w:tcPr>
          <w:p w14:paraId="17ED566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0.1087</w:t>
            </w:r>
          </w:p>
        </w:tc>
        <w:tc>
          <w:tcPr>
            <w:tcW w:w="567" w:type="pct"/>
            <w:vAlign w:val="center"/>
          </w:tcPr>
          <w:p w14:paraId="491F465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428134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E83A8B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0.</w:t>
            </w:r>
            <w:r>
              <w:rPr>
                <w:rFonts w:hint="eastAsia" w:ascii="Times New Roman" w:hAnsi="Times New Roman" w:cs="Times New Roman"/>
                <w:color w:val="000000"/>
                <w:sz w:val="21"/>
                <w:szCs w:val="21"/>
                <w:lang w:bidi="ar"/>
              </w:rPr>
              <w:t>11984</w:t>
            </w:r>
          </w:p>
        </w:tc>
        <w:tc>
          <w:tcPr>
            <w:tcW w:w="537" w:type="pct"/>
            <w:vAlign w:val="center"/>
          </w:tcPr>
          <w:p w14:paraId="7CC68AC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4E48CF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5441796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sz w:val="21"/>
                <w:szCs w:val="21"/>
                <w:lang w:bidi="ar"/>
              </w:rPr>
              <w:t>0.01114</w:t>
            </w:r>
          </w:p>
        </w:tc>
      </w:tr>
      <w:tr w14:paraId="1D2B46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6A438CE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restart"/>
            <w:vAlign w:val="center"/>
          </w:tcPr>
          <w:p w14:paraId="0B737E5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无组织废气</w:t>
            </w:r>
          </w:p>
        </w:tc>
        <w:tc>
          <w:tcPr>
            <w:tcW w:w="473" w:type="pct"/>
            <w:shd w:val="clear" w:color="auto" w:fill="auto"/>
            <w:vAlign w:val="center"/>
          </w:tcPr>
          <w:p w14:paraId="683E8CC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硫（颗粒物）</w:t>
            </w:r>
          </w:p>
        </w:tc>
        <w:tc>
          <w:tcPr>
            <w:tcW w:w="481" w:type="pct"/>
            <w:vAlign w:val="center"/>
          </w:tcPr>
          <w:p w14:paraId="398C480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2F03B09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61F47DA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B32905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0.1442</w:t>
            </w:r>
          </w:p>
        </w:tc>
        <w:tc>
          <w:tcPr>
            <w:tcW w:w="537" w:type="pct"/>
            <w:vAlign w:val="center"/>
          </w:tcPr>
          <w:p w14:paraId="4E7C849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95E665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2F1B397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+0.1442</w:t>
            </w:r>
          </w:p>
        </w:tc>
      </w:tr>
      <w:tr w14:paraId="4ADC45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4EC017C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1A90342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shd w:val="clear" w:color="auto" w:fill="auto"/>
            <w:vAlign w:val="center"/>
          </w:tcPr>
          <w:p w14:paraId="5378F17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481" w:type="pct"/>
            <w:vAlign w:val="center"/>
          </w:tcPr>
          <w:p w14:paraId="3AC1CDC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4611714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538B15B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FFE993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0.0076</w:t>
            </w:r>
          </w:p>
        </w:tc>
        <w:tc>
          <w:tcPr>
            <w:tcW w:w="537" w:type="pct"/>
            <w:vAlign w:val="center"/>
          </w:tcPr>
          <w:p w14:paraId="34CCD25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CA0E69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2E43459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+0.0076</w:t>
            </w:r>
          </w:p>
        </w:tc>
      </w:tr>
      <w:tr w14:paraId="4E2FEC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62A77BB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7D40AC4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shd w:val="clear" w:color="auto" w:fill="auto"/>
            <w:vAlign w:val="center"/>
          </w:tcPr>
          <w:p w14:paraId="5D187B1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酚类</w:t>
            </w:r>
          </w:p>
        </w:tc>
        <w:tc>
          <w:tcPr>
            <w:tcW w:w="481" w:type="pct"/>
            <w:vAlign w:val="center"/>
          </w:tcPr>
          <w:p w14:paraId="691A2C3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76A8F52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EB506F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55DD41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0.1185</w:t>
            </w:r>
          </w:p>
        </w:tc>
        <w:tc>
          <w:tcPr>
            <w:tcW w:w="537" w:type="pct"/>
            <w:vAlign w:val="center"/>
          </w:tcPr>
          <w:p w14:paraId="4A7050A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2756B0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1EE6AF4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+0.1185</w:t>
            </w:r>
          </w:p>
        </w:tc>
      </w:tr>
      <w:tr w14:paraId="30B7C9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4DAD4E5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5C0F4DC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29F5D8D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w:t>
            </w:r>
          </w:p>
        </w:tc>
        <w:tc>
          <w:tcPr>
            <w:tcW w:w="481" w:type="pct"/>
            <w:vAlign w:val="center"/>
          </w:tcPr>
          <w:p w14:paraId="54E2B4E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0.49</w:t>
            </w:r>
            <w:r>
              <w:rPr>
                <w:rFonts w:hint="eastAsia" w:ascii="Times New Roman" w:hAnsi="Times New Roman" w:cs="Times New Roman"/>
                <w:color w:val="000000" w:themeColor="text1"/>
                <w:sz w:val="21"/>
                <w:szCs w:val="21"/>
                <w14:textFill>
                  <w14:solidFill>
                    <w14:schemeClr w14:val="tx1"/>
                  </w14:solidFill>
                </w14:textFill>
              </w:rPr>
              <w:t>40</w:t>
            </w:r>
          </w:p>
        </w:tc>
        <w:tc>
          <w:tcPr>
            <w:tcW w:w="567" w:type="pct"/>
            <w:vAlign w:val="center"/>
          </w:tcPr>
          <w:p w14:paraId="32ED54E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26DB568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66035B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F3F13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F17AE0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54B9194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3E4549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51C7B44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214450E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324EE62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甲苯</w:t>
            </w:r>
          </w:p>
        </w:tc>
        <w:tc>
          <w:tcPr>
            <w:tcW w:w="481" w:type="pct"/>
            <w:vAlign w:val="center"/>
          </w:tcPr>
          <w:p w14:paraId="643098D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0.4335</w:t>
            </w:r>
          </w:p>
        </w:tc>
        <w:tc>
          <w:tcPr>
            <w:tcW w:w="567" w:type="pct"/>
            <w:vAlign w:val="center"/>
          </w:tcPr>
          <w:p w14:paraId="717318D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7A670E4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CA942B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B7DB7C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AC98F1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034FACC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428BE0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4B87C27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4F69EB9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43FD097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二甲苯</w:t>
            </w:r>
          </w:p>
        </w:tc>
        <w:tc>
          <w:tcPr>
            <w:tcW w:w="481" w:type="pct"/>
            <w:vAlign w:val="center"/>
          </w:tcPr>
          <w:p w14:paraId="46CF299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0.878</w:t>
            </w:r>
            <w:r>
              <w:rPr>
                <w:rFonts w:hint="eastAsia" w:ascii="Times New Roman" w:hAnsi="Times New Roman" w:cs="Times New Roman"/>
                <w:color w:val="000000" w:themeColor="text1"/>
                <w:sz w:val="21"/>
                <w:szCs w:val="21"/>
                <w14:textFill>
                  <w14:solidFill>
                    <w14:schemeClr w14:val="tx1"/>
                  </w14:solidFill>
                </w14:textFill>
              </w:rPr>
              <w:t>6</w:t>
            </w:r>
          </w:p>
        </w:tc>
        <w:tc>
          <w:tcPr>
            <w:tcW w:w="567" w:type="pct"/>
            <w:vAlign w:val="center"/>
          </w:tcPr>
          <w:p w14:paraId="10A8EAA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5DC0E79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1559D6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071193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0FDD92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19B223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239487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24F0C06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418ECE6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2583CDA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甲醇</w:t>
            </w:r>
          </w:p>
        </w:tc>
        <w:tc>
          <w:tcPr>
            <w:tcW w:w="481" w:type="pct"/>
            <w:vAlign w:val="center"/>
          </w:tcPr>
          <w:p w14:paraId="027EF9C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0.444</w:t>
            </w:r>
            <w:r>
              <w:rPr>
                <w:rFonts w:hint="eastAsia" w:ascii="Times New Roman" w:hAnsi="Times New Roman" w:cs="Times New Roman"/>
                <w:color w:val="000000" w:themeColor="text1"/>
                <w:sz w:val="21"/>
                <w:szCs w:val="21"/>
                <w14:textFill>
                  <w14:solidFill>
                    <w14:schemeClr w14:val="tx1"/>
                  </w14:solidFill>
                </w14:textFill>
              </w:rPr>
              <w:t>6</w:t>
            </w:r>
          </w:p>
        </w:tc>
        <w:tc>
          <w:tcPr>
            <w:tcW w:w="567" w:type="pct"/>
            <w:vAlign w:val="center"/>
          </w:tcPr>
          <w:p w14:paraId="226247F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01C9810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1D2F27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11B750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111675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3E9D824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785721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04ED030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7B9F532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30087F9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氨</w:t>
            </w:r>
          </w:p>
        </w:tc>
        <w:tc>
          <w:tcPr>
            <w:tcW w:w="481" w:type="pct"/>
            <w:vAlign w:val="center"/>
          </w:tcPr>
          <w:p w14:paraId="0A9F797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0.1199</w:t>
            </w:r>
          </w:p>
        </w:tc>
        <w:tc>
          <w:tcPr>
            <w:tcW w:w="567" w:type="pct"/>
            <w:vAlign w:val="center"/>
          </w:tcPr>
          <w:p w14:paraId="78342C6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06895D9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0C6876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E9E599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4EA104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5C5D76A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539D1F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2CF2C43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2E9E1E5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18FE4CB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苯乙烯</w:t>
            </w:r>
          </w:p>
        </w:tc>
        <w:tc>
          <w:tcPr>
            <w:tcW w:w="481" w:type="pct"/>
            <w:vAlign w:val="center"/>
          </w:tcPr>
          <w:p w14:paraId="5518631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26251B1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7C5DE418">
            <w:pPr>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95BB038">
            <w:pPr>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08AD7F8">
            <w:pPr>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8D97CD3">
            <w:pPr>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7464905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r>
      <w:tr w14:paraId="014FD4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227B58B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78219C4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5F7BAB1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VOCs</w:t>
            </w:r>
          </w:p>
        </w:tc>
        <w:tc>
          <w:tcPr>
            <w:tcW w:w="481" w:type="pct"/>
            <w:vAlign w:val="center"/>
          </w:tcPr>
          <w:p w14:paraId="52E0BCE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
                <w:sz w:val="21"/>
                <w:szCs w:val="21"/>
                <w14:textFill>
                  <w14:solidFill>
                    <w14:schemeClr w14:val="tx1"/>
                  </w14:solidFill>
                </w14:textFill>
              </w:rPr>
              <w:t>4.03</w:t>
            </w:r>
            <w:r>
              <w:rPr>
                <w:rFonts w:hint="eastAsia" w:ascii="Times New Roman" w:hAnsi="Times New Roman" w:cs="Times New Roman"/>
                <w:color w:val="000000" w:themeColor="text1"/>
                <w:spacing w:val="-1"/>
                <w:sz w:val="21"/>
                <w:szCs w:val="21"/>
                <w14:textFill>
                  <w14:solidFill>
                    <w14:schemeClr w14:val="tx1"/>
                  </w14:solidFill>
                </w14:textFill>
              </w:rPr>
              <w:t>20</w:t>
            </w:r>
          </w:p>
        </w:tc>
        <w:tc>
          <w:tcPr>
            <w:tcW w:w="567" w:type="pct"/>
            <w:vAlign w:val="center"/>
          </w:tcPr>
          <w:p w14:paraId="59D7D7B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6119F51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4F949B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4.2258</w:t>
            </w:r>
          </w:p>
        </w:tc>
        <w:tc>
          <w:tcPr>
            <w:tcW w:w="537" w:type="pct"/>
            <w:vAlign w:val="center"/>
          </w:tcPr>
          <w:p w14:paraId="4724C1C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9B6B04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420929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+0.1938</w:t>
            </w:r>
          </w:p>
        </w:tc>
      </w:tr>
      <w:tr w14:paraId="4C81AA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restart"/>
            <w:vAlign w:val="center"/>
          </w:tcPr>
          <w:p w14:paraId="6DA599E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废水</w:t>
            </w:r>
          </w:p>
        </w:tc>
        <w:tc>
          <w:tcPr>
            <w:tcW w:w="538" w:type="pct"/>
            <w:vMerge w:val="restart"/>
            <w:vAlign w:val="center"/>
          </w:tcPr>
          <w:p w14:paraId="635EF78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生活污水</w:t>
            </w:r>
          </w:p>
        </w:tc>
        <w:tc>
          <w:tcPr>
            <w:tcW w:w="473" w:type="pct"/>
            <w:vAlign w:val="center"/>
          </w:tcPr>
          <w:p w14:paraId="45C14F8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w:t>
            </w:r>
          </w:p>
        </w:tc>
        <w:tc>
          <w:tcPr>
            <w:tcW w:w="481" w:type="pct"/>
            <w:vAlign w:val="center"/>
          </w:tcPr>
          <w:p w14:paraId="2C71652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0.177</w:t>
            </w:r>
          </w:p>
        </w:tc>
        <w:tc>
          <w:tcPr>
            <w:tcW w:w="567" w:type="pct"/>
            <w:vAlign w:val="center"/>
          </w:tcPr>
          <w:p w14:paraId="1045997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E49D79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982D91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371BAD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B5D550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73FBAD7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671B9F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4C714A4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0722A0E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2305FB6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氨氮</w:t>
            </w:r>
          </w:p>
        </w:tc>
        <w:tc>
          <w:tcPr>
            <w:tcW w:w="481" w:type="pct"/>
            <w:vAlign w:val="center"/>
          </w:tcPr>
          <w:p w14:paraId="2B153C3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0.018</w:t>
            </w:r>
          </w:p>
        </w:tc>
        <w:tc>
          <w:tcPr>
            <w:tcW w:w="567" w:type="pct"/>
            <w:vAlign w:val="center"/>
          </w:tcPr>
          <w:p w14:paraId="2DD5F1C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5B885F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87AA28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8F2015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1C751E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239C415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777DB1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6BE4FC5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46295E0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54E4004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总氮</w:t>
            </w:r>
          </w:p>
        </w:tc>
        <w:tc>
          <w:tcPr>
            <w:tcW w:w="481" w:type="pct"/>
            <w:vAlign w:val="center"/>
          </w:tcPr>
          <w:p w14:paraId="16FFC3D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0.023</w:t>
            </w:r>
          </w:p>
        </w:tc>
        <w:tc>
          <w:tcPr>
            <w:tcW w:w="567" w:type="pct"/>
            <w:vAlign w:val="center"/>
          </w:tcPr>
          <w:p w14:paraId="4B63D31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51DD6B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AA0159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5CCAEF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0A60F9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19C5038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761399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4DB2C66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0F57B6B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185F180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总磷</w:t>
            </w:r>
          </w:p>
        </w:tc>
        <w:tc>
          <w:tcPr>
            <w:tcW w:w="481" w:type="pct"/>
            <w:vAlign w:val="center"/>
          </w:tcPr>
          <w:p w14:paraId="216C38C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0.003</w:t>
            </w:r>
          </w:p>
        </w:tc>
        <w:tc>
          <w:tcPr>
            <w:tcW w:w="567" w:type="pct"/>
            <w:vAlign w:val="center"/>
          </w:tcPr>
          <w:p w14:paraId="0E1A8E9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2DD8880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5D76E6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F25DEE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171397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AAE301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2A40C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1D3E3A7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restart"/>
            <w:vAlign w:val="center"/>
          </w:tcPr>
          <w:p w14:paraId="5D93429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初期雨水</w:t>
            </w:r>
          </w:p>
        </w:tc>
        <w:tc>
          <w:tcPr>
            <w:tcW w:w="473" w:type="pct"/>
            <w:vAlign w:val="center"/>
          </w:tcPr>
          <w:p w14:paraId="72A38F0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w:t>
            </w:r>
          </w:p>
        </w:tc>
        <w:tc>
          <w:tcPr>
            <w:tcW w:w="481" w:type="pct"/>
            <w:vAlign w:val="center"/>
          </w:tcPr>
          <w:p w14:paraId="6F8F9EF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14.95</w:t>
            </w:r>
          </w:p>
        </w:tc>
        <w:tc>
          <w:tcPr>
            <w:tcW w:w="567" w:type="pct"/>
            <w:vAlign w:val="center"/>
          </w:tcPr>
          <w:p w14:paraId="6605A0A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73ED8B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BA5D69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15.908</w:t>
            </w:r>
          </w:p>
        </w:tc>
        <w:tc>
          <w:tcPr>
            <w:tcW w:w="537" w:type="pct"/>
            <w:vAlign w:val="center"/>
          </w:tcPr>
          <w:p w14:paraId="343DA38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ED047E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71A2072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+0.958</w:t>
            </w:r>
          </w:p>
        </w:tc>
      </w:tr>
      <w:tr w14:paraId="7AEFAF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54A7ED5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5EBC761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3067D2E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SS</w:t>
            </w:r>
          </w:p>
        </w:tc>
        <w:tc>
          <w:tcPr>
            <w:tcW w:w="481" w:type="pct"/>
            <w:vAlign w:val="center"/>
          </w:tcPr>
          <w:p w14:paraId="3252923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5.98</w:t>
            </w:r>
          </w:p>
        </w:tc>
        <w:tc>
          <w:tcPr>
            <w:tcW w:w="567" w:type="pct"/>
            <w:vAlign w:val="center"/>
          </w:tcPr>
          <w:p w14:paraId="177AE24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52C6464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CA84F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6.284</w:t>
            </w:r>
          </w:p>
        </w:tc>
        <w:tc>
          <w:tcPr>
            <w:tcW w:w="537" w:type="pct"/>
            <w:vAlign w:val="center"/>
          </w:tcPr>
          <w:p w14:paraId="588E3E8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4D0CFE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05E39A8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+0.304</w:t>
            </w:r>
          </w:p>
        </w:tc>
      </w:tr>
      <w:tr w14:paraId="71C83E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rPr>
          <w:trHeight w:val="90" w:hRule="atLeast"/>
        </w:trPr>
        <w:tc>
          <w:tcPr>
            <w:tcW w:w="282" w:type="pct"/>
            <w:vMerge w:val="continue"/>
            <w:vAlign w:val="center"/>
          </w:tcPr>
          <w:p w14:paraId="33C2FA5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44D1709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4113E4C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有机碳</w:t>
            </w:r>
          </w:p>
        </w:tc>
        <w:tc>
          <w:tcPr>
            <w:tcW w:w="481" w:type="pct"/>
            <w:vAlign w:val="center"/>
          </w:tcPr>
          <w:p w14:paraId="6762697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2.99</w:t>
            </w:r>
          </w:p>
        </w:tc>
        <w:tc>
          <w:tcPr>
            <w:tcW w:w="567" w:type="pct"/>
            <w:vAlign w:val="center"/>
          </w:tcPr>
          <w:p w14:paraId="1C5173E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602BC7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8C11F61">
            <w:pPr>
              <w:adjustRightInd w:val="0"/>
              <w:snapToGrid w:val="0"/>
              <w:jc w:val="center"/>
              <w:rPr>
                <w:rFonts w:ascii="Times New Roman" w:hAnsi="Times New Roman" w:cs="Times New Roman"/>
                <w:color w:val="0000FF"/>
                <w:sz w:val="21"/>
                <w:szCs w:val="21"/>
              </w:rPr>
            </w:pPr>
          </w:p>
        </w:tc>
        <w:tc>
          <w:tcPr>
            <w:tcW w:w="537" w:type="pct"/>
            <w:vAlign w:val="center"/>
          </w:tcPr>
          <w:p w14:paraId="6FD4063B">
            <w:pPr>
              <w:adjustRightInd w:val="0"/>
              <w:snapToGrid w:val="0"/>
              <w:jc w:val="center"/>
              <w:rPr>
                <w:rFonts w:ascii="Times New Roman" w:hAnsi="Times New Roman" w:cs="Times New Roman"/>
                <w:color w:val="0000FF"/>
                <w:sz w:val="21"/>
                <w:szCs w:val="21"/>
              </w:rPr>
            </w:pPr>
          </w:p>
        </w:tc>
        <w:tc>
          <w:tcPr>
            <w:tcW w:w="537" w:type="pct"/>
            <w:vAlign w:val="center"/>
          </w:tcPr>
          <w:p w14:paraId="6E1EE603">
            <w:pPr>
              <w:adjustRightInd w:val="0"/>
              <w:snapToGrid w:val="0"/>
              <w:jc w:val="center"/>
              <w:rPr>
                <w:rFonts w:ascii="Times New Roman" w:hAnsi="Times New Roman" w:cs="Times New Roman"/>
                <w:color w:val="0000FF"/>
                <w:sz w:val="21"/>
                <w:szCs w:val="21"/>
              </w:rPr>
            </w:pPr>
          </w:p>
        </w:tc>
        <w:tc>
          <w:tcPr>
            <w:tcW w:w="593" w:type="pct"/>
            <w:vAlign w:val="center"/>
          </w:tcPr>
          <w:p w14:paraId="15671EC3">
            <w:pPr>
              <w:adjustRightInd w:val="0"/>
              <w:snapToGrid w:val="0"/>
              <w:jc w:val="center"/>
              <w:rPr>
                <w:rFonts w:ascii="Times New Roman" w:hAnsi="Times New Roman" w:cs="Times New Roman"/>
                <w:color w:val="0000FF"/>
                <w:sz w:val="21"/>
                <w:szCs w:val="21"/>
              </w:rPr>
            </w:pPr>
          </w:p>
        </w:tc>
      </w:tr>
      <w:tr w14:paraId="093FB2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3D697C5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restart"/>
            <w:vAlign w:val="center"/>
          </w:tcPr>
          <w:p w14:paraId="5B7F638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冲洗废水</w:t>
            </w:r>
          </w:p>
        </w:tc>
        <w:tc>
          <w:tcPr>
            <w:tcW w:w="473" w:type="pct"/>
            <w:vAlign w:val="center"/>
          </w:tcPr>
          <w:p w14:paraId="6F30691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w:t>
            </w:r>
          </w:p>
        </w:tc>
        <w:tc>
          <w:tcPr>
            <w:tcW w:w="481" w:type="pct"/>
            <w:vAlign w:val="center"/>
          </w:tcPr>
          <w:p w14:paraId="56D7437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0.31</w:t>
            </w:r>
          </w:p>
        </w:tc>
        <w:tc>
          <w:tcPr>
            <w:tcW w:w="567" w:type="pct"/>
            <w:vAlign w:val="center"/>
          </w:tcPr>
          <w:p w14:paraId="7491FDC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4DCD150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60C91CB">
            <w:pPr>
              <w:adjustRightInd w:val="0"/>
              <w:snapToGrid w:val="0"/>
              <w:jc w:val="center"/>
              <w:rPr>
                <w:rFonts w:ascii="Times New Roman" w:hAnsi="Times New Roman" w:cs="Times New Roman"/>
                <w:color w:val="0000FF"/>
                <w:sz w:val="21"/>
                <w:szCs w:val="21"/>
              </w:rPr>
            </w:pPr>
          </w:p>
        </w:tc>
        <w:tc>
          <w:tcPr>
            <w:tcW w:w="537" w:type="pct"/>
            <w:vAlign w:val="center"/>
          </w:tcPr>
          <w:p w14:paraId="4B32C32C">
            <w:pPr>
              <w:adjustRightInd w:val="0"/>
              <w:snapToGrid w:val="0"/>
              <w:jc w:val="center"/>
              <w:rPr>
                <w:rFonts w:ascii="Times New Roman" w:hAnsi="Times New Roman" w:cs="Times New Roman"/>
                <w:color w:val="0000FF"/>
                <w:sz w:val="21"/>
                <w:szCs w:val="21"/>
              </w:rPr>
            </w:pPr>
          </w:p>
        </w:tc>
        <w:tc>
          <w:tcPr>
            <w:tcW w:w="537" w:type="pct"/>
            <w:vAlign w:val="center"/>
          </w:tcPr>
          <w:p w14:paraId="012949A0">
            <w:pPr>
              <w:adjustRightInd w:val="0"/>
              <w:snapToGrid w:val="0"/>
              <w:jc w:val="center"/>
              <w:rPr>
                <w:rFonts w:ascii="Times New Roman" w:hAnsi="Times New Roman" w:cs="Times New Roman"/>
                <w:color w:val="0000FF"/>
                <w:sz w:val="21"/>
                <w:szCs w:val="21"/>
              </w:rPr>
            </w:pPr>
          </w:p>
        </w:tc>
        <w:tc>
          <w:tcPr>
            <w:tcW w:w="593" w:type="pct"/>
            <w:vAlign w:val="center"/>
          </w:tcPr>
          <w:p w14:paraId="487CE9DD">
            <w:pPr>
              <w:adjustRightInd w:val="0"/>
              <w:snapToGrid w:val="0"/>
              <w:jc w:val="center"/>
              <w:rPr>
                <w:rFonts w:ascii="Times New Roman" w:hAnsi="Times New Roman" w:cs="Times New Roman"/>
                <w:color w:val="0000FF"/>
                <w:sz w:val="21"/>
                <w:szCs w:val="21"/>
              </w:rPr>
            </w:pPr>
          </w:p>
        </w:tc>
      </w:tr>
      <w:tr w14:paraId="447661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3FA66A7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5871F16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0766F4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SS</w:t>
            </w:r>
          </w:p>
        </w:tc>
        <w:tc>
          <w:tcPr>
            <w:tcW w:w="481" w:type="pct"/>
            <w:vAlign w:val="center"/>
          </w:tcPr>
          <w:p w14:paraId="270F51E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0.13</w:t>
            </w:r>
          </w:p>
        </w:tc>
        <w:tc>
          <w:tcPr>
            <w:tcW w:w="567" w:type="pct"/>
            <w:vAlign w:val="center"/>
          </w:tcPr>
          <w:p w14:paraId="074FCF9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1509B4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9022F0E">
            <w:pPr>
              <w:adjustRightInd w:val="0"/>
              <w:snapToGrid w:val="0"/>
              <w:jc w:val="center"/>
              <w:rPr>
                <w:rFonts w:ascii="Times New Roman" w:hAnsi="Times New Roman" w:cs="Times New Roman"/>
                <w:color w:val="0000FF"/>
                <w:sz w:val="21"/>
                <w:szCs w:val="21"/>
              </w:rPr>
            </w:pPr>
          </w:p>
        </w:tc>
        <w:tc>
          <w:tcPr>
            <w:tcW w:w="537" w:type="pct"/>
            <w:vAlign w:val="center"/>
          </w:tcPr>
          <w:p w14:paraId="7F5D728A">
            <w:pPr>
              <w:adjustRightInd w:val="0"/>
              <w:snapToGrid w:val="0"/>
              <w:jc w:val="center"/>
              <w:rPr>
                <w:rFonts w:ascii="Times New Roman" w:hAnsi="Times New Roman" w:cs="Times New Roman"/>
                <w:color w:val="0000FF"/>
                <w:sz w:val="21"/>
                <w:szCs w:val="21"/>
              </w:rPr>
            </w:pPr>
          </w:p>
        </w:tc>
        <w:tc>
          <w:tcPr>
            <w:tcW w:w="537" w:type="pct"/>
            <w:vAlign w:val="center"/>
          </w:tcPr>
          <w:p w14:paraId="6EB62866">
            <w:pPr>
              <w:adjustRightInd w:val="0"/>
              <w:snapToGrid w:val="0"/>
              <w:jc w:val="center"/>
              <w:rPr>
                <w:rFonts w:ascii="Times New Roman" w:hAnsi="Times New Roman" w:cs="Times New Roman"/>
                <w:color w:val="0000FF"/>
                <w:sz w:val="21"/>
                <w:szCs w:val="21"/>
              </w:rPr>
            </w:pPr>
          </w:p>
        </w:tc>
        <w:tc>
          <w:tcPr>
            <w:tcW w:w="593" w:type="pct"/>
            <w:vAlign w:val="center"/>
          </w:tcPr>
          <w:p w14:paraId="0C470DCB">
            <w:pPr>
              <w:adjustRightInd w:val="0"/>
              <w:snapToGrid w:val="0"/>
              <w:jc w:val="center"/>
              <w:rPr>
                <w:rFonts w:ascii="Times New Roman" w:hAnsi="Times New Roman" w:cs="Times New Roman"/>
                <w:color w:val="0000FF"/>
                <w:sz w:val="21"/>
                <w:szCs w:val="21"/>
              </w:rPr>
            </w:pPr>
          </w:p>
        </w:tc>
      </w:tr>
      <w:tr w14:paraId="77D064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44E432B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2EA1031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7062A84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有机碳</w:t>
            </w:r>
          </w:p>
        </w:tc>
        <w:tc>
          <w:tcPr>
            <w:tcW w:w="481" w:type="pct"/>
            <w:vAlign w:val="center"/>
          </w:tcPr>
          <w:p w14:paraId="3E505AB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0.06</w:t>
            </w:r>
          </w:p>
        </w:tc>
        <w:tc>
          <w:tcPr>
            <w:tcW w:w="567" w:type="pct"/>
            <w:vAlign w:val="center"/>
          </w:tcPr>
          <w:p w14:paraId="286BA49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7FE1427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4589551">
            <w:pPr>
              <w:adjustRightInd w:val="0"/>
              <w:snapToGrid w:val="0"/>
              <w:jc w:val="center"/>
              <w:rPr>
                <w:rFonts w:ascii="Times New Roman" w:hAnsi="Times New Roman" w:cs="Times New Roman"/>
                <w:color w:val="0000FF"/>
                <w:sz w:val="21"/>
                <w:szCs w:val="21"/>
              </w:rPr>
            </w:pPr>
          </w:p>
        </w:tc>
        <w:tc>
          <w:tcPr>
            <w:tcW w:w="537" w:type="pct"/>
            <w:vAlign w:val="center"/>
          </w:tcPr>
          <w:p w14:paraId="600BC51E">
            <w:pPr>
              <w:adjustRightInd w:val="0"/>
              <w:snapToGrid w:val="0"/>
              <w:jc w:val="center"/>
              <w:rPr>
                <w:rFonts w:ascii="Times New Roman" w:hAnsi="Times New Roman" w:cs="Times New Roman"/>
                <w:color w:val="0000FF"/>
                <w:sz w:val="21"/>
                <w:szCs w:val="21"/>
              </w:rPr>
            </w:pPr>
          </w:p>
        </w:tc>
        <w:tc>
          <w:tcPr>
            <w:tcW w:w="537" w:type="pct"/>
            <w:vAlign w:val="center"/>
          </w:tcPr>
          <w:p w14:paraId="2A55FBCF">
            <w:pPr>
              <w:adjustRightInd w:val="0"/>
              <w:snapToGrid w:val="0"/>
              <w:jc w:val="center"/>
              <w:rPr>
                <w:rFonts w:ascii="Times New Roman" w:hAnsi="Times New Roman" w:cs="Times New Roman"/>
                <w:color w:val="0000FF"/>
                <w:sz w:val="21"/>
                <w:szCs w:val="21"/>
              </w:rPr>
            </w:pPr>
          </w:p>
        </w:tc>
        <w:tc>
          <w:tcPr>
            <w:tcW w:w="593" w:type="pct"/>
            <w:vAlign w:val="center"/>
          </w:tcPr>
          <w:p w14:paraId="2DBD465D">
            <w:pPr>
              <w:adjustRightInd w:val="0"/>
              <w:snapToGrid w:val="0"/>
              <w:jc w:val="center"/>
              <w:rPr>
                <w:rFonts w:ascii="Times New Roman" w:hAnsi="Times New Roman" w:cs="Times New Roman"/>
                <w:color w:val="0000FF"/>
                <w:sz w:val="21"/>
                <w:szCs w:val="21"/>
              </w:rPr>
            </w:pPr>
          </w:p>
        </w:tc>
      </w:tr>
      <w:tr w14:paraId="4CE21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06A9680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Align w:val="center"/>
          </w:tcPr>
          <w:p w14:paraId="4B0A94A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洗罐废水</w:t>
            </w:r>
          </w:p>
        </w:tc>
        <w:tc>
          <w:tcPr>
            <w:tcW w:w="473" w:type="pct"/>
            <w:vAlign w:val="center"/>
          </w:tcPr>
          <w:p w14:paraId="2E44E58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石油类</w:t>
            </w:r>
          </w:p>
        </w:tc>
        <w:tc>
          <w:tcPr>
            <w:tcW w:w="481" w:type="pct"/>
            <w:vAlign w:val="center"/>
          </w:tcPr>
          <w:p w14:paraId="792B4E1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567" w:type="pct"/>
            <w:vAlign w:val="center"/>
          </w:tcPr>
          <w:p w14:paraId="285D433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61C93F4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FAA5B3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3AF6E7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8B290B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AB3ADA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632DF6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5FFEB73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restart"/>
            <w:vAlign w:val="center"/>
          </w:tcPr>
          <w:p w14:paraId="258A3F2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碱洗废水</w:t>
            </w:r>
          </w:p>
        </w:tc>
        <w:tc>
          <w:tcPr>
            <w:tcW w:w="473" w:type="pct"/>
            <w:vAlign w:val="center"/>
          </w:tcPr>
          <w:p w14:paraId="5383895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pH</w:t>
            </w:r>
          </w:p>
        </w:tc>
        <w:tc>
          <w:tcPr>
            <w:tcW w:w="481" w:type="pct"/>
            <w:vAlign w:val="center"/>
          </w:tcPr>
          <w:p w14:paraId="4443B28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567" w:type="pct"/>
            <w:vAlign w:val="center"/>
          </w:tcPr>
          <w:p w14:paraId="37CD124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518112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AFC13A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4A4842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5ED93B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3A09DED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47816B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733906E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722FB10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5A8A4D0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TDS</w:t>
            </w:r>
          </w:p>
        </w:tc>
        <w:tc>
          <w:tcPr>
            <w:tcW w:w="481" w:type="pct"/>
            <w:vAlign w:val="center"/>
          </w:tcPr>
          <w:p w14:paraId="4BF07E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567" w:type="pct"/>
            <w:vAlign w:val="center"/>
          </w:tcPr>
          <w:p w14:paraId="209E8D6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7AEF2E6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2FD63A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2B9A6D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EB9F81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028C55A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104790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3B335C9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Align w:val="center"/>
          </w:tcPr>
          <w:p w14:paraId="6F09547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水洗塔吸收废水</w:t>
            </w:r>
          </w:p>
        </w:tc>
        <w:tc>
          <w:tcPr>
            <w:tcW w:w="473" w:type="pct"/>
            <w:vAlign w:val="center"/>
          </w:tcPr>
          <w:p w14:paraId="34FC175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COD</w:t>
            </w:r>
          </w:p>
        </w:tc>
        <w:tc>
          <w:tcPr>
            <w:tcW w:w="481" w:type="pct"/>
            <w:vAlign w:val="center"/>
          </w:tcPr>
          <w:p w14:paraId="06BBAC4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67" w:type="pct"/>
            <w:vAlign w:val="center"/>
          </w:tcPr>
          <w:p w14:paraId="1F59F0B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1A27D72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3CA400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1.1029</w:t>
            </w:r>
          </w:p>
        </w:tc>
        <w:tc>
          <w:tcPr>
            <w:tcW w:w="537" w:type="pct"/>
            <w:vAlign w:val="center"/>
          </w:tcPr>
          <w:p w14:paraId="4D68FB0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72F643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02829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+1.1029</w:t>
            </w:r>
          </w:p>
        </w:tc>
      </w:tr>
      <w:tr w14:paraId="6AA119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3607958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restart"/>
            <w:vAlign w:val="center"/>
          </w:tcPr>
          <w:p w14:paraId="6FC4212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船舶生活污水</w:t>
            </w:r>
          </w:p>
        </w:tc>
        <w:tc>
          <w:tcPr>
            <w:tcW w:w="473" w:type="pct"/>
            <w:vAlign w:val="center"/>
          </w:tcPr>
          <w:p w14:paraId="296FBCE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COD</w:t>
            </w:r>
          </w:p>
        </w:tc>
        <w:tc>
          <w:tcPr>
            <w:tcW w:w="481" w:type="pct"/>
            <w:vAlign w:val="center"/>
          </w:tcPr>
          <w:p w14:paraId="13E5E9A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0.457</w:t>
            </w:r>
          </w:p>
        </w:tc>
        <w:tc>
          <w:tcPr>
            <w:tcW w:w="567" w:type="pct"/>
            <w:vAlign w:val="center"/>
          </w:tcPr>
          <w:p w14:paraId="7B24338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486B0B6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0C8FEB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6934B6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C3187F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1CFEFAF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r>
      <w:tr w14:paraId="1330CE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1ACBAF9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026900D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1805DA9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氨氮</w:t>
            </w:r>
          </w:p>
        </w:tc>
        <w:tc>
          <w:tcPr>
            <w:tcW w:w="481" w:type="pct"/>
            <w:vAlign w:val="center"/>
          </w:tcPr>
          <w:p w14:paraId="576911D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0.046</w:t>
            </w:r>
          </w:p>
        </w:tc>
        <w:tc>
          <w:tcPr>
            <w:tcW w:w="567" w:type="pct"/>
            <w:vAlign w:val="center"/>
          </w:tcPr>
          <w:p w14:paraId="3A1E237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09EC835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9D2F0F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52A754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E155FE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0A11D2F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r>
      <w:tr w14:paraId="00B3D6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1A5B7CF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4EEC80C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14E586C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总氮</w:t>
            </w:r>
          </w:p>
        </w:tc>
        <w:tc>
          <w:tcPr>
            <w:tcW w:w="481" w:type="pct"/>
            <w:vAlign w:val="center"/>
          </w:tcPr>
          <w:p w14:paraId="6297E16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0.059</w:t>
            </w:r>
          </w:p>
        </w:tc>
        <w:tc>
          <w:tcPr>
            <w:tcW w:w="567" w:type="pct"/>
            <w:vAlign w:val="center"/>
          </w:tcPr>
          <w:p w14:paraId="4F5EEE4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090F346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8557E5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5A6685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85B2EA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EC3101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r>
      <w:tr w14:paraId="721FAE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2288007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2581E68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012CCB8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总磷</w:t>
            </w:r>
          </w:p>
        </w:tc>
        <w:tc>
          <w:tcPr>
            <w:tcW w:w="481" w:type="pct"/>
            <w:vAlign w:val="center"/>
          </w:tcPr>
          <w:p w14:paraId="06B0032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0.008</w:t>
            </w:r>
          </w:p>
        </w:tc>
        <w:tc>
          <w:tcPr>
            <w:tcW w:w="567" w:type="pct"/>
            <w:vAlign w:val="center"/>
          </w:tcPr>
          <w:p w14:paraId="51D3296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5838DA9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A4E29F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A69D51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0DCE91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6C761E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r>
      <w:tr w14:paraId="152988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05D9FC9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Align w:val="center"/>
          </w:tcPr>
          <w:p w14:paraId="78C0154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船舶含油污水</w:t>
            </w:r>
          </w:p>
        </w:tc>
        <w:tc>
          <w:tcPr>
            <w:tcW w:w="473" w:type="pct"/>
            <w:vAlign w:val="center"/>
          </w:tcPr>
          <w:p w14:paraId="66DC4BF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石油类</w:t>
            </w:r>
          </w:p>
        </w:tc>
        <w:tc>
          <w:tcPr>
            <w:tcW w:w="481" w:type="pct"/>
            <w:vAlign w:val="center"/>
          </w:tcPr>
          <w:p w14:paraId="60A229E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41.63</w:t>
            </w:r>
          </w:p>
        </w:tc>
        <w:tc>
          <w:tcPr>
            <w:tcW w:w="567" w:type="pct"/>
            <w:vAlign w:val="center"/>
          </w:tcPr>
          <w:p w14:paraId="767BD00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BC6B18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DEE1FC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3F9508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129122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2789FF4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r>
      <w:tr w14:paraId="0EDA70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restart"/>
            <w:vAlign w:val="center"/>
          </w:tcPr>
          <w:p w14:paraId="737E4F7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固体废物</w:t>
            </w:r>
          </w:p>
        </w:tc>
        <w:tc>
          <w:tcPr>
            <w:tcW w:w="538" w:type="pct"/>
            <w:vMerge w:val="restart"/>
            <w:vAlign w:val="center"/>
          </w:tcPr>
          <w:p w14:paraId="0128B83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一般固废</w:t>
            </w:r>
          </w:p>
        </w:tc>
        <w:tc>
          <w:tcPr>
            <w:tcW w:w="473" w:type="pct"/>
            <w:vAlign w:val="center"/>
          </w:tcPr>
          <w:p w14:paraId="5452B51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生活垃圾</w:t>
            </w:r>
          </w:p>
        </w:tc>
        <w:tc>
          <w:tcPr>
            <w:tcW w:w="481" w:type="pct"/>
            <w:vAlign w:val="center"/>
          </w:tcPr>
          <w:p w14:paraId="35605CE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10.5</w:t>
            </w:r>
          </w:p>
        </w:tc>
        <w:tc>
          <w:tcPr>
            <w:tcW w:w="567" w:type="pct"/>
            <w:vAlign w:val="center"/>
          </w:tcPr>
          <w:p w14:paraId="006B069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51" w:type="pct"/>
            <w:vAlign w:val="center"/>
          </w:tcPr>
          <w:p w14:paraId="05E95D3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A658AC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4D2B7F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7E5A44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3D7657C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388214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0B5CA1A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20C2B9B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123ABF5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船舶生活垃圾</w:t>
            </w:r>
          </w:p>
        </w:tc>
        <w:tc>
          <w:tcPr>
            <w:tcW w:w="481" w:type="pct"/>
            <w:vAlign w:val="center"/>
          </w:tcPr>
          <w:p w14:paraId="176C71F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29.7</w:t>
            </w:r>
          </w:p>
        </w:tc>
        <w:tc>
          <w:tcPr>
            <w:tcW w:w="567" w:type="pct"/>
            <w:vAlign w:val="center"/>
          </w:tcPr>
          <w:p w14:paraId="2D72E13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08802A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393A69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1B213D3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460078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438C442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r>
      <w:tr w14:paraId="3DA519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25DDED7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restart"/>
            <w:vAlign w:val="center"/>
          </w:tcPr>
          <w:p w14:paraId="38530BD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危险废物</w:t>
            </w:r>
          </w:p>
        </w:tc>
        <w:tc>
          <w:tcPr>
            <w:tcW w:w="473" w:type="pct"/>
            <w:vAlign w:val="center"/>
          </w:tcPr>
          <w:p w14:paraId="67BD819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废油漆</w:t>
            </w:r>
          </w:p>
        </w:tc>
        <w:tc>
          <w:tcPr>
            <w:tcW w:w="481" w:type="pct"/>
            <w:vAlign w:val="center"/>
          </w:tcPr>
          <w:p w14:paraId="489E0FC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47189EA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6B09F5A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C6F927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c>
          <w:tcPr>
            <w:tcW w:w="537" w:type="pct"/>
            <w:vAlign w:val="center"/>
          </w:tcPr>
          <w:p w14:paraId="2965A20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493251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76650AC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r>
      <w:tr w14:paraId="35DDA5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7A56F0F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302309E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4818787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废酸</w:t>
            </w:r>
          </w:p>
        </w:tc>
        <w:tc>
          <w:tcPr>
            <w:tcW w:w="481" w:type="pct"/>
            <w:vAlign w:val="center"/>
          </w:tcPr>
          <w:p w14:paraId="7EB7AA2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3E8AC07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85EAEB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A247F8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537" w:type="pct"/>
            <w:vAlign w:val="center"/>
          </w:tcPr>
          <w:p w14:paraId="3DCFE59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56F9BA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128D0DA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r>
      <w:tr w14:paraId="3BA0A1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76B7DB8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342AFB4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338FF1B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废碱</w:t>
            </w:r>
          </w:p>
        </w:tc>
        <w:tc>
          <w:tcPr>
            <w:tcW w:w="481" w:type="pct"/>
            <w:vAlign w:val="center"/>
          </w:tcPr>
          <w:p w14:paraId="593B2D7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67" w:type="pct"/>
            <w:vAlign w:val="center"/>
          </w:tcPr>
          <w:p w14:paraId="23988AD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CDFD25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908849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0.5</w:t>
            </w:r>
          </w:p>
        </w:tc>
        <w:tc>
          <w:tcPr>
            <w:tcW w:w="537" w:type="pct"/>
            <w:vAlign w:val="center"/>
          </w:tcPr>
          <w:p w14:paraId="38758CC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439A13D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1E7852C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+0.5</w:t>
            </w:r>
          </w:p>
        </w:tc>
      </w:tr>
      <w:tr w14:paraId="70A5B6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7CD941D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39AFC54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473" w:type="pct"/>
            <w:vAlign w:val="center"/>
          </w:tcPr>
          <w:p w14:paraId="6022F4B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清罐固废</w:t>
            </w:r>
          </w:p>
        </w:tc>
        <w:tc>
          <w:tcPr>
            <w:tcW w:w="481" w:type="pct"/>
            <w:vAlign w:val="center"/>
          </w:tcPr>
          <w:p w14:paraId="064D04E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4.15</w:t>
            </w:r>
          </w:p>
        </w:tc>
        <w:tc>
          <w:tcPr>
            <w:tcW w:w="567" w:type="pct"/>
            <w:vAlign w:val="center"/>
          </w:tcPr>
          <w:p w14:paraId="29A5885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72E76A1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6C6237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c>
          <w:tcPr>
            <w:tcW w:w="537" w:type="pct"/>
            <w:vAlign w:val="center"/>
          </w:tcPr>
          <w:p w14:paraId="268E883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F5AAB7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2E20E97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w:t>
            </w:r>
          </w:p>
        </w:tc>
      </w:tr>
      <w:tr w14:paraId="390CE9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6691212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4F3C90E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6ACF90E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含油废布及棉纱</w:t>
            </w:r>
          </w:p>
        </w:tc>
        <w:tc>
          <w:tcPr>
            <w:tcW w:w="481" w:type="pct"/>
            <w:vAlign w:val="center"/>
          </w:tcPr>
          <w:p w14:paraId="3DC585F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567" w:type="pct"/>
            <w:vAlign w:val="center"/>
          </w:tcPr>
          <w:p w14:paraId="40E4C7B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26832C5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2D97E7A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c>
          <w:tcPr>
            <w:tcW w:w="537" w:type="pct"/>
            <w:vAlign w:val="center"/>
          </w:tcPr>
          <w:p w14:paraId="6DBBB12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F2C663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6DC6D6A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r>
      <w:tr w14:paraId="7E9742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2D28B11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216B44B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7D5FF40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废活性炭</w:t>
            </w:r>
          </w:p>
        </w:tc>
        <w:tc>
          <w:tcPr>
            <w:tcW w:w="481" w:type="pct"/>
            <w:vAlign w:val="center"/>
          </w:tcPr>
          <w:p w14:paraId="5613CF3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67" w:type="pct"/>
            <w:vAlign w:val="center"/>
          </w:tcPr>
          <w:p w14:paraId="119CB3F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3939D42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6399321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1.74</w:t>
            </w:r>
          </w:p>
        </w:tc>
        <w:tc>
          <w:tcPr>
            <w:tcW w:w="537" w:type="pct"/>
            <w:vAlign w:val="center"/>
          </w:tcPr>
          <w:p w14:paraId="415E78C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72D430C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31E6CCA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+1.74</w:t>
            </w:r>
          </w:p>
        </w:tc>
      </w:tr>
      <w:tr w14:paraId="18C4AA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1" w:type="dxa"/>
            <w:bottom w:w="0" w:type="dxa"/>
            <w:right w:w="11" w:type="dxa"/>
          </w:tblCellMar>
        </w:tblPrEx>
        <w:tc>
          <w:tcPr>
            <w:tcW w:w="282" w:type="pct"/>
            <w:vMerge w:val="continue"/>
            <w:vAlign w:val="center"/>
          </w:tcPr>
          <w:p w14:paraId="64C1690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8" w:type="pct"/>
            <w:vMerge w:val="continue"/>
            <w:vAlign w:val="center"/>
          </w:tcPr>
          <w:p w14:paraId="4E41C04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73" w:type="pct"/>
            <w:vAlign w:val="center"/>
          </w:tcPr>
          <w:p w14:paraId="4C3E972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废机油</w:t>
            </w:r>
          </w:p>
        </w:tc>
        <w:tc>
          <w:tcPr>
            <w:tcW w:w="481" w:type="pct"/>
            <w:vAlign w:val="center"/>
          </w:tcPr>
          <w:p w14:paraId="2EA9AC0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567" w:type="pct"/>
            <w:vAlign w:val="center"/>
          </w:tcPr>
          <w:p w14:paraId="5A67039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451" w:type="pct"/>
            <w:vAlign w:val="center"/>
          </w:tcPr>
          <w:p w14:paraId="50BAD52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557CA2E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3A6074A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37" w:type="pct"/>
            <w:vAlign w:val="center"/>
          </w:tcPr>
          <w:p w14:paraId="095CECB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93" w:type="pct"/>
            <w:vAlign w:val="center"/>
          </w:tcPr>
          <w:p w14:paraId="0B7997A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bl>
    <w:p w14:paraId="6FF00AB4">
      <w:pPr>
        <w:pStyle w:val="145"/>
        <w:spacing w:beforeLines="0" w:afterLines="0" w:line="240" w:lineRule="auto"/>
        <w:ind w:firstLine="420"/>
        <w:jc w:val="left"/>
        <w:rPr>
          <w:color w:val="000000" w:themeColor="text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注：</w:t>
      </w:r>
      <w:r>
        <w:rPr>
          <w:rFonts w:ascii="Times New Roman" w:hAnsi="Times New Roman" w:cs="Times New Roman"/>
          <w:snapToGrid w:val="0"/>
          <w:color w:val="000000" w:themeColor="text1"/>
          <w:spacing w:val="-16"/>
          <w:kern w:val="21"/>
          <w:szCs w:val="21"/>
          <w14:textFill>
            <w14:solidFill>
              <w14:schemeClr w14:val="tx1"/>
            </w14:solidFill>
          </w14:textFill>
        </w:rPr>
        <w:fldChar w:fldCharType="begin"/>
      </w:r>
      <w:r>
        <w:rPr>
          <w:rFonts w:ascii="Times New Roman" w:hAnsi="Times New Roman" w:cs="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hAnsi="Times New Roman" w:cs="Times New Roman"/>
          <w:snapToGrid w:val="0"/>
          <w:color w:val="000000" w:themeColor="text1"/>
          <w:spacing w:val="-16"/>
          <w:kern w:val="2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⑥</w:t>
      </w:r>
      <w:r>
        <w:rPr>
          <w:rFonts w:ascii="Times New Roman" w:hAnsi="Times New Roman" w:cs="Times New Roman"/>
          <w:snapToGrid w:val="0"/>
          <w:color w:val="000000" w:themeColor="text1"/>
          <w:spacing w:val="-16"/>
          <w:kern w:val="21"/>
          <w:szCs w:val="21"/>
          <w14:textFill>
            <w14:solidFill>
              <w14:schemeClr w14:val="tx1"/>
            </w14:solidFill>
          </w14:textFill>
        </w:rPr>
        <w:fldChar w:fldCharType="end"/>
      </w:r>
      <w:r>
        <w:rPr>
          <w:rFonts w:ascii="Times New Roman" w:hAnsi="Times New Roman" w:cs="Times New Roman"/>
          <w:snapToGrid w:val="0"/>
          <w:color w:val="000000" w:themeColor="text1"/>
          <w:spacing w:val="-16"/>
          <w:kern w:val="21"/>
          <w:szCs w:val="21"/>
          <w14:textFill>
            <w14:solidFill>
              <w14:schemeClr w14:val="tx1"/>
            </w14:solidFill>
          </w14:textFill>
        </w:rPr>
        <w:t>=</w:t>
      </w:r>
      <w:r>
        <w:rPr>
          <w:rFonts w:ascii="Times New Roman" w:hAnsi="Times New Roman"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cs="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hAnsi="Times New Roman" w:cs="Times New Roman"/>
          <w:snapToGrid w:val="0"/>
          <w:color w:val="000000" w:themeColor="text1"/>
          <w:spacing w:val="-6"/>
          <w:kern w:val="2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①</w:t>
      </w:r>
      <w:r>
        <w:rPr>
          <w:rFonts w:ascii="Times New Roman" w:hAnsi="Times New Roman" w:cs="Times New Roman"/>
          <w:snapToGrid w:val="0"/>
          <w:color w:val="000000" w:themeColor="text1"/>
          <w:spacing w:val="-6"/>
          <w:kern w:val="21"/>
          <w:szCs w:val="21"/>
          <w14:textFill>
            <w14:solidFill>
              <w14:schemeClr w14:val="tx1"/>
            </w14:solidFill>
          </w14:textFill>
        </w:rPr>
        <w:fldChar w:fldCharType="end"/>
      </w:r>
      <w:r>
        <w:rPr>
          <w:rFonts w:ascii="Times New Roman" w:hAnsi="Times New Roman" w:cs="Times New Roman"/>
          <w:snapToGrid w:val="0"/>
          <w:color w:val="000000" w:themeColor="text1"/>
          <w:spacing w:val="-6"/>
          <w:kern w:val="21"/>
          <w:szCs w:val="21"/>
          <w14:textFill>
            <w14:solidFill>
              <w14:schemeClr w14:val="tx1"/>
            </w14:solidFill>
          </w14:textFill>
        </w:rPr>
        <w:t>+</w:t>
      </w:r>
      <w:r>
        <w:rPr>
          <w:rFonts w:ascii="Times New Roman" w:hAnsi="Times New Roman"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cs="Times New Roman"/>
          <w:snapToGrid w:val="0"/>
          <w:color w:val="000000" w:themeColor="text1"/>
          <w:spacing w:val="-6"/>
          <w:kern w:val="21"/>
          <w:szCs w:val="21"/>
          <w14:textFill>
            <w14:solidFill>
              <w14:schemeClr w14:val="tx1"/>
            </w14:solidFill>
          </w14:textFill>
        </w:rPr>
        <w:instrText xml:space="preserve"> = 3 \* GB3 \* MERGEFORMAT </w:instrText>
      </w:r>
      <w:r>
        <w:rPr>
          <w:rFonts w:ascii="Times New Roman" w:hAnsi="Times New Roman" w:cs="Times New Roman"/>
          <w:snapToGrid w:val="0"/>
          <w:color w:val="000000" w:themeColor="text1"/>
          <w:spacing w:val="-6"/>
          <w:kern w:val="2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③</w:t>
      </w:r>
      <w:r>
        <w:rPr>
          <w:rFonts w:ascii="Times New Roman" w:hAnsi="Times New Roman" w:cs="Times New Roman"/>
          <w:snapToGrid w:val="0"/>
          <w:color w:val="000000" w:themeColor="text1"/>
          <w:spacing w:val="-6"/>
          <w:kern w:val="21"/>
          <w:szCs w:val="21"/>
          <w14:textFill>
            <w14:solidFill>
              <w14:schemeClr w14:val="tx1"/>
            </w14:solidFill>
          </w14:textFill>
        </w:rPr>
        <w:fldChar w:fldCharType="end"/>
      </w:r>
      <w:r>
        <w:rPr>
          <w:rFonts w:ascii="Times New Roman" w:hAnsi="Times New Roman" w:cs="Times New Roman"/>
          <w:snapToGrid w:val="0"/>
          <w:color w:val="000000" w:themeColor="text1"/>
          <w:spacing w:val="-6"/>
          <w:kern w:val="21"/>
          <w:szCs w:val="21"/>
          <w14:textFill>
            <w14:solidFill>
              <w14:schemeClr w14:val="tx1"/>
            </w14:solidFill>
          </w14:textFill>
        </w:rPr>
        <w:t>+</w:t>
      </w:r>
      <w:r>
        <w:rPr>
          <w:rFonts w:ascii="Times New Roman" w:hAnsi="Times New Roman"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cs="Times New Roman"/>
          <w:snapToGrid w:val="0"/>
          <w:color w:val="000000" w:themeColor="text1"/>
          <w:spacing w:val="-6"/>
          <w:kern w:val="21"/>
          <w:szCs w:val="21"/>
          <w14:textFill>
            <w14:solidFill>
              <w14:schemeClr w14:val="tx1"/>
            </w14:solidFill>
          </w14:textFill>
        </w:rPr>
        <w:instrText xml:space="preserve"> = 4 \* GB3 \* MERGEFORMAT </w:instrText>
      </w:r>
      <w:r>
        <w:rPr>
          <w:rFonts w:ascii="Times New Roman" w:hAnsi="Times New Roman" w:cs="Times New Roman"/>
          <w:snapToGrid w:val="0"/>
          <w:color w:val="000000" w:themeColor="text1"/>
          <w:spacing w:val="-6"/>
          <w:kern w:val="2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④</w:t>
      </w:r>
      <w:r>
        <w:rPr>
          <w:rFonts w:ascii="Times New Roman" w:hAnsi="Times New Roman" w:cs="Times New Roman"/>
          <w:snapToGrid w:val="0"/>
          <w:color w:val="000000" w:themeColor="text1"/>
          <w:spacing w:val="-6"/>
          <w:kern w:val="21"/>
          <w:szCs w:val="21"/>
          <w14:textFill>
            <w14:solidFill>
              <w14:schemeClr w14:val="tx1"/>
            </w14:solidFill>
          </w14:textFill>
        </w:rPr>
        <w:fldChar w:fldCharType="end"/>
      </w:r>
      <w:r>
        <w:rPr>
          <w:rFonts w:ascii="Times New Roman" w:hAnsi="Times New Roman" w:cs="Times New Roman"/>
          <w:snapToGrid w:val="0"/>
          <w:color w:val="000000" w:themeColor="text1"/>
          <w:spacing w:val="-6"/>
          <w:kern w:val="21"/>
          <w:szCs w:val="21"/>
          <w14:textFill>
            <w14:solidFill>
              <w14:schemeClr w14:val="tx1"/>
            </w14:solidFill>
          </w14:textFill>
        </w:rPr>
        <w:t>-</w:t>
      </w:r>
      <w:r>
        <w:rPr>
          <w:rFonts w:ascii="Times New Roman" w:hAnsi="Times New Roman" w:cs="Times New Roman"/>
          <w:snapToGrid w:val="0"/>
          <w:color w:val="000000" w:themeColor="text1"/>
          <w:spacing w:val="-16"/>
          <w:kern w:val="21"/>
          <w:szCs w:val="21"/>
          <w14:textFill>
            <w14:solidFill>
              <w14:schemeClr w14:val="tx1"/>
            </w14:solidFill>
          </w14:textFill>
        </w:rPr>
        <w:fldChar w:fldCharType="begin"/>
      </w:r>
      <w:r>
        <w:rPr>
          <w:rFonts w:ascii="Times New Roman" w:hAnsi="Times New Roman" w:cs="Times New Roman"/>
          <w:snapToGrid w:val="0"/>
          <w:color w:val="000000" w:themeColor="text1"/>
          <w:spacing w:val="-16"/>
          <w:kern w:val="21"/>
          <w:szCs w:val="21"/>
          <w14:textFill>
            <w14:solidFill>
              <w14:schemeClr w14:val="tx1"/>
            </w14:solidFill>
          </w14:textFill>
        </w:rPr>
        <w:instrText xml:space="preserve"> = 5 \* GB3 \* MERGEFORMAT </w:instrText>
      </w:r>
      <w:r>
        <w:rPr>
          <w:rFonts w:ascii="Times New Roman" w:hAnsi="Times New Roman" w:cs="Times New Roman"/>
          <w:snapToGrid w:val="0"/>
          <w:color w:val="000000" w:themeColor="text1"/>
          <w:spacing w:val="-16"/>
          <w:kern w:val="2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⑤</w:t>
      </w:r>
      <w:r>
        <w:rPr>
          <w:rFonts w:ascii="Times New Roman" w:hAnsi="Times New Roman" w:cs="Times New Roman"/>
          <w:snapToGrid w:val="0"/>
          <w:color w:val="000000" w:themeColor="text1"/>
          <w:spacing w:val="-16"/>
          <w:kern w:val="21"/>
          <w:szCs w:val="21"/>
          <w14:textFill>
            <w14:solidFill>
              <w14:schemeClr w14:val="tx1"/>
            </w14:solidFill>
          </w14:textFill>
        </w:rPr>
        <w:fldChar w:fldCharType="end"/>
      </w:r>
      <w:r>
        <w:rPr>
          <w:rFonts w:ascii="Times New Roman" w:hAnsi="Times New Roman" w:cs="Times New Roman"/>
          <w:snapToGrid w:val="0"/>
          <w:color w:val="000000" w:themeColor="text1"/>
          <w:spacing w:val="-16"/>
          <w:kern w:val="21"/>
          <w:szCs w:val="21"/>
          <w14:textFill>
            <w14:solidFill>
              <w14:schemeClr w14:val="tx1"/>
            </w14:solidFill>
          </w14:textFill>
        </w:rPr>
        <w:t>；</w:t>
      </w:r>
      <w:r>
        <w:rPr>
          <w:rFonts w:ascii="Times New Roman" w:hAnsi="Times New Roman"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cs="Times New Roman"/>
          <w:snapToGrid w:val="0"/>
          <w:color w:val="000000" w:themeColor="text1"/>
          <w:spacing w:val="-6"/>
          <w:kern w:val="21"/>
          <w:szCs w:val="21"/>
          <w14:textFill>
            <w14:solidFill>
              <w14:schemeClr w14:val="tx1"/>
            </w14:solidFill>
          </w14:textFill>
        </w:rPr>
        <w:instrText xml:space="preserve"> = 7 \* GB3 \* MERGEFORMAT </w:instrText>
      </w:r>
      <w:r>
        <w:rPr>
          <w:rFonts w:ascii="Times New Roman" w:hAnsi="Times New Roman" w:cs="Times New Roman"/>
          <w:snapToGrid w:val="0"/>
          <w:color w:val="000000" w:themeColor="text1"/>
          <w:spacing w:val="-6"/>
          <w:kern w:val="2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⑦</w:t>
      </w:r>
      <w:r>
        <w:rPr>
          <w:rFonts w:ascii="Times New Roman" w:hAnsi="Times New Roman" w:cs="Times New Roman"/>
          <w:snapToGrid w:val="0"/>
          <w:color w:val="000000" w:themeColor="text1"/>
          <w:spacing w:val="-6"/>
          <w:kern w:val="21"/>
          <w:szCs w:val="21"/>
          <w14:textFill>
            <w14:solidFill>
              <w14:schemeClr w14:val="tx1"/>
            </w14:solidFill>
          </w14:textFill>
        </w:rPr>
        <w:fldChar w:fldCharType="end"/>
      </w:r>
      <w:r>
        <w:rPr>
          <w:rFonts w:ascii="Times New Roman" w:hAnsi="Times New Roman" w:cs="Times New Roman"/>
          <w:snapToGrid w:val="0"/>
          <w:color w:val="000000" w:themeColor="text1"/>
          <w:spacing w:val="-6"/>
          <w:kern w:val="21"/>
          <w:szCs w:val="21"/>
          <w14:textFill>
            <w14:solidFill>
              <w14:schemeClr w14:val="tx1"/>
            </w14:solidFill>
          </w14:textFill>
        </w:rPr>
        <w:t>=</w:t>
      </w:r>
      <w:r>
        <w:rPr>
          <w:rFonts w:ascii="Times New Roman" w:hAnsi="Times New Roman" w:cs="Times New Roman"/>
          <w:snapToGrid w:val="0"/>
          <w:color w:val="000000" w:themeColor="text1"/>
          <w:spacing w:val="-16"/>
          <w:kern w:val="21"/>
          <w:szCs w:val="21"/>
          <w14:textFill>
            <w14:solidFill>
              <w14:schemeClr w14:val="tx1"/>
            </w14:solidFill>
          </w14:textFill>
        </w:rPr>
        <w:fldChar w:fldCharType="begin"/>
      </w:r>
      <w:r>
        <w:rPr>
          <w:rFonts w:ascii="Times New Roman" w:hAnsi="Times New Roman" w:cs="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hAnsi="Times New Roman" w:cs="Times New Roman"/>
          <w:snapToGrid w:val="0"/>
          <w:color w:val="000000" w:themeColor="text1"/>
          <w:spacing w:val="-16"/>
          <w:kern w:val="2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⑥</w:t>
      </w:r>
      <w:r>
        <w:rPr>
          <w:rFonts w:ascii="Times New Roman" w:hAnsi="Times New Roman" w:cs="Times New Roman"/>
          <w:snapToGrid w:val="0"/>
          <w:color w:val="000000" w:themeColor="text1"/>
          <w:spacing w:val="-16"/>
          <w:kern w:val="21"/>
          <w:szCs w:val="21"/>
          <w14:textFill>
            <w14:solidFill>
              <w14:schemeClr w14:val="tx1"/>
            </w14:solidFill>
          </w14:textFill>
        </w:rPr>
        <w:fldChar w:fldCharType="end"/>
      </w:r>
      <w:r>
        <w:rPr>
          <w:rFonts w:ascii="Times New Roman" w:hAnsi="Times New Roman" w:cs="Times New Roman"/>
          <w:snapToGrid w:val="0"/>
          <w:color w:val="000000" w:themeColor="text1"/>
          <w:spacing w:val="-16"/>
          <w:kern w:val="21"/>
          <w:szCs w:val="21"/>
          <w14:textFill>
            <w14:solidFill>
              <w14:schemeClr w14:val="tx1"/>
            </w14:solidFill>
          </w14:textFill>
        </w:rPr>
        <w:t>-</w:t>
      </w:r>
      <w:r>
        <w:rPr>
          <w:rFonts w:ascii="Times New Roman" w:hAnsi="Times New Roman"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cs="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hAnsi="Times New Roman" w:cs="Times New Roman"/>
          <w:snapToGrid w:val="0"/>
          <w:color w:val="000000" w:themeColor="text1"/>
          <w:spacing w:val="-6"/>
          <w:kern w:val="2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①</w:t>
      </w:r>
      <w:r>
        <w:rPr>
          <w:rFonts w:ascii="Times New Roman" w:hAnsi="Times New Roman" w:cs="Times New Roman"/>
          <w:snapToGrid w:val="0"/>
          <w:color w:val="000000" w:themeColor="text1"/>
          <w:spacing w:val="-6"/>
          <w:kern w:val="21"/>
          <w:szCs w:val="21"/>
          <w14:textFill>
            <w14:solidFill>
              <w14:schemeClr w14:val="tx1"/>
            </w14:solidFill>
          </w14:textFill>
        </w:rPr>
        <w:fldChar w:fldCharType="end"/>
      </w:r>
      <w:r>
        <w:rPr>
          <w:rFonts w:ascii="Times New Roman" w:hAnsi="Times New Roman" w:cs="Times New Roman"/>
          <w:snapToGrid w:val="0"/>
          <w:color w:val="000000" w:themeColor="text1"/>
          <w:spacing w:val="-6"/>
          <w:kern w:val="21"/>
          <w:szCs w:val="21"/>
          <w14:textFill>
            <w14:solidFill>
              <w14:schemeClr w14:val="tx1"/>
            </w14:solidFill>
          </w14:textFill>
        </w:rPr>
        <w:t>。</w:t>
      </w:r>
    </w:p>
    <w:p w14:paraId="25943BDB">
      <w:pPr>
        <w:rPr>
          <w:rFonts w:ascii="Times New Roman" w:hAnsi="Times New Roman" w:cs="Times New Roman"/>
          <w:snapToGrid w:val="0"/>
          <w:color w:val="FF0000"/>
          <w:spacing w:val="-6"/>
          <w:kern w:val="21"/>
          <w:szCs w:val="21"/>
        </w:rPr>
        <w:sectPr>
          <w:footerReference r:id="rId9" w:type="default"/>
          <w:pgSz w:w="16838" w:h="11906" w:orient="landscape"/>
          <w:pgMar w:top="1304" w:right="1304" w:bottom="1304" w:left="1304" w:header="851" w:footer="851" w:gutter="0"/>
          <w:cols w:space="720" w:num="1"/>
          <w:docGrid w:linePitch="312" w:charSpace="0"/>
        </w:sectPr>
      </w:pPr>
      <w:r>
        <w:rPr>
          <w:rFonts w:ascii="Times New Roman" w:hAnsi="Times New Roman" w:cs="Times New Roman"/>
          <w:snapToGrid w:val="0"/>
          <w:color w:val="FF0000"/>
          <w:spacing w:val="-6"/>
          <w:kern w:val="21"/>
          <w:szCs w:val="21"/>
        </w:rPr>
        <w:br w:type="page"/>
      </w:r>
    </w:p>
    <w:p w14:paraId="0B0B47D3">
      <w:pPr>
        <w:tabs>
          <w:tab w:val="left" w:pos="4253"/>
        </w:tabs>
        <w:adjustRightInd w:val="0"/>
        <w:snapToGrid w:val="0"/>
        <w:spacing w:line="360" w:lineRule="auto"/>
        <w:jc w:val="center"/>
        <w:rPr>
          <w:rFonts w:ascii="Times New Roman" w:hAnsi="Times New Roman" w:cs="Times New Roman"/>
          <w:color w:val="FF0000"/>
          <w:sz w:val="44"/>
          <w:szCs w:val="44"/>
        </w:rPr>
      </w:pPr>
      <w:r>
        <w:rPr>
          <w:rFonts w:ascii="Times New Roman" w:hAnsi="Times New Roman" w:cs="Times New Roman"/>
          <w:color w:val="FF0000"/>
          <w:sz w:val="44"/>
          <w:szCs w:val="4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ascii="Times New Roman" w:hAnsi="Times New Roman" w:cs="Times New Roman"/>
          <w:color w:val="FF0000"/>
          <w:sz w:val="44"/>
          <w:szCs w:val="44"/>
        </w:rPr>
        <w:instrText xml:space="preserve">ADDIN CNKISM.UserStyle</w:instrText>
      </w:r>
      <w:r>
        <w:rPr>
          <w:rFonts w:ascii="Times New Roman" w:hAnsi="Times New Roman" w:cs="Times New Roman"/>
          <w:color w:val="FF0000"/>
          <w:sz w:val="44"/>
          <w:szCs w:val="44"/>
        </w:rPr>
        <w:fldChar w:fldCharType="end"/>
      </w:r>
    </w:p>
    <w:p w14:paraId="54647613">
      <w:pPr>
        <w:adjustRightInd w:val="0"/>
        <w:snapToGrid w:val="0"/>
        <w:spacing w:line="360" w:lineRule="auto"/>
        <w:jc w:val="center"/>
        <w:rPr>
          <w:rFonts w:ascii="Times New Roman" w:hAnsi="Times New Roman" w:cs="Times New Roman"/>
          <w:color w:val="FF0000"/>
          <w:sz w:val="44"/>
          <w:szCs w:val="44"/>
        </w:rPr>
      </w:pPr>
    </w:p>
    <w:p w14:paraId="11E3BC3B">
      <w:pPr>
        <w:adjustRightInd w:val="0"/>
        <w:snapToGrid w:val="0"/>
        <w:spacing w:line="360" w:lineRule="auto"/>
        <w:jc w:val="center"/>
        <w:rPr>
          <w:rFonts w:ascii="Times New Roman" w:hAnsi="Times New Roman" w:cs="Times New Roman"/>
          <w:color w:val="FF0000"/>
          <w:sz w:val="44"/>
          <w:szCs w:val="44"/>
        </w:rPr>
      </w:pPr>
    </w:p>
    <w:p w14:paraId="6814EBC7">
      <w:pPr>
        <w:adjustRightInd w:val="0"/>
        <w:snapToGrid w:val="0"/>
        <w:spacing w:line="360" w:lineRule="auto"/>
        <w:jc w:val="center"/>
        <w:rPr>
          <w:rFonts w:ascii="Times New Roman" w:hAnsi="Times New Roman" w:cs="Times New Roman"/>
          <w:b/>
          <w:color w:val="000000" w:themeColor="text1"/>
          <w:sz w:val="44"/>
          <w:szCs w:val="44"/>
          <w14:textFill>
            <w14:solidFill>
              <w14:schemeClr w14:val="tx1"/>
            </w14:solidFill>
          </w14:textFill>
        </w:rPr>
      </w:pPr>
      <w:r>
        <w:rPr>
          <w:rFonts w:hint="eastAsia" w:ascii="Times New Roman" w:hAnsi="Times New Roman" w:cs="Times New Roman"/>
          <w:b/>
          <w:color w:val="000000" w:themeColor="text1"/>
          <w:sz w:val="44"/>
          <w:szCs w:val="44"/>
          <w14:textFill>
            <w14:solidFill>
              <w14:schemeClr w14:val="tx1"/>
            </w14:solidFill>
          </w14:textFill>
        </w:rPr>
        <w:t>金鼓江作业区14号泊位后方储罐区工程</w:t>
      </w:r>
    </w:p>
    <w:p w14:paraId="7F8C95F8">
      <w:pPr>
        <w:adjustRightInd w:val="0"/>
        <w:snapToGrid w:val="0"/>
        <w:spacing w:line="360" w:lineRule="auto"/>
        <w:jc w:val="center"/>
        <w:rPr>
          <w:rFonts w:ascii="Times New Roman" w:hAnsi="Times New Roman" w:cs="Times New Roman"/>
          <w:b/>
          <w:color w:val="FF0000"/>
          <w:sz w:val="44"/>
          <w:szCs w:val="44"/>
        </w:rPr>
      </w:pPr>
      <w:r>
        <w:rPr>
          <w:rFonts w:ascii="Times New Roman" w:hAnsi="Times New Roman" w:cs="Times New Roman"/>
          <w:b/>
          <w:color w:val="000000" w:themeColor="text1"/>
          <w:sz w:val="44"/>
          <w:szCs w:val="44"/>
          <w14:textFill>
            <w14:solidFill>
              <w14:schemeClr w14:val="tx1"/>
            </w14:solidFill>
          </w14:textFill>
        </w:rPr>
        <w:t>环境风险专项评价</w:t>
      </w:r>
    </w:p>
    <w:p w14:paraId="2BF0D6D2">
      <w:pPr>
        <w:jc w:val="center"/>
        <w:rPr>
          <w:rFonts w:ascii="Times New Roman" w:hAnsi="Times New Roman" w:cs="Times New Roman"/>
          <w:color w:val="FF0000"/>
          <w:sz w:val="36"/>
          <w:szCs w:val="36"/>
        </w:rPr>
      </w:pPr>
    </w:p>
    <w:p w14:paraId="38ABAC14">
      <w:pPr>
        <w:jc w:val="center"/>
        <w:rPr>
          <w:rFonts w:ascii="Times New Roman" w:hAnsi="Times New Roman" w:cs="Times New Roman"/>
          <w:color w:val="FF0000"/>
          <w:sz w:val="36"/>
          <w:szCs w:val="36"/>
        </w:rPr>
      </w:pPr>
    </w:p>
    <w:p w14:paraId="3837CE99">
      <w:pPr>
        <w:jc w:val="center"/>
        <w:rPr>
          <w:rFonts w:ascii="Times New Roman" w:hAnsi="Times New Roman" w:cs="Times New Roman"/>
          <w:color w:val="FF0000"/>
          <w:sz w:val="36"/>
          <w:szCs w:val="36"/>
        </w:rPr>
      </w:pPr>
    </w:p>
    <w:p w14:paraId="7FDDB7DC">
      <w:pPr>
        <w:rPr>
          <w:rFonts w:ascii="Times New Roman" w:hAnsi="Times New Roman" w:cs="Times New Roman"/>
          <w:color w:val="FF0000"/>
          <w:sz w:val="36"/>
          <w:szCs w:val="36"/>
        </w:rPr>
      </w:pPr>
    </w:p>
    <w:p w14:paraId="0D0E5EE8">
      <w:pPr>
        <w:jc w:val="center"/>
        <w:rPr>
          <w:rFonts w:ascii="Times New Roman" w:hAnsi="Times New Roman" w:cs="Times New Roman"/>
          <w:color w:val="FF0000"/>
          <w:sz w:val="36"/>
          <w:szCs w:val="36"/>
        </w:rPr>
      </w:pPr>
    </w:p>
    <w:p w14:paraId="64BD63C4">
      <w:pPr>
        <w:jc w:val="center"/>
        <w:rPr>
          <w:rFonts w:ascii="Times New Roman" w:hAnsi="Times New Roman" w:cs="Times New Roman"/>
          <w:color w:val="FF0000"/>
          <w:sz w:val="36"/>
          <w:szCs w:val="36"/>
        </w:rPr>
      </w:pPr>
    </w:p>
    <w:p w14:paraId="17BAC214">
      <w:pPr>
        <w:jc w:val="center"/>
        <w:rPr>
          <w:rFonts w:ascii="Times New Roman" w:hAnsi="Times New Roman" w:cs="Times New Roman"/>
          <w:color w:val="FF0000"/>
          <w:sz w:val="36"/>
          <w:szCs w:val="36"/>
        </w:rPr>
      </w:pPr>
    </w:p>
    <w:p w14:paraId="31033873">
      <w:pPr>
        <w:jc w:val="center"/>
        <w:rPr>
          <w:rFonts w:ascii="Times New Roman" w:hAnsi="Times New Roman" w:cs="Times New Roman"/>
          <w:color w:val="FF0000"/>
          <w:sz w:val="36"/>
          <w:szCs w:val="36"/>
        </w:rPr>
      </w:pPr>
    </w:p>
    <w:p w14:paraId="3621BAA5">
      <w:pPr>
        <w:jc w:val="center"/>
        <w:rPr>
          <w:rFonts w:ascii="Times New Roman" w:hAnsi="Times New Roman" w:cs="Times New Roman"/>
          <w:color w:val="FF0000"/>
          <w:sz w:val="36"/>
          <w:szCs w:val="36"/>
        </w:rPr>
      </w:pPr>
    </w:p>
    <w:p w14:paraId="138F384F">
      <w:pPr>
        <w:jc w:val="center"/>
        <w:rPr>
          <w:rFonts w:ascii="Times New Roman" w:hAnsi="Times New Roman" w:cs="Times New Roman"/>
          <w:color w:val="FF0000"/>
          <w:sz w:val="36"/>
          <w:szCs w:val="36"/>
        </w:rPr>
      </w:pPr>
    </w:p>
    <w:p w14:paraId="0EFA4EC1">
      <w:pPr>
        <w:jc w:val="center"/>
        <w:rPr>
          <w:rFonts w:ascii="Times New Roman" w:hAnsi="Times New Roman" w:cs="Times New Roman"/>
          <w:color w:val="FF0000"/>
          <w:sz w:val="36"/>
          <w:szCs w:val="36"/>
        </w:rPr>
      </w:pPr>
    </w:p>
    <w:p w14:paraId="078F76EB">
      <w:pPr>
        <w:jc w:val="center"/>
        <w:rPr>
          <w:rFonts w:ascii="Times New Roman" w:hAnsi="Times New Roman" w:cs="Times New Roman"/>
          <w:color w:val="FF0000"/>
          <w:sz w:val="36"/>
          <w:szCs w:val="36"/>
        </w:rPr>
      </w:pPr>
    </w:p>
    <w:p w14:paraId="75E09069">
      <w:pPr>
        <w:jc w:val="center"/>
        <w:rPr>
          <w:rFonts w:ascii="Times New Roman" w:hAnsi="Times New Roman" w:cs="Times New Roman"/>
          <w:color w:val="FF0000"/>
          <w:sz w:val="36"/>
          <w:szCs w:val="36"/>
        </w:rPr>
      </w:pPr>
    </w:p>
    <w:p w14:paraId="19EA364A">
      <w:pPr>
        <w:jc w:val="center"/>
        <w:rPr>
          <w:rFonts w:ascii="Times New Roman" w:hAnsi="Times New Roman" w:cs="Times New Roman"/>
          <w:color w:val="000000" w:themeColor="text1"/>
          <w:sz w:val="36"/>
          <w:szCs w:val="36"/>
          <w14:textFill>
            <w14:solidFill>
              <w14:schemeClr w14:val="tx1"/>
            </w14:solidFill>
          </w14:textFill>
        </w:rPr>
      </w:pPr>
    </w:p>
    <w:p w14:paraId="6F4CB893">
      <w:pPr>
        <w:jc w:val="center"/>
        <w:rPr>
          <w:rFonts w:ascii="Times New Roman" w:hAnsi="Times New Roman" w:cs="Times New Roman"/>
          <w:color w:val="000000" w:themeColor="text1"/>
          <w:sz w:val="36"/>
          <w:szCs w:val="36"/>
          <w14:textFill>
            <w14:solidFill>
              <w14:schemeClr w14:val="tx1"/>
            </w14:solidFill>
          </w14:textFill>
        </w:rPr>
      </w:pPr>
    </w:p>
    <w:p w14:paraId="55302D07">
      <w:pPr>
        <w:jc w:val="center"/>
        <w:rPr>
          <w:rFonts w:ascii="Times New Roman" w:hAnsi="Times New Roman" w:cs="Times New Roman"/>
          <w:color w:val="000000" w:themeColor="text1"/>
          <w:sz w:val="36"/>
          <w:szCs w:val="36"/>
          <w14:textFill>
            <w14:solidFill>
              <w14:schemeClr w14:val="tx1"/>
            </w14:solidFill>
          </w14:textFill>
        </w:rPr>
      </w:pPr>
    </w:p>
    <w:p w14:paraId="2F44A6FF">
      <w:pPr>
        <w:spacing w:line="360" w:lineRule="auto"/>
        <w:jc w:val="center"/>
        <w:rPr>
          <w:rFonts w:ascii="Times New Roman" w:hAnsi="Times New Roman" w:cs="Times New Roman"/>
          <w:color w:val="000000" w:themeColor="text1"/>
          <w:sz w:val="32"/>
          <w:szCs w:val="36"/>
          <w14:textFill>
            <w14:solidFill>
              <w14:schemeClr w14:val="tx1"/>
            </w14:solidFill>
          </w14:textFill>
        </w:rPr>
      </w:pPr>
      <w:r>
        <w:rPr>
          <w:rFonts w:ascii="Times New Roman" w:hAnsi="Times New Roman" w:cs="Times New Roman"/>
          <w:color w:val="000000" w:themeColor="text1"/>
          <w:sz w:val="32"/>
          <w:szCs w:val="36"/>
          <w14:textFill>
            <w14:solidFill>
              <w14:schemeClr w14:val="tx1"/>
            </w14:solidFill>
          </w14:textFill>
        </w:rPr>
        <w:t>建设单位：</w:t>
      </w:r>
      <w:r>
        <w:rPr>
          <w:rFonts w:hint="eastAsia" w:ascii="Times New Roman" w:hAnsi="Times New Roman" w:cs="Times New Roman"/>
          <w:color w:val="000000" w:themeColor="text1"/>
          <w:sz w:val="32"/>
          <w:szCs w:val="36"/>
          <w14:textFill>
            <w14:solidFill>
              <w14:schemeClr w14:val="tx1"/>
            </w14:solidFill>
          </w14:textFill>
        </w:rPr>
        <w:t>广西自贸区逸海港务有限责任公司</w:t>
      </w:r>
    </w:p>
    <w:p w14:paraId="6F5A578D">
      <w:pPr>
        <w:spacing w:line="360" w:lineRule="auto"/>
        <w:jc w:val="center"/>
        <w:rPr>
          <w:rFonts w:ascii="Times New Roman" w:hAnsi="Times New Roman" w:cs="Times New Roman"/>
          <w:color w:val="FF0000"/>
          <w:sz w:val="32"/>
          <w:szCs w:val="36"/>
        </w:rPr>
      </w:pPr>
      <w:r>
        <w:rPr>
          <w:rFonts w:ascii="Times New Roman" w:hAnsi="Times New Roman" w:cs="Times New Roman"/>
          <w:color w:val="000000" w:themeColor="text1"/>
          <w:sz w:val="32"/>
          <w:szCs w:val="36"/>
          <w14:textFill>
            <w14:solidFill>
              <w14:schemeClr w14:val="tx1"/>
            </w14:solidFill>
          </w14:textFill>
        </w:rPr>
        <w:t>202</w:t>
      </w:r>
      <w:r>
        <w:rPr>
          <w:rFonts w:hint="eastAsia" w:ascii="Times New Roman" w:hAnsi="Times New Roman" w:cs="Times New Roman"/>
          <w:color w:val="000000" w:themeColor="text1"/>
          <w:sz w:val="32"/>
          <w:szCs w:val="36"/>
          <w14:textFill>
            <w14:solidFill>
              <w14:schemeClr w14:val="tx1"/>
            </w14:solidFill>
          </w14:textFill>
        </w:rPr>
        <w:t>6</w:t>
      </w:r>
      <w:r>
        <w:rPr>
          <w:rFonts w:ascii="Times New Roman" w:hAnsi="Times New Roman" w:cs="Times New Roman"/>
          <w:color w:val="000000" w:themeColor="text1"/>
          <w:sz w:val="32"/>
          <w:szCs w:val="36"/>
          <w14:textFill>
            <w14:solidFill>
              <w14:schemeClr w14:val="tx1"/>
            </w14:solidFill>
          </w14:textFill>
        </w:rPr>
        <w:t>年</w:t>
      </w:r>
      <w:r>
        <w:rPr>
          <w:rFonts w:hint="eastAsia" w:ascii="Times New Roman" w:hAnsi="Times New Roman" w:cs="Times New Roman"/>
          <w:color w:val="000000" w:themeColor="text1"/>
          <w:sz w:val="32"/>
          <w:szCs w:val="36"/>
          <w14:textFill>
            <w14:solidFill>
              <w14:schemeClr w14:val="tx1"/>
            </w14:solidFill>
          </w14:textFill>
        </w:rPr>
        <w:t>3</w:t>
      </w:r>
      <w:r>
        <w:rPr>
          <w:rFonts w:ascii="Times New Roman" w:hAnsi="Times New Roman" w:cs="Times New Roman"/>
          <w:color w:val="000000" w:themeColor="text1"/>
          <w:sz w:val="32"/>
          <w:szCs w:val="36"/>
          <w14:textFill>
            <w14:solidFill>
              <w14:schemeClr w14:val="tx1"/>
            </w14:solidFill>
          </w14:textFill>
        </w:rPr>
        <w:t>月</w:t>
      </w:r>
    </w:p>
    <w:p w14:paraId="0B76DC28">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FF0000"/>
          <w:sz w:val="36"/>
          <w:szCs w:val="36"/>
        </w:rPr>
        <w:br w:type="page"/>
      </w:r>
      <w:r>
        <w:rPr>
          <w:rFonts w:ascii="Times New Roman" w:hAnsi="Times New Roman" w:cs="Times New Roman"/>
          <w:color w:val="000000" w:themeColor="text1"/>
          <w:sz w:val="36"/>
          <w:szCs w:val="36"/>
          <w14:textFill>
            <w14:solidFill>
              <w14:schemeClr w14:val="tx1"/>
            </w14:solidFill>
          </w14:textFill>
        </w:rPr>
        <w:t>目录</w:t>
      </w:r>
      <w:r>
        <w:rPr>
          <w:rFonts w:ascii="Times New Roman" w:hAnsi="Times New Roman" w:cs="Times New Roman"/>
          <w:color w:val="000000" w:themeColor="text1"/>
          <w:sz w:val="36"/>
          <w:szCs w:val="36"/>
          <w14:textFill>
            <w14:solidFill>
              <w14:schemeClr w14:val="tx1"/>
            </w14:solidFill>
          </w14:textFill>
        </w:rPr>
        <w:fldChar w:fldCharType="begin"/>
      </w:r>
      <w:r>
        <w:rPr>
          <w:rFonts w:ascii="Times New Roman" w:hAnsi="Times New Roman" w:cs="Times New Roman"/>
          <w:color w:val="000000" w:themeColor="text1"/>
          <w:sz w:val="36"/>
          <w:szCs w:val="36"/>
          <w14:textFill>
            <w14:solidFill>
              <w14:schemeClr w14:val="tx1"/>
            </w14:solidFill>
          </w14:textFill>
        </w:rPr>
        <w:instrText xml:space="preserve"> TOC \o "1-2" \h \z \u </w:instrText>
      </w:r>
      <w:r>
        <w:rPr>
          <w:rFonts w:ascii="Times New Roman" w:hAnsi="Times New Roman" w:cs="Times New Roman"/>
          <w:color w:val="000000" w:themeColor="text1"/>
          <w:sz w:val="36"/>
          <w:szCs w:val="36"/>
          <w14:textFill>
            <w14:solidFill>
              <w14:schemeClr w14:val="tx1"/>
            </w14:solidFill>
          </w14:textFill>
        </w:rPr>
        <w:fldChar w:fldCharType="separate"/>
      </w:r>
    </w:p>
    <w:p w14:paraId="230CD229">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"_Toc144375216" </w:instrText>
      </w:r>
      <w:r>
        <w:fldChar w:fldCharType="separate"/>
      </w:r>
      <w:r>
        <w:rPr>
          <w:rStyle w:val="101"/>
          <w:rFonts w:ascii="Times New Roman" w:hAnsi="Times New Roman" w:cs="Times New Roman"/>
          <w:color w:val="000000" w:themeColor="text1"/>
          <w14:textFill>
            <w14:solidFill>
              <w14:schemeClr w14:val="tx1"/>
            </w14:solidFill>
          </w14:textFill>
        </w:rPr>
        <w:t>1、前言</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_Toc144375216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3F8A4278">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"_Toc144375217" </w:instrText>
      </w:r>
      <w:r>
        <w:fldChar w:fldCharType="separate"/>
      </w:r>
      <w:r>
        <w:rPr>
          <w:rStyle w:val="101"/>
          <w:rFonts w:ascii="Times New Roman" w:hAnsi="Times New Roman" w:cs="Times New Roman"/>
          <w:color w:val="000000" w:themeColor="text1"/>
          <w14:textFill>
            <w14:solidFill>
              <w14:schemeClr w14:val="tx1"/>
            </w14:solidFill>
          </w14:textFill>
        </w:rPr>
        <w:t>2、总则</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_Toc144375217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1C65D7C7">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"_Toc144375223" </w:instrText>
      </w:r>
      <w:r>
        <w:fldChar w:fldCharType="separate"/>
      </w:r>
      <w:r>
        <w:rPr>
          <w:rStyle w:val="101"/>
          <w:rFonts w:ascii="Times New Roman" w:hAnsi="Times New Roman" w:cs="Times New Roman"/>
          <w:color w:val="000000" w:themeColor="text1"/>
          <w14:textFill>
            <w14:solidFill>
              <w14:schemeClr w14:val="tx1"/>
            </w14:solidFill>
          </w14:textFill>
        </w:rPr>
        <w:t>3、项目概况</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_Toc144375223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4A9AECBD">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"_Toc144375229" </w:instrText>
      </w:r>
      <w:r>
        <w:fldChar w:fldCharType="separate"/>
      </w:r>
      <w:r>
        <w:rPr>
          <w:rStyle w:val="101"/>
          <w:rFonts w:ascii="Times New Roman" w:hAnsi="Times New Roman" w:cs="Times New Roman"/>
          <w:color w:val="000000" w:themeColor="text1"/>
          <w14:textFill>
            <w14:solidFill>
              <w14:schemeClr w14:val="tx1"/>
            </w14:solidFill>
          </w14:textFill>
        </w:rPr>
        <w:t>4、评价工作等级及评价范围</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_Toc144375229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9</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6216D92A">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"_Toc144375232" </w:instrText>
      </w:r>
      <w:r>
        <w:fldChar w:fldCharType="separate"/>
      </w:r>
      <w:r>
        <w:rPr>
          <w:rStyle w:val="101"/>
          <w:rFonts w:ascii="Times New Roman" w:hAnsi="Times New Roman" w:cs="Times New Roman"/>
          <w:color w:val="000000" w:themeColor="text1"/>
          <w14:textFill>
            <w14:solidFill>
              <w14:schemeClr w14:val="tx1"/>
            </w14:solidFill>
          </w14:textFill>
        </w:rPr>
        <w:t>5、风险调查</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_Toc144375232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10</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08A7A50D">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"_Toc144375235" </w:instrText>
      </w:r>
      <w:r>
        <w:fldChar w:fldCharType="separate"/>
      </w:r>
      <w:r>
        <w:rPr>
          <w:rStyle w:val="101"/>
          <w:rFonts w:ascii="Times New Roman" w:hAnsi="Times New Roman" w:cs="Times New Roman"/>
          <w:color w:val="000000" w:themeColor="text1"/>
          <w14:textFill>
            <w14:solidFill>
              <w14:schemeClr w14:val="tx1"/>
            </w14:solidFill>
          </w14:textFill>
        </w:rPr>
        <w:t>6、环境风险潜势初判</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_Toc144375235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13</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7A4DAC00">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"_Toc144375240" </w:instrText>
      </w:r>
      <w:r>
        <w:fldChar w:fldCharType="separate"/>
      </w:r>
      <w:r>
        <w:rPr>
          <w:rStyle w:val="101"/>
          <w:rFonts w:ascii="Times New Roman" w:hAnsi="Times New Roman" w:cs="Times New Roman"/>
          <w:color w:val="000000" w:themeColor="text1"/>
          <w14:textFill>
            <w14:solidFill>
              <w14:schemeClr w14:val="tx1"/>
            </w14:solidFill>
          </w14:textFill>
        </w:rPr>
        <w:t>7、风险识别</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_Toc144375240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21</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362E4FA2">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"_Toc144375245" </w:instrText>
      </w:r>
      <w:r>
        <w:fldChar w:fldCharType="separate"/>
      </w:r>
      <w:r>
        <w:rPr>
          <w:rStyle w:val="101"/>
          <w:rFonts w:ascii="Times New Roman" w:hAnsi="Times New Roman" w:cs="Times New Roman"/>
          <w:color w:val="000000" w:themeColor="text1"/>
          <w14:textFill>
            <w14:solidFill>
              <w14:schemeClr w14:val="tx1"/>
            </w14:solidFill>
          </w14:textFill>
        </w:rPr>
        <w:t>8、风险事故情形分析</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_Toc144375245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28</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62931385">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"_Toc144375248" </w:instrText>
      </w:r>
      <w:r>
        <w:fldChar w:fldCharType="separate"/>
      </w:r>
      <w:r>
        <w:rPr>
          <w:rStyle w:val="101"/>
          <w:rFonts w:ascii="Times New Roman" w:hAnsi="Times New Roman" w:cs="Times New Roman"/>
          <w:color w:val="000000" w:themeColor="text1"/>
          <w14:textFill>
            <w14:solidFill>
              <w14:schemeClr w14:val="tx1"/>
            </w14:solidFill>
          </w14:textFill>
        </w:rPr>
        <w:t>9、风险预测与评价</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_Toc144375248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35</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70614449">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"_Toc144375252" </w:instrText>
      </w:r>
      <w:r>
        <w:fldChar w:fldCharType="separate"/>
      </w:r>
      <w:r>
        <w:rPr>
          <w:rStyle w:val="101"/>
          <w:rFonts w:ascii="Times New Roman" w:hAnsi="Times New Roman" w:cs="Times New Roman"/>
          <w:bCs/>
          <w:color w:val="000000" w:themeColor="text1"/>
          <w:kern w:val="44"/>
          <w14:textFill>
            <w14:solidFill>
              <w14:schemeClr w14:val="tx1"/>
            </w14:solidFill>
          </w14:textFill>
        </w:rPr>
        <w:t>10、环境风险管理</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_Toc144375252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48</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1B606C91">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"_Toc144375255" </w:instrText>
      </w:r>
      <w:r>
        <w:fldChar w:fldCharType="separate"/>
      </w:r>
      <w:r>
        <w:rPr>
          <w:rStyle w:val="101"/>
          <w:rFonts w:ascii="Times New Roman" w:hAnsi="Times New Roman" w:cs="Times New Roman"/>
          <w:bCs/>
          <w:color w:val="000000" w:themeColor="text1"/>
          <w:kern w:val="44"/>
          <w14:textFill>
            <w14:solidFill>
              <w14:schemeClr w14:val="tx1"/>
            </w14:solidFill>
          </w14:textFill>
        </w:rPr>
        <w:t>11、突发环境事件应急预案</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_Toc144375255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63</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297095F9">
      <w:pPr>
        <w:pStyle w:val="59"/>
        <w:tabs>
          <w:tab w:val="right" w:leader="dot" w:pos="9061"/>
        </w:tabs>
        <w:spacing w:line="360" w:lineRule="auto"/>
        <w:rPr>
          <w:rFonts w:ascii="Times New Roman" w:hAnsi="Times New Roman" w:cs="Times New Roman"/>
          <w:color w:val="000000" w:themeColor="text1"/>
          <w:kern w:val="2"/>
          <w14:textFill>
            <w14:solidFill>
              <w14:schemeClr w14:val="tx1"/>
            </w14:solidFill>
          </w14:textFill>
        </w:rPr>
      </w:pPr>
      <w:r>
        <w:fldChar w:fldCharType="begin"/>
      </w:r>
      <w:r>
        <w:instrText xml:space="preserve"> HYPERLINK \l "_Toc144375265" </w:instrText>
      </w:r>
      <w:r>
        <w:fldChar w:fldCharType="separate"/>
      </w:r>
      <w:r>
        <w:rPr>
          <w:rStyle w:val="101"/>
          <w:rFonts w:ascii="Times New Roman" w:hAnsi="Times New Roman" w:cs="Times New Roman"/>
          <w:bCs/>
          <w:color w:val="000000" w:themeColor="text1"/>
          <w:kern w:val="44"/>
          <w14:textFill>
            <w14:solidFill>
              <w14:schemeClr w14:val="tx1"/>
            </w14:solidFill>
          </w14:textFill>
        </w:rPr>
        <w:t>12、评价结论与建议</w:t>
      </w:r>
      <w:r>
        <w:rPr>
          <w:rFonts w:ascii="Times New Roman" w:hAnsi="Times New Roman" w:cs="Times New Roman"/>
          <w:color w:val="000000" w:themeColor="text1"/>
          <w14:textFill>
            <w14:solidFill>
              <w14:schemeClr w14:val="tx1"/>
            </w14:solidFill>
          </w14:textFill>
        </w:rPr>
        <w:tab/>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PAGEREF _Toc144375265 \h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77</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fldChar w:fldCharType="end"/>
      </w:r>
    </w:p>
    <w:p w14:paraId="4BA74F8D">
      <w:pPr>
        <w:jc w:val="center"/>
        <w:rPr>
          <w:rFonts w:ascii="Times New Roman" w:hAnsi="Times New Roman" w:cs="Times New Roman"/>
          <w:color w:val="FF0000"/>
        </w:rPr>
      </w:pPr>
      <w:r>
        <w:rPr>
          <w:rFonts w:ascii="Times New Roman" w:hAnsi="Times New Roman" w:cs="Times New Roman"/>
          <w:color w:val="000000" w:themeColor="text1"/>
          <w:sz w:val="36"/>
          <w:szCs w:val="36"/>
          <w14:textFill>
            <w14:solidFill>
              <w14:schemeClr w14:val="tx1"/>
            </w14:solidFill>
          </w14:textFill>
        </w:rPr>
        <w:fldChar w:fldCharType="end"/>
      </w:r>
    </w:p>
    <w:p w14:paraId="0C2DE339">
      <w:pPr>
        <w:adjustRightInd w:val="0"/>
        <w:snapToGrid w:val="0"/>
        <w:spacing w:line="360" w:lineRule="auto"/>
        <w:rPr>
          <w:rFonts w:ascii="Times New Roman" w:hAnsi="Times New Roman" w:cs="Times New Roman"/>
          <w:color w:val="FF0000"/>
        </w:rPr>
        <w:sectPr>
          <w:footerReference r:id="rId10" w:type="default"/>
          <w:pgSz w:w="11907" w:h="16840"/>
          <w:pgMar w:top="1440" w:right="1800" w:bottom="1440" w:left="1800" w:header="992" w:footer="992" w:gutter="0"/>
          <w:cols w:space="425" w:num="1"/>
          <w:docGrid w:linePitch="312" w:charSpace="0"/>
        </w:sectPr>
      </w:pPr>
    </w:p>
    <w:p w14:paraId="61B2783A">
      <w:pPr>
        <w:pStyle w:val="3"/>
        <w:numPr>
          <w:ilvl w:val="0"/>
          <w:numId w:val="27"/>
        </w:numPr>
        <w:rPr>
          <w:rFonts w:ascii="Times New Roman" w:hAnsi="Times New Roman" w:cs="Times New Roman"/>
          <w:color w:val="000000" w:themeColor="text1"/>
          <w14:textFill>
            <w14:solidFill>
              <w14:schemeClr w14:val="tx1"/>
            </w14:solidFill>
          </w14:textFill>
        </w:rPr>
      </w:pPr>
      <w:bookmarkStart w:id="24" w:name="_Toc146041493"/>
      <w:bookmarkStart w:id="25" w:name="_Toc95759344"/>
      <w:bookmarkStart w:id="26" w:name="_Toc2789973"/>
      <w:bookmarkStart w:id="27" w:name="_Toc144375216"/>
      <w:bookmarkStart w:id="28" w:name="_Toc144374981"/>
      <w:bookmarkStart w:id="29" w:name="_Toc84835263"/>
      <w:bookmarkStart w:id="30" w:name="_Toc95759776"/>
      <w:bookmarkStart w:id="31" w:name="_Toc505711212"/>
      <w:r>
        <w:rPr>
          <w:rFonts w:ascii="Times New Roman" w:hAnsi="Times New Roman" w:cs="Times New Roman"/>
          <w:color w:val="000000" w:themeColor="text1"/>
          <w14:textFill>
            <w14:solidFill>
              <w14:schemeClr w14:val="tx1"/>
            </w14:solidFill>
          </w14:textFill>
        </w:rPr>
        <w:t>前言</w:t>
      </w:r>
      <w:bookmarkEnd w:id="24"/>
      <w:bookmarkEnd w:id="25"/>
      <w:bookmarkEnd w:id="26"/>
      <w:bookmarkEnd w:id="27"/>
      <w:bookmarkEnd w:id="28"/>
      <w:bookmarkEnd w:id="29"/>
      <w:bookmarkEnd w:id="30"/>
      <w:bookmarkEnd w:id="31"/>
    </w:p>
    <w:p w14:paraId="57C5946E">
      <w:pPr>
        <w:tabs>
          <w:tab w:val="center" w:pos="4153"/>
          <w:tab w:val="right" w:pos="8306"/>
        </w:tabs>
        <w:snapToGrid w:val="0"/>
        <w:spacing w:line="360" w:lineRule="auto"/>
        <w:ind w:firstLine="480" w:firstLineChars="200"/>
        <w:rPr>
          <w:rFonts w:ascii="Times New Roman" w:hAnsi="Times New Roman" w:cs="Times New Roman"/>
          <w:color w:val="000000" w:themeColor="text1"/>
          <w:szCs w:val="28"/>
          <w14:textFill>
            <w14:solidFill>
              <w14:schemeClr w14:val="tx1"/>
            </w14:solidFill>
          </w14:textFill>
        </w:rPr>
      </w:pPr>
      <w:bookmarkStart w:id="32" w:name="_Toc486258663"/>
      <w:bookmarkStart w:id="33" w:name="_Toc446177363"/>
      <w:r>
        <w:rPr>
          <w:rFonts w:hint="eastAsia" w:ascii="Times New Roman" w:hAnsi="Times New Roman" w:cs="Times New Roman"/>
          <w:bCs/>
          <w:color w:val="000000" w:themeColor="text1"/>
          <w14:textFill>
            <w14:solidFill>
              <w14:schemeClr w14:val="tx1"/>
            </w14:solidFill>
          </w14:textFill>
        </w:rPr>
        <w:t>广西自贸区逸海港务有限责任公司位于广西钦州港经济技术开发区石化产业园区内，2022年3月由广西恒逸新材料有限公司持股66%，广西临海工业投资集团有限公司持股34%，共同出资组建。</w:t>
      </w:r>
      <w:r>
        <w:rPr>
          <w:rFonts w:ascii="Times New Roman" w:hAnsi="Times New Roman" w:cs="Times New Roman"/>
          <w:color w:val="000000" w:themeColor="text1"/>
          <w:szCs w:val="28"/>
          <w14:textFill>
            <w14:solidFill>
              <w14:schemeClr w14:val="tx1"/>
            </w14:solidFill>
          </w14:textFill>
        </w:rPr>
        <w:t>主要从事各种石油化工原料及产品的仓储及物流代理服务，以及码头项目的投资和管理，在港区内</w:t>
      </w:r>
      <w:r>
        <w:rPr>
          <w:rFonts w:ascii="Times New Roman" w:hAnsi="Times New Roman" w:cs="Times New Roman"/>
          <w:color w:val="000000" w:themeColor="text1"/>
          <w:szCs w:val="28"/>
          <w:lang w:val="zh-TW" w:eastAsia="zh-TW" w:bidi="zh-TW"/>
          <w14:textFill>
            <w14:solidFill>
              <w14:schemeClr w14:val="tx1"/>
            </w14:solidFill>
          </w14:textFill>
        </w:rPr>
        <w:t>提供货物装卸、仓储服务</w:t>
      </w:r>
      <w:r>
        <w:rPr>
          <w:rFonts w:ascii="Times New Roman" w:hAnsi="Times New Roman" w:cs="Times New Roman"/>
          <w:color w:val="000000" w:themeColor="text1"/>
          <w:szCs w:val="28"/>
          <w14:textFill>
            <w14:solidFill>
              <w14:schemeClr w14:val="tx1"/>
            </w14:solidFill>
          </w14:textFill>
        </w:rPr>
        <w:t>等。</w:t>
      </w:r>
    </w:p>
    <w:p w14:paraId="4CE9E684">
      <w:pPr>
        <w:spacing w:line="360" w:lineRule="auto"/>
        <w:ind w:firstLine="480" w:firstLineChars="200"/>
        <w:rPr>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2023年8月，钦州市生态环境局批复《钦州港金谷港区金鼓江作业区14号、15号泊位工程（重大变动）环境影响报告书》（自贸钦审批环〔2023〕42号）。批复内容主要如下：项目由码头及后方陆域组成。建设2个5万吨级液体散货泊位，使用码头岸线531米，设计年吞吐量 533 万吨，水工结构采用“部分重力墩式+三座引桥的透水建筑”结构，码头长度 531米，平台宽 25 米，码头前沿通过长 55 米、宽 13.5 米的引桥与后方连接。后方陆域配套8个罐组71座储罐，总库容31.8万立方米。吞吐货种包括液氨等共6类76种货种。</w:t>
      </w:r>
    </w:p>
    <w:p w14:paraId="6C5F23A2">
      <w:pPr>
        <w:spacing w:line="360" w:lineRule="auto"/>
        <w:ind w:firstLine="480" w:firstLineChars="200"/>
        <w:rPr>
          <w:rFonts w:ascii="Times New Roman" w:hAnsi="Times New Roman" w:cs="Times New Roman"/>
          <w:color w:val="FF0000"/>
        </w:rPr>
      </w:pPr>
      <w:r>
        <w:rPr>
          <w:rFonts w:hint="eastAsia"/>
          <w:color w:val="000000" w:themeColor="text1"/>
          <w14:textFill>
            <w14:solidFill>
              <w14:schemeClr w14:val="tx1"/>
            </w14:solidFill>
          </w14:textFill>
        </w:rPr>
        <w:t>金鼓江作业区14号泊位工程采取分期建设的方式，一期建设内容具体包括14号泊位水工工程、20000m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液氨储罐、配套公用及环保设施（管廊工程、BOG压缩机组、高架火炬、消防水罐及泵站、行政办公楼及配电室、应急物资库、危废暂存间、初期雨水池、事故应急池等）。</w:t>
      </w:r>
      <w:r>
        <w:rPr>
          <w:rFonts w:hint="eastAsia" w:ascii="Times New Roman" w:hAnsi="Times New Roman" w:cs="Times New Roman"/>
          <w:color w:val="000000" w:themeColor="text1"/>
          <w14:textFill>
            <w14:solidFill>
              <w14:schemeClr w14:val="tx1"/>
            </w14:solidFill>
          </w14:textFill>
        </w:rPr>
        <w:t>2025年12月，建设单位广西自贸区逸海港务有限责任公司组织通过《钦州港金谷港区金鼓江作业区14号泊位码头（一期工程）》竣工环保验收。</w:t>
      </w:r>
    </w:p>
    <w:p w14:paraId="3300EE8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随着区域产业升级，钦州港石化园区及企业化学品运输需求发生结构性变化，广西自贸区逸海港务有限责任公司拟在14号泊位11个货种情况下增加12个货种，同时调整各货种运输量，调整后吞吐量251万吨/年。</w:t>
      </w:r>
    </w:p>
    <w:p w14:paraId="190EF36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广西自贸区逸海港务有限责任公司</w:t>
      </w:r>
      <w:r>
        <w:rPr>
          <w:rFonts w:ascii="Times New Roman" w:hAnsi="Times New Roman" w:cs="Times New Roman"/>
          <w:color w:val="000000" w:themeColor="text1"/>
          <w14:textFill>
            <w14:solidFill>
              <w14:schemeClr w14:val="tx1"/>
            </w14:solidFill>
          </w14:textFill>
        </w:rPr>
        <w:t>拟</w:t>
      </w:r>
      <w:r>
        <w:rPr>
          <w:rFonts w:hint="eastAsia" w:ascii="Times New Roman" w:hAnsi="Times New Roman" w:cs="Times New Roman"/>
          <w:color w:val="000000" w:themeColor="text1"/>
          <w14:textFill>
            <w14:solidFill>
              <w14:schemeClr w14:val="tx1"/>
            </w14:solidFill>
          </w14:textFill>
        </w:rPr>
        <w:t>实施《金鼓江作业区14号泊位后方储罐区工程》</w:t>
      </w:r>
      <w:r>
        <w:rPr>
          <w:rFonts w:ascii="Times New Roman" w:hAnsi="Times New Roman" w:cs="Times New Roman"/>
          <w:color w:val="000000" w:themeColor="text1"/>
          <w14:textFill>
            <w14:solidFill>
              <w14:schemeClr w14:val="tx1"/>
            </w14:solidFill>
          </w14:textFill>
        </w:rPr>
        <w:t>（以下简称“本项目”）</w:t>
      </w:r>
      <w:r>
        <w:rPr>
          <w:rFonts w:hint="eastAsia" w:ascii="Times New Roman" w:hAnsi="Times New Roman" w:cs="Times New Roman"/>
          <w:color w:val="000000" w:themeColor="text1"/>
          <w14:textFill>
            <w14:solidFill>
              <w14:schemeClr w14:val="tx1"/>
            </w14:solidFill>
          </w14:textFill>
        </w:rPr>
        <w:t>，项目主要进行液硫、发烟硫酸、98%硫酸、碱液、苯酚、己内酰胺共种货种的储运，总周转量为70.4万吨/年。</w:t>
      </w:r>
      <w:r>
        <w:rPr>
          <w:rFonts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液硫、发烟硫酸/98%硫酸、液碱、苯酚</w:t>
      </w:r>
      <w:r>
        <w:rPr>
          <w:rFonts w:ascii="Times New Roman" w:hAnsi="Times New Roman" w:cs="Times New Roman"/>
          <w:color w:val="000000" w:themeColor="text1"/>
          <w14:textFill>
            <w14:solidFill>
              <w14:schemeClr w14:val="tx1"/>
            </w14:solidFill>
          </w14:textFill>
        </w:rPr>
        <w:t>货种</w:t>
      </w:r>
      <w:r>
        <w:rPr>
          <w:rFonts w:hint="eastAsia" w:ascii="Times New Roman" w:hAnsi="Times New Roman" w:cs="Times New Roman"/>
          <w:color w:val="000000" w:themeColor="text1"/>
          <w14:textFill>
            <w14:solidFill>
              <w14:schemeClr w14:val="tx1"/>
            </w14:solidFill>
          </w14:textFill>
        </w:rPr>
        <w:t>从码头船舶通过管道输送至储罐区储存，再用槽罐车或管道运输出厂；己内酰胺货种从后方陆域通过槽罐车运送至储罐区储存，再通过管道输送至码头装船外运。</w:t>
      </w:r>
      <w:r>
        <w:rPr>
          <w:rFonts w:ascii="Times New Roman" w:hAnsi="Times New Roman" w:cs="Times New Roman"/>
          <w:color w:val="000000" w:themeColor="text1"/>
          <w14:textFill>
            <w14:solidFill>
              <w14:schemeClr w14:val="tx1"/>
            </w14:solidFill>
          </w14:textFill>
        </w:rPr>
        <w:t>本项目建设不涉及码头，不改变公司现有码头的性质、水工结构、装卸工艺、岸线长度、泊位吨级、吞吐量以及装卸货种等内容。</w:t>
      </w:r>
    </w:p>
    <w:p w14:paraId="740A0B57">
      <w:pPr>
        <w:adjustRightInd w:val="0"/>
        <w:snapToGrid w:val="0"/>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项目在运营过程中可能出现物料的泄漏、火灾等事故风险，对周围环境产生一定的影响。根据《中华人民共和国环境影响评价法》、《建设项目环境管理条例》以及《建设项目环境影响评价技术导则》、《建设项目环境风险评价技术导则》、《关于进一步加强环境影响评价管理防范环境风险的通知》（环发[2012]77号）、《建设项目环境影响报告表编制技术指南（污染影响类）》（试行）等有关规定，涉及有毒有害和易燃易爆危险物质存储量超过临界量的建设项目，</w:t>
      </w:r>
      <w:r>
        <w:rPr>
          <w:rFonts w:hint="eastAsia" w:ascii="Times New Roman" w:hAnsi="Times New Roman" w:cs="Times New Roman"/>
          <w:color w:val="000000" w:themeColor="text1"/>
          <w14:textFill>
            <w14:solidFill>
              <w14:schemeClr w14:val="tx1"/>
            </w14:solidFill>
          </w14:textFill>
        </w:rPr>
        <w:t>需</w:t>
      </w:r>
      <w:r>
        <w:rPr>
          <w:rFonts w:ascii="Times New Roman" w:hAnsi="Times New Roman" w:cs="Times New Roman"/>
          <w:color w:val="000000" w:themeColor="text1"/>
          <w14:textFill>
            <w14:solidFill>
              <w14:schemeClr w14:val="tx1"/>
            </w14:solidFill>
          </w14:textFill>
        </w:rPr>
        <w:t>进行环境风险专项评价。</w:t>
      </w:r>
      <w:bookmarkEnd w:id="32"/>
      <w:bookmarkEnd w:id="33"/>
    </w:p>
    <w:p w14:paraId="4ECAD9F5">
      <w:pPr>
        <w:pStyle w:val="3"/>
        <w:keepNext w:val="0"/>
        <w:keepLines/>
        <w:numPr>
          <w:ilvl w:val="0"/>
          <w:numId w:val="28"/>
        </w:numPr>
        <w:tabs>
          <w:tab w:val="left" w:pos="426"/>
          <w:tab w:val="left" w:pos="709"/>
          <w:tab w:val="left" w:pos="4614"/>
          <w:tab w:val="left" w:pos="4897"/>
        </w:tabs>
        <w:overflowPunct/>
        <w:adjustRightInd w:val="0"/>
        <w:spacing w:before="0" w:after="0" w:line="360" w:lineRule="auto"/>
        <w:jc w:val="both"/>
        <w:textAlignment w:val="baseline"/>
        <w:rPr>
          <w:rFonts w:ascii="Times New Roman" w:hAnsi="Times New Roman" w:cs="Times New Roman"/>
          <w:color w:val="000000" w:themeColor="text1"/>
          <w14:textFill>
            <w14:solidFill>
              <w14:schemeClr w14:val="tx1"/>
            </w14:solidFill>
          </w14:textFill>
        </w:rPr>
      </w:pPr>
      <w:bookmarkStart w:id="34" w:name="_Toc84793959"/>
      <w:bookmarkEnd w:id="34"/>
      <w:bookmarkStart w:id="35" w:name="_Toc84835264"/>
      <w:bookmarkEnd w:id="35"/>
      <w:bookmarkStart w:id="36" w:name="_Toc43416680"/>
      <w:bookmarkEnd w:id="36"/>
      <w:bookmarkStart w:id="37" w:name="_Toc95759345"/>
      <w:bookmarkEnd w:id="37"/>
      <w:bookmarkStart w:id="38" w:name="_Toc95759777"/>
      <w:bookmarkEnd w:id="38"/>
      <w:bookmarkStart w:id="39" w:name="_Toc41467609"/>
      <w:bookmarkEnd w:id="39"/>
      <w:bookmarkStart w:id="40" w:name="_Toc95759778"/>
      <w:bookmarkStart w:id="41" w:name="_Toc95759346"/>
      <w:bookmarkStart w:id="42" w:name="_Toc146041494"/>
      <w:bookmarkStart w:id="43" w:name="_Toc144375217"/>
      <w:bookmarkStart w:id="44" w:name="_Toc2789974"/>
      <w:bookmarkStart w:id="45" w:name="_Toc144374982"/>
      <w:bookmarkStart w:id="46" w:name="_Toc505711213"/>
      <w:bookmarkStart w:id="47" w:name="_Toc84835265"/>
      <w:r>
        <w:rPr>
          <w:rFonts w:ascii="Times New Roman" w:hAnsi="Times New Roman" w:cs="Times New Roman"/>
          <w:color w:val="000000" w:themeColor="text1"/>
          <w14:textFill>
            <w14:solidFill>
              <w14:schemeClr w14:val="tx1"/>
            </w14:solidFill>
          </w14:textFill>
        </w:rPr>
        <w:t>总则</w:t>
      </w:r>
      <w:bookmarkEnd w:id="40"/>
      <w:bookmarkEnd w:id="41"/>
      <w:bookmarkEnd w:id="42"/>
      <w:bookmarkEnd w:id="43"/>
      <w:bookmarkEnd w:id="44"/>
      <w:bookmarkEnd w:id="45"/>
      <w:bookmarkEnd w:id="46"/>
      <w:bookmarkEnd w:id="47"/>
      <w:bookmarkStart w:id="48" w:name="_Toc360022723"/>
      <w:bookmarkStart w:id="49" w:name="_Toc360023227"/>
      <w:bookmarkStart w:id="50" w:name="_Toc95759347"/>
      <w:bookmarkStart w:id="51" w:name="_Toc339442324"/>
      <w:bookmarkStart w:id="52" w:name="_Toc2789975"/>
      <w:bookmarkStart w:id="53" w:name="_Toc360780076"/>
      <w:bookmarkStart w:id="54" w:name="_Toc505711214"/>
      <w:bookmarkStart w:id="55" w:name="_Toc360780511"/>
    </w:p>
    <w:p w14:paraId="2D71B8AD">
      <w:pPr>
        <w:spacing w:line="360" w:lineRule="auto"/>
        <w:ind w:firstLine="482" w:firstLineChars="200"/>
        <w:outlineLvl w:val="1"/>
        <w:rPr>
          <w:rFonts w:ascii="Times New Roman" w:hAnsi="Times New Roman" w:cs="Times New Roman"/>
          <w:b/>
          <w:color w:val="000000" w:themeColor="text1"/>
          <w14:textFill>
            <w14:solidFill>
              <w14:schemeClr w14:val="tx1"/>
            </w14:solidFill>
          </w14:textFill>
        </w:rPr>
      </w:pPr>
      <w:bookmarkStart w:id="56" w:name="_Toc144375218"/>
      <w:r>
        <w:rPr>
          <w:rFonts w:ascii="Times New Roman" w:hAnsi="Times New Roman" w:cs="Times New Roman"/>
          <w:b/>
          <w:color w:val="000000" w:themeColor="text1"/>
          <w14:textFill>
            <w14:solidFill>
              <w14:schemeClr w14:val="tx1"/>
            </w14:solidFill>
          </w14:textFill>
        </w:rPr>
        <w:t>2.1一般性原则</w:t>
      </w:r>
      <w:bookmarkEnd w:id="56"/>
    </w:p>
    <w:p w14:paraId="24761EC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08135910">
      <w:pPr>
        <w:spacing w:line="360" w:lineRule="auto"/>
        <w:ind w:firstLine="482" w:firstLineChars="200"/>
        <w:outlineLvl w:val="1"/>
        <w:rPr>
          <w:rFonts w:ascii="Times New Roman" w:hAnsi="Times New Roman" w:cs="Times New Roman"/>
          <w:b/>
          <w:color w:val="000000" w:themeColor="text1"/>
          <w14:textFill>
            <w14:solidFill>
              <w14:schemeClr w14:val="tx1"/>
            </w14:solidFill>
          </w14:textFill>
        </w:rPr>
      </w:pPr>
      <w:bookmarkStart w:id="57" w:name="_Toc144375219"/>
      <w:r>
        <w:rPr>
          <w:rFonts w:ascii="Times New Roman" w:hAnsi="Times New Roman" w:cs="Times New Roman"/>
          <w:b/>
          <w:color w:val="000000" w:themeColor="text1"/>
          <w14:textFill>
            <w14:solidFill>
              <w14:schemeClr w14:val="tx1"/>
            </w14:solidFill>
          </w14:textFill>
        </w:rPr>
        <w:t>2.2国家环境保护法律、法规依据</w:t>
      </w:r>
      <w:bookmarkEnd w:id="48"/>
      <w:bookmarkEnd w:id="49"/>
      <w:bookmarkEnd w:id="50"/>
      <w:bookmarkEnd w:id="51"/>
      <w:bookmarkEnd w:id="52"/>
      <w:bookmarkEnd w:id="53"/>
      <w:bookmarkEnd w:id="54"/>
      <w:bookmarkEnd w:id="55"/>
      <w:bookmarkEnd w:id="57"/>
    </w:p>
    <w:p w14:paraId="3A8DD898">
      <w:pPr>
        <w:pStyle w:val="51"/>
        <w:widowControl w:val="0"/>
        <w:numPr>
          <w:ilvl w:val="0"/>
          <w:numId w:val="29"/>
        </w:numPr>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《中华人民共和国环境保护法》（2015年1月1日起施行）；</w:t>
      </w:r>
    </w:p>
    <w:p w14:paraId="04C4E278">
      <w:pPr>
        <w:pStyle w:val="51"/>
        <w:widowControl w:val="0"/>
        <w:numPr>
          <w:ilvl w:val="0"/>
          <w:numId w:val="29"/>
        </w:numPr>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《中华人民共和国水污染防治法》（2017年6月27日修正）；</w:t>
      </w:r>
    </w:p>
    <w:p w14:paraId="4AFB91D8">
      <w:pPr>
        <w:pStyle w:val="51"/>
        <w:widowControl w:val="0"/>
        <w:numPr>
          <w:ilvl w:val="0"/>
          <w:numId w:val="29"/>
        </w:numPr>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《中华人民共和国大气污染防治法》（2018年10月26日修正）；</w:t>
      </w:r>
    </w:p>
    <w:p w14:paraId="50DE1B27">
      <w:pPr>
        <w:pStyle w:val="51"/>
        <w:widowControl w:val="0"/>
        <w:numPr>
          <w:ilvl w:val="0"/>
          <w:numId w:val="29"/>
        </w:numPr>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《中华人民共和国固体废物污染环境防治法》（2020年4月29日修订）；</w:t>
      </w:r>
    </w:p>
    <w:p w14:paraId="27419694">
      <w:pPr>
        <w:pStyle w:val="51"/>
        <w:widowControl w:val="0"/>
        <w:numPr>
          <w:ilvl w:val="0"/>
          <w:numId w:val="29"/>
        </w:numPr>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《中华人民共和国环境影响评价法》（2018年12月29日修正）；</w:t>
      </w:r>
    </w:p>
    <w:p w14:paraId="59B5EC00">
      <w:pPr>
        <w:pStyle w:val="51"/>
        <w:widowControl w:val="0"/>
        <w:numPr>
          <w:ilvl w:val="0"/>
          <w:numId w:val="29"/>
        </w:numPr>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《建设项目环境保护管理条例》（2017年10月1日起施行）；</w:t>
      </w:r>
    </w:p>
    <w:p w14:paraId="23ABC9F4">
      <w:pPr>
        <w:pStyle w:val="660"/>
        <w:numPr>
          <w:ilvl w:val="0"/>
          <w:numId w:val="29"/>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《突发事件应急预案管理办法》（国办发[2013]101号）；</w:t>
      </w:r>
    </w:p>
    <w:p w14:paraId="0628A97D">
      <w:pPr>
        <w:pStyle w:val="660"/>
        <w:numPr>
          <w:ilvl w:val="0"/>
          <w:numId w:val="29"/>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《突发环境事件应急监测技术规范》(HJ589-20</w:t>
      </w:r>
      <w:r>
        <w:rPr>
          <w:rFonts w:hint="eastAsia" w:ascii="Times New Roman"/>
          <w:color w:val="000000" w:themeColor="text1"/>
          <w:kern w:val="2"/>
          <w:sz w:val="24"/>
          <w:szCs w:val="24"/>
          <w14:textFill>
            <w14:solidFill>
              <w14:schemeClr w14:val="tx1"/>
            </w14:solidFill>
          </w14:textFill>
        </w:rPr>
        <w:t>2</w:t>
      </w:r>
      <w:r>
        <w:rPr>
          <w:rFonts w:ascii="Times New Roman"/>
          <w:color w:val="000000" w:themeColor="text1"/>
          <w:kern w:val="2"/>
          <w:sz w:val="24"/>
          <w:szCs w:val="24"/>
          <w14:textFill>
            <w14:solidFill>
              <w14:schemeClr w14:val="tx1"/>
            </w14:solidFill>
          </w14:textFill>
        </w:rPr>
        <w:t>1)；</w:t>
      </w:r>
    </w:p>
    <w:p w14:paraId="463EA7B8">
      <w:pPr>
        <w:pStyle w:val="51"/>
        <w:widowControl w:val="0"/>
        <w:numPr>
          <w:ilvl w:val="0"/>
          <w:numId w:val="29"/>
        </w:numPr>
        <w:tabs>
          <w:tab w:val="left" w:pos="993"/>
        </w:tabs>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《中华人民共和国监控化学品管理条例》（国务院令第190号）；</w:t>
      </w:r>
    </w:p>
    <w:p w14:paraId="4CC725D4">
      <w:pPr>
        <w:pStyle w:val="51"/>
        <w:widowControl w:val="0"/>
        <w:numPr>
          <w:ilvl w:val="0"/>
          <w:numId w:val="29"/>
        </w:numPr>
        <w:tabs>
          <w:tab w:val="left" w:pos="993"/>
        </w:tabs>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《使用有毒物品作业场所劳动保护条例》（国务院令第352号）；</w:t>
      </w:r>
    </w:p>
    <w:p w14:paraId="6E5CD86F">
      <w:pPr>
        <w:pStyle w:val="51"/>
        <w:widowControl w:val="0"/>
        <w:numPr>
          <w:ilvl w:val="0"/>
          <w:numId w:val="29"/>
        </w:numPr>
        <w:tabs>
          <w:tab w:val="left" w:pos="993"/>
        </w:tabs>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《突发环境事件信息报告办法》（环境保护部令第17号，2011.5.1）；</w:t>
      </w:r>
    </w:p>
    <w:p w14:paraId="7858D3CE">
      <w:pPr>
        <w:pStyle w:val="51"/>
        <w:widowControl w:val="0"/>
        <w:numPr>
          <w:ilvl w:val="0"/>
          <w:numId w:val="29"/>
        </w:numPr>
        <w:tabs>
          <w:tab w:val="left" w:pos="993"/>
        </w:tabs>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《国务院关于印发大气污染防治行动计划的通知》（国发〔2013〕37号，2013.9.10）；</w:t>
      </w:r>
    </w:p>
    <w:p w14:paraId="10F4977C">
      <w:pPr>
        <w:pStyle w:val="51"/>
        <w:widowControl w:val="0"/>
        <w:numPr>
          <w:ilvl w:val="0"/>
          <w:numId w:val="29"/>
        </w:numPr>
        <w:tabs>
          <w:tab w:val="left" w:pos="993"/>
        </w:tabs>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《国务院关于印发水污染防治行动计划的通知》（国发〔2015〕17号，2015.4.2）；</w:t>
      </w:r>
    </w:p>
    <w:p w14:paraId="537242EC">
      <w:pPr>
        <w:pStyle w:val="51"/>
        <w:widowControl w:val="0"/>
        <w:numPr>
          <w:ilvl w:val="0"/>
          <w:numId w:val="29"/>
        </w:numPr>
        <w:tabs>
          <w:tab w:val="left" w:pos="993"/>
        </w:tabs>
        <w:spacing w:line="360" w:lineRule="auto"/>
        <w:ind w:left="0" w:leftChars="0" w:firstLine="480" w:firstLineChars="20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《国务院关于印发土壤污染防治行动计划的通知》（国发〔2016〕31号，2016.5.28）；</w:t>
      </w:r>
    </w:p>
    <w:p w14:paraId="72D3AA90">
      <w:pPr>
        <w:pStyle w:val="51"/>
        <w:numPr>
          <w:ilvl w:val="0"/>
          <w:numId w:val="29"/>
        </w:numPr>
        <w:tabs>
          <w:tab w:val="left" w:pos="993"/>
        </w:tabs>
        <w:spacing w:line="360" w:lineRule="auto"/>
        <w:ind w:left="0" w:leftChars="0" w:firstLine="480" w:firstLineChars="20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《关于切实加强风险防范严格环境影响评价管理的通知》（环发〔2012〕98号文）；</w:t>
      </w:r>
    </w:p>
    <w:p w14:paraId="4BD7FB53">
      <w:pPr>
        <w:pStyle w:val="200"/>
        <w:numPr>
          <w:ilvl w:val="0"/>
          <w:numId w:val="29"/>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《关于发布&lt;优先控制化学品名录（第一批）&gt;的公告》（环境保护部 工业和信息化部 国家卫生和计划生育委员会 公告2017年第83号，2017.12.27）；</w:t>
      </w:r>
    </w:p>
    <w:p w14:paraId="5F81D415">
      <w:pPr>
        <w:pStyle w:val="200"/>
        <w:numPr>
          <w:ilvl w:val="0"/>
          <w:numId w:val="29"/>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《关于发布&lt;优先控制化学品名录（第二批）&gt;的公告》（环境保护部 工业和信息化部 国家卫生和计划生育委员会 公告2020年第47号，2020.10.30）；</w:t>
      </w:r>
    </w:p>
    <w:p w14:paraId="5D195439">
      <w:pPr>
        <w:pStyle w:val="200"/>
        <w:numPr>
          <w:ilvl w:val="0"/>
          <w:numId w:val="29"/>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关于发布&lt;有毒有害大气污染物名录（2018年）&gt;的公告》（生态环境部 国家卫生健康委员会 公告，公告2019年第4号，2019.1.23）；</w:t>
      </w:r>
    </w:p>
    <w:p w14:paraId="3ACEFA88">
      <w:pPr>
        <w:pStyle w:val="51"/>
        <w:numPr>
          <w:ilvl w:val="0"/>
          <w:numId w:val="29"/>
        </w:numPr>
        <w:tabs>
          <w:tab w:val="left" w:pos="993"/>
        </w:tabs>
        <w:spacing w:line="360" w:lineRule="auto"/>
        <w:ind w:left="0" w:leftChars="0" w:firstLine="480" w:firstLineChars="20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《关于进一步加强环境影响评价管理防范环境风险的通知》（环发[2012]77号）；</w:t>
      </w:r>
    </w:p>
    <w:p w14:paraId="239B4C60">
      <w:pPr>
        <w:pStyle w:val="51"/>
        <w:numPr>
          <w:ilvl w:val="0"/>
          <w:numId w:val="29"/>
        </w:numPr>
        <w:tabs>
          <w:tab w:val="left" w:pos="993"/>
        </w:tabs>
        <w:spacing w:line="360" w:lineRule="auto"/>
        <w:ind w:left="0" w:leftChars="0"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《关于切实加强风险防范严格环境影响评价管理的通知》（环发[2012]98号）；</w:t>
      </w:r>
    </w:p>
    <w:p w14:paraId="19CC5893">
      <w:pPr>
        <w:pStyle w:val="51"/>
        <w:numPr>
          <w:ilvl w:val="0"/>
          <w:numId w:val="29"/>
        </w:numPr>
        <w:tabs>
          <w:tab w:val="left" w:pos="993"/>
        </w:tabs>
        <w:spacing w:line="360" w:lineRule="auto"/>
        <w:ind w:left="0" w:leftChars="0"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《排污许可管理条例》（国务院令第736号）；</w:t>
      </w:r>
    </w:p>
    <w:p w14:paraId="2DBC30E5">
      <w:pPr>
        <w:pStyle w:val="51"/>
        <w:numPr>
          <w:ilvl w:val="0"/>
          <w:numId w:val="29"/>
        </w:numPr>
        <w:tabs>
          <w:tab w:val="left" w:pos="993"/>
        </w:tabs>
        <w:spacing w:line="360" w:lineRule="auto"/>
        <w:ind w:left="0" w:leftChars="0"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《国务院办公厅关于印发控制污染物排放许可制实施方案的通知》（国办发[2016]81 号）。</w:t>
      </w:r>
    </w:p>
    <w:p w14:paraId="46860582">
      <w:pPr>
        <w:pStyle w:val="346"/>
        <w:ind w:firstLine="482" w:firstLineChars="200"/>
        <w:rPr>
          <w:color w:val="000000" w:themeColor="text1"/>
          <w14:textFill>
            <w14:solidFill>
              <w14:schemeClr w14:val="tx1"/>
            </w14:solidFill>
          </w14:textFill>
        </w:rPr>
      </w:pPr>
      <w:bookmarkStart w:id="58" w:name="_Toc144375220"/>
      <w:r>
        <w:rPr>
          <w:color w:val="000000" w:themeColor="text1"/>
          <w14:textFill>
            <w14:solidFill>
              <w14:schemeClr w14:val="tx1"/>
            </w14:solidFill>
          </w14:textFill>
        </w:rPr>
        <w:t>2.3地方环境保护法律、法规依据</w:t>
      </w:r>
      <w:bookmarkEnd w:id="58"/>
    </w:p>
    <w:p w14:paraId="3F1F838C">
      <w:pPr>
        <w:pStyle w:val="200"/>
        <w:numPr>
          <w:ilvl w:val="0"/>
          <w:numId w:val="3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《广西壮族自治区环境保护条例》（2016.9.1）；</w:t>
      </w:r>
    </w:p>
    <w:p w14:paraId="4B48D388">
      <w:pPr>
        <w:pStyle w:val="200"/>
        <w:numPr>
          <w:ilvl w:val="0"/>
          <w:numId w:val="3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《广西壮族自治区大气污染防治条例》（2019.1.1）；</w:t>
      </w:r>
    </w:p>
    <w:p w14:paraId="032B41B8">
      <w:pPr>
        <w:pStyle w:val="200"/>
        <w:numPr>
          <w:ilvl w:val="0"/>
          <w:numId w:val="3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《关于全面加强危险化学品安全生产工作的实施意见的通知》（自治区政府办（11）公厅，厅发[2020]24号）；</w:t>
      </w:r>
    </w:p>
    <w:p w14:paraId="180C60EC">
      <w:pPr>
        <w:pStyle w:val="200"/>
        <w:numPr>
          <w:ilvl w:val="0"/>
          <w:numId w:val="30"/>
        </w:numPr>
        <w:spacing w:line="360" w:lineRule="auto"/>
        <w:ind w:left="0"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《钦州市生态环境局关于印发&lt;钦州市生态环境分区管控动态更新成果（2023版）&gt;的通知》（2024.12.5）</w:t>
      </w:r>
      <w:r>
        <w:rPr>
          <w:rFonts w:ascii="Times New Roman" w:hAnsi="Times New Roman" w:cs="Times New Roman"/>
          <w:color w:val="000000" w:themeColor="text1"/>
          <w14:textFill>
            <w14:solidFill>
              <w14:schemeClr w14:val="tx1"/>
            </w14:solidFill>
          </w14:textFill>
        </w:rPr>
        <w:t>。</w:t>
      </w:r>
    </w:p>
    <w:p w14:paraId="2A708587">
      <w:pPr>
        <w:pStyle w:val="346"/>
        <w:ind w:firstLine="482" w:firstLineChars="200"/>
        <w:rPr>
          <w:color w:val="000000" w:themeColor="text1"/>
          <w14:textFill>
            <w14:solidFill>
              <w14:schemeClr w14:val="tx1"/>
            </w14:solidFill>
          </w14:textFill>
        </w:rPr>
      </w:pPr>
      <w:bookmarkStart w:id="59" w:name="_Toc360022724"/>
      <w:bookmarkStart w:id="60" w:name="_Toc2789976"/>
      <w:bookmarkStart w:id="61" w:name="_Toc339442325"/>
      <w:bookmarkStart w:id="62" w:name="_Toc95759348"/>
      <w:bookmarkStart w:id="63" w:name="_Toc360780077"/>
      <w:bookmarkStart w:id="64" w:name="_Toc360023228"/>
      <w:bookmarkStart w:id="65" w:name="_Toc505711215"/>
      <w:bookmarkStart w:id="66" w:name="_Toc360780512"/>
      <w:bookmarkStart w:id="67" w:name="_Toc144375221"/>
      <w:r>
        <w:rPr>
          <w:color w:val="000000" w:themeColor="text1"/>
          <w14:textFill>
            <w14:solidFill>
              <w14:schemeClr w14:val="tx1"/>
            </w14:solidFill>
          </w14:textFill>
        </w:rPr>
        <w:t>2.4</w:t>
      </w:r>
      <w:bookmarkEnd w:id="59"/>
      <w:bookmarkEnd w:id="60"/>
      <w:bookmarkEnd w:id="61"/>
      <w:bookmarkEnd w:id="62"/>
      <w:bookmarkEnd w:id="63"/>
      <w:bookmarkEnd w:id="64"/>
      <w:bookmarkEnd w:id="65"/>
      <w:bookmarkEnd w:id="66"/>
      <w:r>
        <w:rPr>
          <w:color w:val="000000" w:themeColor="text1"/>
          <w14:textFill>
            <w14:solidFill>
              <w14:schemeClr w14:val="tx1"/>
            </w14:solidFill>
          </w14:textFill>
        </w:rPr>
        <w:t>产业政策及行业规范</w:t>
      </w:r>
      <w:bookmarkEnd w:id="67"/>
    </w:p>
    <w:p w14:paraId="38F4038D">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广西壮族自治区实施《危险化学品安全管理条例》办法（广西壮族自治区人民政府令 第85号）</w:t>
      </w:r>
    </w:p>
    <w:p w14:paraId="089163C8">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《钦州市人民政府办公室关于建立钦州市危险化学品安全管理联席会议制度的通知》（钦政办[2012]139号）；</w:t>
      </w:r>
    </w:p>
    <w:p w14:paraId="47659E09">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hint="eastAsia" w:ascii="Times New Roman"/>
          <w:color w:val="000000" w:themeColor="text1"/>
          <w:kern w:val="2"/>
          <w:sz w:val="24"/>
          <w:szCs w:val="24"/>
          <w14:textFill>
            <w14:solidFill>
              <w14:schemeClr w14:val="tx1"/>
            </w14:solidFill>
          </w14:textFill>
        </w:rPr>
        <w:t xml:space="preserve">《环境影响评价技术导则 总纲》（HJ2.1-2016）； </w:t>
      </w:r>
    </w:p>
    <w:p w14:paraId="26DC0E0C">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hint="eastAsia" w:ascii="Times New Roman"/>
          <w:color w:val="000000" w:themeColor="text1"/>
          <w:kern w:val="2"/>
          <w:sz w:val="24"/>
          <w:szCs w:val="24"/>
          <w14:textFill>
            <w14:solidFill>
              <w14:schemeClr w14:val="tx1"/>
            </w14:solidFill>
          </w14:textFill>
        </w:rPr>
        <w:t>《建设项目环境风险评价技术导则》（HJ 169-2018）；</w:t>
      </w:r>
    </w:p>
    <w:p w14:paraId="7858FAD0">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 xml:space="preserve">《危险化学品重大危险源辨识》（GB 18218-2018）； </w:t>
      </w:r>
    </w:p>
    <w:p w14:paraId="696E55E2">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《危险化学品安全管理条例》（中华人民共和国国务院令第645号公布，2013年修订）</w:t>
      </w:r>
    </w:p>
    <w:p w14:paraId="3E396222">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《危险货物品名表》(GB12268-2012)；</w:t>
      </w:r>
    </w:p>
    <w:p w14:paraId="380FB0C4">
      <w:pPr>
        <w:widowControl w:val="0"/>
        <w:numPr>
          <w:ilvl w:val="0"/>
          <w:numId w:val="31"/>
        </w:numPr>
        <w:spacing w:line="360" w:lineRule="auto"/>
        <w:ind w:left="0"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《危险废物鉴别标准通则》（GB5085.7-2019）；</w:t>
      </w:r>
    </w:p>
    <w:p w14:paraId="1A190DE5">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hint="eastAsia" w:ascii="Times New Roman"/>
          <w:color w:val="000000" w:themeColor="text1"/>
          <w:kern w:val="2"/>
          <w:sz w:val="24"/>
          <w:szCs w:val="24"/>
          <w14:textFill>
            <w14:solidFill>
              <w14:schemeClr w14:val="tx1"/>
            </w14:solidFill>
          </w14:textFill>
        </w:rPr>
        <w:t>《危险化学品重大危险源辨识》（GB18218-2018）；</w:t>
      </w:r>
    </w:p>
    <w:p w14:paraId="781B351F">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hint="eastAsia" w:ascii="Times New Roman"/>
          <w:color w:val="000000" w:themeColor="text1"/>
          <w:kern w:val="2"/>
          <w:sz w:val="24"/>
          <w:szCs w:val="24"/>
          <w14:textFill>
            <w14:solidFill>
              <w14:schemeClr w14:val="tx1"/>
            </w14:solidFill>
          </w14:textFill>
        </w:rPr>
        <w:t>《危险废物贮存污染控制标准》（GB18597-2023）；</w:t>
      </w:r>
    </w:p>
    <w:p w14:paraId="2F1A2AA1">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hint="eastAsia" w:ascii="Times New Roman"/>
          <w:color w:val="000000" w:themeColor="text1"/>
          <w:kern w:val="2"/>
          <w:sz w:val="24"/>
          <w:szCs w:val="24"/>
          <w14:textFill>
            <w14:solidFill>
              <w14:schemeClr w14:val="tx1"/>
            </w14:solidFill>
          </w14:textFill>
        </w:rPr>
        <w:t>《危险废物收集贮存运输技术规范》（HJ2025-2012）；</w:t>
      </w:r>
    </w:p>
    <w:p w14:paraId="49588B37">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《建筑灭火器配置设计规范》(GB50140-2005)；</w:t>
      </w:r>
    </w:p>
    <w:p w14:paraId="51773724">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《建筑设计防火规范》(GB50016-2014)；</w:t>
      </w:r>
    </w:p>
    <w:p w14:paraId="5EC1B922">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《汽车危险货物运输、装卸作业规程》(JT618-2004)；</w:t>
      </w:r>
    </w:p>
    <w:p w14:paraId="64CE545F">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hint="eastAsia" w:ascii="Times New Roman"/>
          <w:color w:val="000000" w:themeColor="text1"/>
          <w:kern w:val="2"/>
          <w:sz w:val="24"/>
          <w:szCs w:val="24"/>
          <w14:textFill>
            <w14:solidFill>
              <w14:schemeClr w14:val="tx1"/>
            </w14:solidFill>
          </w14:textFill>
        </w:rPr>
        <w:t>《排污单位自行监测技术指南  总则》（HJ819-2017）；</w:t>
      </w:r>
    </w:p>
    <w:p w14:paraId="399DCFAF">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hint="eastAsia" w:ascii="Times New Roman"/>
          <w:color w:val="000000" w:themeColor="text1"/>
          <w:kern w:val="2"/>
          <w:sz w:val="24"/>
          <w:szCs w:val="24"/>
          <w14:textFill>
            <w14:solidFill>
              <w14:schemeClr w14:val="tx1"/>
            </w14:solidFill>
          </w14:textFill>
        </w:rPr>
        <w:t>《固定污染源排污许可分类管理名录（2019 年版）》；</w:t>
      </w:r>
    </w:p>
    <w:p w14:paraId="331235B5">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hint="eastAsia" w:ascii="Times New Roman"/>
          <w:color w:val="000000" w:themeColor="text1"/>
          <w:kern w:val="2"/>
          <w:sz w:val="24"/>
          <w:szCs w:val="24"/>
          <w14:textFill>
            <w14:solidFill>
              <w14:schemeClr w14:val="tx1"/>
            </w14:solidFill>
          </w14:textFill>
        </w:rPr>
        <w:t>《排污许可证申请与核发技术规范石化工业》（HJ853-2017）；</w:t>
      </w:r>
    </w:p>
    <w:p w14:paraId="5D563B35">
      <w:pPr>
        <w:pStyle w:val="660"/>
        <w:numPr>
          <w:ilvl w:val="0"/>
          <w:numId w:val="31"/>
        </w:numPr>
        <w:spacing w:line="360" w:lineRule="auto"/>
        <w:ind w:left="0" w:firstLine="480"/>
        <w:rPr>
          <w:rFonts w:ascii="Times New Roman"/>
          <w:color w:val="000000" w:themeColor="text1"/>
          <w:kern w:val="2"/>
          <w:sz w:val="24"/>
          <w:szCs w:val="24"/>
          <w14:textFill>
            <w14:solidFill>
              <w14:schemeClr w14:val="tx1"/>
            </w14:solidFill>
          </w14:textFill>
        </w:rPr>
      </w:pPr>
      <w:r>
        <w:rPr>
          <w:rFonts w:ascii="Times New Roman"/>
          <w:color w:val="000000" w:themeColor="text1"/>
          <w:kern w:val="2"/>
          <w:sz w:val="24"/>
          <w:szCs w:val="24"/>
          <w14:textFill>
            <w14:solidFill>
              <w14:schemeClr w14:val="tx1"/>
            </w14:solidFill>
          </w14:textFill>
        </w:rPr>
        <w:t>其他有关标准及规范。</w:t>
      </w:r>
    </w:p>
    <w:p w14:paraId="3571AE2C">
      <w:pPr>
        <w:pStyle w:val="346"/>
        <w:ind w:firstLine="482" w:firstLineChars="200"/>
        <w:rPr>
          <w:color w:val="000000" w:themeColor="text1"/>
          <w14:textFill>
            <w14:solidFill>
              <w14:schemeClr w14:val="tx1"/>
            </w14:solidFill>
          </w14:textFill>
        </w:rPr>
      </w:pPr>
      <w:bookmarkStart w:id="68" w:name="_Toc505711216"/>
      <w:bookmarkStart w:id="69" w:name="_Toc360022725"/>
      <w:bookmarkStart w:id="70" w:name="_Toc95759349"/>
      <w:bookmarkStart w:id="71" w:name="_Toc360023229"/>
      <w:bookmarkStart w:id="72" w:name="_Toc360780513"/>
      <w:bookmarkStart w:id="73" w:name="_Toc2789977"/>
      <w:bookmarkStart w:id="74" w:name="_Toc339442326"/>
      <w:bookmarkStart w:id="75" w:name="_Toc360780078"/>
      <w:bookmarkStart w:id="76" w:name="_Toc144375222"/>
      <w:r>
        <w:rPr>
          <w:color w:val="000000" w:themeColor="text1"/>
          <w14:textFill>
            <w14:solidFill>
              <w14:schemeClr w14:val="tx1"/>
            </w14:solidFill>
          </w14:textFill>
        </w:rPr>
        <w:t>2.5</w:t>
      </w:r>
      <w:bookmarkEnd w:id="68"/>
      <w:bookmarkEnd w:id="69"/>
      <w:bookmarkEnd w:id="70"/>
      <w:bookmarkEnd w:id="71"/>
      <w:bookmarkEnd w:id="72"/>
      <w:bookmarkEnd w:id="73"/>
      <w:bookmarkEnd w:id="74"/>
      <w:bookmarkEnd w:id="75"/>
      <w:r>
        <w:rPr>
          <w:color w:val="000000" w:themeColor="text1"/>
          <w14:textFill>
            <w14:solidFill>
              <w14:schemeClr w14:val="tx1"/>
            </w14:solidFill>
          </w14:textFill>
        </w:rPr>
        <w:t>评价工作程序</w:t>
      </w:r>
      <w:bookmarkEnd w:id="76"/>
    </w:p>
    <w:p w14:paraId="0C2B38D1">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本次环境风险评价的工作程序见图1-1。</w:t>
      </w:r>
    </w:p>
    <w:p w14:paraId="53E39316">
      <w:pPr>
        <w:spacing w:line="360" w:lineRule="auto"/>
        <w:jc w:val="center"/>
        <w:rPr>
          <w:rFonts w:ascii="Times New Roman" w:hAnsi="Times New Roman" w:cs="Times New Roman"/>
          <w:b/>
          <w:bCs/>
          <w:color w:val="FF0000"/>
        </w:rPr>
      </w:pPr>
      <w:r>
        <w:rPr>
          <w:rFonts w:ascii="Times New Roman" w:hAnsi="Times New Roman" w:cs="Times New Roman"/>
          <w:color w:val="FF0000"/>
        </w:rPr>
        <w:drawing>
          <wp:inline distT="0" distB="0" distL="0" distR="0">
            <wp:extent cx="5539740" cy="5967095"/>
            <wp:effectExtent l="0" t="0" r="0"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539740" cy="5967095"/>
                    </a:xfrm>
                    <a:prstGeom prst="rect">
                      <a:avLst/>
                    </a:prstGeom>
                    <a:noFill/>
                    <a:ln>
                      <a:noFill/>
                    </a:ln>
                  </pic:spPr>
                </pic:pic>
              </a:graphicData>
            </a:graphic>
          </wp:inline>
        </w:drawing>
      </w:r>
    </w:p>
    <w:p w14:paraId="5098C2B1">
      <w:pPr>
        <w:pStyle w:val="22"/>
        <w:spacing w:after="120" w:afterLines="50"/>
        <w:jc w:val="center"/>
        <w:rPr>
          <w:rFonts w:ascii="Times New Roman"/>
          <w:color w:val="FF0000"/>
          <w:kern w:val="2"/>
        </w:rPr>
      </w:pPr>
      <w:bookmarkStart w:id="77" w:name="_Ref6146267"/>
      <w:r>
        <w:rPr>
          <w:rFonts w:ascii="Times New Roman" w:hAnsi="Times New Roman" w:cs="Times New Roman" w:eastAsiaTheme="minorEastAsia"/>
          <w:color w:val="000000" w:themeColor="text1"/>
          <w14:textFill>
            <w14:solidFill>
              <w14:schemeClr w14:val="tx1"/>
            </w14:solidFill>
          </w14:textFill>
        </w:rPr>
        <w:t>图</w:t>
      </w:r>
      <w:bookmarkEnd w:id="77"/>
      <w:r>
        <w:rPr>
          <w:rFonts w:ascii="Times New Roman" w:hAnsi="Times New Roman" w:cs="Times New Roman" w:eastAsiaTheme="minorEastAsia"/>
          <w:color w:val="000000" w:themeColor="text1"/>
          <w14:textFill>
            <w14:solidFill>
              <w14:schemeClr w14:val="tx1"/>
            </w14:solidFill>
          </w14:textFill>
        </w:rPr>
        <w:t>2-1</w:t>
      </w:r>
      <w:r>
        <w:rPr>
          <w:rFonts w:ascii="Times New Roman" w:hAnsi="Times New Roman" w:cs="Times New Roman" w:eastAsiaTheme="minorEastAsia"/>
          <w:bCs/>
          <w:color w:val="000000" w:themeColor="text1"/>
          <w14:textFill>
            <w14:solidFill>
              <w14:schemeClr w14:val="tx1"/>
            </w14:solidFill>
          </w14:textFill>
        </w:rPr>
        <w:t>环境风险评价工作程序图</w:t>
      </w:r>
    </w:p>
    <w:p w14:paraId="6372CDC6">
      <w:pPr>
        <w:rPr>
          <w:rFonts w:ascii="Times New Roman" w:hAnsi="Times New Roman" w:cs="Times New Roman"/>
          <w:color w:val="FF0000"/>
        </w:rPr>
        <w:sectPr>
          <w:footerReference r:id="rId11" w:type="default"/>
          <w:pgSz w:w="11907" w:h="16840"/>
          <w:pgMar w:top="1440" w:right="1800" w:bottom="1440" w:left="1800" w:header="652" w:footer="851" w:gutter="0"/>
          <w:pgNumType w:start="1"/>
          <w:cols w:space="720" w:num="1"/>
          <w:docGrid w:linePitch="312" w:charSpace="0"/>
        </w:sectPr>
      </w:pPr>
    </w:p>
    <w:p w14:paraId="26855238">
      <w:pPr>
        <w:pStyle w:val="3"/>
        <w:keepNext w:val="0"/>
        <w:keepLines/>
        <w:numPr>
          <w:ilvl w:val="0"/>
          <w:numId w:val="28"/>
        </w:numPr>
        <w:tabs>
          <w:tab w:val="left" w:pos="426"/>
          <w:tab w:val="left" w:pos="709"/>
          <w:tab w:val="left" w:pos="4614"/>
          <w:tab w:val="left" w:pos="4897"/>
        </w:tabs>
        <w:overflowPunct/>
        <w:adjustRightInd w:val="0"/>
        <w:spacing w:before="0" w:after="0" w:line="360" w:lineRule="auto"/>
        <w:jc w:val="both"/>
        <w:textAlignment w:val="baseline"/>
        <w:rPr>
          <w:rFonts w:ascii="Times New Roman" w:hAnsi="Times New Roman" w:cs="Times New Roman"/>
          <w:color w:val="000000" w:themeColor="text1"/>
          <w14:textFill>
            <w14:solidFill>
              <w14:schemeClr w14:val="tx1"/>
            </w14:solidFill>
          </w14:textFill>
        </w:rPr>
      </w:pPr>
      <w:bookmarkStart w:id="78" w:name="_Toc146041495"/>
      <w:bookmarkStart w:id="79" w:name="_Toc144375223"/>
      <w:bookmarkStart w:id="80" w:name="_Toc144374983"/>
      <w:bookmarkStart w:id="81" w:name="_Toc58922640"/>
      <w:bookmarkStart w:id="82" w:name="_Toc58922792"/>
      <w:bookmarkStart w:id="83" w:name="_Toc84998560"/>
      <w:bookmarkStart w:id="84" w:name="_Toc58923023"/>
      <w:bookmarkStart w:id="85" w:name="_Toc58922761"/>
      <w:bookmarkStart w:id="86" w:name="_Toc58922730"/>
      <w:bookmarkStart w:id="87" w:name="_Toc321473972"/>
      <w:bookmarkStart w:id="88" w:name="_Toc60463275"/>
      <w:bookmarkStart w:id="89" w:name="_Toc84996871"/>
      <w:bookmarkStart w:id="90" w:name="_Toc486258677"/>
      <w:bookmarkStart w:id="91" w:name="_Toc75668229"/>
      <w:bookmarkStart w:id="92" w:name="_Toc58922964"/>
      <w:bookmarkStart w:id="93" w:name="_Toc264618742"/>
      <w:bookmarkStart w:id="94" w:name="_Toc232520888"/>
      <w:r>
        <w:rPr>
          <w:rFonts w:ascii="Times New Roman" w:hAnsi="Times New Roman" w:cs="Times New Roman"/>
          <w:color w:val="000000" w:themeColor="text1"/>
          <w14:textFill>
            <w14:solidFill>
              <w14:schemeClr w14:val="tx1"/>
            </w14:solidFill>
          </w14:textFill>
        </w:rPr>
        <w:t>项目概况</w:t>
      </w:r>
      <w:bookmarkEnd w:id="78"/>
      <w:bookmarkEnd w:id="79"/>
      <w:bookmarkEnd w:id="80"/>
    </w:p>
    <w:p w14:paraId="7F0750F4">
      <w:pPr>
        <w:pStyle w:val="346"/>
        <w:ind w:firstLine="482" w:firstLineChars="200"/>
        <w:rPr>
          <w:color w:val="000000" w:themeColor="text1"/>
          <w14:textFill>
            <w14:solidFill>
              <w14:schemeClr w14:val="tx1"/>
            </w14:solidFill>
          </w14:textFill>
        </w:rPr>
      </w:pPr>
      <w:bookmarkStart w:id="95" w:name="_Toc144375224"/>
      <w:r>
        <w:rPr>
          <w:color w:val="000000" w:themeColor="text1"/>
          <w14:textFill>
            <w14:solidFill>
              <w14:schemeClr w14:val="tx1"/>
            </w14:solidFill>
          </w14:textFill>
        </w:rPr>
        <w:t>3.1 项目简介</w:t>
      </w:r>
      <w:bookmarkEnd w:id="95"/>
    </w:p>
    <w:p w14:paraId="63C1D7B5">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1、项目名称：</w:t>
      </w:r>
      <w:r>
        <w:rPr>
          <w:rFonts w:hint="eastAsia" w:ascii="Times New Roman" w:hAnsi="Times New Roman" w:cs="Times New Roman"/>
          <w:color w:val="000000" w:themeColor="text1"/>
          <w14:textFill>
            <w14:solidFill>
              <w14:schemeClr w14:val="tx1"/>
            </w14:solidFill>
          </w14:textFill>
        </w:rPr>
        <w:t>金鼓江作业区14号泊位后方储罐区工程</w:t>
      </w:r>
    </w:p>
    <w:p w14:paraId="580009E8">
      <w:pPr>
        <w:autoSpaceDE w:val="0"/>
        <w:autoSpaceDN w:val="0"/>
        <w:adjustRightInd w:val="0"/>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2、建设地点：中国（广西）自由贸易试验区钦州港片区（E108°3</w:t>
      </w:r>
      <w:r>
        <w:rPr>
          <w:rFonts w:hint="eastAsia"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42.079</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N21°4</w:t>
      </w:r>
      <w:r>
        <w:rPr>
          <w:rFonts w:hint="eastAsia"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2.970</w:t>
      </w:r>
      <w:r>
        <w:rPr>
          <w:rFonts w:ascii="Times New Roman" w:hAnsi="Times New Roman" w:cs="Times New Roman"/>
          <w:color w:val="000000" w:themeColor="text1"/>
          <w14:textFill>
            <w14:solidFill>
              <w14:schemeClr w14:val="tx1"/>
            </w14:solidFill>
          </w14:textFill>
        </w:rPr>
        <w:t>″）。</w:t>
      </w:r>
    </w:p>
    <w:p w14:paraId="61A1BA72">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3、建设单位：</w:t>
      </w:r>
      <w:r>
        <w:rPr>
          <w:rFonts w:hint="eastAsia" w:ascii="Times New Roman" w:hAnsi="Times New Roman" w:cs="Times New Roman"/>
          <w:color w:val="000000" w:themeColor="text1"/>
          <w14:textFill>
            <w14:solidFill>
              <w14:schemeClr w14:val="tx1"/>
            </w14:solidFill>
          </w14:textFill>
        </w:rPr>
        <w:t>广西自贸区逸海港务有限责任公司</w:t>
      </w:r>
    </w:p>
    <w:p w14:paraId="0880D24A">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4、项目性质：</w:t>
      </w:r>
      <w:r>
        <w:rPr>
          <w:rFonts w:hint="eastAsia" w:ascii="Times New Roman" w:hAnsi="Times New Roman" w:cs="Times New Roman"/>
          <w:color w:val="000000" w:themeColor="text1"/>
          <w14:textFill>
            <w14:solidFill>
              <w14:schemeClr w14:val="tx1"/>
            </w14:solidFill>
          </w14:textFill>
        </w:rPr>
        <w:t>新建</w:t>
      </w:r>
    </w:p>
    <w:p w14:paraId="60EB8B1C">
      <w:pPr>
        <w:tabs>
          <w:tab w:val="center" w:pos="4153"/>
          <w:tab w:val="right" w:pos="8306"/>
        </w:tabs>
        <w:snapToGrid w:val="0"/>
        <w:spacing w:line="360" w:lineRule="auto"/>
        <w:ind w:firstLine="482"/>
        <w:rPr>
          <w:rFonts w:ascii="Times New Roman" w:hAnsi="Times New Roman" w:cs="Times New Roman"/>
          <w:bCs/>
          <w:color w:val="0000FF"/>
        </w:rPr>
      </w:pPr>
      <w:r>
        <w:rPr>
          <w:rFonts w:hint="eastAsia" w:ascii="Times New Roman" w:hAnsi="Times New Roman" w:cs="Times New Roman"/>
          <w:bCs/>
          <w:color w:val="000000" w:themeColor="text1"/>
          <w14:textFill>
            <w14:solidFill>
              <w14:schemeClr w14:val="tx1"/>
            </w14:solidFill>
          </w14:textFill>
        </w:rPr>
        <w:t>5、项目建设规模：14号泊位后方储罐区工程占地面积约131478.45m</w:t>
      </w:r>
      <w:r>
        <w:rPr>
          <w:rFonts w:hint="eastAsia" w:ascii="Times New Roman" w:hAnsi="Times New Roman" w:cs="Times New Roman"/>
          <w:bCs/>
          <w:color w:val="000000" w:themeColor="text1"/>
          <w:vertAlign w:val="superscript"/>
          <w14:textFill>
            <w14:solidFill>
              <w14:schemeClr w14:val="tx1"/>
            </w14:solidFill>
          </w14:textFill>
        </w:rPr>
        <w:t>2</w:t>
      </w:r>
      <w:r>
        <w:rPr>
          <w:rFonts w:hint="eastAsia" w:ascii="Times New Roman" w:hAnsi="Times New Roman" w:cs="Times New Roman"/>
          <w:bCs/>
          <w:color w:val="000000" w:themeColor="text1"/>
          <w14:textFill>
            <w14:solidFill>
              <w14:schemeClr w14:val="tx1"/>
            </w14:solidFill>
          </w14:textFill>
        </w:rPr>
        <w:t>，本项目位于14号泊位后方储罐区区域内，占地面积约18215m</w:t>
      </w:r>
      <w:r>
        <w:rPr>
          <w:rFonts w:hint="eastAsia" w:ascii="Times New Roman" w:hAnsi="Times New Roman" w:cs="Times New Roman"/>
          <w:bCs/>
          <w:color w:val="000000" w:themeColor="text1"/>
          <w:vertAlign w:val="superscript"/>
          <w14:textFill>
            <w14:solidFill>
              <w14:schemeClr w14:val="tx1"/>
            </w14:solidFill>
          </w14:textFill>
        </w:rPr>
        <w:t>2</w:t>
      </w:r>
      <w:r>
        <w:rPr>
          <w:rFonts w:hint="eastAsia" w:ascii="Times New Roman" w:hAnsi="Times New Roman" w:cs="Times New Roman"/>
          <w:bCs/>
          <w:color w:val="000000" w:themeColor="text1"/>
          <w14:textFill>
            <w14:solidFill>
              <w14:schemeClr w14:val="tx1"/>
            </w14:solidFill>
          </w14:textFill>
        </w:rPr>
        <w:t>。建设内容：一部分新建1台5000m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液硫储罐、1台5000m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液碱储罐、1台5000m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发烟硫酸(硫酸)储罐及配套输送管线和装车设施；新建1条DN250油品输送管线(与丰之力新能源管线相连，以项目红线为边界)，改造1条原有DN200苯管线作为苯乙烯输送管线(与骅桥新材料管线相连，以项目红线为边界)，二部分新建2台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酚储罐及配套工艺管道(含厂外输送管道)；1台15000m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己内酰胺储罐和配套装卸车设施。液硫储运量为24万吨/年，硫酸储运量为2万吨/年，液碱储运量为2万吨/年，苯酚储运量为20万吨/年，己内酰胺储运量为22.4万吨/年，总周转量为70.4万吨/年。</w:t>
      </w:r>
    </w:p>
    <w:p w14:paraId="306A9276">
      <w:pPr>
        <w:tabs>
          <w:tab w:val="center" w:pos="4153"/>
          <w:tab w:val="right" w:pos="8306"/>
        </w:tabs>
        <w:snapToGrid w:val="0"/>
        <w:spacing w:line="360" w:lineRule="auto"/>
        <w:ind w:firstLine="482"/>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6、项目投资：15200万元，其中环保投资160万元，环保投资占总投资的1.05%。</w:t>
      </w:r>
    </w:p>
    <w:p w14:paraId="2EECFB04">
      <w:pPr>
        <w:adjustRightInd w:val="0"/>
        <w:snapToGrid w:val="0"/>
        <w:spacing w:line="240" w:lineRule="atLeast"/>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
          <w:color w:val="000000" w:themeColor="text1"/>
          <w:szCs w:val="21"/>
          <w14:textFill>
            <w14:solidFill>
              <w14:schemeClr w14:val="tx1"/>
            </w14:solidFill>
          </w14:textFill>
        </w:rPr>
        <w:t>表3-1项目工程建设情况一览表</w:t>
      </w:r>
    </w:p>
    <w:tbl>
      <w:tblPr>
        <w:tblStyle w:val="88"/>
        <w:tblW w:w="87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567"/>
        <w:gridCol w:w="1049"/>
        <w:gridCol w:w="6200"/>
        <w:gridCol w:w="902"/>
      </w:tblGrid>
      <w:tr w14:paraId="7E8C9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Align w:val="center"/>
          </w:tcPr>
          <w:p w14:paraId="025F51BC">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工程</w:t>
            </w:r>
          </w:p>
        </w:tc>
        <w:tc>
          <w:tcPr>
            <w:tcW w:w="1049" w:type="dxa"/>
            <w:vAlign w:val="center"/>
          </w:tcPr>
          <w:p w14:paraId="27BF71DC">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工程名称</w:t>
            </w:r>
          </w:p>
        </w:tc>
        <w:tc>
          <w:tcPr>
            <w:tcW w:w="6200" w:type="dxa"/>
            <w:vAlign w:val="center"/>
          </w:tcPr>
          <w:p w14:paraId="043ABF0D">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项目建设内容</w:t>
            </w:r>
          </w:p>
        </w:tc>
        <w:tc>
          <w:tcPr>
            <w:tcW w:w="902" w:type="dxa"/>
          </w:tcPr>
          <w:p w14:paraId="066DF80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备注</w:t>
            </w:r>
          </w:p>
        </w:tc>
      </w:tr>
      <w:tr w14:paraId="6B50D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3" w:hRule="atLeast"/>
        </w:trPr>
        <w:tc>
          <w:tcPr>
            <w:tcW w:w="567" w:type="dxa"/>
            <w:vMerge w:val="restart"/>
            <w:vAlign w:val="center"/>
          </w:tcPr>
          <w:p w14:paraId="4DB2576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主体工程</w:t>
            </w:r>
          </w:p>
        </w:tc>
        <w:tc>
          <w:tcPr>
            <w:tcW w:w="1049" w:type="dxa"/>
            <w:vAlign w:val="center"/>
          </w:tcPr>
          <w:p w14:paraId="7D53D56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1#储罐组</w:t>
            </w:r>
          </w:p>
        </w:tc>
        <w:tc>
          <w:tcPr>
            <w:tcW w:w="6200" w:type="dxa"/>
            <w:vAlign w:val="center"/>
          </w:tcPr>
          <w:p w14:paraId="0C0D653C">
            <w:pPr>
              <w:adjustRightInd w:val="0"/>
              <w:snapToGrid w:val="0"/>
              <w:jc w:val="both"/>
              <w:rPr>
                <w:rFonts w:ascii="Times New Roman" w:hAnsi="Times New Roman" w:cs="Times New Roman"/>
                <w:color w:val="000000" w:themeColor="text1"/>
                <w:sz w:val="21"/>
                <w:szCs w:val="28"/>
                <w14:textFill>
                  <w14:solidFill>
                    <w14:schemeClr w14:val="tx1"/>
                  </w14:solidFill>
                </w14:textFill>
              </w:rPr>
            </w:pPr>
            <w:r>
              <w:rPr>
                <w:rFonts w:hint="eastAsia" w:ascii="Times New Roman" w:hAnsi="Times New Roman" w:cs="Times New Roman"/>
                <w:color w:val="000000" w:themeColor="text1"/>
                <w:sz w:val="21"/>
                <w:szCs w:val="28"/>
                <w14:textFill>
                  <w14:solidFill>
                    <w14:schemeClr w14:val="tx1"/>
                  </w14:solidFill>
                </w14:textFill>
              </w:rPr>
              <w:t>占地面积2754.2m</w:t>
            </w:r>
            <w:r>
              <w:rPr>
                <w:rFonts w:hint="eastAsia" w:ascii="Times New Roman" w:hAnsi="Times New Roman" w:cs="Times New Roman"/>
                <w:color w:val="000000" w:themeColor="text1"/>
                <w:sz w:val="21"/>
                <w:szCs w:val="28"/>
                <w:vertAlign w:val="superscript"/>
                <w14:textFill>
                  <w14:solidFill>
                    <w14:schemeClr w14:val="tx1"/>
                  </w14:solidFill>
                </w14:textFill>
              </w:rPr>
              <w:t>2</w:t>
            </w:r>
            <w:r>
              <w:rPr>
                <w:rFonts w:hint="eastAsia" w:ascii="Times New Roman" w:hAnsi="Times New Roman" w:cs="Times New Roman"/>
                <w:color w:val="000000" w:themeColor="text1"/>
                <w:sz w:val="21"/>
                <w:szCs w:val="28"/>
                <w14:textFill>
                  <w14:solidFill>
                    <w14:schemeClr w14:val="tx1"/>
                  </w14:solidFill>
                </w14:textFill>
              </w:rPr>
              <w:t>，新建2台5000m</w:t>
            </w:r>
            <w:r>
              <w:rPr>
                <w:rFonts w:hint="eastAsia" w:ascii="Times New Roman" w:hAnsi="Times New Roman" w:cs="Times New Roman"/>
                <w:color w:val="000000" w:themeColor="text1"/>
                <w:sz w:val="21"/>
                <w:szCs w:val="28"/>
                <w:vertAlign w:val="superscript"/>
                <w14:textFill>
                  <w14:solidFill>
                    <w14:schemeClr w14:val="tx1"/>
                  </w14:solidFill>
                </w14:textFill>
              </w:rPr>
              <w:t>3</w:t>
            </w:r>
            <w:r>
              <w:rPr>
                <w:rFonts w:hint="eastAsia" w:ascii="Times New Roman" w:hAnsi="Times New Roman" w:cs="Times New Roman"/>
                <w:color w:val="000000" w:themeColor="text1"/>
                <w:sz w:val="21"/>
                <w:szCs w:val="28"/>
                <w14:textFill>
                  <w14:solidFill>
                    <w14:schemeClr w14:val="tx1"/>
                  </w14:solidFill>
                </w14:textFill>
              </w:rPr>
              <w:t>苯酚储罐，每个储罐之间设置0.8m高的隔堤，整个罐区设置1.4m高的防火堤。</w:t>
            </w:r>
          </w:p>
        </w:tc>
        <w:tc>
          <w:tcPr>
            <w:tcW w:w="902" w:type="dxa"/>
            <w:vAlign w:val="center"/>
          </w:tcPr>
          <w:p w14:paraId="3605A81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21B1B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6693E3F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0D50407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2#储罐组</w:t>
            </w:r>
          </w:p>
        </w:tc>
        <w:tc>
          <w:tcPr>
            <w:tcW w:w="6200" w:type="dxa"/>
            <w:vAlign w:val="center"/>
          </w:tcPr>
          <w:p w14:paraId="230E461B">
            <w:pPr>
              <w:adjustRightInd w:val="0"/>
              <w:snapToGrid w:val="0"/>
              <w:jc w:val="both"/>
              <w:rPr>
                <w:rFonts w:ascii="Times New Roman" w:hAnsi="Times New Roman" w:cs="Times New Roman"/>
                <w:color w:val="000000" w:themeColor="text1"/>
                <w:sz w:val="21"/>
                <w:szCs w:val="28"/>
                <w14:textFill>
                  <w14:solidFill>
                    <w14:schemeClr w14:val="tx1"/>
                  </w14:solidFill>
                </w14:textFill>
              </w:rPr>
            </w:pPr>
            <w:r>
              <w:rPr>
                <w:rFonts w:hint="eastAsia" w:ascii="Times New Roman" w:hAnsi="Times New Roman" w:cs="Times New Roman"/>
                <w:color w:val="000000" w:themeColor="text1"/>
                <w:sz w:val="21"/>
                <w:szCs w:val="28"/>
                <w14:textFill>
                  <w14:solidFill>
                    <w14:schemeClr w14:val="tx1"/>
                  </w14:solidFill>
                </w14:textFill>
              </w:rPr>
              <w:t>占地面积4970m</w:t>
            </w:r>
            <w:r>
              <w:rPr>
                <w:rFonts w:hint="eastAsia" w:ascii="Times New Roman" w:hAnsi="Times New Roman" w:cs="Times New Roman"/>
                <w:color w:val="000000" w:themeColor="text1"/>
                <w:sz w:val="21"/>
                <w:szCs w:val="28"/>
                <w:vertAlign w:val="superscript"/>
                <w14:textFill>
                  <w14:solidFill>
                    <w14:schemeClr w14:val="tx1"/>
                  </w14:solidFill>
                </w14:textFill>
              </w:rPr>
              <w:t>2</w:t>
            </w:r>
            <w:r>
              <w:rPr>
                <w:rFonts w:hint="eastAsia" w:ascii="Times New Roman" w:hAnsi="Times New Roman" w:cs="Times New Roman"/>
                <w:color w:val="000000" w:themeColor="text1"/>
                <w:sz w:val="21"/>
                <w:szCs w:val="28"/>
                <w14:textFill>
                  <w14:solidFill>
                    <w14:schemeClr w14:val="tx1"/>
                  </w14:solidFill>
                </w14:textFill>
              </w:rPr>
              <w:t>，新建1台15000m</w:t>
            </w:r>
            <w:r>
              <w:rPr>
                <w:rFonts w:hint="eastAsia" w:ascii="Times New Roman" w:hAnsi="Times New Roman" w:cs="Times New Roman"/>
                <w:color w:val="000000" w:themeColor="text1"/>
                <w:sz w:val="21"/>
                <w:szCs w:val="28"/>
                <w:vertAlign w:val="superscript"/>
                <w14:textFill>
                  <w14:solidFill>
                    <w14:schemeClr w14:val="tx1"/>
                  </w14:solidFill>
                </w14:textFill>
              </w:rPr>
              <w:t>3</w:t>
            </w:r>
            <w:r>
              <w:rPr>
                <w:rFonts w:hint="eastAsia" w:ascii="Times New Roman" w:hAnsi="Times New Roman" w:cs="Times New Roman"/>
                <w:color w:val="000000" w:themeColor="text1"/>
                <w:sz w:val="21"/>
                <w:szCs w:val="28"/>
                <w14:textFill>
                  <w14:solidFill>
                    <w14:schemeClr w14:val="tx1"/>
                  </w14:solidFill>
                </w14:textFill>
              </w:rPr>
              <w:t>苯酚储罐，罐区设置1.4m高的防火堤。</w:t>
            </w:r>
          </w:p>
        </w:tc>
        <w:tc>
          <w:tcPr>
            <w:tcW w:w="902" w:type="dxa"/>
            <w:vAlign w:val="center"/>
          </w:tcPr>
          <w:p w14:paraId="6989E18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089C7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7B912F9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1AD749F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4#储罐组</w:t>
            </w:r>
          </w:p>
        </w:tc>
        <w:tc>
          <w:tcPr>
            <w:tcW w:w="6200" w:type="dxa"/>
            <w:vAlign w:val="center"/>
          </w:tcPr>
          <w:p w14:paraId="288BD296">
            <w:pPr>
              <w:adjustRightInd w:val="0"/>
              <w:snapToGrid w:val="0"/>
              <w:jc w:val="both"/>
              <w:rPr>
                <w:rFonts w:ascii="Times New Roman" w:hAnsi="Times New Roman" w:cs="Times New Roman"/>
                <w:color w:val="000000" w:themeColor="text1"/>
                <w:sz w:val="21"/>
                <w:szCs w:val="28"/>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占地面积4316.0m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，设有5000m</w:t>
            </w:r>
            <w:r>
              <w:rPr>
                <w:rFonts w:hint="eastAsia" w:ascii="Times New Roman" w:hAnsi="Times New Roman" w:cs="Times New Roman"/>
                <w:color w:val="000000" w:themeColor="text1"/>
                <w:sz w:val="21"/>
                <w:szCs w:val="21"/>
                <w:vertAlign w:val="superscript"/>
                <w14:textFill>
                  <w14:solidFill>
                    <w14:schemeClr w14:val="tx1"/>
                  </w14:solidFill>
                </w14:textFill>
              </w:rPr>
              <w:t>3</w:t>
            </w:r>
            <w:r>
              <w:rPr>
                <w:rFonts w:hint="eastAsia" w:ascii="Times New Roman" w:hAnsi="Times New Roman" w:cs="Times New Roman"/>
                <w:color w:val="000000" w:themeColor="text1"/>
                <w:sz w:val="21"/>
                <w:szCs w:val="21"/>
                <w14:textFill>
                  <w14:solidFill>
                    <w14:schemeClr w14:val="tx1"/>
                  </w14:solidFill>
                </w14:textFill>
              </w:rPr>
              <w:t>固定顶罐3座，</w:t>
            </w:r>
            <w:r>
              <w:rPr>
                <w:rFonts w:hint="eastAsia" w:ascii="Times New Roman" w:hAnsi="Times New Roman" w:cs="Times New Roman"/>
                <w:color w:val="000000" w:themeColor="text1"/>
                <w:sz w:val="21"/>
                <w:szCs w:val="28"/>
                <w14:textFill>
                  <w14:solidFill>
                    <w14:schemeClr w14:val="tx1"/>
                  </w14:solidFill>
                </w14:textFill>
              </w:rPr>
              <w:t>每个储罐之间设置0.8m高的隔堤，整个罐区设置1.4m高的防火堤。</w:t>
            </w:r>
          </w:p>
        </w:tc>
        <w:tc>
          <w:tcPr>
            <w:tcW w:w="902" w:type="dxa"/>
            <w:vAlign w:val="center"/>
          </w:tcPr>
          <w:p w14:paraId="4746439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新建</w:t>
            </w:r>
          </w:p>
        </w:tc>
      </w:tr>
      <w:tr w14:paraId="5E107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085DB7C8">
            <w:pPr>
              <w:adjustRightInd w:val="0"/>
              <w:snapToGrid w:val="0"/>
              <w:jc w:val="center"/>
              <w:rPr>
                <w:rFonts w:ascii="Times New Roman" w:hAnsi="Times New Roman" w:cs="Times New Roman"/>
                <w:color w:val="FF0000"/>
                <w:sz w:val="21"/>
                <w:szCs w:val="21"/>
              </w:rPr>
            </w:pPr>
          </w:p>
        </w:tc>
        <w:tc>
          <w:tcPr>
            <w:tcW w:w="1049" w:type="dxa"/>
            <w:vAlign w:val="center"/>
          </w:tcPr>
          <w:p w14:paraId="323BF69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汽车装卸区</w:t>
            </w:r>
          </w:p>
        </w:tc>
        <w:tc>
          <w:tcPr>
            <w:tcW w:w="6200" w:type="dxa"/>
            <w:vAlign w:val="center"/>
          </w:tcPr>
          <w:p w14:paraId="1F150AE1">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装卸区域占地约4687m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，包含一座装车棚、一栋门卫/地磅房、一台地磅。装车棚占地约372.6m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，设置液硫装卸臂2台，</w:t>
            </w:r>
            <w:r>
              <w:rPr>
                <w:color w:val="000000" w:themeColor="text1"/>
                <w:sz w:val="21"/>
                <w:szCs w:val="21"/>
                <w14:textFill>
                  <w14:solidFill>
                    <w14:schemeClr w14:val="tx1"/>
                  </w14:solidFill>
                </w14:textFill>
              </w:rPr>
              <w:t>液硫装卸车位</w:t>
            </w:r>
            <w:r>
              <w:rPr>
                <w:rFonts w:hint="eastAsia"/>
                <w:color w:val="000000" w:themeColor="text1"/>
                <w:sz w:val="21"/>
                <w:szCs w:val="21"/>
                <w14:textFill>
                  <w14:solidFill>
                    <w14:schemeClr w14:val="tx1"/>
                  </w14:solidFill>
                </w14:textFill>
              </w:rPr>
              <w:t>2个；设置</w:t>
            </w:r>
            <w:r>
              <w:rPr>
                <w:rFonts w:hint="eastAsia" w:ascii="Times New Roman" w:hAnsi="Times New Roman" w:cs="Times New Roman"/>
                <w:color w:val="000000" w:themeColor="text1"/>
                <w:sz w:val="21"/>
                <w:szCs w:val="21"/>
                <w14:textFill>
                  <w14:solidFill>
                    <w14:schemeClr w14:val="tx1"/>
                  </w14:solidFill>
                </w14:textFill>
              </w:rPr>
              <w:t>硫酸装卸臂1台，硫酸装卸车位1个；设置液碱装卸臂1台，液碱装卸车位1个；设置己内酰胺卸车泵2台，卸车位2个。</w:t>
            </w:r>
          </w:p>
        </w:tc>
        <w:tc>
          <w:tcPr>
            <w:tcW w:w="902" w:type="dxa"/>
            <w:vAlign w:val="center"/>
          </w:tcPr>
          <w:p w14:paraId="565D97D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33613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5" w:hRule="atLeast"/>
        </w:trPr>
        <w:tc>
          <w:tcPr>
            <w:tcW w:w="567" w:type="dxa"/>
            <w:vMerge w:val="restart"/>
            <w:vAlign w:val="center"/>
          </w:tcPr>
          <w:p w14:paraId="5F6B58C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辅助工程</w:t>
            </w:r>
          </w:p>
        </w:tc>
        <w:tc>
          <w:tcPr>
            <w:tcW w:w="1049" w:type="dxa"/>
            <w:vAlign w:val="center"/>
          </w:tcPr>
          <w:p w14:paraId="0BF53F7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1#罐组</w:t>
            </w:r>
          </w:p>
          <w:p w14:paraId="19A27BC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泵棚</w:t>
            </w:r>
          </w:p>
        </w:tc>
        <w:tc>
          <w:tcPr>
            <w:tcW w:w="6200" w:type="dxa"/>
            <w:vAlign w:val="center"/>
          </w:tcPr>
          <w:p w14:paraId="00E68DF1">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占地面积45m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，设置2台苯酚输送泵。</w:t>
            </w:r>
          </w:p>
        </w:tc>
        <w:tc>
          <w:tcPr>
            <w:tcW w:w="902" w:type="dxa"/>
            <w:vAlign w:val="center"/>
          </w:tcPr>
          <w:p w14:paraId="704CA01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75A9F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419786A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14A12D1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2#罐组</w:t>
            </w:r>
          </w:p>
          <w:p w14:paraId="1D2FD72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泵棚</w:t>
            </w:r>
          </w:p>
        </w:tc>
        <w:tc>
          <w:tcPr>
            <w:tcW w:w="6200" w:type="dxa"/>
            <w:vAlign w:val="center"/>
          </w:tcPr>
          <w:p w14:paraId="019E0A56">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占地面积约265m</w:t>
            </w:r>
            <w:r>
              <w:rPr>
                <w:rFonts w:hint="eastAsia"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，设置1个热水罐，2台热水泵，2台己内酰胺装船泵，1台循环泵。</w:t>
            </w:r>
          </w:p>
        </w:tc>
        <w:tc>
          <w:tcPr>
            <w:tcW w:w="902" w:type="dxa"/>
            <w:vAlign w:val="center"/>
          </w:tcPr>
          <w:p w14:paraId="5FF4F9B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0E92C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157B63A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5A90B9C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4#罐组</w:t>
            </w:r>
          </w:p>
          <w:p w14:paraId="0264B1B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泵棚</w:t>
            </w:r>
          </w:p>
        </w:tc>
        <w:tc>
          <w:tcPr>
            <w:tcW w:w="6200" w:type="dxa"/>
            <w:vAlign w:val="center"/>
          </w:tcPr>
          <w:p w14:paraId="3532ED1F">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占地面积</w:t>
            </w:r>
            <w:r>
              <w:rPr>
                <w:rFonts w:hint="eastAsia" w:ascii="Times New Roman" w:hAnsi="Times New Roman" w:cs="Times New Roman"/>
                <w:color w:val="000000" w:themeColor="text1"/>
                <w:sz w:val="21"/>
                <w:szCs w:val="21"/>
                <w14:textFill>
                  <w14:solidFill>
                    <w14:schemeClr w14:val="tx1"/>
                  </w14:solidFill>
                </w14:textFill>
              </w:rPr>
              <w:t>178.0</w:t>
            </w:r>
            <w:r>
              <w:rPr>
                <w:rFonts w:ascii="Times New Roman" w:hAnsi="Times New Roman" w:cs="Times New Roman"/>
                <w:color w:val="000000" w:themeColor="text1"/>
                <w:sz w:val="21"/>
                <w:szCs w:val="21"/>
                <w14:textFill>
                  <w14:solidFill>
                    <w14:schemeClr w14:val="tx1"/>
                  </w14:solidFill>
                </w14:textFill>
              </w:rPr>
              <w:t>m</w:t>
            </w:r>
            <w:r>
              <w:rPr>
                <w:rFonts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，位于4#储罐组东侧</w:t>
            </w:r>
          </w:p>
        </w:tc>
        <w:tc>
          <w:tcPr>
            <w:tcW w:w="902" w:type="dxa"/>
            <w:vAlign w:val="center"/>
          </w:tcPr>
          <w:p w14:paraId="31DFFC7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新建</w:t>
            </w:r>
          </w:p>
        </w:tc>
      </w:tr>
      <w:tr w14:paraId="65BF6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6AB4AA8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4B1FFBD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管道工程</w:t>
            </w:r>
          </w:p>
        </w:tc>
        <w:tc>
          <w:tcPr>
            <w:tcW w:w="6200" w:type="dxa"/>
            <w:vAlign w:val="center"/>
          </w:tcPr>
          <w:p w14:paraId="2CC84098">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占地面积</w:t>
            </w:r>
            <w:r>
              <w:rPr>
                <w:rFonts w:hint="eastAsia" w:ascii="Times New Roman" w:hAnsi="Times New Roman" w:cs="Times New Roman"/>
                <w:color w:val="000000" w:themeColor="text1"/>
                <w:sz w:val="21"/>
                <w:szCs w:val="21"/>
                <w14:textFill>
                  <w14:solidFill>
                    <w14:schemeClr w14:val="tx1"/>
                  </w14:solidFill>
                </w14:textFill>
              </w:rPr>
              <w:t>约1000</w:t>
            </w:r>
            <w:r>
              <w:rPr>
                <w:rFonts w:ascii="Times New Roman" w:hAnsi="Times New Roman" w:cs="Times New Roman"/>
                <w:color w:val="000000" w:themeColor="text1"/>
                <w:sz w:val="21"/>
                <w:szCs w:val="21"/>
                <w14:textFill>
                  <w14:solidFill>
                    <w14:schemeClr w14:val="tx1"/>
                  </w14:solidFill>
                </w14:textFill>
              </w:rPr>
              <w:t>m</w:t>
            </w:r>
            <w:r>
              <w:rPr>
                <w:rFonts w:ascii="Times New Roman" w:hAnsi="Times New Roman" w:cs="Times New Roman"/>
                <w:color w:val="000000" w:themeColor="text1"/>
                <w:sz w:val="21"/>
                <w:szCs w:val="21"/>
                <w:vertAlign w:val="superscript"/>
                <w14:textFill>
                  <w14:solidFill>
                    <w14:schemeClr w14:val="tx1"/>
                  </w14:solidFill>
                </w14:textFill>
              </w:rPr>
              <w:t>2</w:t>
            </w:r>
            <w:r>
              <w:rPr>
                <w:rFonts w:hint="eastAsia" w:ascii="Times New Roman" w:hAnsi="Times New Roman" w:cs="Times New Roman"/>
                <w:color w:val="000000" w:themeColor="text1"/>
                <w:sz w:val="21"/>
                <w:szCs w:val="21"/>
                <w14:textFill>
                  <w14:solidFill>
                    <w14:schemeClr w14:val="tx1"/>
                  </w14:solidFill>
                </w14:textFill>
              </w:rPr>
              <w:t>。液硫、发烟硫酸/98%硫酸、液碱、苯酚、己内酰胺储运工程管道连接储罐区、汽车装卸区和泊位码头区域。新建1条DN250油品输送管线(与丰之力新能源管线相连，以项目红线为边界)，改造1条原有DN200苯管线作为苯乙烯输送管线(与骅桥新材料管线相连，以项目红线为边界)。</w:t>
            </w:r>
          </w:p>
        </w:tc>
        <w:tc>
          <w:tcPr>
            <w:tcW w:w="902" w:type="dxa"/>
            <w:vAlign w:val="center"/>
          </w:tcPr>
          <w:p w14:paraId="6682F99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新建</w:t>
            </w:r>
          </w:p>
        </w:tc>
      </w:tr>
      <w:tr w14:paraId="4BF3E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52A47CA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2FF4B1B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伴热装置</w:t>
            </w:r>
          </w:p>
        </w:tc>
        <w:tc>
          <w:tcPr>
            <w:tcW w:w="6200" w:type="dxa"/>
            <w:vAlign w:val="center"/>
          </w:tcPr>
          <w:p w14:paraId="6692F3D3">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所有液硫设备、管道均设置集肤式电伴热，保证液硫温度135~145℃，避免堵塞。</w:t>
            </w:r>
          </w:p>
          <w:p w14:paraId="02DF44A2">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硫酸管道均设置电伴热保温，保证输送温度40~50℃，避免堵塞。</w:t>
            </w:r>
          </w:p>
          <w:p w14:paraId="40111075">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液碱管道均设置电伴热保温，保证液碱温度50~60℃，避免堵塞。</w:t>
            </w:r>
          </w:p>
          <w:p w14:paraId="4BD561AC">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苯酚储罐采用热水内盘管维持储罐温度55℃，苯酚管道采用热水伴热。</w:t>
            </w:r>
          </w:p>
          <w:p w14:paraId="3861ECEE">
            <w:pPr>
              <w:pStyle w:val="86"/>
              <w:ind w:firstLine="0" w:firstLineChars="0"/>
            </w:pPr>
            <w:r>
              <w:rPr>
                <w:rFonts w:hint="eastAsia"/>
                <w:sz w:val="21"/>
                <w:szCs w:val="21"/>
              </w:rPr>
              <w:t>己内酰胺储罐采用罐壁、罐底热水外盘管维持储罐温度80℃，库区管道采用热水夹套管伴热。</w:t>
            </w:r>
          </w:p>
        </w:tc>
        <w:tc>
          <w:tcPr>
            <w:tcW w:w="902" w:type="dxa"/>
            <w:vAlign w:val="center"/>
          </w:tcPr>
          <w:p w14:paraId="76EF1A2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63B36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restart"/>
            <w:vAlign w:val="center"/>
          </w:tcPr>
          <w:p w14:paraId="241A767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公用工程</w:t>
            </w:r>
          </w:p>
        </w:tc>
        <w:tc>
          <w:tcPr>
            <w:tcW w:w="1049" w:type="dxa"/>
            <w:vAlign w:val="center"/>
          </w:tcPr>
          <w:p w14:paraId="3CA50B6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供水工程</w:t>
            </w:r>
          </w:p>
        </w:tc>
        <w:tc>
          <w:tcPr>
            <w:tcW w:w="6200" w:type="dxa"/>
            <w:vAlign w:val="center"/>
          </w:tcPr>
          <w:p w14:paraId="14384B62">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由开发区自来水管网引入。</w:t>
            </w:r>
          </w:p>
        </w:tc>
        <w:tc>
          <w:tcPr>
            <w:tcW w:w="902" w:type="dxa"/>
            <w:vAlign w:val="center"/>
          </w:tcPr>
          <w:p w14:paraId="7843532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1459B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86" w:hRule="atLeast"/>
        </w:trPr>
        <w:tc>
          <w:tcPr>
            <w:tcW w:w="567" w:type="dxa"/>
            <w:vMerge w:val="continue"/>
            <w:vAlign w:val="center"/>
          </w:tcPr>
          <w:p w14:paraId="327513A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0A31A21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排水工程</w:t>
            </w:r>
          </w:p>
        </w:tc>
        <w:tc>
          <w:tcPr>
            <w:tcW w:w="6200" w:type="dxa"/>
            <w:vAlign w:val="center"/>
          </w:tcPr>
          <w:p w14:paraId="4D2D80E7">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雨污分流</w:t>
            </w:r>
            <w:r>
              <w:rPr>
                <w:rFonts w:hint="eastAsia" w:ascii="Times New Roman" w:hAnsi="Times New Roman" w:cs="Times New Roman"/>
                <w:color w:val="000000" w:themeColor="text1"/>
                <w:sz w:val="21"/>
                <w:szCs w:val="21"/>
                <w14:textFill>
                  <w14:solidFill>
                    <w14:schemeClr w14:val="tx1"/>
                  </w14:solidFill>
                </w14:textFill>
              </w:rPr>
              <w:t>初期雨水</w:t>
            </w:r>
            <w:r>
              <w:rPr>
                <w:rFonts w:ascii="Times New Roman" w:hAnsi="Times New Roman" w:cs="Times New Roman"/>
                <w:color w:val="000000" w:themeColor="text1"/>
                <w:sz w:val="21"/>
                <w:szCs w:val="21"/>
                <w14:textFill>
                  <w14:solidFill>
                    <w14:schemeClr w14:val="tx1"/>
                  </w14:solidFill>
                </w14:textFill>
              </w:rPr>
              <w:t>经过池隔油沉淀处理后交由</w:t>
            </w:r>
            <w:r>
              <w:rPr>
                <w:rFonts w:hint="eastAsia" w:ascii="Times New Roman" w:hAnsi="Times New Roman" w:cs="Times New Roman"/>
                <w:color w:val="000000" w:themeColor="text1"/>
                <w:sz w:val="21"/>
                <w:szCs w:val="21"/>
                <w14:textFill>
                  <w14:solidFill>
                    <w14:schemeClr w14:val="tx1"/>
                  </w14:solidFill>
                </w14:textFill>
              </w:rPr>
              <w:t>广西恒逸新材料有限公司建设的污水处理厂</w:t>
            </w:r>
            <w:r>
              <w:rPr>
                <w:rFonts w:ascii="Times New Roman" w:hAnsi="Times New Roman" w:cs="Times New Roman"/>
                <w:color w:val="000000" w:themeColor="text1"/>
                <w:sz w:val="21"/>
                <w:szCs w:val="21"/>
                <w14:textFill>
                  <w14:solidFill>
                    <w14:schemeClr w14:val="tx1"/>
                  </w14:solidFill>
                </w14:textFill>
              </w:rPr>
              <w:t>处理</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后期雨水及其他区域的一般雨水通过</w:t>
            </w:r>
            <w:r>
              <w:rPr>
                <w:rFonts w:hint="eastAsia" w:ascii="Times New Roman" w:hAnsi="Times New Roman" w:cs="Times New Roman"/>
                <w:color w:val="000000" w:themeColor="text1"/>
                <w:sz w:val="21"/>
                <w:szCs w:val="21"/>
                <w14:textFill>
                  <w14:solidFill>
                    <w14:schemeClr w14:val="tx1"/>
                  </w14:solidFill>
                </w14:textFill>
              </w:rPr>
              <w:t>雨水排放管网</w:t>
            </w:r>
            <w:r>
              <w:rPr>
                <w:rFonts w:ascii="Times New Roman" w:hAnsi="Times New Roman" w:cs="Times New Roman"/>
                <w:color w:val="000000" w:themeColor="text1"/>
                <w:sz w:val="21"/>
                <w:szCs w:val="21"/>
                <w14:textFill>
                  <w14:solidFill>
                    <w14:schemeClr w14:val="tx1"/>
                  </w14:solidFill>
                </w14:textFill>
              </w:rPr>
              <w:t>排至海域；</w:t>
            </w:r>
            <w:r>
              <w:rPr>
                <w:rFonts w:hint="eastAsia" w:ascii="Times New Roman" w:hAnsi="Times New Roman" w:cs="Times New Roman"/>
                <w:color w:val="000000" w:themeColor="text1"/>
                <w:sz w:val="21"/>
                <w:szCs w:val="21"/>
                <w14:textFill>
                  <w14:solidFill>
                    <w14:schemeClr w14:val="tx1"/>
                  </w14:solidFill>
                </w14:textFill>
              </w:rPr>
              <w:t>己内酰胺储罐尾气水洗塔废水泵经污水管网泵送至恒逸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r>
              <w:rPr>
                <w:rFonts w:hint="eastAsia" w:ascii="Times New Roman" w:hAnsi="Times New Roman" w:cs="Times New Roman"/>
                <w:color w:val="000000" w:themeColor="text1"/>
                <w:sz w:val="21"/>
                <w:szCs w:val="21"/>
                <w14:textFill>
                  <w14:solidFill>
                    <w14:schemeClr w14:val="tx1"/>
                  </w14:solidFill>
                </w14:textFill>
              </w:rPr>
              <w:t>处理。</w:t>
            </w:r>
          </w:p>
        </w:tc>
        <w:tc>
          <w:tcPr>
            <w:tcW w:w="902" w:type="dxa"/>
          </w:tcPr>
          <w:p w14:paraId="49E8410A">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依托</w:t>
            </w:r>
            <w:r>
              <w:rPr>
                <w:rFonts w:hint="eastAsia" w:ascii="Times New Roman" w:hAnsi="Times New Roman" w:cs="Times New Roman"/>
                <w:color w:val="000000" w:themeColor="text1"/>
                <w:sz w:val="21"/>
                <w:szCs w:val="21"/>
                <w14:textFill>
                  <w14:solidFill>
                    <w14:schemeClr w14:val="tx1"/>
                  </w14:solidFill>
                </w14:textFill>
              </w:rPr>
              <w:t>广西恒逸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p>
        </w:tc>
      </w:tr>
      <w:tr w14:paraId="3F640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3DFCDB4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71EFAC2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供电工程</w:t>
            </w:r>
          </w:p>
        </w:tc>
        <w:tc>
          <w:tcPr>
            <w:tcW w:w="6200" w:type="dxa"/>
            <w:vAlign w:val="center"/>
          </w:tcPr>
          <w:p w14:paraId="1151CAE3">
            <w:pPr>
              <w:adjustRightInd w:val="0"/>
              <w:snapToGrid w:val="0"/>
              <w:rPr>
                <w:rFonts w:ascii="Times New Roman" w:hAnsi="Times New Roman" w:cs="Times New Roman"/>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由园区变电站提供</w:t>
            </w:r>
            <w:r>
              <w:rPr>
                <w:rFonts w:ascii="Times New Roman" w:hAnsi="Times New Roman" w:cs="Times New Roman"/>
                <w:color w:val="000000" w:themeColor="text1"/>
                <w:sz w:val="21"/>
                <w:szCs w:val="21"/>
                <w14:textFill>
                  <w14:solidFill>
                    <w14:schemeClr w14:val="tx1"/>
                  </w14:solidFill>
                </w14:textFill>
              </w:rPr>
              <w:t>。</w:t>
            </w:r>
          </w:p>
        </w:tc>
        <w:tc>
          <w:tcPr>
            <w:tcW w:w="902" w:type="dxa"/>
            <w:vAlign w:val="center"/>
          </w:tcPr>
          <w:p w14:paraId="1861EB9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210DA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1A2EA9E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7900541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氮气系统</w:t>
            </w:r>
          </w:p>
        </w:tc>
        <w:tc>
          <w:tcPr>
            <w:tcW w:w="6200" w:type="dxa"/>
            <w:vAlign w:val="center"/>
          </w:tcPr>
          <w:p w14:paraId="07ED4821">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依托钦州港金谷港区金鼓江作业区14号泊位码头（一期工程）氮气系统</w:t>
            </w:r>
          </w:p>
        </w:tc>
        <w:tc>
          <w:tcPr>
            <w:tcW w:w="902" w:type="dxa"/>
          </w:tcPr>
          <w:p w14:paraId="3DBFAC3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w:t>
            </w:r>
          </w:p>
        </w:tc>
      </w:tr>
      <w:tr w14:paraId="676FE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024B87E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099AA79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仪表空气</w:t>
            </w:r>
          </w:p>
        </w:tc>
        <w:tc>
          <w:tcPr>
            <w:tcW w:w="6200" w:type="dxa"/>
            <w:vAlign w:val="center"/>
          </w:tcPr>
          <w:p w14:paraId="28F019AE">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依托钦州港金谷港区金鼓江作业区14号泊位码头（一期工程）仪表空气系统</w:t>
            </w:r>
          </w:p>
        </w:tc>
        <w:tc>
          <w:tcPr>
            <w:tcW w:w="902" w:type="dxa"/>
          </w:tcPr>
          <w:p w14:paraId="62C18B9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w:t>
            </w:r>
          </w:p>
        </w:tc>
      </w:tr>
      <w:tr w14:paraId="74302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72388F1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367066B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泡沫灭火系统</w:t>
            </w:r>
          </w:p>
        </w:tc>
        <w:tc>
          <w:tcPr>
            <w:tcW w:w="6200" w:type="dxa"/>
            <w:vAlign w:val="center"/>
          </w:tcPr>
          <w:p w14:paraId="0776C68A">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依托钦州港金谷港区金鼓江作业区14号泊位码头（一期工程）泡沫灭火系统</w:t>
            </w:r>
          </w:p>
        </w:tc>
        <w:tc>
          <w:tcPr>
            <w:tcW w:w="902" w:type="dxa"/>
          </w:tcPr>
          <w:p w14:paraId="05D223B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w:t>
            </w:r>
          </w:p>
        </w:tc>
      </w:tr>
      <w:tr w14:paraId="7EF15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9" w:hRule="atLeast"/>
        </w:trPr>
        <w:tc>
          <w:tcPr>
            <w:tcW w:w="567" w:type="dxa"/>
            <w:vMerge w:val="restart"/>
            <w:vAlign w:val="center"/>
          </w:tcPr>
          <w:p w14:paraId="2A20285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环保工程</w:t>
            </w:r>
          </w:p>
        </w:tc>
        <w:tc>
          <w:tcPr>
            <w:tcW w:w="1049" w:type="dxa"/>
            <w:vMerge w:val="restart"/>
            <w:vAlign w:val="center"/>
          </w:tcPr>
          <w:p w14:paraId="4C2D303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w:t>
            </w:r>
          </w:p>
        </w:tc>
        <w:tc>
          <w:tcPr>
            <w:tcW w:w="6200" w:type="dxa"/>
            <w:vAlign w:val="center"/>
          </w:tcPr>
          <w:p w14:paraId="57FB1912">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液硫储罐（TK-407）：储罐设置氮封系统及升华硫回收装置。液硫储罐呼吸废气经升华硫回收装置处理后，经罐顶排气口（DA001，H=15m）排放。</w:t>
            </w:r>
          </w:p>
        </w:tc>
        <w:tc>
          <w:tcPr>
            <w:tcW w:w="902" w:type="dxa"/>
            <w:vMerge w:val="restart"/>
            <w:vAlign w:val="center"/>
          </w:tcPr>
          <w:p w14:paraId="2450958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新建</w:t>
            </w:r>
          </w:p>
        </w:tc>
      </w:tr>
      <w:tr w14:paraId="16C31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9" w:hRule="atLeast"/>
        </w:trPr>
        <w:tc>
          <w:tcPr>
            <w:tcW w:w="567" w:type="dxa"/>
            <w:vMerge w:val="continue"/>
            <w:vAlign w:val="center"/>
          </w:tcPr>
          <w:p w14:paraId="23FB9217">
            <w:pPr>
              <w:adjustRightInd w:val="0"/>
              <w:snapToGrid w:val="0"/>
              <w:jc w:val="center"/>
            </w:pPr>
          </w:p>
        </w:tc>
        <w:tc>
          <w:tcPr>
            <w:tcW w:w="1049" w:type="dxa"/>
            <w:vMerge w:val="continue"/>
            <w:vAlign w:val="center"/>
          </w:tcPr>
          <w:p w14:paraId="7C72B1F1">
            <w:pPr>
              <w:adjustRightInd w:val="0"/>
              <w:snapToGrid w:val="0"/>
              <w:jc w:val="center"/>
            </w:pPr>
          </w:p>
        </w:tc>
        <w:tc>
          <w:tcPr>
            <w:tcW w:w="6200" w:type="dxa"/>
            <w:vAlign w:val="center"/>
          </w:tcPr>
          <w:p w14:paraId="2A13C4F6">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98%硫酸储罐（TK-408）：储罐设置氮封系统，气相管设置液封，正负压液封(V-401液封介质采用98%硫酸)，负压水封气相出口送至二级三氧化硫吸收塔进行吸收后，经二级吸收塔顶部排气口（DA002，H=15m）排放。一级吸收塔(C-401)吸收介质采用68%~98%浓硫酸，二级吸收塔(C-402)吸收介质为 0~50%的稀硫酸。当一级吸收塔内浓硫酸浓度达到98%，将部分浓硫酸送至硫酸储罐内，由二级吸收塔进行补充、稀释至68%左右；二级吸收塔补充水。</w:t>
            </w:r>
          </w:p>
        </w:tc>
        <w:tc>
          <w:tcPr>
            <w:tcW w:w="902" w:type="dxa"/>
            <w:vMerge w:val="continue"/>
            <w:vAlign w:val="center"/>
          </w:tcPr>
          <w:p w14:paraId="71DB5AB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r>
      <w:tr w14:paraId="30179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9" w:hRule="atLeast"/>
        </w:trPr>
        <w:tc>
          <w:tcPr>
            <w:tcW w:w="567" w:type="dxa"/>
            <w:vMerge w:val="continue"/>
            <w:vAlign w:val="center"/>
          </w:tcPr>
          <w:p w14:paraId="3A8B486A">
            <w:pPr>
              <w:adjustRightInd w:val="0"/>
              <w:snapToGrid w:val="0"/>
              <w:jc w:val="center"/>
            </w:pPr>
          </w:p>
        </w:tc>
        <w:tc>
          <w:tcPr>
            <w:tcW w:w="1049" w:type="dxa"/>
            <w:vMerge w:val="continue"/>
            <w:vAlign w:val="center"/>
          </w:tcPr>
          <w:p w14:paraId="6D29CCE3">
            <w:pPr>
              <w:adjustRightInd w:val="0"/>
              <w:snapToGrid w:val="0"/>
              <w:jc w:val="center"/>
            </w:pPr>
          </w:p>
        </w:tc>
        <w:tc>
          <w:tcPr>
            <w:tcW w:w="6200" w:type="dxa"/>
            <w:vAlign w:val="center"/>
          </w:tcPr>
          <w:p w14:paraId="6AD6CE07">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苯酚储罐：储罐设置氮封系统和油气回收处理系统，处理规模</w:t>
            </w:r>
            <w:r>
              <w:rPr>
                <w:rFonts w:ascii="Times New Roman" w:hAnsi="Times New Roman" w:cs="Times New Roman"/>
                <w:color w:val="000000" w:themeColor="text1"/>
                <w:sz w:val="21"/>
                <w:szCs w:val="21"/>
                <w14:textFill>
                  <w14:solidFill>
                    <w14:schemeClr w14:val="tx1"/>
                  </w14:solidFill>
                </w14:textFill>
              </w:rPr>
              <w:t>为1000Nm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w:t>
            </w:r>
            <w:r>
              <w:rPr>
                <w:rFonts w:hint="eastAsia" w:ascii="Times New Roman" w:hAnsi="Times New Roman" w:cs="Times New Roman"/>
                <w:color w:val="000000" w:themeColor="text1"/>
                <w:sz w:val="21"/>
                <w:szCs w:val="21"/>
                <w14:textFill>
                  <w14:solidFill>
                    <w14:schemeClr w14:val="tx1"/>
                  </w14:solidFill>
                </w14:textFill>
              </w:rPr>
              <w:t>，尾气经活性炭吸附后经排气筒DA003（H=15m）排放。</w:t>
            </w:r>
          </w:p>
        </w:tc>
        <w:tc>
          <w:tcPr>
            <w:tcW w:w="902" w:type="dxa"/>
            <w:vAlign w:val="center"/>
          </w:tcPr>
          <w:p w14:paraId="357B9C2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4054B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39" w:hRule="atLeast"/>
        </w:trPr>
        <w:tc>
          <w:tcPr>
            <w:tcW w:w="567" w:type="dxa"/>
            <w:vMerge w:val="continue"/>
            <w:vAlign w:val="center"/>
          </w:tcPr>
          <w:p w14:paraId="096E1749">
            <w:pPr>
              <w:adjustRightInd w:val="0"/>
              <w:snapToGrid w:val="0"/>
              <w:jc w:val="center"/>
            </w:pPr>
          </w:p>
        </w:tc>
        <w:tc>
          <w:tcPr>
            <w:tcW w:w="1049" w:type="dxa"/>
            <w:vMerge w:val="continue"/>
            <w:vAlign w:val="center"/>
          </w:tcPr>
          <w:p w14:paraId="6E945C77">
            <w:pPr>
              <w:adjustRightInd w:val="0"/>
              <w:snapToGrid w:val="0"/>
              <w:jc w:val="center"/>
            </w:pPr>
          </w:p>
        </w:tc>
        <w:tc>
          <w:tcPr>
            <w:tcW w:w="6200" w:type="dxa"/>
            <w:vAlign w:val="center"/>
          </w:tcPr>
          <w:p w14:paraId="72A7EEEC">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己内酰胺储罐：储罐设置氮封系统，储罐呼吸废气经水洗塔进行吸收，尾气经排气筒DA004（H=15m）排放。</w:t>
            </w:r>
          </w:p>
        </w:tc>
        <w:tc>
          <w:tcPr>
            <w:tcW w:w="902" w:type="dxa"/>
            <w:vAlign w:val="center"/>
          </w:tcPr>
          <w:p w14:paraId="329D826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r w14:paraId="4EA88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2" w:hRule="atLeast"/>
        </w:trPr>
        <w:tc>
          <w:tcPr>
            <w:tcW w:w="567" w:type="dxa"/>
            <w:vMerge w:val="continue"/>
            <w:vAlign w:val="center"/>
          </w:tcPr>
          <w:p w14:paraId="069D548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0B71A9F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废水</w:t>
            </w:r>
          </w:p>
        </w:tc>
        <w:tc>
          <w:tcPr>
            <w:tcW w:w="6200" w:type="dxa"/>
            <w:vAlign w:val="center"/>
          </w:tcPr>
          <w:p w14:paraId="795075EB">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雨污分流；初期雨水</w:t>
            </w:r>
            <w:r>
              <w:rPr>
                <w:rFonts w:hint="eastAsia" w:ascii="Times New Roman" w:hAnsi="Times New Roman" w:cs="Times New Roman"/>
                <w:color w:val="000000" w:themeColor="text1"/>
                <w:sz w:val="21"/>
                <w:szCs w:val="21"/>
                <w14:textFill>
                  <w14:solidFill>
                    <w14:schemeClr w14:val="tx1"/>
                  </w14:solidFill>
                </w14:textFill>
              </w:rPr>
              <w:t>经排水沟收集至初期雨水池，再泵送至</w:t>
            </w:r>
            <w:r>
              <w:rPr>
                <w:rFonts w:ascii="Times New Roman" w:hAnsi="Times New Roman" w:cs="Times New Roman"/>
                <w:color w:val="000000" w:themeColor="text1"/>
                <w:sz w:val="21"/>
                <w:szCs w:val="21"/>
                <w14:textFill>
                  <w14:solidFill>
                    <w14:schemeClr w14:val="tx1"/>
                  </w14:solidFill>
                </w14:textFill>
              </w:rPr>
              <w:t>由至</w:t>
            </w:r>
            <w:r>
              <w:rPr>
                <w:rFonts w:hint="eastAsia" w:ascii="Times New Roman" w:hAnsi="Times New Roman" w:cs="Times New Roman"/>
                <w:color w:val="000000" w:themeColor="text1"/>
                <w:sz w:val="21"/>
                <w:szCs w:val="21"/>
                <w14:textFill>
                  <w14:solidFill>
                    <w14:schemeClr w14:val="tx1"/>
                  </w14:solidFill>
                </w14:textFill>
              </w:rPr>
              <w:t>广西恒逸污水处理厂</w:t>
            </w:r>
            <w:r>
              <w:rPr>
                <w:rFonts w:ascii="Times New Roman" w:hAnsi="Times New Roman" w:cs="Times New Roman"/>
                <w:color w:val="000000" w:themeColor="text1"/>
                <w:sz w:val="21"/>
                <w:szCs w:val="21"/>
                <w14:textFill>
                  <w14:solidFill>
                    <w14:schemeClr w14:val="tx1"/>
                  </w14:solidFill>
                </w14:textFill>
              </w:rPr>
              <w:t>处理</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后期雨水及其他区域的一般雨水通过</w:t>
            </w:r>
            <w:r>
              <w:rPr>
                <w:rFonts w:hint="eastAsia" w:ascii="Times New Roman" w:hAnsi="Times New Roman" w:cs="Times New Roman"/>
                <w:color w:val="000000" w:themeColor="text1"/>
                <w:sz w:val="21"/>
                <w:szCs w:val="21"/>
                <w14:textFill>
                  <w14:solidFill>
                    <w14:schemeClr w14:val="tx1"/>
                  </w14:solidFill>
                </w14:textFill>
              </w:rPr>
              <w:t>厂区</w:t>
            </w:r>
            <w:r>
              <w:rPr>
                <w:rFonts w:ascii="Times New Roman" w:hAnsi="Times New Roman" w:cs="Times New Roman"/>
                <w:color w:val="000000" w:themeColor="text1"/>
                <w:sz w:val="21"/>
                <w:szCs w:val="21"/>
                <w14:textFill>
                  <w14:solidFill>
                    <w14:schemeClr w14:val="tx1"/>
                  </w14:solidFill>
                </w14:textFill>
              </w:rPr>
              <w:t>东侧雨水涵管排出口排入海中；</w:t>
            </w:r>
            <w:r>
              <w:rPr>
                <w:rFonts w:hint="eastAsia" w:ascii="Times New Roman" w:hAnsi="Times New Roman" w:cs="Times New Roman"/>
                <w:color w:val="000000" w:themeColor="text1"/>
                <w:sz w:val="21"/>
                <w:szCs w:val="21"/>
                <w14:textFill>
                  <w14:solidFill>
                    <w14:schemeClr w14:val="tx1"/>
                  </w14:solidFill>
                </w14:textFill>
              </w:rPr>
              <w:t>己内酰胺水洗塔废水经污水管道泵送至恒逸</w:t>
            </w:r>
            <w:r>
              <w:rPr>
                <w:rFonts w:hint="eastAsia" w:ascii="Times New Roman" w:hAnsi="Times New Roman" w:cs="Times New Roman"/>
                <w:color w:val="000000" w:themeColor="text1"/>
                <w:sz w:val="21"/>
                <w:szCs w:val="21"/>
                <w:lang w:eastAsia="zh-CN"/>
                <w14:textFill>
                  <w14:solidFill>
                    <w14:schemeClr w14:val="tx1"/>
                  </w14:solidFill>
                </w14:textFill>
              </w:rPr>
              <w:t>污水处理厂</w:t>
            </w:r>
            <w:r>
              <w:rPr>
                <w:rFonts w:hint="eastAsia" w:ascii="Times New Roman" w:hAnsi="Times New Roman" w:cs="Times New Roman"/>
                <w:color w:val="000000" w:themeColor="text1"/>
                <w:sz w:val="21"/>
                <w:szCs w:val="21"/>
                <w14:textFill>
                  <w14:solidFill>
                    <w14:schemeClr w14:val="tx1"/>
                  </w14:solidFill>
                </w14:textFill>
              </w:rPr>
              <w:t>处理。</w:t>
            </w:r>
          </w:p>
        </w:tc>
        <w:tc>
          <w:tcPr>
            <w:tcW w:w="902" w:type="dxa"/>
          </w:tcPr>
          <w:p w14:paraId="15F2BEE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依托</w:t>
            </w:r>
            <w:r>
              <w:rPr>
                <w:rFonts w:hint="eastAsia" w:ascii="Times New Roman" w:hAnsi="Times New Roman" w:cs="Times New Roman"/>
                <w:color w:val="000000" w:themeColor="text1"/>
                <w:sz w:val="21"/>
                <w:szCs w:val="21"/>
                <w14:textFill>
                  <w14:solidFill>
                    <w14:schemeClr w14:val="tx1"/>
                  </w14:solidFill>
                </w14:textFill>
              </w:rPr>
              <w:t>广西恒逸污水处理厂</w:t>
            </w:r>
          </w:p>
        </w:tc>
      </w:tr>
      <w:tr w14:paraId="52291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492366D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755107A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噪声</w:t>
            </w:r>
          </w:p>
        </w:tc>
        <w:tc>
          <w:tcPr>
            <w:tcW w:w="6200" w:type="dxa"/>
            <w:vAlign w:val="center"/>
          </w:tcPr>
          <w:p w14:paraId="38E041F9">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对</w:t>
            </w:r>
            <w:r>
              <w:rPr>
                <w:rFonts w:hint="eastAsia" w:ascii="Times New Roman" w:hAnsi="Times New Roman" w:cs="Times New Roman"/>
                <w:color w:val="000000" w:themeColor="text1"/>
                <w:sz w:val="21"/>
                <w:szCs w:val="21"/>
                <w14:textFill>
                  <w14:solidFill>
                    <w14:schemeClr w14:val="tx1"/>
                  </w14:solidFill>
                </w14:textFill>
              </w:rPr>
              <w:t>机</w:t>
            </w:r>
            <w:r>
              <w:rPr>
                <w:rFonts w:ascii="Times New Roman" w:hAnsi="Times New Roman" w:cs="Times New Roman"/>
                <w:color w:val="000000" w:themeColor="text1"/>
                <w:sz w:val="21"/>
                <w:szCs w:val="21"/>
                <w14:textFill>
                  <w14:solidFill>
                    <w14:schemeClr w14:val="tx1"/>
                  </w14:solidFill>
                </w14:textFill>
              </w:rPr>
              <w:t>泵等高噪声设备采取减振措施；对机械的维护保养，定期检查，清理机械表面的灰尘</w:t>
            </w:r>
            <w:r>
              <w:rPr>
                <w:rFonts w:hint="eastAsia" w:ascii="Times New Roman" w:hAnsi="Times New Roman" w:cs="Times New Roman"/>
                <w:color w:val="000000" w:themeColor="text1"/>
                <w:sz w:val="21"/>
                <w:szCs w:val="21"/>
                <w14:textFill>
                  <w14:solidFill>
                    <w14:schemeClr w14:val="tx1"/>
                  </w14:solidFill>
                </w14:textFill>
              </w:rPr>
              <w:t>。</w:t>
            </w:r>
          </w:p>
        </w:tc>
        <w:tc>
          <w:tcPr>
            <w:tcW w:w="902" w:type="dxa"/>
            <w:vAlign w:val="center"/>
          </w:tcPr>
          <w:p w14:paraId="52C7F80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4C339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77B983F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09B7DB1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固废</w:t>
            </w:r>
          </w:p>
        </w:tc>
        <w:tc>
          <w:tcPr>
            <w:tcW w:w="6200" w:type="dxa"/>
            <w:vAlign w:val="center"/>
          </w:tcPr>
          <w:p w14:paraId="1B81A752">
            <w:pPr>
              <w:pStyle w:val="137"/>
              <w:snapToGrid w:val="0"/>
              <w:jc w:val="both"/>
              <w:rPr>
                <w:rFonts w:hint="default"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废抹布等吸附材料、废油漆、废酸、废碱、废活性炭等经</w:t>
            </w:r>
            <w:r>
              <w:rPr>
                <w:rFonts w:hint="default" w:ascii="Times New Roman" w:hAnsi="Times New Roman" w:cs="Times New Roman"/>
                <w:color w:val="000000" w:themeColor="text1"/>
                <w:sz w:val="21"/>
                <w:szCs w:val="21"/>
                <w14:textFill>
                  <w14:solidFill>
                    <w14:schemeClr w14:val="tx1"/>
                  </w14:solidFill>
                </w14:textFill>
              </w:rPr>
              <w:t>统一收集后，交由具备相关资质的专业单位收集和处理；生活垃圾交由环卫部门清运处理；</w:t>
            </w:r>
          </w:p>
        </w:tc>
        <w:tc>
          <w:tcPr>
            <w:tcW w:w="902" w:type="dxa"/>
            <w:vAlign w:val="center"/>
          </w:tcPr>
          <w:p w14:paraId="38B5CCF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依托已建危废贮存库</w:t>
            </w:r>
          </w:p>
        </w:tc>
      </w:tr>
      <w:tr w14:paraId="14608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0" w:hRule="atLeast"/>
        </w:trPr>
        <w:tc>
          <w:tcPr>
            <w:tcW w:w="567" w:type="dxa"/>
            <w:vMerge w:val="continue"/>
            <w:vAlign w:val="center"/>
          </w:tcPr>
          <w:p w14:paraId="78DE840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1049" w:type="dxa"/>
            <w:vAlign w:val="center"/>
          </w:tcPr>
          <w:p w14:paraId="0F03C3C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环境风险防范设施</w:t>
            </w:r>
          </w:p>
        </w:tc>
        <w:tc>
          <w:tcPr>
            <w:tcW w:w="6200" w:type="dxa"/>
            <w:vAlign w:val="center"/>
          </w:tcPr>
          <w:p w14:paraId="58D9B576">
            <w:pPr>
              <w:pStyle w:val="137"/>
              <w:snapToGrid w:val="0"/>
              <w:jc w:val="both"/>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在</w:t>
            </w:r>
            <w:r>
              <w:rPr>
                <w:rFonts w:ascii="Times New Roman" w:hAnsi="Times New Roman" w:cs="Times New Roman"/>
                <w:color w:val="000000" w:themeColor="text1"/>
                <w:sz w:val="21"/>
                <w:szCs w:val="21"/>
                <w14:textFill>
                  <w14:solidFill>
                    <w14:schemeClr w14:val="tx1"/>
                  </w14:solidFill>
                </w14:textFill>
              </w:rPr>
              <w:t>储罐区</w:t>
            </w:r>
            <w:r>
              <w:rPr>
                <w:rFonts w:hint="default" w:ascii="Times New Roman" w:hAnsi="Times New Roman" w:cs="Times New Roman"/>
                <w:color w:val="000000" w:themeColor="text1"/>
                <w:sz w:val="21"/>
                <w:szCs w:val="21"/>
                <w14:textFill>
                  <w14:solidFill>
                    <w14:schemeClr w14:val="tx1"/>
                  </w14:solidFill>
                </w14:textFill>
              </w:rPr>
              <w:t>区域设围堰，在管廊紧急切断阀组下方设置收集坎，在</w:t>
            </w:r>
            <w:r>
              <w:rPr>
                <w:rFonts w:ascii="Times New Roman" w:hAnsi="Times New Roman" w:cs="Times New Roman"/>
                <w:color w:val="000000" w:themeColor="text1"/>
                <w:sz w:val="21"/>
                <w:szCs w:val="21"/>
                <w14:textFill>
                  <w14:solidFill>
                    <w14:schemeClr w14:val="tx1"/>
                  </w14:solidFill>
                </w14:textFill>
              </w:rPr>
              <w:t>储罐区</w:t>
            </w:r>
            <w:r>
              <w:rPr>
                <w:rFonts w:hint="default" w:ascii="Times New Roman" w:hAnsi="Times New Roman" w:cs="Times New Roman"/>
                <w:color w:val="000000" w:themeColor="text1"/>
                <w:sz w:val="21"/>
                <w:szCs w:val="21"/>
                <w14:textFill>
                  <w14:solidFill>
                    <w14:schemeClr w14:val="tx1"/>
                  </w14:solidFill>
                </w14:textFill>
              </w:rPr>
              <w:t>设置有毒及可燃气体监测仪，每隔一定距离设置火灾报警按钮，</w:t>
            </w:r>
            <w:r>
              <w:rPr>
                <w:rFonts w:ascii="Times New Roman" w:hAnsi="Times New Roman" w:cs="Times New Roman"/>
                <w:color w:val="000000" w:themeColor="text1"/>
                <w:sz w:val="21"/>
                <w:szCs w:val="21"/>
                <w14:textFill>
                  <w14:solidFill>
                    <w14:schemeClr w14:val="tx1"/>
                  </w14:solidFill>
                </w14:textFill>
              </w:rPr>
              <w:t>在罐区及汽车装卸</w:t>
            </w:r>
            <w:r>
              <w:rPr>
                <w:rFonts w:hint="default" w:ascii="Times New Roman" w:hAnsi="Times New Roman" w:cs="Times New Roman"/>
                <w:color w:val="000000" w:themeColor="text1"/>
                <w:sz w:val="21"/>
                <w:szCs w:val="21"/>
                <w14:textFill>
                  <w14:solidFill>
                    <w14:schemeClr w14:val="tx1"/>
                  </w14:solidFill>
                </w14:textFill>
              </w:rPr>
              <w:t>平台上设置一体化防爆摄像机，在后方库区消防控制室设置监视器。</w:t>
            </w:r>
          </w:p>
        </w:tc>
        <w:tc>
          <w:tcPr>
            <w:tcW w:w="902" w:type="dxa"/>
            <w:vAlign w:val="center"/>
          </w:tcPr>
          <w:p w14:paraId="2154B13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新建</w:t>
            </w:r>
          </w:p>
        </w:tc>
      </w:tr>
    </w:tbl>
    <w:p w14:paraId="56503D2E">
      <w:pPr>
        <w:adjustRightInd w:val="0"/>
        <w:snapToGrid w:val="0"/>
        <w:spacing w:line="240" w:lineRule="atLeast"/>
        <w:jc w:val="center"/>
        <w:rPr>
          <w:rFonts w:ascii="Times New Roman" w:hAnsi="Times New Roman" w:cs="Times New Roman"/>
          <w:bCs/>
          <w:color w:val="000000" w:themeColor="text1"/>
          <w:szCs w:val="21"/>
          <w:highlight w:val="cyan"/>
          <w14:textFill>
            <w14:solidFill>
              <w14:schemeClr w14:val="tx1"/>
            </w14:solidFill>
          </w14:textFill>
        </w:rPr>
      </w:pPr>
    </w:p>
    <w:p w14:paraId="2AA76119">
      <w:pPr>
        <w:adjustRightInd w:val="0"/>
        <w:snapToGrid w:val="0"/>
        <w:spacing w:line="240" w:lineRule="atLeast"/>
        <w:jc w:val="center"/>
        <w:rPr>
          <w:rFonts w:ascii="Times New Roman" w:hAnsi="Times New Roman" w:cs="Times New Roman"/>
          <w:bCs/>
          <w:color w:val="000000" w:themeColor="text1"/>
          <w:szCs w:val="21"/>
          <w:highlight w:val="cyan"/>
          <w14:textFill>
            <w14:solidFill>
              <w14:schemeClr w14:val="tx1"/>
            </w14:solidFill>
          </w14:textFill>
        </w:rPr>
      </w:pPr>
    </w:p>
    <w:p w14:paraId="1ABB32DC">
      <w:pPr>
        <w:adjustRightInd w:val="0"/>
        <w:snapToGrid w:val="0"/>
        <w:spacing w:line="240" w:lineRule="atLeast"/>
        <w:jc w:val="center"/>
        <w:rPr>
          <w:rFonts w:ascii="Times New Roman" w:hAnsi="Times New Roman" w:cs="Times New Roman"/>
          <w:bCs/>
          <w:color w:val="000000" w:themeColor="text1"/>
          <w:szCs w:val="21"/>
          <w:highlight w:val="cyan"/>
          <w14:textFill>
            <w14:solidFill>
              <w14:schemeClr w14:val="tx1"/>
            </w14:solidFill>
          </w14:textFill>
        </w:rPr>
      </w:pPr>
    </w:p>
    <w:p w14:paraId="7EB75350">
      <w:pPr>
        <w:adjustRightInd w:val="0"/>
        <w:snapToGrid w:val="0"/>
        <w:spacing w:line="240" w:lineRule="atLeast"/>
        <w:jc w:val="center"/>
        <w:rPr>
          <w:rFonts w:ascii="Times New Roman" w:hAnsi="Times New Roman" w:cs="Times New Roman"/>
          <w:bCs/>
          <w:color w:val="000000" w:themeColor="text1"/>
          <w:szCs w:val="21"/>
          <w:highlight w:val="cyan"/>
          <w14:textFill>
            <w14:solidFill>
              <w14:schemeClr w14:val="tx1"/>
            </w14:solidFill>
          </w14:textFill>
        </w:rPr>
      </w:pPr>
    </w:p>
    <w:p w14:paraId="03575FCB">
      <w:pPr>
        <w:adjustRightInd w:val="0"/>
        <w:snapToGrid w:val="0"/>
        <w:spacing w:line="240" w:lineRule="atLeast"/>
        <w:jc w:val="center"/>
        <w:rPr>
          <w:rFonts w:ascii="Times New Roman" w:hAnsi="Times New Roman" w:cs="Times New Roman"/>
          <w:bCs/>
          <w:color w:val="000000" w:themeColor="text1"/>
          <w:szCs w:val="21"/>
          <w14:textFill>
            <w14:solidFill>
              <w14:schemeClr w14:val="tx1"/>
            </w14:solidFill>
          </w14:textFill>
        </w:rPr>
      </w:pPr>
    </w:p>
    <w:p w14:paraId="373358EA">
      <w:pPr>
        <w:adjustRightInd w:val="0"/>
        <w:snapToGrid w:val="0"/>
        <w:spacing w:line="240" w:lineRule="atLeast"/>
        <w:jc w:val="center"/>
        <w:rPr>
          <w:rFonts w:ascii="Times New Roman" w:hAnsi="Times New Roman" w:cs="Times New Roman"/>
          <w:bCs/>
          <w:color w:val="000000" w:themeColor="text1"/>
          <w:szCs w:val="21"/>
          <w14:textFill>
            <w14:solidFill>
              <w14:schemeClr w14:val="tx1"/>
            </w14:solidFill>
          </w14:textFill>
        </w:rPr>
      </w:pPr>
    </w:p>
    <w:p w14:paraId="29993890">
      <w:pPr>
        <w:adjustRightInd w:val="0"/>
        <w:snapToGrid w:val="0"/>
        <w:spacing w:line="240" w:lineRule="atLeast"/>
        <w:jc w:val="center"/>
        <w:rPr>
          <w:rFonts w:ascii="Times New Roman" w:hAnsi="Times New Roman" w:cs="Times New Roman"/>
          <w:bCs/>
          <w:color w:val="000000" w:themeColor="text1"/>
          <w:szCs w:val="21"/>
          <w14:textFill>
            <w14:solidFill>
              <w14:schemeClr w14:val="tx1"/>
            </w14:solidFill>
          </w14:textFill>
        </w:rPr>
        <w:sectPr>
          <w:footerReference r:id="rId12" w:type="default"/>
          <w:pgSz w:w="11907" w:h="16840"/>
          <w:pgMar w:top="1440" w:right="1800" w:bottom="1440" w:left="1800" w:header="652" w:footer="851" w:gutter="0"/>
          <w:cols w:space="720" w:num="1"/>
          <w:docGrid w:linePitch="326" w:charSpace="0"/>
        </w:sectPr>
      </w:pPr>
    </w:p>
    <w:bookmarkEnd w:id="81"/>
    <w:bookmarkEnd w:id="82"/>
    <w:bookmarkEnd w:id="83"/>
    <w:bookmarkEnd w:id="84"/>
    <w:bookmarkEnd w:id="85"/>
    <w:bookmarkEnd w:id="86"/>
    <w:bookmarkEnd w:id="87"/>
    <w:bookmarkEnd w:id="88"/>
    <w:bookmarkEnd w:id="89"/>
    <w:bookmarkEnd w:id="90"/>
    <w:bookmarkEnd w:id="91"/>
    <w:bookmarkEnd w:id="92"/>
    <w:bookmarkEnd w:id="93"/>
    <w:bookmarkEnd w:id="94"/>
    <w:p w14:paraId="71A16BDD">
      <w:pPr>
        <w:pStyle w:val="3"/>
        <w:keepNext w:val="0"/>
        <w:keepLines/>
        <w:numPr>
          <w:ilvl w:val="0"/>
          <w:numId w:val="28"/>
        </w:numPr>
        <w:tabs>
          <w:tab w:val="left" w:pos="426"/>
          <w:tab w:val="left" w:pos="709"/>
          <w:tab w:val="left" w:pos="4614"/>
          <w:tab w:val="left" w:pos="4897"/>
        </w:tabs>
        <w:overflowPunct/>
        <w:adjustRightInd w:val="0"/>
        <w:spacing w:before="0" w:after="0" w:line="360" w:lineRule="auto"/>
        <w:jc w:val="both"/>
        <w:textAlignment w:val="baseline"/>
        <w:rPr>
          <w:rFonts w:ascii="Times New Roman" w:hAnsi="Times New Roman" w:cs="Times New Roman"/>
          <w:color w:val="000000" w:themeColor="text1"/>
          <w14:textFill>
            <w14:solidFill>
              <w14:schemeClr w14:val="tx1"/>
            </w14:solidFill>
          </w14:textFill>
        </w:rPr>
      </w:pPr>
      <w:bookmarkStart w:id="96" w:name="_Toc146041496"/>
      <w:bookmarkStart w:id="97" w:name="_Toc144374985"/>
      <w:bookmarkStart w:id="98" w:name="_Toc144375229"/>
      <w:r>
        <w:rPr>
          <w:rFonts w:ascii="Times New Roman" w:hAnsi="Times New Roman" w:cs="Times New Roman"/>
          <w:color w:val="000000" w:themeColor="text1"/>
          <w14:textFill>
            <w14:solidFill>
              <w14:schemeClr w14:val="tx1"/>
            </w14:solidFill>
          </w14:textFill>
        </w:rPr>
        <w:t>评价工作等级及评价范围</w:t>
      </w:r>
      <w:bookmarkEnd w:id="96"/>
      <w:bookmarkEnd w:id="97"/>
      <w:bookmarkEnd w:id="98"/>
    </w:p>
    <w:p w14:paraId="2C199CBC">
      <w:pPr>
        <w:pStyle w:val="346"/>
        <w:ind w:firstLine="482" w:firstLineChars="200"/>
        <w:rPr>
          <w:color w:val="FF0000"/>
        </w:rPr>
      </w:pPr>
      <w:bookmarkStart w:id="99" w:name="_Toc144375230"/>
      <w:bookmarkStart w:id="100" w:name="_Toc360023234"/>
      <w:bookmarkStart w:id="101" w:name="_Toc505711220"/>
      <w:bookmarkStart w:id="102" w:name="_Toc2789981"/>
      <w:bookmarkStart w:id="103" w:name="_Toc360780083"/>
      <w:bookmarkStart w:id="104" w:name="_Toc360780082"/>
      <w:bookmarkStart w:id="105" w:name="_Toc360780517"/>
      <w:bookmarkStart w:id="106" w:name="_Toc339442331"/>
      <w:bookmarkStart w:id="107" w:name="_Toc505711221"/>
      <w:bookmarkStart w:id="108" w:name="_Toc360023233"/>
      <w:bookmarkStart w:id="109" w:name="_Toc360022729"/>
      <w:bookmarkStart w:id="110" w:name="_Toc339442330"/>
      <w:bookmarkStart w:id="111" w:name="_Toc2789982"/>
      <w:bookmarkStart w:id="112" w:name="_Toc360780518"/>
      <w:bookmarkStart w:id="113" w:name="_Toc360022730"/>
      <w:r>
        <w:rPr>
          <w:color w:val="000000" w:themeColor="text1"/>
          <w14:textFill>
            <w14:solidFill>
              <w14:schemeClr w14:val="tx1"/>
            </w14:solidFill>
          </w14:textFill>
        </w:rPr>
        <w:t>4.1评价工作等级划分</w:t>
      </w:r>
      <w:bookmarkEnd w:id="99"/>
    </w:p>
    <w:p w14:paraId="66891018">
      <w:pPr>
        <w:pStyle w:val="20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环境风险评价工作等级划分为一级、二级、三级，根据建设项目涉及的物资及工艺系统危险性和所在地的环境敏感性确定环境风险潜势，按照</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REF _Ref6145086 \h  \* MERGEFORMAT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bCs/>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t>确定评价工作等级。风险潜势为Ⅳ及以上，进行一级评价；风险潜势为Ⅲ，进行二级评价；风险潜势为Ⅱ，进行三级评价；风险潜势为Ⅰ，可开展简单分析。</w:t>
      </w:r>
    </w:p>
    <w:p w14:paraId="123FEF5D">
      <w:pPr>
        <w:pStyle w:val="35"/>
        <w:spacing w:after="0"/>
        <w:ind w:left="0" w:leftChars="0"/>
        <w:jc w:val="center"/>
        <w:rPr>
          <w:rFonts w:ascii="Times New Roman" w:hAnsi="Times New Roman" w:cs="Times New Roman"/>
          <w:bCs/>
          <w:color w:val="000000" w:themeColor="text1"/>
          <w:szCs w:val="21"/>
          <w14:textFill>
            <w14:solidFill>
              <w14:schemeClr w14:val="tx1"/>
            </w14:solidFill>
          </w14:textFill>
        </w:rPr>
      </w:pPr>
      <w:bookmarkStart w:id="114" w:name="_Ref6145086"/>
      <w:r>
        <w:rPr>
          <w:rFonts w:ascii="Times New Roman" w:hAnsi="Times New Roman" w:cs="Times New Roman"/>
          <w:b/>
          <w:color w:val="000000" w:themeColor="text1"/>
          <w:szCs w:val="21"/>
          <w14:textFill>
            <w14:solidFill>
              <w14:schemeClr w14:val="tx1"/>
            </w14:solidFill>
          </w14:textFill>
        </w:rPr>
        <w:t>表</w:t>
      </w:r>
      <w:bookmarkEnd w:id="114"/>
      <w:r>
        <w:rPr>
          <w:rFonts w:ascii="Times New Roman" w:hAnsi="Times New Roman" w:cs="Times New Roman"/>
          <w:b/>
          <w:color w:val="000000" w:themeColor="text1"/>
          <w:szCs w:val="21"/>
          <w14:textFill>
            <w14:solidFill>
              <w14:schemeClr w14:val="tx1"/>
            </w14:solidFill>
          </w14:textFill>
        </w:rPr>
        <w:t>4-1评价工作级别划分</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2"/>
        <w:gridCol w:w="1643"/>
        <w:gridCol w:w="1767"/>
        <w:gridCol w:w="2013"/>
        <w:gridCol w:w="1548"/>
      </w:tblGrid>
      <w:tr w14:paraId="4D70B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709" w:type="dxa"/>
            <w:vAlign w:val="center"/>
          </w:tcPr>
          <w:p w14:paraId="4107AF80">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环境风险潜势</w:t>
            </w:r>
          </w:p>
        </w:tc>
        <w:tc>
          <w:tcPr>
            <w:tcW w:w="1811" w:type="dxa"/>
            <w:vAlign w:val="center"/>
          </w:tcPr>
          <w:p w14:paraId="528E97DA">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Ⅳ、Ⅳ</w:t>
            </w:r>
            <w:r>
              <w:rPr>
                <w:rFonts w:ascii="Times New Roman" w:hAnsi="Times New Roman" w:cs="Times New Roman"/>
                <w:color w:val="000000" w:themeColor="text1"/>
                <w:sz w:val="21"/>
                <w:szCs w:val="21"/>
                <w:vertAlign w:val="superscript"/>
                <w14:textFill>
                  <w14:solidFill>
                    <w14:schemeClr w14:val="tx1"/>
                  </w14:solidFill>
                </w14:textFill>
              </w:rPr>
              <w:t>+</w:t>
            </w:r>
          </w:p>
        </w:tc>
        <w:tc>
          <w:tcPr>
            <w:tcW w:w="1950" w:type="dxa"/>
            <w:vAlign w:val="center"/>
          </w:tcPr>
          <w:p w14:paraId="318BF16E">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2226" w:type="dxa"/>
            <w:vAlign w:val="center"/>
          </w:tcPr>
          <w:p w14:paraId="37185DDB">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c>
          <w:tcPr>
            <w:tcW w:w="1705" w:type="dxa"/>
            <w:vAlign w:val="center"/>
          </w:tcPr>
          <w:p w14:paraId="647438B3">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Ⅰ</w:t>
            </w:r>
          </w:p>
        </w:tc>
      </w:tr>
      <w:tr w14:paraId="78ECD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9" w:type="dxa"/>
            <w:vAlign w:val="center"/>
          </w:tcPr>
          <w:p w14:paraId="2C605DFD">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评价工作等级</w:t>
            </w:r>
          </w:p>
        </w:tc>
        <w:tc>
          <w:tcPr>
            <w:tcW w:w="1811" w:type="dxa"/>
            <w:vAlign w:val="center"/>
          </w:tcPr>
          <w:p w14:paraId="7C746271">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w:t>
            </w:r>
          </w:p>
        </w:tc>
        <w:tc>
          <w:tcPr>
            <w:tcW w:w="1950" w:type="dxa"/>
            <w:vAlign w:val="center"/>
          </w:tcPr>
          <w:p w14:paraId="39DA7C30">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w:t>
            </w:r>
          </w:p>
        </w:tc>
        <w:tc>
          <w:tcPr>
            <w:tcW w:w="2226" w:type="dxa"/>
            <w:vAlign w:val="center"/>
          </w:tcPr>
          <w:p w14:paraId="0E839D9A">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三</w:t>
            </w:r>
          </w:p>
        </w:tc>
        <w:tc>
          <w:tcPr>
            <w:tcW w:w="1705" w:type="dxa"/>
            <w:vAlign w:val="center"/>
          </w:tcPr>
          <w:p w14:paraId="62EA4554">
            <w:pPr>
              <w:pStyle w:val="35"/>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简单分析</w:t>
            </w:r>
            <w:r>
              <w:rPr>
                <w:rFonts w:ascii="Times New Roman" w:hAnsi="Times New Roman" w:cs="Times New Roman"/>
                <w:color w:val="000000" w:themeColor="text1"/>
                <w:sz w:val="21"/>
                <w:szCs w:val="21"/>
                <w:vertAlign w:val="superscript"/>
                <w14:textFill>
                  <w14:solidFill>
                    <w14:schemeClr w14:val="tx1"/>
                  </w14:solidFill>
                </w14:textFill>
              </w:rPr>
              <w:t>a</w:t>
            </w:r>
          </w:p>
        </w:tc>
      </w:tr>
      <w:tr w14:paraId="1D93A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9401" w:type="dxa"/>
            <w:gridSpan w:val="5"/>
            <w:vAlign w:val="center"/>
          </w:tcPr>
          <w:p w14:paraId="468AB786">
            <w:pPr>
              <w:pStyle w:val="35"/>
              <w:ind w:left="0" w:leftChars="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vertAlign w:val="superscript"/>
                <w14:textFill>
                  <w14:solidFill>
                    <w14:schemeClr w14:val="tx1"/>
                  </w14:solidFill>
                </w14:textFill>
              </w:rPr>
              <w:t>a</w:t>
            </w:r>
            <w:r>
              <w:rPr>
                <w:rFonts w:ascii="Times New Roman" w:hAnsi="Times New Roman" w:cs="Times New Roman"/>
                <w:color w:val="000000" w:themeColor="text1"/>
                <w:sz w:val="21"/>
                <w:szCs w:val="21"/>
                <w14:textFill>
                  <w14:solidFill>
                    <w14:schemeClr w14:val="tx1"/>
                  </w14:solidFill>
                </w14:textFill>
              </w:rPr>
              <w:t>是相对于详细评价工作内容而言，在描述危险物质、环境影响途径、环境危害后果、风险防范措施等方面给出定性的说明。</w:t>
            </w:r>
          </w:p>
        </w:tc>
      </w:t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tbl>
    <w:p w14:paraId="049B6757">
      <w:pPr>
        <w:pStyle w:val="3979"/>
        <w:ind w:firstLine="480"/>
        <w:rPr>
          <w:color w:val="000000" w:themeColor="text1"/>
          <w:sz w:val="24"/>
          <w:szCs w:val="24"/>
          <w14:textFill>
            <w14:solidFill>
              <w14:schemeClr w14:val="tx1"/>
            </w14:solidFill>
          </w14:textFill>
        </w:rPr>
      </w:pPr>
    </w:p>
    <w:p w14:paraId="28CB3440">
      <w:pPr>
        <w:pStyle w:val="3979"/>
        <w:ind w:firstLine="480"/>
        <w:rPr>
          <w:color w:val="FF0000"/>
          <w:sz w:val="24"/>
          <w:szCs w:val="24"/>
        </w:rPr>
      </w:pPr>
      <w:r>
        <w:rPr>
          <w:color w:val="000000" w:themeColor="text1"/>
          <w:sz w:val="24"/>
          <w:szCs w:val="24"/>
          <w14:textFill>
            <w14:solidFill>
              <w14:schemeClr w14:val="tx1"/>
            </w14:solidFill>
          </w14:textFill>
        </w:rPr>
        <w:t>本项目涉及的主要化学品有</w:t>
      </w:r>
      <w:r>
        <w:rPr>
          <w:color w:val="000000" w:themeColor="text1"/>
          <w:sz w:val="24"/>
          <w:szCs w:val="24"/>
          <w:lang w:val="en-US"/>
          <w14:textFill>
            <w14:solidFill>
              <w14:schemeClr w14:val="tx1"/>
            </w14:solidFill>
          </w14:textFill>
        </w:rPr>
        <w:t>液硫、发烟硫酸/98%硫酸、液碱</w:t>
      </w:r>
      <w:r>
        <w:rPr>
          <w:rFonts w:hint="eastAsia"/>
          <w:color w:val="000000" w:themeColor="text1"/>
          <w:sz w:val="24"/>
          <w:szCs w:val="24"/>
          <w:lang w:val="en-US"/>
          <w14:textFill>
            <w14:solidFill>
              <w14:schemeClr w14:val="tx1"/>
            </w14:solidFill>
          </w14:textFill>
        </w:rPr>
        <w:t>、苯酚、己内酰胺</w:t>
      </w:r>
      <w:r>
        <w:rPr>
          <w:color w:val="000000" w:themeColor="text1"/>
          <w:sz w:val="24"/>
          <w:szCs w:val="24"/>
          <w14:textFill>
            <w14:solidFill>
              <w14:schemeClr w14:val="tx1"/>
            </w14:solidFill>
          </w14:textFill>
        </w:rPr>
        <w:t>等，依据《建设项目环境风险评价技术导则》（HJ/T169-2018），本项目环境风险大气环境敏感区为E2，地表水环境敏感区为E2；本项目危险物质及工艺系统危险性等级为P2，故按《建设项目环境风险评价技术导则》（HJ/169-2018），项目环境风险潜势等级为Ⅲ级，确定风险评价工作级别为二级。其中环境风险大气环境风险潜势为Ⅲ，评价等级为二级；地表水环境风险潜势等级为Ⅲ。</w:t>
      </w:r>
    </w:p>
    <w:p w14:paraId="3D2BB581">
      <w:pPr>
        <w:pStyle w:val="3979"/>
        <w:ind w:firstLine="48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根据第6章节环境风险潜势初判，可知各环境要素环境风险潜势，则本项目各要素评价工作等级判定如下：</w:t>
      </w:r>
    </w:p>
    <w:p w14:paraId="0095BE07">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①大气环境风险潜势为Ⅲ，大气环境风险评价工作等级为二级。</w:t>
      </w:r>
    </w:p>
    <w:p w14:paraId="66164959">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②地表水环境风险潜势为Ⅲ，地表水环境风险评价工作等级为二级，。</w:t>
      </w:r>
    </w:p>
    <w:p w14:paraId="6074A213">
      <w:pPr>
        <w:pStyle w:val="3979"/>
        <w:ind w:firstLine="48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③地下水环境风险潜势为Ⅱ，地下水环境风险评价工作等级为三级。</w:t>
      </w:r>
    </w:p>
    <w:p w14:paraId="4747CA85">
      <w:pPr>
        <w:pStyle w:val="3979"/>
        <w:ind w:firstLine="48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本项目风险潜势综合等级为Ⅲ，因此项目风险评价最高等级为二级。</w:t>
      </w:r>
    </w:p>
    <w:p w14:paraId="5C394A05">
      <w:pPr>
        <w:pStyle w:val="346"/>
        <w:ind w:firstLine="482" w:firstLineChars="200"/>
        <w:rPr>
          <w:color w:val="000000" w:themeColor="text1"/>
          <w14:textFill>
            <w14:solidFill>
              <w14:schemeClr w14:val="tx1"/>
            </w14:solidFill>
          </w14:textFill>
        </w:rPr>
      </w:pPr>
      <w:bookmarkStart w:id="115" w:name="_Toc144375231"/>
      <w:r>
        <w:rPr>
          <w:color w:val="000000" w:themeColor="text1"/>
          <w14:textFill>
            <w14:solidFill>
              <w14:schemeClr w14:val="tx1"/>
            </w14:solidFill>
          </w14:textFill>
        </w:rPr>
        <w:t>4.2评价范围</w:t>
      </w:r>
      <w:bookmarkEnd w:id="115"/>
    </w:p>
    <w:p w14:paraId="79402584">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根据建设项目环境风险等级，确定各环境要素风险评价范围，具体如下表：</w:t>
      </w:r>
    </w:p>
    <w:p w14:paraId="02DA7BC1">
      <w:pPr>
        <w:pStyle w:val="703"/>
        <w:adjustRightInd w:val="0"/>
        <w:spacing w:line="240" w:lineRule="auto"/>
        <w:ind w:firstLine="0"/>
        <w:jc w:val="center"/>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表4-2 环境风险评价范围一览表</w:t>
      </w:r>
    </w:p>
    <w:tbl>
      <w:tblPr>
        <w:tblStyle w:val="2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5"/>
        <w:gridCol w:w="6388"/>
      </w:tblGrid>
      <w:tr w14:paraId="6F42F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5" w:type="dxa"/>
            <w:vAlign w:val="center"/>
          </w:tcPr>
          <w:p w14:paraId="45CDB329">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环境要素</w:t>
            </w:r>
          </w:p>
        </w:tc>
        <w:tc>
          <w:tcPr>
            <w:tcW w:w="6388" w:type="dxa"/>
            <w:vAlign w:val="center"/>
          </w:tcPr>
          <w:p w14:paraId="426DDE21">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评价范围</w:t>
            </w:r>
          </w:p>
        </w:tc>
      </w:tr>
      <w:tr w14:paraId="44ED1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5" w:type="dxa"/>
            <w:vAlign w:val="center"/>
          </w:tcPr>
          <w:p w14:paraId="0C4C83C3">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大气</w:t>
            </w:r>
          </w:p>
        </w:tc>
        <w:tc>
          <w:tcPr>
            <w:tcW w:w="6388" w:type="dxa"/>
            <w:vAlign w:val="center"/>
          </w:tcPr>
          <w:p w14:paraId="7336445D">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距离项目边界5km范围内</w:t>
            </w:r>
          </w:p>
        </w:tc>
      </w:tr>
      <w:tr w14:paraId="2BDE7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5" w:type="dxa"/>
            <w:vAlign w:val="center"/>
          </w:tcPr>
          <w:p w14:paraId="16CE9E03">
            <w:pPr>
              <w:pStyle w:val="703"/>
              <w:adjustRightInd w:val="0"/>
              <w:spacing w:line="240" w:lineRule="auto"/>
              <w:ind w:firstLine="0"/>
              <w:jc w:val="center"/>
              <w:textAlignment w:val="baseline"/>
              <w:rPr>
                <w:rFonts w:ascii="Times New Roman" w:hAnsi="Times New Roman"/>
                <w:bCs/>
                <w:color w:val="000000" w:themeColor="text1"/>
                <w:sz w:val="21"/>
                <w:szCs w:val="21"/>
                <w:highlight w:val="yellow"/>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地表水</w:t>
            </w:r>
            <w:r>
              <w:rPr>
                <w:rFonts w:hint="eastAsia" w:ascii="Times New Roman" w:hAnsi="Times New Roman"/>
                <w:bCs/>
                <w:color w:val="000000" w:themeColor="text1"/>
                <w:sz w:val="21"/>
                <w:szCs w:val="21"/>
                <w14:textFill>
                  <w14:solidFill>
                    <w14:schemeClr w14:val="tx1"/>
                  </w14:solidFill>
                </w14:textFill>
              </w:rPr>
              <w:t>、海水环境</w:t>
            </w:r>
          </w:p>
        </w:tc>
        <w:tc>
          <w:tcPr>
            <w:tcW w:w="6388" w:type="dxa"/>
            <w:vAlign w:val="center"/>
          </w:tcPr>
          <w:p w14:paraId="13AAEC1D">
            <w:pPr>
              <w:pStyle w:val="703"/>
              <w:adjustRightInd w:val="0"/>
              <w:spacing w:line="240" w:lineRule="auto"/>
              <w:ind w:firstLine="0"/>
              <w:jc w:val="center"/>
              <w:textAlignment w:val="baseline"/>
              <w:rPr>
                <w:rFonts w:ascii="Times New Roman" w:hAnsi="Times New Roman"/>
                <w:bCs/>
                <w:color w:val="000000" w:themeColor="text1"/>
                <w:sz w:val="21"/>
                <w:szCs w:val="21"/>
                <w:highlight w:val="yellow"/>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本项目不涉及</w:t>
            </w:r>
          </w:p>
        </w:tc>
      </w:tr>
      <w:tr w14:paraId="37CDA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5" w:type="dxa"/>
            <w:vAlign w:val="center"/>
          </w:tcPr>
          <w:p w14:paraId="5A75D932">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地下水</w:t>
            </w:r>
          </w:p>
        </w:tc>
        <w:tc>
          <w:tcPr>
            <w:tcW w:w="6388" w:type="dxa"/>
            <w:vAlign w:val="center"/>
          </w:tcPr>
          <w:p w14:paraId="0977E49C">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项目所在</w:t>
            </w:r>
            <w:r>
              <w:rPr>
                <w:rFonts w:hint="eastAsia" w:ascii="Times New Roman" w:hAnsi="Times New Roman"/>
                <w:bCs/>
                <w:color w:val="000000" w:themeColor="text1"/>
                <w:sz w:val="21"/>
                <w:szCs w:val="21"/>
                <w14:textFill>
                  <w14:solidFill>
                    <w14:schemeClr w14:val="tx1"/>
                  </w14:solidFill>
                </w14:textFill>
              </w:rPr>
              <w:t>区域及东部至码头的陆域范围</w:t>
            </w:r>
          </w:p>
        </w:tc>
      </w:tr>
    </w:tbl>
    <w:p w14:paraId="0E33E6E7">
      <w:pPr>
        <w:pStyle w:val="703"/>
        <w:adjustRightInd w:val="0"/>
        <w:ind w:firstLine="0"/>
        <w:textAlignment w:val="baseline"/>
        <w:rPr>
          <w:rFonts w:ascii="Times New Roman" w:hAnsi="Times New Roman"/>
          <w:bCs/>
          <w:color w:val="FF0000"/>
          <w:szCs w:val="21"/>
        </w:rPr>
      </w:pPr>
    </w:p>
    <w:p w14:paraId="70D053F8">
      <w:pPr>
        <w:pStyle w:val="3"/>
        <w:keepNext w:val="0"/>
        <w:keepLines/>
        <w:tabs>
          <w:tab w:val="left" w:pos="426"/>
          <w:tab w:val="left" w:pos="709"/>
          <w:tab w:val="left" w:pos="4614"/>
        </w:tabs>
        <w:overflowPunct/>
        <w:adjustRightInd w:val="0"/>
        <w:spacing w:before="0" w:after="0" w:line="360" w:lineRule="auto"/>
        <w:ind w:left="0" w:firstLine="0"/>
        <w:jc w:val="both"/>
        <w:textAlignment w:val="baseline"/>
        <w:rPr>
          <w:rFonts w:ascii="Times New Roman" w:hAnsi="Times New Roman" w:cs="Times New Roman"/>
          <w:color w:val="000000" w:themeColor="text1"/>
          <w14:textFill>
            <w14:solidFill>
              <w14:schemeClr w14:val="tx1"/>
            </w14:solidFill>
          </w14:textFill>
        </w:rPr>
      </w:pPr>
      <w:bookmarkStart w:id="116" w:name="_Toc144375232"/>
      <w:bookmarkStart w:id="117" w:name="_Toc146041497"/>
      <w:bookmarkStart w:id="118" w:name="_Toc144374986"/>
      <w:r>
        <w:rPr>
          <w:rFonts w:ascii="Times New Roman" w:hAnsi="Times New Roman" w:cs="Times New Roman"/>
          <w:color w:val="000000" w:themeColor="text1"/>
          <w14:textFill>
            <w14:solidFill>
              <w14:schemeClr w14:val="tx1"/>
            </w14:solidFill>
          </w14:textFill>
        </w:rPr>
        <w:t>5、风险调查</w:t>
      </w:r>
      <w:bookmarkEnd w:id="116"/>
      <w:bookmarkEnd w:id="117"/>
      <w:bookmarkEnd w:id="118"/>
    </w:p>
    <w:p w14:paraId="768C1EBA">
      <w:pPr>
        <w:pStyle w:val="346"/>
        <w:ind w:firstLine="482" w:firstLineChars="200"/>
        <w:rPr>
          <w:color w:val="000000" w:themeColor="text1"/>
          <w14:textFill>
            <w14:solidFill>
              <w14:schemeClr w14:val="tx1"/>
            </w14:solidFill>
          </w14:textFill>
        </w:rPr>
      </w:pPr>
      <w:bookmarkStart w:id="119" w:name="_Toc144375233"/>
      <w:r>
        <w:rPr>
          <w:color w:val="000000" w:themeColor="text1"/>
          <w14:textFill>
            <w14:solidFill>
              <w14:schemeClr w14:val="tx1"/>
            </w14:solidFill>
          </w14:textFill>
        </w:rPr>
        <w:t>5.1建设项目风险源调查</w:t>
      </w:r>
      <w:bookmarkEnd w:id="119"/>
    </w:p>
    <w:p w14:paraId="0CDD5709">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依据《建设项目环境风险评价技术导则》（HJ169—2018），危险物质为具有易燃易爆、有毒有害等特性，会对环境造成危害的物质。根据本项目的涉及化学品情况及其理化性质，本项目涉及的危险物质的数量和分布情况见下表5-1。</w:t>
      </w:r>
    </w:p>
    <w:p w14:paraId="1ED065BD">
      <w:pPr>
        <w:pStyle w:val="703"/>
        <w:adjustRightInd w:val="0"/>
        <w:spacing w:line="240" w:lineRule="auto"/>
        <w:ind w:firstLine="0"/>
        <w:jc w:val="center"/>
        <w:textAlignment w:val="baseline"/>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表5-1 危险物质数量和分布情况</w:t>
      </w:r>
    </w:p>
    <w:tbl>
      <w:tblPr>
        <w:tblStyle w:val="89"/>
        <w:tblW w:w="503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3"/>
        <w:gridCol w:w="1517"/>
        <w:gridCol w:w="1814"/>
        <w:gridCol w:w="1662"/>
        <w:gridCol w:w="1545"/>
        <w:gridCol w:w="1286"/>
      </w:tblGrid>
      <w:tr w14:paraId="70104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543" w:type="dxa"/>
            <w:vAlign w:val="center"/>
          </w:tcPr>
          <w:p w14:paraId="60134455">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序号</w:t>
            </w:r>
          </w:p>
        </w:tc>
        <w:tc>
          <w:tcPr>
            <w:tcW w:w="1515" w:type="dxa"/>
            <w:vAlign w:val="center"/>
          </w:tcPr>
          <w:p w14:paraId="3126DFAE">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物料名称</w:t>
            </w:r>
          </w:p>
        </w:tc>
        <w:tc>
          <w:tcPr>
            <w:tcW w:w="1812" w:type="dxa"/>
            <w:vAlign w:val="center"/>
          </w:tcPr>
          <w:p w14:paraId="2B714BD5">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最大储存量（吨）</w:t>
            </w:r>
          </w:p>
        </w:tc>
        <w:tc>
          <w:tcPr>
            <w:tcW w:w="1660" w:type="dxa"/>
            <w:vAlign w:val="center"/>
          </w:tcPr>
          <w:p w14:paraId="4C02F34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储存位置</w:t>
            </w:r>
          </w:p>
        </w:tc>
        <w:tc>
          <w:tcPr>
            <w:tcW w:w="1543" w:type="dxa"/>
            <w:vAlign w:val="center"/>
          </w:tcPr>
          <w:p w14:paraId="1430724A">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危险性</w:t>
            </w:r>
          </w:p>
        </w:tc>
        <w:tc>
          <w:tcPr>
            <w:tcW w:w="1285" w:type="dxa"/>
            <w:vAlign w:val="center"/>
          </w:tcPr>
          <w:p w14:paraId="32EAB4C5">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是否危险物质</w:t>
            </w:r>
          </w:p>
        </w:tc>
      </w:tr>
      <w:tr w14:paraId="681AB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43" w:type="dxa"/>
            <w:vAlign w:val="center"/>
          </w:tcPr>
          <w:p w14:paraId="463F45B4">
            <w:pPr>
              <w:pStyle w:val="703"/>
              <w:numPr>
                <w:ilvl w:val="0"/>
                <w:numId w:val="32"/>
              </w:numPr>
              <w:adjustRightInd w:val="0"/>
              <w:spacing w:line="240" w:lineRule="auto"/>
              <w:jc w:val="center"/>
              <w:textAlignment w:val="baseline"/>
              <w:rPr>
                <w:rFonts w:ascii="Times New Roman" w:hAnsi="Times New Roman"/>
                <w:bCs/>
                <w:color w:val="000000" w:themeColor="text1"/>
                <w:sz w:val="21"/>
                <w:szCs w:val="21"/>
                <w14:textFill>
                  <w14:solidFill>
                    <w14:schemeClr w14:val="tx1"/>
                  </w14:solidFill>
                </w14:textFill>
              </w:rPr>
            </w:pPr>
          </w:p>
        </w:tc>
        <w:tc>
          <w:tcPr>
            <w:tcW w:w="1515" w:type="dxa"/>
            <w:vAlign w:val="center"/>
          </w:tcPr>
          <w:p w14:paraId="41B9AD8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1812" w:type="dxa"/>
            <w:vAlign w:val="center"/>
          </w:tcPr>
          <w:p w14:paraId="0343787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7200</w:t>
            </w:r>
          </w:p>
        </w:tc>
        <w:tc>
          <w:tcPr>
            <w:tcW w:w="1660" w:type="dxa"/>
            <w:vAlign w:val="center"/>
          </w:tcPr>
          <w:p w14:paraId="6CE9768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TK-407</w:t>
            </w:r>
          </w:p>
        </w:tc>
        <w:tc>
          <w:tcPr>
            <w:tcW w:w="1543" w:type="dxa"/>
            <w:vAlign w:val="center"/>
          </w:tcPr>
          <w:p w14:paraId="123F823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可燃、</w:t>
            </w:r>
            <w:r>
              <w:rPr>
                <w:rFonts w:hint="eastAsia" w:ascii="Times New Roman" w:hAnsi="Times New Roman" w:cs="Times New Roman"/>
                <w:color w:val="000000" w:themeColor="text1"/>
                <w:sz w:val="21"/>
                <w:szCs w:val="21"/>
                <w14:textFill>
                  <w14:solidFill>
                    <w14:schemeClr w14:val="tx1"/>
                  </w14:solidFill>
                </w14:textFill>
              </w:rPr>
              <w:t>有毒</w:t>
            </w:r>
          </w:p>
        </w:tc>
        <w:tc>
          <w:tcPr>
            <w:tcW w:w="1285" w:type="dxa"/>
            <w:vAlign w:val="center"/>
          </w:tcPr>
          <w:p w14:paraId="59498ABF">
            <w:pPr>
              <w:pStyle w:val="703"/>
              <w:adjustRightInd w:val="0"/>
              <w:spacing w:line="240" w:lineRule="auto"/>
              <w:ind w:firstLine="0"/>
              <w:jc w:val="center"/>
              <w:textAlignment w:val="baseline"/>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是</w:t>
            </w:r>
          </w:p>
        </w:tc>
      </w:tr>
      <w:tr w14:paraId="7AB45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43" w:type="dxa"/>
            <w:vAlign w:val="center"/>
          </w:tcPr>
          <w:p w14:paraId="33A0CEF0">
            <w:pPr>
              <w:pStyle w:val="703"/>
              <w:numPr>
                <w:ilvl w:val="0"/>
                <w:numId w:val="32"/>
              </w:numPr>
              <w:adjustRightInd w:val="0"/>
              <w:spacing w:line="240" w:lineRule="auto"/>
              <w:jc w:val="center"/>
              <w:textAlignment w:val="baseline"/>
              <w:rPr>
                <w:rFonts w:ascii="Times New Roman" w:hAnsi="Times New Roman"/>
                <w:bCs/>
                <w:color w:val="000000" w:themeColor="text1"/>
                <w:sz w:val="21"/>
                <w:szCs w:val="21"/>
                <w14:textFill>
                  <w14:solidFill>
                    <w14:schemeClr w14:val="tx1"/>
                  </w14:solidFill>
                </w14:textFill>
              </w:rPr>
            </w:pPr>
          </w:p>
        </w:tc>
        <w:tc>
          <w:tcPr>
            <w:tcW w:w="1515" w:type="dxa"/>
            <w:vAlign w:val="center"/>
          </w:tcPr>
          <w:p w14:paraId="1C4775D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w:t>
            </w:r>
          </w:p>
        </w:tc>
        <w:tc>
          <w:tcPr>
            <w:tcW w:w="1812" w:type="dxa"/>
            <w:vAlign w:val="center"/>
          </w:tcPr>
          <w:p w14:paraId="767B300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w:t>
            </w:r>
          </w:p>
        </w:tc>
        <w:tc>
          <w:tcPr>
            <w:tcW w:w="1660" w:type="dxa"/>
            <w:vAlign w:val="center"/>
          </w:tcPr>
          <w:p w14:paraId="3ADA0C5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TK-408</w:t>
            </w:r>
          </w:p>
        </w:tc>
        <w:tc>
          <w:tcPr>
            <w:tcW w:w="1543" w:type="dxa"/>
            <w:vAlign w:val="center"/>
          </w:tcPr>
          <w:p w14:paraId="3F523F7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腐蚀性</w:t>
            </w:r>
          </w:p>
        </w:tc>
        <w:tc>
          <w:tcPr>
            <w:tcW w:w="1285" w:type="dxa"/>
            <w:vAlign w:val="center"/>
          </w:tcPr>
          <w:p w14:paraId="3D381756">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是</w:t>
            </w:r>
          </w:p>
        </w:tc>
      </w:tr>
      <w:tr w14:paraId="5D831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43" w:type="dxa"/>
            <w:vAlign w:val="center"/>
          </w:tcPr>
          <w:p w14:paraId="26CB5832">
            <w:pPr>
              <w:pStyle w:val="703"/>
              <w:numPr>
                <w:ilvl w:val="0"/>
                <w:numId w:val="32"/>
              </w:numPr>
              <w:adjustRightInd w:val="0"/>
              <w:spacing w:line="240" w:lineRule="auto"/>
              <w:jc w:val="center"/>
              <w:textAlignment w:val="baseline"/>
              <w:rPr>
                <w:rFonts w:ascii="Times New Roman" w:hAnsi="Times New Roman"/>
                <w:bCs/>
                <w:color w:val="000000" w:themeColor="text1"/>
                <w:sz w:val="21"/>
                <w:szCs w:val="21"/>
                <w14:textFill>
                  <w14:solidFill>
                    <w14:schemeClr w14:val="tx1"/>
                  </w14:solidFill>
                </w14:textFill>
              </w:rPr>
            </w:pPr>
          </w:p>
        </w:tc>
        <w:tc>
          <w:tcPr>
            <w:tcW w:w="1515" w:type="dxa"/>
            <w:vAlign w:val="center"/>
          </w:tcPr>
          <w:p w14:paraId="1325911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98%硫酸</w:t>
            </w:r>
          </w:p>
        </w:tc>
        <w:tc>
          <w:tcPr>
            <w:tcW w:w="1812" w:type="dxa"/>
            <w:vAlign w:val="center"/>
          </w:tcPr>
          <w:p w14:paraId="4E312CC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w:t>
            </w:r>
          </w:p>
        </w:tc>
        <w:tc>
          <w:tcPr>
            <w:tcW w:w="1660" w:type="dxa"/>
            <w:vAlign w:val="center"/>
          </w:tcPr>
          <w:p w14:paraId="07AECC7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TK-408</w:t>
            </w:r>
          </w:p>
        </w:tc>
        <w:tc>
          <w:tcPr>
            <w:tcW w:w="1543" w:type="dxa"/>
            <w:vAlign w:val="center"/>
          </w:tcPr>
          <w:p w14:paraId="563F766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腐蚀性</w:t>
            </w:r>
          </w:p>
        </w:tc>
        <w:tc>
          <w:tcPr>
            <w:tcW w:w="1285" w:type="dxa"/>
            <w:vAlign w:val="center"/>
          </w:tcPr>
          <w:p w14:paraId="65F0A0FA">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是</w:t>
            </w:r>
          </w:p>
        </w:tc>
      </w:tr>
      <w:tr w14:paraId="519BB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43" w:type="dxa"/>
            <w:vAlign w:val="center"/>
          </w:tcPr>
          <w:p w14:paraId="2F1F6D51">
            <w:pPr>
              <w:pStyle w:val="703"/>
              <w:numPr>
                <w:ilvl w:val="0"/>
                <w:numId w:val="32"/>
              </w:numPr>
              <w:adjustRightInd w:val="0"/>
              <w:spacing w:line="240" w:lineRule="auto"/>
              <w:jc w:val="center"/>
              <w:textAlignment w:val="baseline"/>
              <w:rPr>
                <w:rFonts w:ascii="Times New Roman" w:hAnsi="Times New Roman"/>
                <w:bCs/>
                <w:color w:val="000000" w:themeColor="text1"/>
                <w:sz w:val="21"/>
                <w:szCs w:val="21"/>
                <w14:textFill>
                  <w14:solidFill>
                    <w14:schemeClr w14:val="tx1"/>
                  </w14:solidFill>
                </w14:textFill>
              </w:rPr>
            </w:pPr>
          </w:p>
        </w:tc>
        <w:tc>
          <w:tcPr>
            <w:tcW w:w="1515" w:type="dxa"/>
            <w:vAlign w:val="center"/>
          </w:tcPr>
          <w:p w14:paraId="266B498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液碱</w:t>
            </w:r>
          </w:p>
        </w:tc>
        <w:tc>
          <w:tcPr>
            <w:tcW w:w="1812" w:type="dxa"/>
            <w:vAlign w:val="center"/>
          </w:tcPr>
          <w:p w14:paraId="4BD864C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4947</w:t>
            </w:r>
          </w:p>
        </w:tc>
        <w:tc>
          <w:tcPr>
            <w:tcW w:w="1660" w:type="dxa"/>
            <w:vAlign w:val="center"/>
          </w:tcPr>
          <w:p w14:paraId="01FBE39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TK-409</w:t>
            </w:r>
          </w:p>
        </w:tc>
        <w:tc>
          <w:tcPr>
            <w:tcW w:w="1543" w:type="dxa"/>
            <w:vAlign w:val="center"/>
          </w:tcPr>
          <w:p w14:paraId="645057B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腐蚀性</w:t>
            </w:r>
          </w:p>
        </w:tc>
        <w:tc>
          <w:tcPr>
            <w:tcW w:w="1285" w:type="dxa"/>
            <w:vAlign w:val="center"/>
          </w:tcPr>
          <w:p w14:paraId="5FA07917">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是</w:t>
            </w:r>
          </w:p>
        </w:tc>
      </w:tr>
      <w:tr w14:paraId="659F9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43" w:type="dxa"/>
            <w:vAlign w:val="center"/>
          </w:tcPr>
          <w:p w14:paraId="1D95455D">
            <w:pPr>
              <w:pStyle w:val="703"/>
              <w:numPr>
                <w:ilvl w:val="0"/>
                <w:numId w:val="32"/>
              </w:numPr>
              <w:adjustRightInd w:val="0"/>
              <w:spacing w:line="240" w:lineRule="auto"/>
              <w:jc w:val="center"/>
              <w:textAlignment w:val="baseline"/>
              <w:rPr>
                <w:rFonts w:ascii="Times New Roman" w:hAnsi="Times New Roman"/>
                <w:bCs/>
                <w:color w:val="000000" w:themeColor="text1"/>
                <w:sz w:val="21"/>
                <w:szCs w:val="21"/>
                <w14:textFill>
                  <w14:solidFill>
                    <w14:schemeClr w14:val="tx1"/>
                  </w14:solidFill>
                </w14:textFill>
              </w:rPr>
            </w:pPr>
            <w:bookmarkStart w:id="120" w:name="_Toc144375234"/>
          </w:p>
        </w:tc>
        <w:tc>
          <w:tcPr>
            <w:tcW w:w="1515" w:type="dxa"/>
            <w:vAlign w:val="center"/>
          </w:tcPr>
          <w:p w14:paraId="7C3F870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1812" w:type="dxa"/>
            <w:vAlign w:val="center"/>
          </w:tcPr>
          <w:p w14:paraId="4E2A3A2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9639</w:t>
            </w:r>
          </w:p>
        </w:tc>
        <w:tc>
          <w:tcPr>
            <w:tcW w:w="1660" w:type="dxa"/>
            <w:vAlign w:val="center"/>
          </w:tcPr>
          <w:p w14:paraId="2FFF317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TK-410、TK-411</w:t>
            </w:r>
          </w:p>
        </w:tc>
        <w:tc>
          <w:tcPr>
            <w:tcW w:w="1543" w:type="dxa"/>
            <w:vAlign w:val="center"/>
          </w:tcPr>
          <w:p w14:paraId="27D7A16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有毒</w:t>
            </w:r>
          </w:p>
        </w:tc>
        <w:tc>
          <w:tcPr>
            <w:tcW w:w="1285" w:type="dxa"/>
            <w:vAlign w:val="center"/>
          </w:tcPr>
          <w:p w14:paraId="197F4A4C">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是</w:t>
            </w:r>
          </w:p>
        </w:tc>
      </w:tr>
      <w:tr w14:paraId="2B2A6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43" w:type="dxa"/>
            <w:vAlign w:val="center"/>
          </w:tcPr>
          <w:p w14:paraId="6EF2BB8B">
            <w:pPr>
              <w:pStyle w:val="703"/>
              <w:numPr>
                <w:ilvl w:val="0"/>
                <w:numId w:val="32"/>
              </w:numPr>
              <w:adjustRightInd w:val="0"/>
              <w:spacing w:line="240" w:lineRule="auto"/>
              <w:jc w:val="center"/>
              <w:textAlignment w:val="baseline"/>
              <w:rPr>
                <w:rFonts w:ascii="Times New Roman" w:hAnsi="Times New Roman"/>
                <w:bCs/>
                <w:color w:val="000000" w:themeColor="text1"/>
                <w:sz w:val="21"/>
                <w:szCs w:val="21"/>
                <w14:textFill>
                  <w14:solidFill>
                    <w14:schemeClr w14:val="tx1"/>
                  </w14:solidFill>
                </w14:textFill>
              </w:rPr>
            </w:pPr>
          </w:p>
        </w:tc>
        <w:tc>
          <w:tcPr>
            <w:tcW w:w="1515" w:type="dxa"/>
            <w:vAlign w:val="center"/>
          </w:tcPr>
          <w:p w14:paraId="6528414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1812" w:type="dxa"/>
            <w:vAlign w:val="center"/>
          </w:tcPr>
          <w:p w14:paraId="65C64D8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13810</w:t>
            </w:r>
          </w:p>
        </w:tc>
        <w:tc>
          <w:tcPr>
            <w:tcW w:w="1660" w:type="dxa"/>
            <w:vAlign w:val="center"/>
          </w:tcPr>
          <w:p w14:paraId="1153789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TK-412</w:t>
            </w:r>
          </w:p>
        </w:tc>
        <w:tc>
          <w:tcPr>
            <w:tcW w:w="1543" w:type="dxa"/>
            <w:vAlign w:val="center"/>
          </w:tcPr>
          <w:p w14:paraId="465715E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有毒</w:t>
            </w:r>
          </w:p>
        </w:tc>
        <w:tc>
          <w:tcPr>
            <w:tcW w:w="1285" w:type="dxa"/>
            <w:vAlign w:val="center"/>
          </w:tcPr>
          <w:p w14:paraId="1AFCD650">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是</w:t>
            </w:r>
          </w:p>
        </w:tc>
      </w:tr>
    </w:tbl>
    <w:p w14:paraId="451B2E7D">
      <w:pPr>
        <w:pStyle w:val="346"/>
        <w:ind w:firstLine="482" w:firstLineChars="200"/>
        <w:rPr>
          <w:color w:val="000000" w:themeColor="text1"/>
          <w14:textFill>
            <w14:solidFill>
              <w14:schemeClr w14:val="tx1"/>
            </w14:solidFill>
          </w14:textFill>
        </w:rPr>
      </w:pPr>
      <w:r>
        <w:rPr>
          <w:color w:val="000000" w:themeColor="text1"/>
          <w14:textFill>
            <w14:solidFill>
              <w14:schemeClr w14:val="tx1"/>
            </w14:solidFill>
          </w14:textFill>
        </w:rPr>
        <w:t>5.2环境敏感目标调查</w:t>
      </w:r>
      <w:bookmarkEnd w:id="120"/>
    </w:p>
    <w:p w14:paraId="761ECC73">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根据本项目的危险物质的影响途径，本项目环境敏感目标如下表5-2，环境敏感保护目标分布图如图5-1。</w:t>
      </w:r>
    </w:p>
    <w:p w14:paraId="214FB515">
      <w:pPr>
        <w:pStyle w:val="703"/>
        <w:adjustRightInd w:val="0"/>
        <w:spacing w:line="240" w:lineRule="auto"/>
        <w:ind w:firstLine="0"/>
        <w:jc w:val="center"/>
        <w:textAlignment w:val="baseline"/>
        <w:rPr>
          <w:rFonts w:ascii="Times New Roman" w:hAnsi="Times New Roman"/>
          <w:b/>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表5-2环境风险敏感目标</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02"/>
        <w:gridCol w:w="830"/>
        <w:gridCol w:w="2038"/>
        <w:gridCol w:w="668"/>
        <w:gridCol w:w="895"/>
        <w:gridCol w:w="2165"/>
        <w:gridCol w:w="965"/>
      </w:tblGrid>
      <w:tr w14:paraId="01FAA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Align w:val="center"/>
          </w:tcPr>
          <w:p w14:paraId="568A76AB">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类别</w:t>
            </w:r>
          </w:p>
        </w:tc>
        <w:tc>
          <w:tcPr>
            <w:tcW w:w="7561" w:type="dxa"/>
            <w:gridSpan w:val="6"/>
            <w:vAlign w:val="center"/>
          </w:tcPr>
          <w:p w14:paraId="3D0016AB">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环境敏感特征</w:t>
            </w:r>
          </w:p>
        </w:tc>
      </w:tr>
      <w:tr w14:paraId="74A6E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restart"/>
            <w:vAlign w:val="center"/>
          </w:tcPr>
          <w:p w14:paraId="3D81CE7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环境</w:t>
            </w:r>
          </w:p>
          <w:p w14:paraId="121C7AD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空气</w:t>
            </w:r>
          </w:p>
        </w:tc>
        <w:tc>
          <w:tcPr>
            <w:tcW w:w="7561" w:type="dxa"/>
            <w:gridSpan w:val="6"/>
            <w:vAlign w:val="center"/>
          </w:tcPr>
          <w:p w14:paraId="0FD6CF5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厂址周边5km范围内</w:t>
            </w:r>
          </w:p>
        </w:tc>
      </w:tr>
      <w:tr w14:paraId="633C7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2BD3BE8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29FC3EB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序号</w:t>
            </w:r>
          </w:p>
        </w:tc>
        <w:tc>
          <w:tcPr>
            <w:tcW w:w="2038" w:type="dxa"/>
            <w:vAlign w:val="center"/>
          </w:tcPr>
          <w:p w14:paraId="4227094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敏感目标名称</w:t>
            </w:r>
          </w:p>
        </w:tc>
        <w:tc>
          <w:tcPr>
            <w:tcW w:w="668" w:type="dxa"/>
            <w:vAlign w:val="center"/>
          </w:tcPr>
          <w:p w14:paraId="672F597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相对方位</w:t>
            </w:r>
          </w:p>
        </w:tc>
        <w:tc>
          <w:tcPr>
            <w:tcW w:w="895" w:type="dxa"/>
            <w:vAlign w:val="center"/>
          </w:tcPr>
          <w:p w14:paraId="24BC209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距离km</w:t>
            </w:r>
          </w:p>
        </w:tc>
        <w:tc>
          <w:tcPr>
            <w:tcW w:w="2165" w:type="dxa"/>
            <w:vAlign w:val="center"/>
          </w:tcPr>
          <w:p w14:paraId="6000A85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属性</w:t>
            </w:r>
          </w:p>
        </w:tc>
        <w:tc>
          <w:tcPr>
            <w:tcW w:w="965" w:type="dxa"/>
            <w:vAlign w:val="center"/>
          </w:tcPr>
          <w:p w14:paraId="0BCA36B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人口数</w:t>
            </w:r>
          </w:p>
        </w:tc>
      </w:tr>
      <w:tr w14:paraId="61420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5C3DAD5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5562A2CD">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D6ABCB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淡水湾村</w:t>
            </w:r>
          </w:p>
        </w:tc>
        <w:tc>
          <w:tcPr>
            <w:tcW w:w="668" w:type="dxa"/>
            <w:vAlign w:val="center"/>
          </w:tcPr>
          <w:p w14:paraId="3587B50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895" w:type="dxa"/>
            <w:vAlign w:val="center"/>
          </w:tcPr>
          <w:p w14:paraId="2283B6D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2.07</w:t>
            </w:r>
          </w:p>
        </w:tc>
        <w:tc>
          <w:tcPr>
            <w:tcW w:w="2165" w:type="dxa"/>
            <w:vAlign w:val="center"/>
          </w:tcPr>
          <w:p w14:paraId="38779F8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428B4C8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420</w:t>
            </w:r>
          </w:p>
        </w:tc>
      </w:tr>
      <w:tr w14:paraId="653EA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08C062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E944C75">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142A957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果子山村</w:t>
            </w:r>
          </w:p>
        </w:tc>
        <w:tc>
          <w:tcPr>
            <w:tcW w:w="668" w:type="dxa"/>
            <w:vAlign w:val="center"/>
          </w:tcPr>
          <w:p w14:paraId="323A5BC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w:t>
            </w:r>
          </w:p>
        </w:tc>
        <w:tc>
          <w:tcPr>
            <w:tcW w:w="895" w:type="dxa"/>
            <w:vAlign w:val="center"/>
          </w:tcPr>
          <w:p w14:paraId="4609085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w:t>
            </w:r>
            <w:r>
              <w:rPr>
                <w:rFonts w:hint="eastAsia" w:ascii="Times New Roman" w:hAnsi="Times New Roman"/>
                <w:color w:val="000000" w:themeColor="text1"/>
                <w:sz w:val="21"/>
                <w:szCs w:val="21"/>
                <w14:textFill>
                  <w14:solidFill>
                    <w14:schemeClr w14:val="tx1"/>
                  </w14:solidFill>
                </w14:textFill>
              </w:rPr>
              <w:t>16</w:t>
            </w:r>
          </w:p>
        </w:tc>
        <w:tc>
          <w:tcPr>
            <w:tcW w:w="2165" w:type="dxa"/>
            <w:vAlign w:val="center"/>
          </w:tcPr>
          <w:p w14:paraId="1C4E2B0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2062A99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990</w:t>
            </w:r>
          </w:p>
        </w:tc>
      </w:tr>
      <w:tr w14:paraId="2AC7B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1826CF2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4CF9E814">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28BCEF9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厚福沙村</w:t>
            </w:r>
          </w:p>
        </w:tc>
        <w:tc>
          <w:tcPr>
            <w:tcW w:w="668" w:type="dxa"/>
            <w:vAlign w:val="center"/>
          </w:tcPr>
          <w:p w14:paraId="726F819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w:t>
            </w:r>
          </w:p>
        </w:tc>
        <w:tc>
          <w:tcPr>
            <w:tcW w:w="895" w:type="dxa"/>
            <w:vAlign w:val="center"/>
          </w:tcPr>
          <w:p w14:paraId="6A680B4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r>
              <w:rPr>
                <w:rFonts w:hint="eastAsia" w:ascii="Times New Roman" w:hAnsi="Times New Roman"/>
                <w:color w:val="000000" w:themeColor="text1"/>
                <w:sz w:val="21"/>
                <w:szCs w:val="21"/>
                <w14:textFill>
                  <w14:solidFill>
                    <w14:schemeClr w14:val="tx1"/>
                  </w14:solidFill>
                </w14:textFill>
              </w:rPr>
              <w:t>53</w:t>
            </w:r>
          </w:p>
        </w:tc>
        <w:tc>
          <w:tcPr>
            <w:tcW w:w="2165" w:type="dxa"/>
            <w:vAlign w:val="center"/>
          </w:tcPr>
          <w:p w14:paraId="23D6AD8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6D4AD39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150</w:t>
            </w:r>
          </w:p>
        </w:tc>
      </w:tr>
      <w:tr w14:paraId="12467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7FB1B01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6DFC7640">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2A68378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滨海社区</w:t>
            </w:r>
          </w:p>
        </w:tc>
        <w:tc>
          <w:tcPr>
            <w:tcW w:w="668" w:type="dxa"/>
            <w:vAlign w:val="center"/>
          </w:tcPr>
          <w:p w14:paraId="688809B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w:t>
            </w:r>
          </w:p>
        </w:tc>
        <w:tc>
          <w:tcPr>
            <w:tcW w:w="895" w:type="dxa"/>
            <w:vAlign w:val="center"/>
          </w:tcPr>
          <w:p w14:paraId="6CA581B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w:t>
            </w:r>
            <w:r>
              <w:rPr>
                <w:rFonts w:hint="eastAsia" w:ascii="Times New Roman" w:hAnsi="Times New Roman"/>
                <w:color w:val="000000" w:themeColor="text1"/>
                <w:sz w:val="21"/>
                <w:szCs w:val="21"/>
                <w14:textFill>
                  <w14:solidFill>
                    <w14:schemeClr w14:val="tx1"/>
                  </w14:solidFill>
                </w14:textFill>
              </w:rPr>
              <w:t>27</w:t>
            </w:r>
          </w:p>
        </w:tc>
        <w:tc>
          <w:tcPr>
            <w:tcW w:w="2165" w:type="dxa"/>
            <w:vAlign w:val="center"/>
          </w:tcPr>
          <w:p w14:paraId="7A20BD5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03B829B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13590</w:t>
            </w:r>
          </w:p>
        </w:tc>
      </w:tr>
      <w:tr w14:paraId="446EB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2C97F8E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21EC7B85">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2C6C93A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三块田村</w:t>
            </w:r>
          </w:p>
        </w:tc>
        <w:tc>
          <w:tcPr>
            <w:tcW w:w="668" w:type="dxa"/>
            <w:vAlign w:val="center"/>
          </w:tcPr>
          <w:p w14:paraId="54175EE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w:t>
            </w:r>
          </w:p>
        </w:tc>
        <w:tc>
          <w:tcPr>
            <w:tcW w:w="895" w:type="dxa"/>
            <w:vAlign w:val="center"/>
          </w:tcPr>
          <w:p w14:paraId="21DD3CF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2.90</w:t>
            </w:r>
          </w:p>
        </w:tc>
        <w:tc>
          <w:tcPr>
            <w:tcW w:w="2165" w:type="dxa"/>
            <w:vAlign w:val="center"/>
          </w:tcPr>
          <w:p w14:paraId="6A171AA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6C5ED68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460</w:t>
            </w:r>
          </w:p>
        </w:tc>
      </w:tr>
      <w:tr w14:paraId="0C37A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6655232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550887FE">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1827AA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沙岗头</w:t>
            </w:r>
          </w:p>
        </w:tc>
        <w:tc>
          <w:tcPr>
            <w:tcW w:w="668" w:type="dxa"/>
            <w:vAlign w:val="center"/>
          </w:tcPr>
          <w:p w14:paraId="775EB10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t>
            </w:r>
          </w:p>
        </w:tc>
        <w:tc>
          <w:tcPr>
            <w:tcW w:w="895" w:type="dxa"/>
            <w:vAlign w:val="center"/>
          </w:tcPr>
          <w:p w14:paraId="41A9442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2.5</w:t>
            </w:r>
            <w:r>
              <w:rPr>
                <w:rFonts w:hint="eastAsia" w:ascii="Times New Roman" w:hAnsi="Times New Roman"/>
                <w:color w:val="000000" w:themeColor="text1"/>
                <w:sz w:val="21"/>
                <w:szCs w:val="21"/>
                <w14:textFill>
                  <w14:solidFill>
                    <w14:schemeClr w14:val="tx1"/>
                  </w14:solidFill>
                </w14:textFill>
              </w:rPr>
              <w:t>7</w:t>
            </w:r>
          </w:p>
        </w:tc>
        <w:tc>
          <w:tcPr>
            <w:tcW w:w="2165" w:type="dxa"/>
            <w:vAlign w:val="center"/>
          </w:tcPr>
          <w:p w14:paraId="42FEFF0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4CFD420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330</w:t>
            </w:r>
          </w:p>
        </w:tc>
      </w:tr>
      <w:tr w14:paraId="693DE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0DFE6E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5D020C14">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29279EC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旧村</w:t>
            </w:r>
          </w:p>
        </w:tc>
        <w:tc>
          <w:tcPr>
            <w:tcW w:w="668" w:type="dxa"/>
            <w:vAlign w:val="center"/>
          </w:tcPr>
          <w:p w14:paraId="293319C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t>
            </w:r>
          </w:p>
        </w:tc>
        <w:tc>
          <w:tcPr>
            <w:tcW w:w="895" w:type="dxa"/>
            <w:vAlign w:val="center"/>
          </w:tcPr>
          <w:p w14:paraId="3595F72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r>
              <w:rPr>
                <w:rFonts w:hint="eastAsia" w:ascii="Times New Roman" w:hAnsi="Times New Roman"/>
                <w:color w:val="000000" w:themeColor="text1"/>
                <w:sz w:val="21"/>
                <w:szCs w:val="21"/>
                <w14:textFill>
                  <w14:solidFill>
                    <w14:schemeClr w14:val="tx1"/>
                  </w14:solidFill>
                </w14:textFill>
              </w:rPr>
              <w:t>82</w:t>
            </w:r>
          </w:p>
        </w:tc>
        <w:tc>
          <w:tcPr>
            <w:tcW w:w="2165" w:type="dxa"/>
            <w:vAlign w:val="center"/>
          </w:tcPr>
          <w:p w14:paraId="0AFB814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343957E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270</w:t>
            </w:r>
          </w:p>
        </w:tc>
      </w:tr>
      <w:tr w14:paraId="593BD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770BCA0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5898C308">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2C3443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金鼓村</w:t>
            </w:r>
          </w:p>
        </w:tc>
        <w:tc>
          <w:tcPr>
            <w:tcW w:w="668" w:type="dxa"/>
            <w:vAlign w:val="center"/>
          </w:tcPr>
          <w:p w14:paraId="4091570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895" w:type="dxa"/>
            <w:vAlign w:val="center"/>
          </w:tcPr>
          <w:p w14:paraId="3FEEAA2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2.60</w:t>
            </w:r>
          </w:p>
        </w:tc>
        <w:tc>
          <w:tcPr>
            <w:tcW w:w="2165" w:type="dxa"/>
            <w:vAlign w:val="center"/>
          </w:tcPr>
          <w:p w14:paraId="45231F1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258ECE8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1300</w:t>
            </w:r>
          </w:p>
        </w:tc>
      </w:tr>
      <w:tr w14:paraId="20B61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C71040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68D3DEC3">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3142AB8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竹笼</w:t>
            </w:r>
            <w:r>
              <w:rPr>
                <w:rFonts w:hint="eastAsia" w:ascii="Times New Roman" w:hAnsi="Times New Roman"/>
                <w:color w:val="000000" w:themeColor="text1"/>
                <w:sz w:val="21"/>
                <w:szCs w:val="21"/>
                <w14:textFill>
                  <w14:solidFill>
                    <w14:schemeClr w14:val="tx1"/>
                  </w14:solidFill>
                </w14:textFill>
              </w:rPr>
              <w:t>村</w:t>
            </w:r>
          </w:p>
        </w:tc>
        <w:tc>
          <w:tcPr>
            <w:tcW w:w="668" w:type="dxa"/>
            <w:vAlign w:val="center"/>
          </w:tcPr>
          <w:p w14:paraId="782775A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w:t>
            </w:r>
          </w:p>
        </w:tc>
        <w:tc>
          <w:tcPr>
            <w:tcW w:w="895" w:type="dxa"/>
            <w:vAlign w:val="center"/>
          </w:tcPr>
          <w:p w14:paraId="4A08F16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r>
              <w:rPr>
                <w:rFonts w:hint="eastAsia" w:ascii="Times New Roman" w:hAnsi="Times New Roman"/>
                <w:color w:val="000000" w:themeColor="text1"/>
                <w:sz w:val="21"/>
                <w:szCs w:val="21"/>
                <w14:textFill>
                  <w14:solidFill>
                    <w14:schemeClr w14:val="tx1"/>
                  </w14:solidFill>
                </w14:textFill>
              </w:rPr>
              <w:t>87</w:t>
            </w:r>
          </w:p>
        </w:tc>
        <w:tc>
          <w:tcPr>
            <w:tcW w:w="2165" w:type="dxa"/>
            <w:vAlign w:val="center"/>
          </w:tcPr>
          <w:p w14:paraId="34F0E1E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7E02894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270</w:t>
            </w:r>
          </w:p>
        </w:tc>
      </w:tr>
      <w:tr w14:paraId="65FB1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B745A1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E41E04F">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3DBA91E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佛子坳</w:t>
            </w:r>
          </w:p>
        </w:tc>
        <w:tc>
          <w:tcPr>
            <w:tcW w:w="668" w:type="dxa"/>
            <w:vAlign w:val="center"/>
          </w:tcPr>
          <w:p w14:paraId="470144E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w:t>
            </w:r>
          </w:p>
        </w:tc>
        <w:tc>
          <w:tcPr>
            <w:tcW w:w="895" w:type="dxa"/>
            <w:vAlign w:val="center"/>
          </w:tcPr>
          <w:p w14:paraId="34D9B07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3.46</w:t>
            </w:r>
          </w:p>
        </w:tc>
        <w:tc>
          <w:tcPr>
            <w:tcW w:w="2165" w:type="dxa"/>
            <w:vAlign w:val="center"/>
          </w:tcPr>
          <w:p w14:paraId="51E2D7F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10BC59E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900</w:t>
            </w:r>
          </w:p>
        </w:tc>
      </w:tr>
      <w:tr w14:paraId="1F777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AF4666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3BB92F28">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664ACE2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第一垌</w:t>
            </w:r>
            <w:r>
              <w:rPr>
                <w:rFonts w:hint="eastAsia" w:ascii="Times New Roman" w:hAnsi="Times New Roman"/>
                <w:color w:val="000000" w:themeColor="text1"/>
                <w:sz w:val="21"/>
                <w:szCs w:val="21"/>
                <w14:textFill>
                  <w14:solidFill>
                    <w14:schemeClr w14:val="tx1"/>
                  </w14:solidFill>
                </w14:textFill>
              </w:rPr>
              <w:t>村</w:t>
            </w:r>
          </w:p>
        </w:tc>
        <w:tc>
          <w:tcPr>
            <w:tcW w:w="668" w:type="dxa"/>
            <w:vAlign w:val="center"/>
          </w:tcPr>
          <w:p w14:paraId="78206DB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895" w:type="dxa"/>
            <w:vAlign w:val="center"/>
          </w:tcPr>
          <w:p w14:paraId="56CF829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3.47</w:t>
            </w:r>
          </w:p>
        </w:tc>
        <w:tc>
          <w:tcPr>
            <w:tcW w:w="2165" w:type="dxa"/>
            <w:vAlign w:val="center"/>
          </w:tcPr>
          <w:p w14:paraId="5D9D066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5B30BF3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300</w:t>
            </w:r>
          </w:p>
        </w:tc>
      </w:tr>
      <w:tr w14:paraId="6637B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08EEDF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44B0F7C4">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2D7D9B5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鸡墩头</w:t>
            </w:r>
            <w:r>
              <w:rPr>
                <w:rFonts w:hint="eastAsia" w:ascii="Times New Roman" w:hAnsi="Times New Roman"/>
                <w:color w:val="000000" w:themeColor="text1"/>
                <w:sz w:val="21"/>
                <w:szCs w:val="21"/>
                <w14:textFill>
                  <w14:solidFill>
                    <w14:schemeClr w14:val="tx1"/>
                  </w14:solidFill>
                </w14:textFill>
              </w:rPr>
              <w:t>社区</w:t>
            </w:r>
          </w:p>
        </w:tc>
        <w:tc>
          <w:tcPr>
            <w:tcW w:w="668" w:type="dxa"/>
            <w:vAlign w:val="center"/>
          </w:tcPr>
          <w:p w14:paraId="3598258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E</w:t>
            </w:r>
          </w:p>
        </w:tc>
        <w:tc>
          <w:tcPr>
            <w:tcW w:w="895" w:type="dxa"/>
            <w:vAlign w:val="center"/>
          </w:tcPr>
          <w:p w14:paraId="7B5B6ED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3.85</w:t>
            </w:r>
          </w:p>
        </w:tc>
        <w:tc>
          <w:tcPr>
            <w:tcW w:w="2165" w:type="dxa"/>
            <w:vAlign w:val="center"/>
          </w:tcPr>
          <w:p w14:paraId="341C660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314FDCD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2400</w:t>
            </w:r>
          </w:p>
        </w:tc>
      </w:tr>
      <w:tr w14:paraId="23B88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2769EE9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7D5F4E36">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E32C9D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细垌环村</w:t>
            </w:r>
          </w:p>
        </w:tc>
        <w:tc>
          <w:tcPr>
            <w:tcW w:w="668" w:type="dxa"/>
            <w:vAlign w:val="center"/>
          </w:tcPr>
          <w:p w14:paraId="1CFA06C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NS</w:t>
            </w:r>
          </w:p>
        </w:tc>
        <w:tc>
          <w:tcPr>
            <w:tcW w:w="895" w:type="dxa"/>
            <w:vAlign w:val="center"/>
          </w:tcPr>
          <w:p w14:paraId="1292732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4.36</w:t>
            </w:r>
          </w:p>
        </w:tc>
        <w:tc>
          <w:tcPr>
            <w:tcW w:w="2165" w:type="dxa"/>
            <w:vAlign w:val="center"/>
          </w:tcPr>
          <w:p w14:paraId="1BE12C4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355EEE7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300</w:t>
            </w:r>
          </w:p>
        </w:tc>
      </w:tr>
      <w:tr w14:paraId="2F895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2844CDC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E5E46AE">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E15E8D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过山路村</w:t>
            </w:r>
          </w:p>
        </w:tc>
        <w:tc>
          <w:tcPr>
            <w:tcW w:w="668" w:type="dxa"/>
            <w:vAlign w:val="center"/>
          </w:tcPr>
          <w:p w14:paraId="29B0C40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E</w:t>
            </w:r>
          </w:p>
        </w:tc>
        <w:tc>
          <w:tcPr>
            <w:tcW w:w="895" w:type="dxa"/>
            <w:vAlign w:val="center"/>
          </w:tcPr>
          <w:p w14:paraId="3700EF4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2.93</w:t>
            </w:r>
          </w:p>
        </w:tc>
        <w:tc>
          <w:tcPr>
            <w:tcW w:w="2165" w:type="dxa"/>
            <w:vAlign w:val="center"/>
          </w:tcPr>
          <w:p w14:paraId="1572EEF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350E95E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450</w:t>
            </w:r>
          </w:p>
        </w:tc>
      </w:tr>
      <w:tr w14:paraId="6CD27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12A50EA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7774CDB6">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40FE0EF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南港村</w:t>
            </w:r>
          </w:p>
        </w:tc>
        <w:tc>
          <w:tcPr>
            <w:tcW w:w="668" w:type="dxa"/>
            <w:vAlign w:val="center"/>
          </w:tcPr>
          <w:p w14:paraId="24ABBBF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NW</w:t>
            </w:r>
          </w:p>
        </w:tc>
        <w:tc>
          <w:tcPr>
            <w:tcW w:w="895" w:type="dxa"/>
            <w:vAlign w:val="center"/>
          </w:tcPr>
          <w:p w14:paraId="5A276DC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4.28</w:t>
            </w:r>
          </w:p>
        </w:tc>
        <w:tc>
          <w:tcPr>
            <w:tcW w:w="2165" w:type="dxa"/>
            <w:vAlign w:val="center"/>
          </w:tcPr>
          <w:p w14:paraId="6CB1C76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43A9FE4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600</w:t>
            </w:r>
          </w:p>
        </w:tc>
      </w:tr>
      <w:tr w14:paraId="49329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688CEC4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6C770E30">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5709F3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天塘村</w:t>
            </w:r>
          </w:p>
        </w:tc>
        <w:tc>
          <w:tcPr>
            <w:tcW w:w="668" w:type="dxa"/>
            <w:vAlign w:val="center"/>
          </w:tcPr>
          <w:p w14:paraId="10D24E7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w:t>
            </w:r>
          </w:p>
        </w:tc>
        <w:tc>
          <w:tcPr>
            <w:tcW w:w="895" w:type="dxa"/>
            <w:vAlign w:val="center"/>
          </w:tcPr>
          <w:p w14:paraId="08D87E7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3.73</w:t>
            </w:r>
          </w:p>
        </w:tc>
        <w:tc>
          <w:tcPr>
            <w:tcW w:w="2165" w:type="dxa"/>
            <w:vAlign w:val="center"/>
          </w:tcPr>
          <w:p w14:paraId="3591E37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5DC0AB5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250</w:t>
            </w:r>
          </w:p>
        </w:tc>
      </w:tr>
      <w:tr w14:paraId="73026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2CF0C6C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4268768">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3BDADAD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钦州港经济技术开发区第五小学</w:t>
            </w:r>
          </w:p>
        </w:tc>
        <w:tc>
          <w:tcPr>
            <w:tcW w:w="668" w:type="dxa"/>
            <w:vAlign w:val="center"/>
          </w:tcPr>
          <w:p w14:paraId="71C4949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E</w:t>
            </w:r>
          </w:p>
        </w:tc>
        <w:tc>
          <w:tcPr>
            <w:tcW w:w="895" w:type="dxa"/>
            <w:vAlign w:val="center"/>
          </w:tcPr>
          <w:p w14:paraId="53E516B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4.33</w:t>
            </w:r>
          </w:p>
        </w:tc>
        <w:tc>
          <w:tcPr>
            <w:tcW w:w="2165" w:type="dxa"/>
            <w:vAlign w:val="center"/>
          </w:tcPr>
          <w:p w14:paraId="65226DB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学校</w:t>
            </w:r>
          </w:p>
        </w:tc>
        <w:tc>
          <w:tcPr>
            <w:tcW w:w="965" w:type="dxa"/>
            <w:vAlign w:val="center"/>
          </w:tcPr>
          <w:p w14:paraId="4F56585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1000</w:t>
            </w:r>
          </w:p>
        </w:tc>
      </w:tr>
      <w:tr w14:paraId="17830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0470CB3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2F4C75A">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242959D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钦州港经济技术开发区</w:t>
            </w:r>
            <w:r>
              <w:rPr>
                <w:rFonts w:hint="eastAsia" w:ascii="Times New Roman" w:hAnsi="Times New Roman"/>
                <w:color w:val="000000" w:themeColor="text1"/>
                <w:sz w:val="21"/>
                <w:szCs w:val="21"/>
                <w14:textFill>
                  <w14:solidFill>
                    <w14:schemeClr w14:val="tx1"/>
                  </w14:solidFill>
                </w14:textFill>
              </w:rPr>
              <w:t>第一</w:t>
            </w:r>
            <w:r>
              <w:rPr>
                <w:rFonts w:ascii="Times New Roman" w:hAnsi="Times New Roman"/>
                <w:color w:val="000000" w:themeColor="text1"/>
                <w:sz w:val="21"/>
                <w:szCs w:val="21"/>
                <w14:textFill>
                  <w14:solidFill>
                    <w14:schemeClr w14:val="tx1"/>
                  </w14:solidFill>
                </w14:textFill>
              </w:rPr>
              <w:t>中学</w:t>
            </w:r>
          </w:p>
        </w:tc>
        <w:tc>
          <w:tcPr>
            <w:tcW w:w="668" w:type="dxa"/>
            <w:vAlign w:val="center"/>
          </w:tcPr>
          <w:p w14:paraId="77DF65B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895" w:type="dxa"/>
            <w:vAlign w:val="center"/>
          </w:tcPr>
          <w:p w14:paraId="09429B2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3.11</w:t>
            </w:r>
          </w:p>
        </w:tc>
        <w:tc>
          <w:tcPr>
            <w:tcW w:w="2165" w:type="dxa"/>
            <w:vAlign w:val="center"/>
          </w:tcPr>
          <w:p w14:paraId="488D521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学校</w:t>
            </w:r>
          </w:p>
        </w:tc>
        <w:tc>
          <w:tcPr>
            <w:tcW w:w="965" w:type="dxa"/>
            <w:vAlign w:val="center"/>
          </w:tcPr>
          <w:p w14:paraId="250958E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1070</w:t>
            </w:r>
          </w:p>
        </w:tc>
      </w:tr>
      <w:tr w14:paraId="26CAC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F595E0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6080E479">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090727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钦州港经济技术开发区第四小学</w:t>
            </w:r>
          </w:p>
        </w:tc>
        <w:tc>
          <w:tcPr>
            <w:tcW w:w="668" w:type="dxa"/>
            <w:vAlign w:val="center"/>
          </w:tcPr>
          <w:p w14:paraId="1923A79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895" w:type="dxa"/>
            <w:vAlign w:val="center"/>
          </w:tcPr>
          <w:p w14:paraId="3FCBD23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3.00</w:t>
            </w:r>
          </w:p>
        </w:tc>
        <w:tc>
          <w:tcPr>
            <w:tcW w:w="2165" w:type="dxa"/>
            <w:vAlign w:val="center"/>
          </w:tcPr>
          <w:p w14:paraId="76EEDF6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学校</w:t>
            </w:r>
          </w:p>
        </w:tc>
        <w:tc>
          <w:tcPr>
            <w:tcW w:w="965" w:type="dxa"/>
            <w:vAlign w:val="center"/>
          </w:tcPr>
          <w:p w14:paraId="286C7E4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1000</w:t>
            </w:r>
          </w:p>
        </w:tc>
      </w:tr>
      <w:tr w14:paraId="02CB7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63712DE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371DE7D7">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DC1832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广西茅尾海红树林自治区级自然保护区（七十二泾片）</w:t>
            </w:r>
          </w:p>
        </w:tc>
        <w:tc>
          <w:tcPr>
            <w:tcW w:w="668" w:type="dxa"/>
            <w:vAlign w:val="center"/>
          </w:tcPr>
          <w:p w14:paraId="52CCC85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NW</w:t>
            </w:r>
          </w:p>
        </w:tc>
        <w:tc>
          <w:tcPr>
            <w:tcW w:w="895" w:type="dxa"/>
            <w:vAlign w:val="center"/>
          </w:tcPr>
          <w:p w14:paraId="5D945C3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3.8</w:t>
            </w:r>
          </w:p>
        </w:tc>
        <w:tc>
          <w:tcPr>
            <w:tcW w:w="2165" w:type="dxa"/>
            <w:vAlign w:val="center"/>
          </w:tcPr>
          <w:p w14:paraId="3052D3F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区级自然保护区</w:t>
            </w:r>
          </w:p>
        </w:tc>
        <w:tc>
          <w:tcPr>
            <w:tcW w:w="965" w:type="dxa"/>
            <w:vAlign w:val="center"/>
          </w:tcPr>
          <w:p w14:paraId="7E678D4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r w14:paraId="3CC63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65A7BD3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757423B7">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3677714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红树林集中分布斑块</w:t>
            </w:r>
          </w:p>
        </w:tc>
        <w:tc>
          <w:tcPr>
            <w:tcW w:w="668" w:type="dxa"/>
            <w:vAlign w:val="center"/>
          </w:tcPr>
          <w:p w14:paraId="72D22A8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w:t>
            </w:r>
          </w:p>
        </w:tc>
        <w:tc>
          <w:tcPr>
            <w:tcW w:w="895" w:type="dxa"/>
            <w:vAlign w:val="center"/>
          </w:tcPr>
          <w:p w14:paraId="45E70DB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3.7</w:t>
            </w:r>
          </w:p>
        </w:tc>
        <w:tc>
          <w:tcPr>
            <w:tcW w:w="2165" w:type="dxa"/>
            <w:vAlign w:val="center"/>
          </w:tcPr>
          <w:p w14:paraId="1918F5A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红树林</w:t>
            </w:r>
          </w:p>
        </w:tc>
        <w:tc>
          <w:tcPr>
            <w:tcW w:w="965" w:type="dxa"/>
            <w:vAlign w:val="center"/>
          </w:tcPr>
          <w:p w14:paraId="1F4BF6E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r w14:paraId="3E37A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1DF8A1E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5FB2E351">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48DC587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钦州港青菜头南浅海滩涂养殖区</w:t>
            </w:r>
          </w:p>
        </w:tc>
        <w:tc>
          <w:tcPr>
            <w:tcW w:w="668" w:type="dxa"/>
            <w:vAlign w:val="center"/>
          </w:tcPr>
          <w:p w14:paraId="7AF139F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WS</w:t>
            </w:r>
          </w:p>
        </w:tc>
        <w:tc>
          <w:tcPr>
            <w:tcW w:w="895" w:type="dxa"/>
            <w:vAlign w:val="center"/>
          </w:tcPr>
          <w:p w14:paraId="2BC42F1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5.9</w:t>
            </w:r>
          </w:p>
        </w:tc>
        <w:tc>
          <w:tcPr>
            <w:tcW w:w="2165" w:type="dxa"/>
            <w:vAlign w:val="center"/>
          </w:tcPr>
          <w:p w14:paraId="0CD5232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养殖区</w:t>
            </w:r>
          </w:p>
        </w:tc>
        <w:tc>
          <w:tcPr>
            <w:tcW w:w="965" w:type="dxa"/>
            <w:vAlign w:val="center"/>
          </w:tcPr>
          <w:p w14:paraId="58ADAB6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r w14:paraId="7BE8E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52EA050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047E5CF">
            <w:pPr>
              <w:pStyle w:val="187"/>
              <w:numPr>
                <w:ilvl w:val="0"/>
                <w:numId w:val="33"/>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29D8E05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蚝排养殖区</w:t>
            </w:r>
          </w:p>
        </w:tc>
        <w:tc>
          <w:tcPr>
            <w:tcW w:w="668" w:type="dxa"/>
            <w:vAlign w:val="center"/>
          </w:tcPr>
          <w:p w14:paraId="323C2D1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w:t>
            </w:r>
          </w:p>
        </w:tc>
        <w:tc>
          <w:tcPr>
            <w:tcW w:w="895" w:type="dxa"/>
            <w:vAlign w:val="center"/>
          </w:tcPr>
          <w:p w14:paraId="0DD2358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3.5</w:t>
            </w:r>
          </w:p>
        </w:tc>
        <w:tc>
          <w:tcPr>
            <w:tcW w:w="2165" w:type="dxa"/>
            <w:vAlign w:val="center"/>
          </w:tcPr>
          <w:p w14:paraId="11B7C43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养殖区</w:t>
            </w:r>
          </w:p>
        </w:tc>
        <w:tc>
          <w:tcPr>
            <w:tcW w:w="965" w:type="dxa"/>
            <w:vAlign w:val="center"/>
          </w:tcPr>
          <w:p w14:paraId="636C9A8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r w14:paraId="50A60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09212BB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6596" w:type="dxa"/>
            <w:gridSpan w:val="5"/>
            <w:vAlign w:val="center"/>
          </w:tcPr>
          <w:p w14:paraId="7AB49A2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厂址周边500m范围内人口数小计</w:t>
            </w:r>
          </w:p>
        </w:tc>
        <w:tc>
          <w:tcPr>
            <w:tcW w:w="965" w:type="dxa"/>
            <w:vAlign w:val="center"/>
          </w:tcPr>
          <w:p w14:paraId="3BAD7CD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w:t>
            </w:r>
          </w:p>
        </w:tc>
      </w:tr>
      <w:tr w14:paraId="111A7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2EE00F3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6596" w:type="dxa"/>
            <w:gridSpan w:val="5"/>
            <w:vAlign w:val="center"/>
          </w:tcPr>
          <w:p w14:paraId="0BDC261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厂址周边5km范围内人口数小计</w:t>
            </w:r>
          </w:p>
        </w:tc>
        <w:tc>
          <w:tcPr>
            <w:tcW w:w="965" w:type="dxa"/>
            <w:vAlign w:val="center"/>
          </w:tcPr>
          <w:p w14:paraId="084F818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26050</w:t>
            </w:r>
          </w:p>
        </w:tc>
      </w:tr>
      <w:tr w14:paraId="040DB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0F7C2E5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6596" w:type="dxa"/>
            <w:gridSpan w:val="5"/>
            <w:vAlign w:val="center"/>
          </w:tcPr>
          <w:p w14:paraId="381D9F2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大气环境敏感程度E值</w:t>
            </w:r>
          </w:p>
        </w:tc>
        <w:tc>
          <w:tcPr>
            <w:tcW w:w="965" w:type="dxa"/>
            <w:vAlign w:val="center"/>
          </w:tcPr>
          <w:p w14:paraId="5D050A9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E2</w:t>
            </w:r>
          </w:p>
        </w:tc>
      </w:tr>
      <w:tr w14:paraId="2ED3B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restart"/>
            <w:vAlign w:val="center"/>
          </w:tcPr>
          <w:p w14:paraId="02D97C1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地表水环境、海水环境</w:t>
            </w:r>
          </w:p>
        </w:tc>
        <w:tc>
          <w:tcPr>
            <w:tcW w:w="7561" w:type="dxa"/>
            <w:gridSpan w:val="6"/>
            <w:vAlign w:val="center"/>
          </w:tcPr>
          <w:p w14:paraId="2BC3699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受纳水体</w:t>
            </w:r>
          </w:p>
        </w:tc>
      </w:tr>
      <w:tr w14:paraId="18175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7" w:hRule="atLeast"/>
          <w:jc w:val="center"/>
        </w:trPr>
        <w:tc>
          <w:tcPr>
            <w:tcW w:w="802" w:type="dxa"/>
            <w:vMerge w:val="continue"/>
            <w:vAlign w:val="center"/>
          </w:tcPr>
          <w:p w14:paraId="35B0F97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7561" w:type="dxa"/>
            <w:gridSpan w:val="6"/>
            <w:vAlign w:val="center"/>
          </w:tcPr>
          <w:p w14:paraId="430A86AB">
            <w:pPr>
              <w:pStyle w:val="187"/>
              <w:spacing w:line="240" w:lineRule="auto"/>
              <w:ind w:firstLine="0" w:firstLineChars="0"/>
              <w:jc w:val="center"/>
              <w:rPr>
                <w:rFonts w:ascii="Times New Roman" w:hAnsi="Times New Roman"/>
                <w:color w:val="000000" w:themeColor="text1"/>
                <w:sz w:val="21"/>
                <w:szCs w:val="21"/>
                <w:highlight w:val="yellow"/>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不涉及</w:t>
            </w:r>
          </w:p>
        </w:tc>
      </w:tr>
    </w:tbl>
    <w:p w14:paraId="60EB79AF">
      <w:pPr>
        <w:pStyle w:val="703"/>
        <w:adjustRightInd w:val="0"/>
        <w:spacing w:line="240" w:lineRule="auto"/>
        <w:ind w:firstLine="0"/>
        <w:jc w:val="center"/>
        <w:textAlignment w:val="baseline"/>
        <w:rPr>
          <w:rFonts w:ascii="Times New Roman" w:hAnsi="Times New Roman"/>
          <w:bCs/>
          <w:color w:val="000000" w:themeColor="text1"/>
          <w:szCs w:val="21"/>
          <w14:textFill>
            <w14:solidFill>
              <w14:schemeClr w14:val="tx1"/>
            </w14:solidFill>
          </w14:textFill>
        </w:rPr>
      </w:pPr>
    </w:p>
    <w:p w14:paraId="7C40A92C">
      <w:pPr>
        <w:pStyle w:val="703"/>
        <w:adjustRightInd w:val="0"/>
        <w:spacing w:line="240" w:lineRule="auto"/>
        <w:ind w:left="-480" w:leftChars="-200" w:firstLine="0"/>
        <w:jc w:val="center"/>
        <w:textAlignment w:val="baseline"/>
      </w:pPr>
      <w:r>
        <mc:AlternateContent>
          <mc:Choice Requires="wps">
            <w:drawing>
              <wp:anchor distT="0" distB="0" distL="114300" distR="114300" simplePos="0" relativeHeight="251716608" behindDoc="0" locked="0" layoutInCell="1" allowOverlap="1">
                <wp:simplePos x="0" y="0"/>
                <wp:positionH relativeFrom="column">
                  <wp:posOffset>3987800</wp:posOffset>
                </wp:positionH>
                <wp:positionV relativeFrom="paragraph">
                  <wp:posOffset>3070860</wp:posOffset>
                </wp:positionV>
                <wp:extent cx="1474470" cy="135255"/>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47447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7E21B4">
                            <w:pPr>
                              <w:jc w:val="center"/>
                              <w:rPr>
                                <w:b/>
                                <w:bCs/>
                                <w:color w:val="FFFF00"/>
                                <w:sz w:val="16"/>
                                <w:szCs w:val="16"/>
                              </w:rPr>
                            </w:pPr>
                            <w:r>
                              <w:rPr>
                                <w:rFonts w:hint="eastAsia"/>
                                <w:b/>
                                <w:bCs/>
                                <w:color w:val="FFFF00"/>
                                <w:sz w:val="16"/>
                                <w:szCs w:val="16"/>
                              </w:rPr>
                              <w:t>钦州港经济技术开发区第五小学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14pt;margin-top:241.8pt;height:10.65pt;width:116.1pt;z-index:251716608;mso-width-relative:page;mso-height-relative:page;" filled="f" stroked="f" coordsize="21600,21600" o:gfxdata="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O6Wuy2gAAAAsBAAAPAAAAAAAAAAEAIAAAACIAAABkcnMvZG93bnJl&#10;di54bWxQSwECFAAUAAAACACHTuJAQW8ixjQCAABaBAAADgAAAAAAAAABACAAAAApAQAAZHJzL2Uy&#10;b0RvYy54bWxQSwUGAAAAAAYABgBZAQAAzwUAAAAA&#10;">
                <v:fill on="f" focussize="0,0"/>
                <v:stroke on="f" weight="0.5pt"/>
                <v:imagedata o:title=""/>
                <o:lock v:ext="edit" aspectratio="f"/>
                <v:textbox inset="0mm,0mm,0mm,0mm">
                  <w:txbxContent>
                    <w:p w14:paraId="4C7E21B4">
                      <w:pPr>
                        <w:jc w:val="center"/>
                        <w:rPr>
                          <w:b/>
                          <w:bCs/>
                          <w:color w:val="FFFF00"/>
                          <w:sz w:val="16"/>
                          <w:szCs w:val="16"/>
                        </w:rPr>
                      </w:pPr>
                      <w:r>
                        <w:rPr>
                          <w:rFonts w:hint="eastAsia"/>
                          <w:b/>
                          <w:bCs/>
                          <w:color w:val="FFFF00"/>
                          <w:sz w:val="16"/>
                          <w:szCs w:val="16"/>
                        </w:rPr>
                        <w:t>钦州港经济技术开发区第五小学</w:t>
                      </w: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3767455</wp:posOffset>
                </wp:positionH>
                <wp:positionV relativeFrom="paragraph">
                  <wp:posOffset>2535555</wp:posOffset>
                </wp:positionV>
                <wp:extent cx="1514475" cy="13525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51447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99C7DA">
                            <w:pPr>
                              <w:jc w:val="both"/>
                              <w:rPr>
                                <w:b/>
                                <w:bCs/>
                                <w:color w:val="FFFF00"/>
                                <w:sz w:val="16"/>
                                <w:szCs w:val="16"/>
                              </w:rPr>
                            </w:pPr>
                            <w:r>
                              <w:rPr>
                                <w:rFonts w:hint="eastAsia"/>
                                <w:b/>
                                <w:bCs/>
                                <w:color w:val="FFFF00"/>
                                <w:sz w:val="16"/>
                                <w:szCs w:val="16"/>
                              </w:rPr>
                              <w:t>钦州港经济技术开发区第一中学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96.65pt;margin-top:199.65pt;height:10.65pt;width:119.25pt;z-index:251694080;mso-width-relative:page;mso-height-relative:page;" filled="f" stroked="f" coordsize="21600,21600" o:gfxdata="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2L4092gAAAAsBAAAPAAAAAAAAAAEAIAAAACIAAABkcnMvZG93bnJl&#10;di54bWxQSwECFAAUAAAACACHTuJAYtYOjDQCAABYBAAADgAAAAAAAAABACAAAAApAQAAZHJzL2Uy&#10;b0RvYy54bWxQSwUGAAAAAAYABgBZAQAAzwUAAAAA&#10;">
                <v:fill on="f" focussize="0,0"/>
                <v:stroke on="f" weight="0.5pt"/>
                <v:imagedata o:title=""/>
                <o:lock v:ext="edit" aspectratio="f"/>
                <v:textbox inset="0mm,0mm,0mm,0mm">
                  <w:txbxContent>
                    <w:p w14:paraId="2599C7DA">
                      <w:pPr>
                        <w:jc w:val="both"/>
                        <w:rPr>
                          <w:b/>
                          <w:bCs/>
                          <w:color w:val="FFFF00"/>
                          <w:sz w:val="16"/>
                          <w:szCs w:val="16"/>
                        </w:rPr>
                      </w:pPr>
                      <w:r>
                        <w:rPr>
                          <w:rFonts w:hint="eastAsia"/>
                          <w:b/>
                          <w:bCs/>
                          <w:color w:val="FFFF00"/>
                          <w:sz w:val="16"/>
                          <w:szCs w:val="16"/>
                        </w:rPr>
                        <w:t>钦州港经济技术开发区第一中学</w:t>
                      </w:r>
                    </w:p>
                  </w:txbxContent>
                </v:textbox>
              </v:shape>
            </w:pict>
          </mc:Fallback>
        </mc:AlternateContent>
      </w:r>
      <w:r>
        <w:drawing>
          <wp:anchor distT="0" distB="0" distL="114300" distR="114300" simplePos="0" relativeHeight="251732992" behindDoc="0" locked="0" layoutInCell="1" allowOverlap="1">
            <wp:simplePos x="0" y="0"/>
            <wp:positionH relativeFrom="column">
              <wp:posOffset>4323080</wp:posOffset>
            </wp:positionH>
            <wp:positionV relativeFrom="paragraph">
              <wp:posOffset>4755515</wp:posOffset>
            </wp:positionV>
            <wp:extent cx="1104265" cy="1431290"/>
            <wp:effectExtent l="0" t="0" r="635" b="16510"/>
            <wp:wrapNone/>
            <wp:docPr id="1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
                    <pic:cNvPicPr>
                      <a:picLocks noChangeAspect="1"/>
                    </pic:cNvPicPr>
                  </pic:nvPicPr>
                  <pic:blipFill>
                    <a:blip r:embed="rId57"/>
                    <a:stretch>
                      <a:fillRect/>
                    </a:stretch>
                  </pic:blipFill>
                  <pic:spPr>
                    <a:xfrm>
                      <a:off x="0" y="0"/>
                      <a:ext cx="1104265" cy="1431290"/>
                    </a:xfrm>
                    <a:prstGeom prst="rect">
                      <a:avLst/>
                    </a:prstGeom>
                    <a:noFill/>
                    <a:ln>
                      <a:noFill/>
                    </a:ln>
                  </pic:spPr>
                </pic:pic>
              </a:graphicData>
            </a:graphic>
          </wp:anchor>
        </w:drawing>
      </w:r>
      <w:r>
        <mc:AlternateContent>
          <mc:Choice Requires="wps">
            <w:drawing>
              <wp:anchor distT="0" distB="0" distL="114300" distR="114300" simplePos="0" relativeHeight="251736064" behindDoc="0" locked="0" layoutInCell="1" allowOverlap="1">
                <wp:simplePos x="0" y="0"/>
                <wp:positionH relativeFrom="column">
                  <wp:posOffset>1141095</wp:posOffset>
                </wp:positionH>
                <wp:positionV relativeFrom="paragraph">
                  <wp:posOffset>3695700</wp:posOffset>
                </wp:positionV>
                <wp:extent cx="501015" cy="135255"/>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50101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1E8B4C">
                            <w:pPr>
                              <w:jc w:val="center"/>
                              <w:rPr>
                                <w:b/>
                                <w:bCs/>
                                <w:color w:val="000000" w:themeColor="text1"/>
                                <w:sz w:val="16"/>
                                <w:szCs w:val="16"/>
                                <w14:textFill>
                                  <w14:solidFill>
                                    <w14:schemeClr w14:val="tx1"/>
                                  </w14:solidFill>
                                </w14:textFill>
                              </w:rPr>
                            </w:pPr>
                            <w:r>
                              <w:rPr>
                                <w:rFonts w:hint="eastAsia"/>
                                <w:b/>
                                <w:bCs/>
                                <w:color w:val="000000" w:themeColor="text1"/>
                                <w:sz w:val="16"/>
                                <w:szCs w:val="16"/>
                                <w14:textFill>
                                  <w14:solidFill>
                                    <w14:schemeClr w14:val="tx1"/>
                                  </w14:solidFill>
                                </w14:textFill>
                              </w:rPr>
                              <w:t>5000m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89.85pt;margin-top:291pt;height:10.65pt;width:39.45pt;z-index:251736064;mso-width-relative:page;mso-height-relative:page;" filled="f" stroked="f" coordsize="21600,21600" o:gfxdata="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iOn4b2gAAAAsBAAAPAAAAAAAAAAEAIAAAACIAAABkcnMvZG93bnJldi54&#10;bWxQSwECFAAUAAAACACHTuJA9z3xQTECAABZBAAADgAAAAAAAAABACAAAAApAQAAZHJzL2Uyb0Rv&#10;Yy54bWxQSwUGAAAAAAYABgBZAQAAzAUAAAAA&#10;">
                <v:fill on="f" focussize="0,0"/>
                <v:stroke on="f" weight="0.5pt"/>
                <v:imagedata o:title=""/>
                <o:lock v:ext="edit" aspectratio="f"/>
                <v:textbox inset="0mm,0mm,0mm,0mm">
                  <w:txbxContent>
                    <w:p w14:paraId="451E8B4C">
                      <w:pPr>
                        <w:jc w:val="center"/>
                        <w:rPr>
                          <w:b/>
                          <w:bCs/>
                          <w:color w:val="000000" w:themeColor="text1"/>
                          <w:sz w:val="16"/>
                          <w:szCs w:val="16"/>
                          <w14:textFill>
                            <w14:solidFill>
                              <w14:schemeClr w14:val="tx1"/>
                            </w14:solidFill>
                          </w14:textFill>
                        </w:rPr>
                      </w:pPr>
                      <w:r>
                        <w:rPr>
                          <w:rFonts w:hint="eastAsia"/>
                          <w:b/>
                          <w:bCs/>
                          <w:color w:val="000000" w:themeColor="text1"/>
                          <w:sz w:val="16"/>
                          <w:szCs w:val="16"/>
                          <w14:textFill>
                            <w14:solidFill>
                              <w14:schemeClr w14:val="tx1"/>
                            </w14:solidFill>
                          </w14:textFill>
                        </w:rPr>
                        <w:t>5000m</w:t>
                      </w:r>
                    </w:p>
                  </w:txbxContent>
                </v:textbox>
              </v:shape>
            </w:pict>
          </mc:Fallback>
        </mc:AlternateContent>
      </w:r>
      <w:r>
        <mc:AlternateContent>
          <mc:Choice Requires="wps">
            <w:drawing>
              <wp:anchor distT="0" distB="0" distL="114300" distR="114300" simplePos="0" relativeHeight="251735040" behindDoc="0" locked="0" layoutInCell="1" allowOverlap="1">
                <wp:simplePos x="0" y="0"/>
                <wp:positionH relativeFrom="column">
                  <wp:posOffset>919480</wp:posOffset>
                </wp:positionH>
                <wp:positionV relativeFrom="paragraph">
                  <wp:posOffset>3069590</wp:posOffset>
                </wp:positionV>
                <wp:extent cx="1446530" cy="1309370"/>
                <wp:effectExtent l="0" t="0" r="1270" b="5080"/>
                <wp:wrapNone/>
                <wp:docPr id="137" name="直接箭头连接符 137"/>
                <wp:cNvGraphicFramePr/>
                <a:graphic xmlns:a="http://schemas.openxmlformats.org/drawingml/2006/main">
                  <a:graphicData uri="http://schemas.microsoft.com/office/word/2010/wordprocessingShape">
                    <wps:wsp>
                      <wps:cNvCnPr/>
                      <wps:spPr>
                        <a:xfrm flipH="1">
                          <a:off x="2080260" y="6025515"/>
                          <a:ext cx="1446530" cy="1309370"/>
                        </a:xfrm>
                        <a:prstGeom prst="straightConnector1">
                          <a:avLst/>
                        </a:prstGeom>
                        <a:ln w="6350">
                          <a:solidFill>
                            <a:schemeClr val="tx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2.4pt;margin-top:241.7pt;height:103.1pt;width:113.9pt;z-index:251735040;mso-width-relative:page;mso-height-relative:page;" filled="f" stroked="t" coordsize="21600,21600" o:gfxdata="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daRT12wAA&#10;AAsBAAAPAAAAAAAAAAEAIAAAACIAAABkcnMvZG93bnJldi54bWxQSwECFAAUAAAACACHTuJAMZzr&#10;lBsCAAAABAAADgAAAAAAAAABACAAAAAqAQAAZHJzL2Uyb0RvYy54bWxQSwUGAAAAAAYABgBZAQAA&#10;twUAAAAA&#10;">
                <v:fill on="f" focussize="0,0"/>
                <v:stroke weight="0.5pt" color="#000000 [3213]" joinstyle="round" startarrow="open" endarrow="open"/>
                <v:imagedata o:title=""/>
                <o:lock v:ext="edit" aspectratio="f"/>
              </v:shape>
            </w:pict>
          </mc:Fallback>
        </mc:AlternateContent>
      </w:r>
      <w:r>
        <w:drawing>
          <wp:anchor distT="0" distB="0" distL="114300" distR="114300" simplePos="0" relativeHeight="251734016" behindDoc="0" locked="0" layoutInCell="1" allowOverlap="1">
            <wp:simplePos x="0" y="0"/>
            <wp:positionH relativeFrom="column">
              <wp:posOffset>4799965</wp:posOffset>
            </wp:positionH>
            <wp:positionV relativeFrom="paragraph">
              <wp:posOffset>14605</wp:posOffset>
            </wp:positionV>
            <wp:extent cx="625475" cy="925830"/>
            <wp:effectExtent l="0" t="0" r="3175" b="7620"/>
            <wp:wrapNone/>
            <wp:docPr id="1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
                    <pic:cNvPicPr>
                      <a:picLocks noChangeAspect="1"/>
                    </pic:cNvPicPr>
                  </pic:nvPicPr>
                  <pic:blipFill>
                    <a:blip r:embed="rId58"/>
                    <a:stretch>
                      <a:fillRect/>
                    </a:stretch>
                  </pic:blipFill>
                  <pic:spPr>
                    <a:xfrm>
                      <a:off x="0" y="0"/>
                      <a:ext cx="625475" cy="925830"/>
                    </a:xfrm>
                    <a:prstGeom prst="rect">
                      <a:avLst/>
                    </a:prstGeom>
                    <a:noFill/>
                    <a:ln>
                      <a:noFill/>
                    </a:ln>
                  </pic:spPr>
                </pic:pic>
              </a:graphicData>
            </a:graphic>
          </wp:anchor>
        </w:drawing>
      </w:r>
      <w:r>
        <mc:AlternateContent>
          <mc:Choice Requires="wps">
            <w:drawing>
              <wp:anchor distT="0" distB="0" distL="114300" distR="114300" simplePos="0" relativeHeight="251729920" behindDoc="0" locked="0" layoutInCell="1" allowOverlap="1">
                <wp:simplePos x="0" y="0"/>
                <wp:positionH relativeFrom="column">
                  <wp:posOffset>569595</wp:posOffset>
                </wp:positionH>
                <wp:positionV relativeFrom="paragraph">
                  <wp:posOffset>5115560</wp:posOffset>
                </wp:positionV>
                <wp:extent cx="530225" cy="252730"/>
                <wp:effectExtent l="4445" t="4445" r="17780" b="9525"/>
                <wp:wrapNone/>
                <wp:docPr id="134" name="任意多边形 134"/>
                <wp:cNvGraphicFramePr/>
                <a:graphic xmlns:a="http://schemas.openxmlformats.org/drawingml/2006/main">
                  <a:graphicData uri="http://schemas.microsoft.com/office/word/2010/wordprocessingShape">
                    <wps:wsp>
                      <wps:cNvSpPr/>
                      <wps:spPr>
                        <a:xfrm>
                          <a:off x="0" y="0"/>
                          <a:ext cx="530225" cy="252730"/>
                        </a:xfrm>
                        <a:custGeom>
                          <a:avLst/>
                          <a:gdLst>
                            <a:gd name="connisteX0" fmla="*/ 0 w 530225"/>
                            <a:gd name="connsiteY0" fmla="*/ 252730 h 252730"/>
                            <a:gd name="connisteX1" fmla="*/ 66675 w 530225"/>
                            <a:gd name="connsiteY1" fmla="*/ 0 h 252730"/>
                            <a:gd name="connisteX2" fmla="*/ 414020 w 530225"/>
                            <a:gd name="connsiteY2" fmla="*/ 3810 h 252730"/>
                            <a:gd name="connisteX3" fmla="*/ 530225 w 530225"/>
                            <a:gd name="connsiteY3" fmla="*/ 244475 h 252730"/>
                            <a:gd name="connisteX4" fmla="*/ 0 w 530225"/>
                            <a:gd name="connsiteY4" fmla="*/ 252730 h 2527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30225" h="252730">
                              <a:moveTo>
                                <a:pt x="0" y="252730"/>
                              </a:moveTo>
                              <a:lnTo>
                                <a:pt x="66675" y="0"/>
                              </a:lnTo>
                              <a:lnTo>
                                <a:pt x="414020" y="3810"/>
                              </a:lnTo>
                              <a:lnTo>
                                <a:pt x="530225" y="244475"/>
                              </a:lnTo>
                              <a:lnTo>
                                <a:pt x="0" y="252730"/>
                              </a:lnTo>
                              <a:close/>
                            </a:path>
                          </a:pathLst>
                        </a:custGeom>
                        <a:solidFill>
                          <a:srgbClr val="B0BC00"/>
                        </a:solidFill>
                        <a:ln w="0">
                          <a:solidFill>
                            <a:srgbClr val="B0BC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4.85pt;margin-top:402.8pt;height:19.9pt;width:41.75pt;z-index:251729920;mso-width-relative:page;mso-height-relative:page;" fillcolor="#B0BC00" filled="t" stroked="t" coordsize="530225,252730" o:gfxdata="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" path="m0,252730l66675,0,414020,3810,530225,244475,0,252730xe">
                <v:path o:connectlocs="0,252730;66675,0;414020,3810;530225,244475;0,252730" o:connectangles="0,0,0,0,0"/>
                <v:fill on="t" focussize="0,0"/>
                <v:stroke weight="0pt" color="#B0BC00 [2404]" joinstyle="round"/>
                <v:imagedata o:title=""/>
                <o:lock v:ext="edit" aspectratio="f"/>
              </v:shape>
            </w:pict>
          </mc:Fallback>
        </mc:AlternateContent>
      </w:r>
      <w:r>
        <mc:AlternateContent>
          <mc:Choice Requires="wps">
            <w:drawing>
              <wp:anchor distT="0" distB="0" distL="114300" distR="114300" simplePos="0" relativeHeight="251728896" behindDoc="0" locked="0" layoutInCell="1" allowOverlap="1">
                <wp:simplePos x="0" y="0"/>
                <wp:positionH relativeFrom="column">
                  <wp:posOffset>2499995</wp:posOffset>
                </wp:positionH>
                <wp:positionV relativeFrom="paragraph">
                  <wp:posOffset>1017270</wp:posOffset>
                </wp:positionV>
                <wp:extent cx="116205" cy="86360"/>
                <wp:effectExtent l="4445" t="4445" r="12700" b="23495"/>
                <wp:wrapNone/>
                <wp:docPr id="132" name="任意多边形 132"/>
                <wp:cNvGraphicFramePr/>
                <a:graphic xmlns:a="http://schemas.openxmlformats.org/drawingml/2006/main">
                  <a:graphicData uri="http://schemas.microsoft.com/office/word/2010/wordprocessingShape">
                    <wps:wsp>
                      <wps:cNvSpPr/>
                      <wps:spPr>
                        <a:xfrm>
                          <a:off x="0" y="0"/>
                          <a:ext cx="116205" cy="86360"/>
                        </a:xfrm>
                        <a:custGeom>
                          <a:avLst/>
                          <a:gdLst>
                            <a:gd name="connisteX0" fmla="*/ 12065 w 116205"/>
                            <a:gd name="connsiteY0" fmla="*/ 0 h 86360"/>
                            <a:gd name="connisteX1" fmla="*/ 116205 w 116205"/>
                            <a:gd name="connsiteY1" fmla="*/ 52705 h 86360"/>
                            <a:gd name="connisteX2" fmla="*/ 50800 w 116205"/>
                            <a:gd name="connsiteY2" fmla="*/ 86360 h 86360"/>
                            <a:gd name="connisteX3" fmla="*/ 50800 w 116205"/>
                            <a:gd name="connsiteY3" fmla="*/ 55880 h 86360"/>
                            <a:gd name="connisteX4" fmla="*/ 0 w 116205"/>
                            <a:gd name="connsiteY4" fmla="*/ 41275 h 86360"/>
                            <a:gd name="connisteX5" fmla="*/ 12065 w 116205"/>
                            <a:gd name="connsiteY5" fmla="*/ 0 h 863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16205" h="86360">
                              <a:moveTo>
                                <a:pt x="12065" y="0"/>
                              </a:moveTo>
                              <a:lnTo>
                                <a:pt x="116205" y="52705"/>
                              </a:lnTo>
                              <a:lnTo>
                                <a:pt x="50800" y="86360"/>
                              </a:lnTo>
                              <a:lnTo>
                                <a:pt x="50800" y="55880"/>
                              </a:lnTo>
                              <a:lnTo>
                                <a:pt x="0" y="41275"/>
                              </a:lnTo>
                              <a:lnTo>
                                <a:pt x="12065" y="0"/>
                              </a:lnTo>
                              <a:close/>
                            </a:path>
                          </a:pathLst>
                        </a:custGeom>
                        <a:solidFill>
                          <a:srgbClr val="AD039F"/>
                        </a:solidFill>
                        <a:ln w="0">
                          <a:solidFill>
                            <a:srgbClr val="AD039F"/>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6.85pt;margin-top:80.1pt;height:6.8pt;width:9.15pt;z-index:251728896;mso-width-relative:page;mso-height-relative:page;" fillcolor="#AD039F" filled="t" stroked="t" coordsize="116205,86360" o:gfxdata="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FDCIxdgAAAALAQAADwAAAAAAAAABACAAAAAiAAAAZHJzL2Rvd25yZXYu&#10;eG1sUEsBAhQAFAAAAAgAh07iQICRQkQYAwAACwkAAA4AAAAAAAAAAQAgAAAAJwEAAGRycy9lMm9E&#10;b2MueG1sUEsFBgAAAAAGAAYAWQEAALEGAAAAAA==&#10;" path="m12065,0l116205,52705,50800,86360,50800,55880,0,41275,12065,0xe">
                <v:path o:connectlocs="12065,0;116205,52705;50800,86360;50800,55880;0,41275;12065,0" o:connectangles="0,0,0,0,0,0"/>
                <v:fill on="t" focussize="0,0"/>
                <v:stroke weight="0pt" color="#AD039F [2404]" joinstyle="round"/>
                <v:imagedata o:title=""/>
                <o:lock v:ext="edit" aspectratio="f"/>
              </v:shape>
            </w:pict>
          </mc:Fallback>
        </mc:AlternateContent>
      </w:r>
      <w:r>
        <mc:AlternateContent>
          <mc:Choice Requires="wps">
            <w:drawing>
              <wp:anchor distT="0" distB="0" distL="114300" distR="114300" simplePos="0" relativeHeight="251727872" behindDoc="0" locked="0" layoutInCell="1" allowOverlap="1">
                <wp:simplePos x="0" y="0"/>
                <wp:positionH relativeFrom="column">
                  <wp:posOffset>2625090</wp:posOffset>
                </wp:positionH>
                <wp:positionV relativeFrom="paragraph">
                  <wp:posOffset>1098550</wp:posOffset>
                </wp:positionV>
                <wp:extent cx="108585" cy="168275"/>
                <wp:effectExtent l="4445" t="4445" r="20320" b="17780"/>
                <wp:wrapNone/>
                <wp:docPr id="130" name="任意多边形 130"/>
                <wp:cNvGraphicFramePr/>
                <a:graphic xmlns:a="http://schemas.openxmlformats.org/drawingml/2006/main">
                  <a:graphicData uri="http://schemas.microsoft.com/office/word/2010/wordprocessingShape">
                    <wps:wsp>
                      <wps:cNvSpPr/>
                      <wps:spPr>
                        <a:xfrm>
                          <a:off x="0" y="0"/>
                          <a:ext cx="108585" cy="168275"/>
                        </a:xfrm>
                        <a:custGeom>
                          <a:avLst/>
                          <a:gdLst>
                            <a:gd name="connisteX0" fmla="*/ 36830 w 108585"/>
                            <a:gd name="connsiteY0" fmla="*/ 0 h 168275"/>
                            <a:gd name="connisteX1" fmla="*/ 81915 w 108585"/>
                            <a:gd name="connsiteY1" fmla="*/ 79375 h 168275"/>
                            <a:gd name="connisteX2" fmla="*/ 106045 w 108585"/>
                            <a:gd name="connsiteY2" fmla="*/ 123825 h 168275"/>
                            <a:gd name="connisteX3" fmla="*/ 108585 w 108585"/>
                            <a:gd name="connsiteY3" fmla="*/ 155575 h 168275"/>
                            <a:gd name="connisteX4" fmla="*/ 84455 w 108585"/>
                            <a:gd name="connsiteY4" fmla="*/ 168275 h 168275"/>
                            <a:gd name="connisteX5" fmla="*/ 55880 w 108585"/>
                            <a:gd name="connsiteY5" fmla="*/ 152400 h 168275"/>
                            <a:gd name="connisteX6" fmla="*/ 42545 w 108585"/>
                            <a:gd name="connsiteY6" fmla="*/ 76200 h 168275"/>
                            <a:gd name="connisteX7" fmla="*/ 0 w 108585"/>
                            <a:gd name="connsiteY7" fmla="*/ 20320 h 168275"/>
                            <a:gd name="connisteX8" fmla="*/ 36830 w 108585"/>
                            <a:gd name="connsiteY8" fmla="*/ 0 h 1682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08585" h="168275">
                              <a:moveTo>
                                <a:pt x="36830" y="0"/>
                              </a:moveTo>
                              <a:lnTo>
                                <a:pt x="81915" y="79375"/>
                              </a:lnTo>
                              <a:lnTo>
                                <a:pt x="106045" y="123825"/>
                              </a:lnTo>
                              <a:lnTo>
                                <a:pt x="108585" y="155575"/>
                              </a:lnTo>
                              <a:lnTo>
                                <a:pt x="84455" y="168275"/>
                              </a:lnTo>
                              <a:lnTo>
                                <a:pt x="55880" y="152400"/>
                              </a:lnTo>
                              <a:lnTo>
                                <a:pt x="42545" y="76200"/>
                              </a:lnTo>
                              <a:lnTo>
                                <a:pt x="0" y="20320"/>
                              </a:lnTo>
                              <a:lnTo>
                                <a:pt x="36830" y="0"/>
                              </a:lnTo>
                              <a:close/>
                            </a:path>
                          </a:pathLst>
                        </a:custGeom>
                        <a:solidFill>
                          <a:srgbClr val="AD039F"/>
                        </a:solidFill>
                        <a:ln w="0">
                          <a:solidFill>
                            <a:srgbClr val="AD039F"/>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6.7pt;margin-top:86.5pt;height:13.25pt;width:8.55pt;z-index:251727872;mso-width-relative:page;mso-height-relative:page;" fillcolor="#AD039F" filled="t" stroked="t" coordsize="108585,168275" o:gfxdata="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" path="m36830,0l81915,79375,106045,123825,108585,155575,84455,168275,55880,152400,42545,76200,0,20320,36830,0xe">
                <v:path o:connectlocs="36830,0;81915,79375;106045,123825;108585,155575;84455,168275;55880,152400;42545,76200;0,20320;36830,0" o:connectangles="0,0,0,0,0,0,0,0,0"/>
                <v:fill on="t" focussize="0,0"/>
                <v:stroke weight="0pt" color="#AD039F [2404]" joinstyle="round"/>
                <v:imagedata o:title=""/>
                <o:lock v:ext="edit" aspectratio="f"/>
              </v:shape>
            </w:pict>
          </mc:Fallback>
        </mc:AlternateContent>
      </w:r>
      <w:r>
        <mc:AlternateContent>
          <mc:Choice Requires="wps">
            <w:drawing>
              <wp:anchor distT="0" distB="0" distL="114300" distR="114300" simplePos="0" relativeHeight="251726848" behindDoc="0" locked="0" layoutInCell="1" allowOverlap="1">
                <wp:simplePos x="0" y="0"/>
                <wp:positionH relativeFrom="column">
                  <wp:posOffset>2738755</wp:posOffset>
                </wp:positionH>
                <wp:positionV relativeFrom="paragraph">
                  <wp:posOffset>1483995</wp:posOffset>
                </wp:positionV>
                <wp:extent cx="95250" cy="103505"/>
                <wp:effectExtent l="4445" t="4445" r="14605" b="6350"/>
                <wp:wrapNone/>
                <wp:docPr id="127" name="任意多边形 127"/>
                <wp:cNvGraphicFramePr/>
                <a:graphic xmlns:a="http://schemas.openxmlformats.org/drawingml/2006/main">
                  <a:graphicData uri="http://schemas.microsoft.com/office/word/2010/wordprocessingShape">
                    <wps:wsp>
                      <wps:cNvSpPr/>
                      <wps:spPr>
                        <a:xfrm>
                          <a:off x="0" y="0"/>
                          <a:ext cx="95250" cy="103505"/>
                        </a:xfrm>
                        <a:custGeom>
                          <a:avLst/>
                          <a:gdLst>
                            <a:gd name="connisteX0" fmla="*/ 0 w 95250"/>
                            <a:gd name="connsiteY0" fmla="*/ 33655 h 103505"/>
                            <a:gd name="connisteX1" fmla="*/ 80010 w 95250"/>
                            <a:gd name="connsiteY1" fmla="*/ 0 h 103505"/>
                            <a:gd name="connisteX2" fmla="*/ 95250 w 95250"/>
                            <a:gd name="connsiteY2" fmla="*/ 52070 h 103505"/>
                            <a:gd name="connisteX3" fmla="*/ 95250 w 95250"/>
                            <a:gd name="connsiteY3" fmla="*/ 103505 h 103505"/>
                            <a:gd name="connisteX4" fmla="*/ 18415 w 95250"/>
                            <a:gd name="connsiteY4" fmla="*/ 95250 h 103505"/>
                            <a:gd name="connisteX5" fmla="*/ 0 w 95250"/>
                            <a:gd name="connsiteY5" fmla="*/ 33655 h 1035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95250" h="103505">
                              <a:moveTo>
                                <a:pt x="0" y="33655"/>
                              </a:moveTo>
                              <a:lnTo>
                                <a:pt x="80010" y="0"/>
                              </a:lnTo>
                              <a:lnTo>
                                <a:pt x="95250" y="52070"/>
                              </a:lnTo>
                              <a:lnTo>
                                <a:pt x="95250" y="103505"/>
                              </a:lnTo>
                              <a:lnTo>
                                <a:pt x="18415" y="95250"/>
                              </a:lnTo>
                              <a:lnTo>
                                <a:pt x="0" y="33655"/>
                              </a:lnTo>
                              <a:close/>
                            </a:path>
                          </a:pathLst>
                        </a:custGeom>
                        <a:solidFill>
                          <a:srgbClr val="AD039F"/>
                        </a:solidFill>
                        <a:ln w="0">
                          <a:solidFill>
                            <a:srgbClr val="AC04AA"/>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5.65pt;margin-top:116.85pt;height:8.15pt;width:7.5pt;z-index:251726848;mso-width-relative:page;mso-height-relative:page;" fillcolor="#AD039F" filled="t" stroked="t" coordsize="95250,103505" o:gfxdata="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KZMIAHaAAAACwEAAA8AAAAAAAAAAQAgAAAAIgAAAGRycy9k&#10;b3ducmV2LnhtbFBLAQIUABQAAAAIAIdO4kDbObFWHQMAAAsJAAAOAAAAAAAAAAEAIAAAACkBAABk&#10;cnMvZTJvRG9jLnhtbFBLBQYAAAAABgAGAFkBAAC4BgAAAAA=&#10;" path="m0,33655l80010,0,95250,52070,95250,103505,18415,95250,0,33655xe">
                <v:path o:connectlocs="0,33655;80010,0;95250,52070;95250,103505;18415,95250;0,33655" o:connectangles="0,0,0,0,0,0"/>
                <v:fill on="t" focussize="0,0"/>
                <v:stroke weight="0pt" color="#AC04AA [2404]" joinstyle="round"/>
                <v:imagedata o:title=""/>
                <o:lock v:ext="edit" aspectratio="f"/>
              </v:shape>
            </w:pict>
          </mc:Fallback>
        </mc:AlternateContent>
      </w:r>
      <w:r>
        <mc:AlternateContent>
          <mc:Choice Requires="wps">
            <w:drawing>
              <wp:anchor distT="0" distB="0" distL="114300" distR="114300" simplePos="0" relativeHeight="251718656" behindDoc="0" locked="0" layoutInCell="1" allowOverlap="1">
                <wp:simplePos x="0" y="0"/>
                <wp:positionH relativeFrom="column">
                  <wp:posOffset>2218055</wp:posOffset>
                </wp:positionH>
                <wp:positionV relativeFrom="paragraph">
                  <wp:posOffset>1468755</wp:posOffset>
                </wp:positionV>
                <wp:extent cx="397510" cy="135255"/>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39751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7A9EF7">
                            <w:pPr>
                              <w:jc w:val="center"/>
                              <w:rPr>
                                <w:b/>
                                <w:bCs/>
                                <w:color w:val="FFFF00"/>
                                <w:sz w:val="16"/>
                                <w:szCs w:val="16"/>
                              </w:rPr>
                            </w:pPr>
                            <w:r>
                              <w:rPr>
                                <w:rFonts w:hint="eastAsia"/>
                                <w:b/>
                                <w:bCs/>
                                <w:color w:val="FFFF00"/>
                                <w:sz w:val="16"/>
                                <w:szCs w:val="16"/>
                              </w:rPr>
                              <w:t>天塘村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74.65pt;margin-top:115.65pt;height:10.65pt;width:31.3pt;z-index:251718656;mso-width-relative:page;mso-height-relative:page;" filled="f" stroked="f" coordsize="21600,21600" o:gfxdata="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u4w8C2QAAAAsBAAAPAAAAAAAAAAEAIAAAACIAAABkcnMvZG93bnJldi54&#10;bWxQSwECFAAUAAAACACHTuJAJkvTzDICAABZBAAADgAAAAAAAAABACAAAAAoAQAAZHJzL2Uyb0Rv&#10;Yy54bWxQSwUGAAAAAAYABgBZAQAAzAUAAAAA&#10;">
                <v:fill on="f" focussize="0,0"/>
                <v:stroke on="f" weight="0.5pt"/>
                <v:imagedata o:title=""/>
                <o:lock v:ext="edit" aspectratio="f"/>
                <v:textbox inset="0mm,0mm,0mm,0mm">
                  <w:txbxContent>
                    <w:p w14:paraId="137A9EF7">
                      <w:pPr>
                        <w:jc w:val="center"/>
                        <w:rPr>
                          <w:b/>
                          <w:bCs/>
                          <w:color w:val="FFFF00"/>
                          <w:sz w:val="16"/>
                          <w:szCs w:val="16"/>
                        </w:rPr>
                      </w:pPr>
                      <w:r>
                        <w:rPr>
                          <w:rFonts w:hint="eastAsia"/>
                          <w:b/>
                          <w:bCs/>
                          <w:color w:val="FFFF00"/>
                          <w:sz w:val="16"/>
                          <w:szCs w:val="16"/>
                        </w:rPr>
                        <w:t>天塘村</w:t>
                      </w:r>
                    </w:p>
                  </w:txbxContent>
                </v:textbox>
              </v:shap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650240</wp:posOffset>
                </wp:positionH>
                <wp:positionV relativeFrom="paragraph">
                  <wp:posOffset>2832735</wp:posOffset>
                </wp:positionV>
                <wp:extent cx="457200" cy="135255"/>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45720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7E8A2B">
                            <w:pPr>
                              <w:jc w:val="center"/>
                              <w:rPr>
                                <w:b/>
                                <w:bCs/>
                                <w:color w:val="FFFF00"/>
                                <w:sz w:val="16"/>
                                <w:szCs w:val="16"/>
                              </w:rPr>
                            </w:pPr>
                            <w:r>
                              <w:rPr>
                                <w:rFonts w:hint="eastAsia"/>
                                <w:b/>
                                <w:bCs/>
                                <w:color w:val="FFFF00"/>
                                <w:sz w:val="16"/>
                                <w:szCs w:val="16"/>
                              </w:rPr>
                              <w:t>果子山村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1.2pt;margin-top:223.05pt;height:10.65pt;width:36pt;z-index:251708416;mso-width-relative:page;mso-height-relative:page;" filled="f" stroked="f" coordsize="21600,21600" o:gfxdata="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VTlKzXAAAACwEAAA8AAAAAAAAAAQAgAAAAIgAAAGRycy9kb3ducmV2Lnht&#10;bFBLAQIUABQAAAAIAIdO4kB3A1b9MwIAAFcEAAAOAAAAAAAAAAEAIAAAACYBAABkcnMvZTJvRG9j&#10;LnhtbFBLBQYAAAAABgAGAFkBAADLBQAAAAA=&#10;">
                <v:fill on="f" focussize="0,0"/>
                <v:stroke on="f" weight="0.5pt"/>
                <v:imagedata o:title=""/>
                <o:lock v:ext="edit" aspectratio="f"/>
                <v:textbox inset="0mm,0mm,0mm,0mm">
                  <w:txbxContent>
                    <w:p w14:paraId="6E7E8A2B">
                      <w:pPr>
                        <w:jc w:val="center"/>
                        <w:rPr>
                          <w:b/>
                          <w:bCs/>
                          <w:color w:val="FFFF00"/>
                          <w:sz w:val="16"/>
                          <w:szCs w:val="16"/>
                        </w:rPr>
                      </w:pPr>
                      <w:r>
                        <w:rPr>
                          <w:rFonts w:hint="eastAsia"/>
                          <w:b/>
                          <w:bCs/>
                          <w:color w:val="FFFF00"/>
                          <w:sz w:val="16"/>
                          <w:szCs w:val="16"/>
                        </w:rPr>
                        <w:t>果子山村</w:t>
                      </w:r>
                    </w:p>
                  </w:txbxContent>
                </v:textbox>
              </v:shape>
            </w:pict>
          </mc:Fallback>
        </mc:AlternateContent>
      </w:r>
      <w:r>
        <mc:AlternateContent>
          <mc:Choice Requires="wps">
            <w:drawing>
              <wp:anchor distT="0" distB="0" distL="114300" distR="114300" simplePos="0" relativeHeight="251730944" behindDoc="0" locked="0" layoutInCell="1" allowOverlap="1">
                <wp:simplePos x="0" y="0"/>
                <wp:positionH relativeFrom="column">
                  <wp:posOffset>907415</wp:posOffset>
                </wp:positionH>
                <wp:positionV relativeFrom="paragraph">
                  <wp:posOffset>2967355</wp:posOffset>
                </wp:positionV>
                <wp:extent cx="117475" cy="195580"/>
                <wp:effectExtent l="4445" t="4445" r="11430" b="9525"/>
                <wp:wrapNone/>
                <wp:docPr id="125" name="任意多边形 125"/>
                <wp:cNvGraphicFramePr/>
                <a:graphic xmlns:a="http://schemas.openxmlformats.org/drawingml/2006/main">
                  <a:graphicData uri="http://schemas.microsoft.com/office/word/2010/wordprocessingShape">
                    <wps:wsp>
                      <wps:cNvSpPr/>
                      <wps:spPr>
                        <a:xfrm>
                          <a:off x="0" y="0"/>
                          <a:ext cx="117475" cy="195580"/>
                        </a:xfrm>
                        <a:custGeom>
                          <a:avLst/>
                          <a:gdLst>
                            <a:gd name="connisteX0" fmla="*/ 58420 w 117475"/>
                            <a:gd name="connsiteY0" fmla="*/ 195580 h 195580"/>
                            <a:gd name="connisteX1" fmla="*/ 117475 w 117475"/>
                            <a:gd name="connsiteY1" fmla="*/ 141605 h 195580"/>
                            <a:gd name="connisteX2" fmla="*/ 63500 w 117475"/>
                            <a:gd name="connsiteY2" fmla="*/ 0 h 195580"/>
                            <a:gd name="connisteX3" fmla="*/ 17145 w 117475"/>
                            <a:gd name="connsiteY3" fmla="*/ 22225 h 195580"/>
                            <a:gd name="connisteX4" fmla="*/ 0 w 117475"/>
                            <a:gd name="connsiteY4" fmla="*/ 90805 h 195580"/>
                            <a:gd name="connisteX5" fmla="*/ 9525 w 117475"/>
                            <a:gd name="connsiteY5" fmla="*/ 128905 h 195580"/>
                            <a:gd name="connisteX6" fmla="*/ 17145 w 117475"/>
                            <a:gd name="connsiteY6" fmla="*/ 195580 h 195580"/>
                            <a:gd name="connisteX7" fmla="*/ 58420 w 117475"/>
                            <a:gd name="connsiteY7" fmla="*/ 195580 h 1955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17475" h="195580">
                              <a:moveTo>
                                <a:pt x="58420" y="195580"/>
                              </a:moveTo>
                              <a:lnTo>
                                <a:pt x="117475" y="141605"/>
                              </a:lnTo>
                              <a:lnTo>
                                <a:pt x="63500" y="0"/>
                              </a:lnTo>
                              <a:lnTo>
                                <a:pt x="17145" y="22225"/>
                              </a:lnTo>
                              <a:lnTo>
                                <a:pt x="0" y="90805"/>
                              </a:lnTo>
                              <a:lnTo>
                                <a:pt x="9525" y="128905"/>
                              </a:lnTo>
                              <a:lnTo>
                                <a:pt x="17145" y="195580"/>
                              </a:lnTo>
                              <a:lnTo>
                                <a:pt x="58420" y="195580"/>
                              </a:lnTo>
                              <a:close/>
                            </a:path>
                          </a:pathLst>
                        </a:custGeom>
                        <a:solidFill>
                          <a:srgbClr val="0B9796"/>
                        </a:solidFill>
                        <a:ln w="0">
                          <a:solidFill>
                            <a:srgbClr val="0B9796"/>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1.45pt;margin-top:233.65pt;height:15.4pt;width:9.25pt;z-index:251730944;mso-width-relative:page;mso-height-relative:page;" fillcolor="#0B9796" filled="t" stroked="t" coordsize="117475,195580" o:gfxdata="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" path="m58420,195580l117475,141605,63500,0,17145,22225,0,90805,9525,128905,17145,195580,58420,195580xe">
                <v:path o:connectlocs="58420,195580;117475,141605;63500,0;17145,22225;0,90805;9525,128905;17145,195580;58420,195580" o:connectangles="0,0,0,0,0,0,0,0"/>
                <v:fill on="t" focussize="0,0"/>
                <v:stroke weight="0pt" color="#0B9796 [2404]" joinstyle="round"/>
                <v:imagedata o:title=""/>
                <o:lock v:ext="edit" aspectratio="f"/>
              </v:shape>
            </w:pict>
          </mc:Fallback>
        </mc:AlternateContent>
      </w:r>
      <w:r>
        <mc:AlternateContent>
          <mc:Choice Requires="wps">
            <w:drawing>
              <wp:anchor distT="0" distB="0" distL="114300" distR="114300" simplePos="0" relativeHeight="251725824" behindDoc="0" locked="0" layoutInCell="1" allowOverlap="1">
                <wp:simplePos x="0" y="0"/>
                <wp:positionH relativeFrom="column">
                  <wp:posOffset>488950</wp:posOffset>
                </wp:positionH>
                <wp:positionV relativeFrom="paragraph">
                  <wp:posOffset>1451610</wp:posOffset>
                </wp:positionV>
                <wp:extent cx="683895" cy="767080"/>
                <wp:effectExtent l="4445" t="4445" r="16510" b="9525"/>
                <wp:wrapNone/>
                <wp:docPr id="121" name="任意多边形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83895" cy="767080"/>
                        </a:xfrm>
                        <a:custGeom>
                          <a:avLst/>
                          <a:gdLst>
                            <a:gd name="connsiteX0" fmla="*/ 0 w 1155"/>
                            <a:gd name="connsiteY0" fmla="*/ 920 h 1300"/>
                            <a:gd name="connsiteX1" fmla="*/ 75 w 1155"/>
                            <a:gd name="connsiteY1" fmla="*/ 695 h 1300"/>
                            <a:gd name="connsiteX2" fmla="*/ 25 w 1155"/>
                            <a:gd name="connsiteY2" fmla="*/ 508 h 1300"/>
                            <a:gd name="connsiteX3" fmla="*/ 325 w 1155"/>
                            <a:gd name="connsiteY3" fmla="*/ 0 h 1300"/>
                            <a:gd name="connsiteX4" fmla="*/ 509 w 1155"/>
                            <a:gd name="connsiteY4" fmla="*/ 63 h 1300"/>
                            <a:gd name="connsiteX5" fmla="*/ 584 w 1155"/>
                            <a:gd name="connsiteY5" fmla="*/ 0 h 1300"/>
                            <a:gd name="connsiteX6" fmla="*/ 892 w 1155"/>
                            <a:gd name="connsiteY6" fmla="*/ 70 h 1300"/>
                            <a:gd name="connsiteX7" fmla="*/ 830 w 1155"/>
                            <a:gd name="connsiteY7" fmla="*/ 145 h 1300"/>
                            <a:gd name="connsiteX8" fmla="*/ 1009 w 1155"/>
                            <a:gd name="connsiteY8" fmla="*/ 658 h 1300"/>
                            <a:gd name="connsiteX9" fmla="*/ 1134 w 1155"/>
                            <a:gd name="connsiteY9" fmla="*/ 703 h 1300"/>
                            <a:gd name="connsiteX10" fmla="*/ 1155 w 1155"/>
                            <a:gd name="connsiteY10" fmla="*/ 733 h 1300"/>
                            <a:gd name="connsiteX11" fmla="*/ 1134 w 1155"/>
                            <a:gd name="connsiteY11" fmla="*/ 745 h 1300"/>
                            <a:gd name="connsiteX12" fmla="*/ 1075 w 1155"/>
                            <a:gd name="connsiteY12" fmla="*/ 903 h 1300"/>
                            <a:gd name="connsiteX13" fmla="*/ 955 w 1155"/>
                            <a:gd name="connsiteY13" fmla="*/ 995 h 1300"/>
                            <a:gd name="connsiteX14" fmla="*/ 1109 w 1155"/>
                            <a:gd name="connsiteY14" fmla="*/ 1300 h 1300"/>
                            <a:gd name="connsiteX15" fmla="*/ 850 w 1155"/>
                            <a:gd name="connsiteY15" fmla="*/ 967 h 1300"/>
                            <a:gd name="connsiteX16" fmla="*/ 750 w 1155"/>
                            <a:gd name="connsiteY16" fmla="*/ 963 h 1300"/>
                            <a:gd name="connsiteX17" fmla="*/ 684 w 1155"/>
                            <a:gd name="connsiteY17" fmla="*/ 1017 h 1300"/>
                            <a:gd name="connsiteX18" fmla="*/ 625 w 1155"/>
                            <a:gd name="connsiteY18" fmla="*/ 1045 h 1300"/>
                            <a:gd name="connsiteX19" fmla="*/ 571 w 1155"/>
                            <a:gd name="connsiteY19" fmla="*/ 1045 h 1300"/>
                            <a:gd name="connsiteX20" fmla="*/ 542 w 1155"/>
                            <a:gd name="connsiteY20" fmla="*/ 1042 h 1300"/>
                            <a:gd name="connsiteX21" fmla="*/ 475 w 1155"/>
                            <a:gd name="connsiteY21" fmla="*/ 975 h 1300"/>
                            <a:gd name="connsiteX22" fmla="*/ 442 w 1155"/>
                            <a:gd name="connsiteY22" fmla="*/ 938 h 1300"/>
                            <a:gd name="connsiteX23" fmla="*/ 242 w 1155"/>
                            <a:gd name="connsiteY23" fmla="*/ 933 h 1300"/>
                            <a:gd name="connsiteX24" fmla="*/ 80 w 1155"/>
                            <a:gd name="connsiteY24" fmla="*/ 963 h 1300"/>
                            <a:gd name="connsiteX25" fmla="*/ 0 w 1155"/>
                            <a:gd name="connsiteY25" fmla="*/ 920 h 1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155" h="1300">
                              <a:moveTo>
                                <a:pt x="0" y="920"/>
                              </a:moveTo>
                              <a:lnTo>
                                <a:pt x="75" y="695"/>
                              </a:lnTo>
                              <a:lnTo>
                                <a:pt x="25" y="508"/>
                              </a:lnTo>
                              <a:lnTo>
                                <a:pt x="325" y="0"/>
                              </a:lnTo>
                              <a:lnTo>
                                <a:pt x="509" y="63"/>
                              </a:lnTo>
                              <a:lnTo>
                                <a:pt x="584" y="0"/>
                              </a:lnTo>
                              <a:lnTo>
                                <a:pt x="892" y="70"/>
                              </a:lnTo>
                              <a:lnTo>
                                <a:pt x="830" y="145"/>
                              </a:lnTo>
                              <a:lnTo>
                                <a:pt x="1009" y="658"/>
                              </a:lnTo>
                              <a:lnTo>
                                <a:pt x="1134" y="703"/>
                              </a:lnTo>
                              <a:lnTo>
                                <a:pt x="1155" y="733"/>
                              </a:lnTo>
                              <a:lnTo>
                                <a:pt x="1134" y="745"/>
                              </a:lnTo>
                              <a:lnTo>
                                <a:pt x="1075" y="903"/>
                              </a:lnTo>
                              <a:lnTo>
                                <a:pt x="955" y="995"/>
                              </a:lnTo>
                              <a:lnTo>
                                <a:pt x="1109" y="1300"/>
                              </a:lnTo>
                              <a:lnTo>
                                <a:pt x="850" y="967"/>
                              </a:lnTo>
                              <a:lnTo>
                                <a:pt x="750" y="963"/>
                              </a:lnTo>
                              <a:lnTo>
                                <a:pt x="684" y="1017"/>
                              </a:lnTo>
                              <a:lnTo>
                                <a:pt x="625" y="1045"/>
                              </a:lnTo>
                              <a:lnTo>
                                <a:pt x="571" y="1045"/>
                              </a:lnTo>
                              <a:lnTo>
                                <a:pt x="542" y="1042"/>
                              </a:lnTo>
                              <a:lnTo>
                                <a:pt x="475" y="975"/>
                              </a:lnTo>
                              <a:lnTo>
                                <a:pt x="442" y="938"/>
                              </a:lnTo>
                              <a:lnTo>
                                <a:pt x="242" y="933"/>
                              </a:lnTo>
                              <a:lnTo>
                                <a:pt x="80" y="963"/>
                              </a:lnTo>
                              <a:lnTo>
                                <a:pt x="0" y="920"/>
                              </a:lnTo>
                              <a:close/>
                            </a:path>
                          </a:pathLst>
                        </a:custGeom>
                        <a:solidFill>
                          <a:srgbClr val="53C93D"/>
                        </a:solidFill>
                        <a:ln w="0">
                          <a:solidFill>
                            <a:srgbClr val="53C93D"/>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5pt;margin-top:114.3pt;height:60.4pt;width:53.85pt;z-index:251725824;mso-width-relative:page;mso-height-relative:page;" fillcolor="#53C93D" filled="t" stroked="t" coordsize="1155,1300" o:gfxdata="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&#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" path="m0,920l75,695,25,508,325,0,509,63,584,0,892,70,830,145,1009,658,1134,703,1155,733,1134,745,1075,903,955,995,1109,1300,850,967,750,963,684,1017,625,1045,571,1045,542,1042,475,975,442,938,242,933,80,963,0,920xe">
                <v:path o:connectlocs="0,542856;44408,410092;14802,299751;192437,0;301387,37173;345796,0;528168,41304;491457,85558;597445,388260;671460,414813;683895,432515;671460,439595;636525,532825;565471,587111;656657,767080;503299,570589;444087,568229;405007,600092;370073,616614;338098,616614;320927,614844;281255,575310;261715,553477;143292,550527;47369,568229;0,542856" o:connectangles="0,0,0,0,0,0,0,0,0,0,0,0,0,0,0,0,0,0,0,0,0,0,0,0,0,0"/>
                <v:fill on="t" focussize="0,0"/>
                <v:stroke weight="0pt" color="#53C93D [2404]" joinstyle="round"/>
                <v:imagedata o:title=""/>
                <o:lock v:ext="edit" aspectratio="t"/>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1126490</wp:posOffset>
                </wp:positionH>
                <wp:positionV relativeFrom="paragraph">
                  <wp:posOffset>2143125</wp:posOffset>
                </wp:positionV>
                <wp:extent cx="441325" cy="135255"/>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44132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E636A0">
                            <w:pPr>
                              <w:jc w:val="center"/>
                              <w:rPr>
                                <w:b/>
                                <w:bCs/>
                                <w:color w:val="FFFF00"/>
                                <w:sz w:val="16"/>
                                <w:szCs w:val="16"/>
                              </w:rPr>
                            </w:pPr>
                            <w:r>
                              <w:rPr>
                                <w:rFonts w:hint="eastAsia"/>
                                <w:b/>
                                <w:bCs/>
                                <w:color w:val="FFFF00"/>
                                <w:sz w:val="16"/>
                                <w:szCs w:val="16"/>
                              </w:rPr>
                              <w:t>滨海社区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88.7pt;margin-top:168.75pt;height:10.65pt;width:34.75pt;z-index:251704320;mso-width-relative:page;mso-height-relative:page;" filled="f" stroked="f" coordsize="21600,21600" o:gfxdata="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IKnznaAAAACwEAAA8AAAAAAAAAAQAgAAAAIgAAAGRycy9kb3ducmV2&#10;LnhtbFBLAQIUABQAAAAIAIdO4kDaoEEIMwIAAFcEAAAOAAAAAAAAAAEAIAAAACkBAABkcnMvZTJv&#10;RG9jLnhtbFBLBQYAAAAABgAGAFkBAADOBQAAAAA=&#10;">
                <v:fill on="f" focussize="0,0"/>
                <v:stroke on="f" weight="0.5pt"/>
                <v:imagedata o:title=""/>
                <o:lock v:ext="edit" aspectratio="f"/>
                <v:textbox inset="0mm,0mm,0mm,0mm">
                  <w:txbxContent>
                    <w:p w14:paraId="31E636A0">
                      <w:pPr>
                        <w:jc w:val="center"/>
                        <w:rPr>
                          <w:b/>
                          <w:bCs/>
                          <w:color w:val="FFFF00"/>
                          <w:sz w:val="16"/>
                          <w:szCs w:val="16"/>
                        </w:rPr>
                      </w:pPr>
                      <w:r>
                        <w:rPr>
                          <w:rFonts w:hint="eastAsia"/>
                          <w:b/>
                          <w:bCs/>
                          <w:color w:val="FFFF00"/>
                          <w:sz w:val="16"/>
                          <w:szCs w:val="16"/>
                        </w:rPr>
                        <w:t>滨海社区</w:t>
                      </w:r>
                    </w:p>
                  </w:txbxContent>
                </v:textbox>
              </v:shape>
            </w:pict>
          </mc:Fallback>
        </mc:AlternateContent>
      </w:r>
      <w:r>
        <mc:AlternateContent>
          <mc:Choice Requires="wps">
            <w:drawing>
              <wp:anchor distT="0" distB="0" distL="114300" distR="114300" simplePos="0" relativeHeight="251724800" behindDoc="0" locked="0" layoutInCell="1" allowOverlap="1">
                <wp:simplePos x="0" y="0"/>
                <wp:positionH relativeFrom="column">
                  <wp:posOffset>3249295</wp:posOffset>
                </wp:positionH>
                <wp:positionV relativeFrom="paragraph">
                  <wp:posOffset>2854960</wp:posOffset>
                </wp:positionV>
                <wp:extent cx="452755" cy="135255"/>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45275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141E7E">
                            <w:pPr>
                              <w:jc w:val="center"/>
                              <w:rPr>
                                <w:b/>
                                <w:bCs/>
                                <w:color w:val="FFFF00"/>
                                <w:sz w:val="16"/>
                                <w:szCs w:val="16"/>
                              </w:rPr>
                            </w:pPr>
                            <w:r>
                              <w:rPr>
                                <w:rFonts w:hint="eastAsia"/>
                                <w:b/>
                                <w:bCs/>
                                <w:color w:val="FFFF00"/>
                                <w:sz w:val="16"/>
                                <w:szCs w:val="16"/>
                              </w:rPr>
                              <w:t>过山路村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5.85pt;margin-top:224.8pt;height:10.65pt;width:35.65pt;z-index:251724800;mso-width-relative:page;mso-height-relative:page;" filled="f" stroked="f" coordsize="21600,21600" o:gfxdata="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visNk2AAAAAsBAAAPAAAAAAAAAAEAIAAAACIAAABkcnMvZG93bnJldi54&#10;bWxQSwECFAAUAAAACACHTuJAvBBeoDMCAABZBAAADgAAAAAAAAABACAAAAAnAQAAZHJzL2Uyb0Rv&#10;Yy54bWxQSwUGAAAAAAYABgBZAQAAzAUAAAAA&#10;">
                <v:fill on="f" focussize="0,0"/>
                <v:stroke on="f" weight="0.5pt"/>
                <v:imagedata o:title=""/>
                <o:lock v:ext="edit" aspectratio="f"/>
                <v:textbox inset="0mm,0mm,0mm,0mm">
                  <w:txbxContent>
                    <w:p w14:paraId="5B141E7E">
                      <w:pPr>
                        <w:jc w:val="center"/>
                        <w:rPr>
                          <w:b/>
                          <w:bCs/>
                          <w:color w:val="FFFF00"/>
                          <w:sz w:val="16"/>
                          <w:szCs w:val="16"/>
                        </w:rPr>
                      </w:pPr>
                      <w:r>
                        <w:rPr>
                          <w:rFonts w:hint="eastAsia"/>
                          <w:b/>
                          <w:bCs/>
                          <w:color w:val="FFFF00"/>
                          <w:sz w:val="16"/>
                          <w:szCs w:val="16"/>
                        </w:rPr>
                        <w:t>过山路村</w:t>
                      </w:r>
                    </w:p>
                  </w:txbxContent>
                </v:textbox>
              </v:shape>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3679825</wp:posOffset>
                </wp:positionH>
                <wp:positionV relativeFrom="paragraph">
                  <wp:posOffset>2882265</wp:posOffset>
                </wp:positionV>
                <wp:extent cx="71755" cy="71755"/>
                <wp:effectExtent l="4445" t="4445" r="19050" b="19050"/>
                <wp:wrapNone/>
                <wp:docPr id="118" name="椭圆 11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5AA3118C">
                            <w:pPr>
                              <w:jc w:val="center"/>
                            </w:pPr>
                          </w:p>
                          <w:p w14:paraId="5C87B33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9.75pt;margin-top:226.95pt;height:5.65pt;width:5.65pt;z-index:251723776;v-text-anchor:middle;mso-width-relative:page;mso-height-relative:page;" fillcolor="#FFFF00" filled="t" stroked="t" coordsize="21600,21600" o:gfxdata="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ZkCtC2wAAAAsBAAAPAAAAAAAAAAEAIAAA&#10;ACIAAABkcnMvZG93bnJldi54bWxQSwECFAAUAAAACACHTuJAFeSQ5HsCAAAKBQAADgAAAAAAAAAB&#10;ACAAAAAqAQAAZHJzL2Uyb0RvYy54bWxQSwUGAAAAAAYABgBZAQAAFwYAAAAA&#10;">
                <v:fill on="t" focussize="0,0"/>
                <v:stroke weight="0pt" color="#376092 [2404]" joinstyle="round"/>
                <v:imagedata o:title=""/>
                <o:lock v:ext="edit" aspectratio="f"/>
                <v:textbox>
                  <w:txbxContent>
                    <w:p w14:paraId="5AA3118C">
                      <w:pPr>
                        <w:jc w:val="center"/>
                      </w:pPr>
                    </w:p>
                    <w:p w14:paraId="5C87B334">
                      <w:pPr>
                        <w:jc w:val="center"/>
                      </w:pPr>
                    </w:p>
                  </w:txbxContent>
                </v:textbox>
              </v:shape>
            </w:pict>
          </mc:Fallback>
        </mc:AlternateContent>
      </w:r>
      <w:r>
        <mc:AlternateContent>
          <mc:Choice Requires="wps">
            <w:drawing>
              <wp:anchor distT="0" distB="0" distL="114300" distR="114300" simplePos="0" relativeHeight="251715584" behindDoc="0" locked="0" layoutInCell="1" allowOverlap="1">
                <wp:simplePos x="0" y="0"/>
                <wp:positionH relativeFrom="column">
                  <wp:posOffset>4170045</wp:posOffset>
                </wp:positionH>
                <wp:positionV relativeFrom="paragraph">
                  <wp:posOffset>2987675</wp:posOffset>
                </wp:positionV>
                <wp:extent cx="71755" cy="71755"/>
                <wp:effectExtent l="4445" t="4445" r="19050" b="19050"/>
                <wp:wrapNone/>
                <wp:docPr id="116" name="椭圆 11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45E60415">
                            <w:pPr>
                              <w:jc w:val="center"/>
                            </w:pPr>
                          </w:p>
                          <w:p w14:paraId="64FCD0A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8.35pt;margin-top:235.25pt;height:5.65pt;width:5.65pt;z-index:251715584;v-text-anchor:middle;mso-width-relative:page;mso-height-relative:page;" fillcolor="#FFFF00" filled="t" stroked="t" coordsize="21600,21600" o:gfxdata="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K20EL2wAAAAsBAAAPAAAAAAAAAAEAIAAA&#10;ACIAAABkcnMvZG93bnJldi54bWxQSwECFAAUAAAACACHTuJABQdvQXsCAAAKBQAADgAAAAAAAAAB&#10;ACAAAAAqAQAAZHJzL2Uyb0RvYy54bWxQSwUGAAAAAAYABgBZAQAAFwYAAAAA&#10;">
                <v:fill on="t" focussize="0,0"/>
                <v:stroke weight="0pt" color="#376092 [2404]" joinstyle="round"/>
                <v:imagedata o:title=""/>
                <o:lock v:ext="edit" aspectratio="f"/>
                <v:textbox>
                  <w:txbxContent>
                    <w:p w14:paraId="45E60415">
                      <w:pPr>
                        <w:jc w:val="center"/>
                      </w:pPr>
                    </w:p>
                    <w:p w14:paraId="64FCD0AD">
                      <w:pPr>
                        <w:jc w:val="center"/>
                      </w:pPr>
                    </w:p>
                  </w:txbxContent>
                </v:textbox>
              </v:shape>
            </w:pict>
          </mc:Fallback>
        </mc:AlternateContent>
      </w:r>
      <w:r>
        <mc:AlternateContent>
          <mc:Choice Requires="wps">
            <w:drawing>
              <wp:anchor distT="0" distB="0" distL="114300" distR="114300" simplePos="0" relativeHeight="251722752" behindDoc="0" locked="0" layoutInCell="1" allowOverlap="1">
                <wp:simplePos x="0" y="0"/>
                <wp:positionH relativeFrom="column">
                  <wp:posOffset>4117975</wp:posOffset>
                </wp:positionH>
                <wp:positionV relativeFrom="paragraph">
                  <wp:posOffset>2849880</wp:posOffset>
                </wp:positionV>
                <wp:extent cx="540385" cy="13525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54038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C9EEBA">
                            <w:pPr>
                              <w:jc w:val="center"/>
                              <w:rPr>
                                <w:b/>
                                <w:bCs/>
                                <w:color w:val="FFFF00"/>
                                <w:sz w:val="16"/>
                                <w:szCs w:val="16"/>
                              </w:rPr>
                            </w:pPr>
                            <w:r>
                              <w:rPr>
                                <w:rFonts w:hint="eastAsia"/>
                                <w:b/>
                                <w:bCs/>
                                <w:color w:val="FFFF00"/>
                                <w:sz w:val="16"/>
                                <w:szCs w:val="16"/>
                              </w:rPr>
                              <w:t>鸡墩头社区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24.25pt;margin-top:224.4pt;height:10.65pt;width:42.55pt;z-index:251722752;mso-width-relative:page;mso-height-relative:page;" filled="f" stroked="f" coordsize="21600,21600" o:gfxdata="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yHgUG2QAAAAsBAAAPAAAAAAAAAAEAIAAAACIAAABkcnMvZG93bnJldi54&#10;bWxQSwECFAAUAAAACACHTuJA6DKJazICAABZBAAADgAAAAAAAAABACAAAAAoAQAAZHJzL2Uyb0Rv&#10;Yy54bWxQSwUGAAAAAAYABgBZAQAAzAUAAAAA&#10;">
                <v:fill on="f" focussize="0,0"/>
                <v:stroke on="f" weight="0.5pt"/>
                <v:imagedata o:title=""/>
                <o:lock v:ext="edit" aspectratio="f"/>
                <v:textbox inset="0mm,0mm,0mm,0mm">
                  <w:txbxContent>
                    <w:p w14:paraId="61C9EEBA">
                      <w:pPr>
                        <w:jc w:val="center"/>
                        <w:rPr>
                          <w:b/>
                          <w:bCs/>
                          <w:color w:val="FFFF00"/>
                          <w:sz w:val="16"/>
                          <w:szCs w:val="16"/>
                        </w:rPr>
                      </w:pPr>
                      <w:r>
                        <w:rPr>
                          <w:rFonts w:hint="eastAsia"/>
                          <w:b/>
                          <w:bCs/>
                          <w:color w:val="FFFF00"/>
                          <w:sz w:val="16"/>
                          <w:szCs w:val="16"/>
                        </w:rPr>
                        <w:t>鸡墩头社区</w:t>
                      </w:r>
                    </w:p>
                  </w:txbxContent>
                </v:textbox>
              </v:shape>
            </w:pict>
          </mc:Fallback>
        </mc:AlternateContent>
      </w:r>
      <w:r>
        <mc:AlternateContent>
          <mc:Choice Requires="wps">
            <w:drawing>
              <wp:anchor distT="0" distB="0" distL="114300" distR="114300" simplePos="0" relativeHeight="251721728" behindDoc="0" locked="0" layoutInCell="1" allowOverlap="1">
                <wp:simplePos x="0" y="0"/>
                <wp:positionH relativeFrom="column">
                  <wp:posOffset>4043045</wp:posOffset>
                </wp:positionH>
                <wp:positionV relativeFrom="paragraph">
                  <wp:posOffset>2882900</wp:posOffset>
                </wp:positionV>
                <wp:extent cx="71755" cy="71755"/>
                <wp:effectExtent l="4445" t="4445" r="19050" b="19050"/>
                <wp:wrapNone/>
                <wp:docPr id="114" name="椭圆 11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79385CE7">
                            <w:pPr>
                              <w:jc w:val="center"/>
                            </w:pPr>
                          </w:p>
                          <w:p w14:paraId="7DF5410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8.35pt;margin-top:227pt;height:5.65pt;width:5.65pt;z-index:251721728;v-text-anchor:middle;mso-width-relative:page;mso-height-relative:page;" fillcolor="#FFFF00" filled="t" stroked="t" coordsize="21600,21600" o:gfxdata="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uoPDh2wAAAAsBAAAPAAAAAAAAAAEAIAAA&#10;ACIAAABkcnMvZG93bnJldi54bWxQSwECFAAUAAAACACHTuJAg5Pd8XsCAAAKBQAADgAAAAAAAAAB&#10;ACAAAAAqAQAAZHJzL2Uyb0RvYy54bWxQSwUGAAAAAAYABgBZAQAAFwYAAAAA&#10;">
                <v:fill on="t" focussize="0,0"/>
                <v:stroke weight="0pt" color="#376092 [2404]" joinstyle="round"/>
                <v:imagedata o:title=""/>
                <o:lock v:ext="edit" aspectratio="f"/>
                <v:textbox>
                  <w:txbxContent>
                    <w:p w14:paraId="79385CE7">
                      <w:pPr>
                        <w:jc w:val="center"/>
                      </w:pPr>
                    </w:p>
                    <w:p w14:paraId="7DF5410F">
                      <w:pPr>
                        <w:jc w:val="center"/>
                      </w:pPr>
                    </w:p>
                  </w:txbxContent>
                </v:textbox>
              </v:shape>
            </w:pict>
          </mc:Fallback>
        </mc:AlternateContent>
      </w:r>
      <w:r>
        <mc:AlternateContent>
          <mc:Choice Requires="wps">
            <w:drawing>
              <wp:anchor distT="0" distB="0" distL="114300" distR="114300" simplePos="0" relativeHeight="251720704" behindDoc="0" locked="0" layoutInCell="1" allowOverlap="1">
                <wp:simplePos x="0" y="0"/>
                <wp:positionH relativeFrom="column">
                  <wp:posOffset>3966845</wp:posOffset>
                </wp:positionH>
                <wp:positionV relativeFrom="paragraph">
                  <wp:posOffset>1860550</wp:posOffset>
                </wp:positionV>
                <wp:extent cx="457835" cy="13525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45783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66CBF9">
                            <w:pPr>
                              <w:jc w:val="center"/>
                              <w:rPr>
                                <w:b/>
                                <w:bCs/>
                                <w:color w:val="FFFF00"/>
                                <w:sz w:val="16"/>
                                <w:szCs w:val="16"/>
                              </w:rPr>
                            </w:pPr>
                            <w:r>
                              <w:rPr>
                                <w:rFonts w:hint="eastAsia"/>
                                <w:b/>
                                <w:bCs/>
                                <w:color w:val="FFFF00"/>
                                <w:sz w:val="16"/>
                                <w:szCs w:val="16"/>
                              </w:rPr>
                              <w:t>细垌环村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12.35pt;margin-top:146.5pt;height:10.65pt;width:36.05pt;z-index:251720704;mso-width-relative:page;mso-height-relative:page;" filled="f" stroked="f" coordsize="21600,21600" o:gfxdata="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bGS+nZAAAACwEAAA8AAAAAAAAAAQAgAAAAIgAAAGRycy9kb3ducmV2&#10;LnhtbFBLAQIUABQAAAAIAIdO4kDDOzQINAIAAFkEAAAOAAAAAAAAAAEAIAAAACgBAABkcnMvZTJv&#10;RG9jLnhtbFBLBQYAAAAABgAGAFkBAADOBQAAAAA=&#10;">
                <v:fill on="f" focussize="0,0"/>
                <v:stroke on="f" weight="0.5pt"/>
                <v:imagedata o:title=""/>
                <o:lock v:ext="edit" aspectratio="f"/>
                <v:textbox inset="0mm,0mm,0mm,0mm">
                  <w:txbxContent>
                    <w:p w14:paraId="5266CBF9">
                      <w:pPr>
                        <w:jc w:val="center"/>
                        <w:rPr>
                          <w:b/>
                          <w:bCs/>
                          <w:color w:val="FFFF00"/>
                          <w:sz w:val="16"/>
                          <w:szCs w:val="16"/>
                        </w:rPr>
                      </w:pPr>
                      <w:r>
                        <w:rPr>
                          <w:rFonts w:hint="eastAsia"/>
                          <w:b/>
                          <w:bCs/>
                          <w:color w:val="FFFF00"/>
                          <w:sz w:val="16"/>
                          <w:szCs w:val="16"/>
                        </w:rPr>
                        <w:t>细垌环村</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3021965</wp:posOffset>
                </wp:positionH>
                <wp:positionV relativeFrom="paragraph">
                  <wp:posOffset>1803400</wp:posOffset>
                </wp:positionV>
                <wp:extent cx="457835" cy="135255"/>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45783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CA6943">
                            <w:pPr>
                              <w:jc w:val="center"/>
                              <w:rPr>
                                <w:b/>
                                <w:bCs/>
                                <w:color w:val="FFFF00"/>
                                <w:sz w:val="16"/>
                                <w:szCs w:val="16"/>
                              </w:rPr>
                            </w:pPr>
                            <w:r>
                              <w:rPr>
                                <w:rFonts w:hint="eastAsia"/>
                                <w:b/>
                                <w:bCs/>
                                <w:color w:val="FFFF00"/>
                                <w:sz w:val="16"/>
                                <w:szCs w:val="16"/>
                              </w:rPr>
                              <w:t>第一垌村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37.95pt;margin-top:142pt;height:10.65pt;width:36.05pt;z-index:251689984;mso-width-relative:page;mso-height-relative:page;" filled="f" stroked="f" coordsize="21600,21600" o:gfxdata="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Db4sa9sAAAALAQAADwAAAAAAAAABACAAAAAiAAAAZHJzL2Rvd25yZXYu&#10;eG1sUEsBAhQAFAAAAAgAh07iQMScR9MxAgAAVwQAAA4AAAAAAAAAAQAgAAAAKgEAAGRycy9lMm9E&#10;b2MueG1sUEsFBgAAAAAGAAYAWQEAAM0FAAAAAA==&#10;">
                <v:fill on="f" focussize="0,0"/>
                <v:stroke on="f" weight="0.5pt"/>
                <v:imagedata o:title=""/>
                <o:lock v:ext="edit" aspectratio="f"/>
                <v:textbox inset="0mm,0mm,0mm,0mm">
                  <w:txbxContent>
                    <w:p w14:paraId="09CA6943">
                      <w:pPr>
                        <w:jc w:val="center"/>
                        <w:rPr>
                          <w:b/>
                          <w:bCs/>
                          <w:color w:val="FFFF00"/>
                          <w:sz w:val="16"/>
                          <w:szCs w:val="16"/>
                        </w:rPr>
                      </w:pPr>
                      <w:r>
                        <w:rPr>
                          <w:rFonts w:hint="eastAsia"/>
                          <w:b/>
                          <w:bCs/>
                          <w:color w:val="FFFF00"/>
                          <w:sz w:val="16"/>
                          <w:szCs w:val="16"/>
                        </w:rPr>
                        <w:t>第一垌村</w:t>
                      </w:r>
                    </w:p>
                  </w:txbxContent>
                </v:textbox>
              </v:shape>
            </w:pict>
          </mc:Fallback>
        </mc:AlternateContent>
      </w:r>
      <w:r>
        <mc:AlternateContent>
          <mc:Choice Requires="wps">
            <w:drawing>
              <wp:anchor distT="0" distB="0" distL="114300" distR="114300" simplePos="0" relativeHeight="251719680" behindDoc="0" locked="0" layoutInCell="1" allowOverlap="1">
                <wp:simplePos x="0" y="0"/>
                <wp:positionH relativeFrom="column">
                  <wp:posOffset>3837305</wp:posOffset>
                </wp:positionH>
                <wp:positionV relativeFrom="paragraph">
                  <wp:posOffset>1899285</wp:posOffset>
                </wp:positionV>
                <wp:extent cx="71755" cy="71755"/>
                <wp:effectExtent l="4445" t="4445" r="19050" b="19050"/>
                <wp:wrapNone/>
                <wp:docPr id="112" name="椭圆 11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66E3FF9E">
                            <w:pPr>
                              <w:jc w:val="center"/>
                            </w:pPr>
                          </w:p>
                          <w:p w14:paraId="343FAAE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2.15pt;margin-top:149.55pt;height:5.65pt;width:5.65pt;z-index:251719680;v-text-anchor:middle;mso-width-relative:page;mso-height-relative:page;" fillcolor="#FFFF00" filled="t" stroked="t" coordsize="21600,21600" o:gfxdata="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u5Lki2wAAAAsBAAAPAAAAAAAAAAEAIAAA&#10;ACIAAABkcnMvZG93bnJldi54bWxQSwECFAAUAAAACACHTuJASCh7+3sCAAAKBQAADgAAAAAAAAAB&#10;ACAAAAAqAQAAZHJzL2Uyb0RvYy54bWxQSwUGAAAAAAYABgBZAQAAFwYAAAAA&#10;">
                <v:fill on="t" focussize="0,0"/>
                <v:stroke weight="0pt" color="#376092 [2404]" joinstyle="round"/>
                <v:imagedata o:title=""/>
                <o:lock v:ext="edit" aspectratio="f"/>
                <v:textbox>
                  <w:txbxContent>
                    <w:p w14:paraId="66E3FF9E">
                      <w:pPr>
                        <w:jc w:val="center"/>
                      </w:pPr>
                    </w:p>
                    <w:p w14:paraId="343FAAEA">
                      <w:pPr>
                        <w:jc w:val="center"/>
                      </w:pP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3489960</wp:posOffset>
                </wp:positionH>
                <wp:positionV relativeFrom="paragraph">
                  <wp:posOffset>1833245</wp:posOffset>
                </wp:positionV>
                <wp:extent cx="71755" cy="71755"/>
                <wp:effectExtent l="4445" t="4445" r="19050" b="19050"/>
                <wp:wrapNone/>
                <wp:docPr id="64" name="椭圆 6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0ADBCBE3">
                            <w:pPr>
                              <w:jc w:val="center"/>
                            </w:pPr>
                          </w:p>
                          <w:p w14:paraId="27C3F7F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4.8pt;margin-top:144.35pt;height:5.65pt;width:5.65pt;z-index:251688960;v-text-anchor:middle;mso-width-relative:page;mso-height-relative:page;" fillcolor="#FFFF00" filled="t" stroked="t" coordsize="21600,21600" o:gfxdata="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ckgu12wAAAAsBAAAPAAAAAAAAAAEAIAAA&#10;ACIAAABkcnMvZG93bnJldi54bWxQSwECFAAUAAAACACHTuJA52Sf/XsCAAAIBQAADgAAAAAAAAAB&#10;ACAAAAAqAQAAZHJzL2Uyb0RvYy54bWxQSwUGAAAAAAYABgBZAQAAFwYAAAAA&#10;">
                <v:fill on="t" focussize="0,0"/>
                <v:stroke weight="0pt" color="#376092 [2404]" joinstyle="round"/>
                <v:imagedata o:title=""/>
                <o:lock v:ext="edit" aspectratio="f"/>
                <v:textbox>
                  <w:txbxContent>
                    <w:p w14:paraId="0ADBCBE3">
                      <w:pPr>
                        <w:jc w:val="center"/>
                      </w:pPr>
                    </w:p>
                    <w:p w14:paraId="27C3F7FB">
                      <w:pPr>
                        <w:jc w:val="center"/>
                      </w:pPr>
                    </w:p>
                  </w:txbxContent>
                </v:textbox>
              </v:shape>
            </w:pict>
          </mc:Fallback>
        </mc:AlternateContent>
      </w:r>
      <w:r>
        <mc:AlternateContent>
          <mc:Choice Requires="wps">
            <w:drawing>
              <wp:anchor distT="0" distB="0" distL="114300" distR="114300" simplePos="0" relativeHeight="251717632" behindDoc="0" locked="0" layoutInCell="1" allowOverlap="1">
                <wp:simplePos x="0" y="0"/>
                <wp:positionH relativeFrom="column">
                  <wp:posOffset>2592070</wp:posOffset>
                </wp:positionH>
                <wp:positionV relativeFrom="paragraph">
                  <wp:posOffset>1484630</wp:posOffset>
                </wp:positionV>
                <wp:extent cx="71755" cy="71755"/>
                <wp:effectExtent l="4445" t="4445" r="19050" b="19050"/>
                <wp:wrapNone/>
                <wp:docPr id="110" name="椭圆 11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1537BC95">
                            <w:pPr>
                              <w:jc w:val="center"/>
                            </w:pPr>
                          </w:p>
                          <w:p w14:paraId="433B082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4.1pt;margin-top:116.9pt;height:5.65pt;width:5.65pt;z-index:251717632;v-text-anchor:middle;mso-width-relative:page;mso-height-relative:page;" fillcolor="#FFFF00" filled="t" stroked="t" coordsize="21600,21600" o:gfxdata="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4aTjd2wAAAAsBAAAPAAAAAAAAAAEAIAAA&#10;ACIAAABkcnMvZG93bnJldi54bWxQSwECFAAUAAAACACHTuJAzrzJS3sCAAAKBQAADgAAAAAAAAAB&#10;ACAAAAAqAQAAZHJzL2Uyb0RvYy54bWxQSwUGAAAAAAYABgBZAQAAFwYAAAAA&#10;">
                <v:fill on="t" focussize="0,0"/>
                <v:stroke weight="0pt" color="#376092 [2404]" joinstyle="round"/>
                <v:imagedata o:title=""/>
                <o:lock v:ext="edit" aspectratio="f"/>
                <v:textbox>
                  <w:txbxContent>
                    <w:p w14:paraId="1537BC95">
                      <w:pPr>
                        <w:jc w:val="center"/>
                      </w:pPr>
                    </w:p>
                    <w:p w14:paraId="433B0826">
                      <w:pPr>
                        <w:jc w:val="center"/>
                      </w:pPr>
                    </w:p>
                  </w:txbxContent>
                </v:textbox>
              </v:shape>
            </w:pict>
          </mc:Fallback>
        </mc:AlternateContent>
      </w:r>
      <w:r>
        <mc:AlternateContent>
          <mc:Choice Requires="wps">
            <w:drawing>
              <wp:anchor distT="0" distB="0" distL="114300" distR="114300" simplePos="0" relativeHeight="251714560" behindDoc="0" locked="0" layoutInCell="1" allowOverlap="1">
                <wp:simplePos x="0" y="0"/>
                <wp:positionH relativeFrom="column">
                  <wp:posOffset>1873885</wp:posOffset>
                </wp:positionH>
                <wp:positionV relativeFrom="paragraph">
                  <wp:posOffset>1290320</wp:posOffset>
                </wp:positionV>
                <wp:extent cx="397510" cy="135255"/>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39751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0864A0">
                            <w:pPr>
                              <w:jc w:val="center"/>
                              <w:rPr>
                                <w:b/>
                                <w:bCs/>
                                <w:color w:val="FFFF00"/>
                                <w:sz w:val="16"/>
                                <w:szCs w:val="16"/>
                              </w:rPr>
                            </w:pPr>
                            <w:r>
                              <w:rPr>
                                <w:rFonts w:hint="eastAsia"/>
                                <w:b/>
                                <w:bCs/>
                                <w:color w:val="FFFF00"/>
                                <w:sz w:val="16"/>
                                <w:szCs w:val="16"/>
                              </w:rPr>
                              <w:t>南港村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47.55pt;margin-top:101.6pt;height:10.65pt;width:31.3pt;z-index:251714560;mso-width-relative:page;mso-height-relative:page;" filled="f" stroked="f" coordsize="21600,21600" o:gfxdata="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BPMskdkAAAALAQAADwAAAAAAAAABACAAAAAiAAAAZHJzL2Rvd25yZXYu&#10;eG1sUEsBAhQAFAAAAAgAh07iQLVdzQ8zAgAAWQQAAA4AAAAAAAAAAQAgAAAAKAEAAGRycy9lMm9E&#10;b2MueG1sUEsFBgAAAAAGAAYAWQEAAM0FAAAAAA==&#10;">
                <v:fill on="f" focussize="0,0"/>
                <v:stroke on="f" weight="0.5pt"/>
                <v:imagedata o:title=""/>
                <o:lock v:ext="edit" aspectratio="f"/>
                <v:textbox inset="0mm,0mm,0mm,0mm">
                  <w:txbxContent>
                    <w:p w14:paraId="750864A0">
                      <w:pPr>
                        <w:jc w:val="center"/>
                        <w:rPr>
                          <w:b/>
                          <w:bCs/>
                          <w:color w:val="FFFF00"/>
                          <w:sz w:val="16"/>
                          <w:szCs w:val="16"/>
                        </w:rPr>
                      </w:pPr>
                      <w:r>
                        <w:rPr>
                          <w:rFonts w:hint="eastAsia"/>
                          <w:b/>
                          <w:bCs/>
                          <w:color w:val="FFFF00"/>
                          <w:sz w:val="16"/>
                          <w:szCs w:val="16"/>
                        </w:rPr>
                        <w:t>南港村</w:t>
                      </w:r>
                    </w:p>
                  </w:txbxContent>
                </v:textbox>
              </v:shap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1823085</wp:posOffset>
                </wp:positionH>
                <wp:positionV relativeFrom="paragraph">
                  <wp:posOffset>1327150</wp:posOffset>
                </wp:positionV>
                <wp:extent cx="71755" cy="71755"/>
                <wp:effectExtent l="4445" t="4445" r="19050" b="19050"/>
                <wp:wrapNone/>
                <wp:docPr id="103" name="椭圆 103"/>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4671AF6B">
                            <w:pPr>
                              <w:jc w:val="center"/>
                            </w:pPr>
                          </w:p>
                          <w:p w14:paraId="698BCB2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3.55pt;margin-top:104.5pt;height:5.65pt;width:5.65pt;z-index:251713536;v-text-anchor:middle;mso-width-relative:page;mso-height-relative:page;" fillcolor="#FFFF00" filled="t" stroked="t" coordsize="21600,21600" o:gfxdata="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HQHMWvaAAAACwEAAA8AAAAAAAAAAQAgAAAA&#10;IgAAAGRycy9kb3ducmV2LnhtbFBLAQIUABQAAAAIAIdO4kBrK69MewIAAAoFAAAOAAAAAAAAAAEA&#10;IAAAACkBAABkcnMvZTJvRG9jLnhtbFBLBQYAAAAABgAGAFkBAAAWBgAAAAA=&#10;">
                <v:fill on="t" focussize="0,0"/>
                <v:stroke weight="0pt" color="#376092 [2404]" joinstyle="round"/>
                <v:imagedata o:title=""/>
                <o:lock v:ext="edit" aspectratio="f"/>
                <v:textbox>
                  <w:txbxContent>
                    <w:p w14:paraId="4671AF6B">
                      <w:pPr>
                        <w:jc w:val="center"/>
                      </w:pPr>
                    </w:p>
                    <w:p w14:paraId="698BCB26">
                      <w:pPr>
                        <w:jc w:val="center"/>
                      </w:pPr>
                    </w:p>
                  </w:txbxContent>
                </v:textbox>
              </v:shap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1334135</wp:posOffset>
                </wp:positionH>
                <wp:positionV relativeFrom="paragraph">
                  <wp:posOffset>2499995</wp:posOffset>
                </wp:positionV>
                <wp:extent cx="382905" cy="13525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38290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8FED17">
                            <w:pPr>
                              <w:jc w:val="center"/>
                              <w:rPr>
                                <w:b/>
                                <w:bCs/>
                                <w:color w:val="FFFF00"/>
                                <w:sz w:val="16"/>
                                <w:szCs w:val="16"/>
                              </w:rPr>
                            </w:pPr>
                            <w:r>
                              <w:rPr>
                                <w:rFonts w:hint="eastAsia"/>
                                <w:b/>
                                <w:bCs/>
                                <w:color w:val="FFFF00"/>
                                <w:sz w:val="16"/>
                                <w:szCs w:val="16"/>
                              </w:rPr>
                              <w:t>竹笼村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05.05pt;margin-top:196.85pt;height:10.65pt;width:30.15pt;z-index:251712512;mso-width-relative:page;mso-height-relative:page;" filled="f" stroked="f" coordsize="21600,21600" o:gfxdata="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FHIXctkAAAALAQAADwAAAAAAAAABACAAAAAiAAAAZHJzL2Rvd25yZXYu&#10;eG1sUEsBAhQAFAAAAAgAh07iQA1DmakzAgAAWQQAAA4AAAAAAAAAAQAgAAAAKAEAAGRycy9lMm9E&#10;b2MueG1sUEsFBgAAAAAGAAYAWQEAAM0FAAAAAA==&#10;">
                <v:fill on="f" focussize="0,0"/>
                <v:stroke on="f" weight="0.5pt"/>
                <v:imagedata o:title=""/>
                <o:lock v:ext="edit" aspectratio="f"/>
                <v:textbox inset="0mm,0mm,0mm,0mm">
                  <w:txbxContent>
                    <w:p w14:paraId="0D8FED17">
                      <w:pPr>
                        <w:jc w:val="center"/>
                        <w:rPr>
                          <w:b/>
                          <w:bCs/>
                          <w:color w:val="FFFF00"/>
                          <w:sz w:val="16"/>
                          <w:szCs w:val="16"/>
                        </w:rPr>
                      </w:pPr>
                      <w:r>
                        <w:rPr>
                          <w:rFonts w:hint="eastAsia"/>
                          <w:b/>
                          <w:bCs/>
                          <w:color w:val="FFFF00"/>
                          <w:sz w:val="16"/>
                          <w:szCs w:val="16"/>
                        </w:rPr>
                        <w:t>竹笼村</w:t>
                      </w:r>
                    </w:p>
                  </w:txbxContent>
                </v:textbox>
              </v:shap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1300480</wp:posOffset>
                </wp:positionH>
                <wp:positionV relativeFrom="paragraph">
                  <wp:posOffset>2523490</wp:posOffset>
                </wp:positionV>
                <wp:extent cx="71755" cy="71755"/>
                <wp:effectExtent l="4445" t="4445" r="19050" b="19050"/>
                <wp:wrapNone/>
                <wp:docPr id="99" name="椭圆 9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6FE3F536">
                            <w:pPr>
                              <w:jc w:val="center"/>
                            </w:pPr>
                          </w:p>
                          <w:p w14:paraId="1477F01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02.4pt;margin-top:198.7pt;height:5.65pt;width:5.65pt;z-index:251711488;v-text-anchor:middle;mso-width-relative:page;mso-height-relative:page;" fillcolor="#FFFF00" filled="t" stroked="t" coordsize="21600,21600" o:gfxdata="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P0fiJ2wAAAAsBAAAPAAAAAAAAAAEAIAAA&#10;ACIAAABkcnMvZG93bnJldi54bWxQSwECFAAUAAAACACHTuJABeHtansCAAAIBQAADgAAAAAAAAAB&#10;ACAAAAAqAQAAZHJzL2Uyb0RvYy54bWxQSwUGAAAAAAYABgBZAQAAFwYAAAAA&#10;">
                <v:fill on="t" focussize="0,0"/>
                <v:stroke weight="0pt" color="#376092 [2404]" joinstyle="round"/>
                <v:imagedata o:title=""/>
                <o:lock v:ext="edit" aspectratio="f"/>
                <v:textbox>
                  <w:txbxContent>
                    <w:p w14:paraId="6FE3F536">
                      <w:pPr>
                        <w:jc w:val="center"/>
                      </w:pPr>
                    </w:p>
                    <w:p w14:paraId="1477F012">
                      <w:pPr>
                        <w:jc w:val="center"/>
                      </w:pPr>
                    </w:p>
                  </w:txbxContent>
                </v:textbox>
              </v:shape>
            </w:pict>
          </mc:Fallback>
        </mc:AlternateContent>
      </w:r>
      <w:r>
        <mc:AlternateContent>
          <mc:Choice Requires="wps">
            <w:drawing>
              <wp:anchor distT="0" distB="0" distL="114300" distR="114300" simplePos="0" relativeHeight="251710464" behindDoc="0" locked="0" layoutInCell="1" allowOverlap="1">
                <wp:simplePos x="0" y="0"/>
                <wp:positionH relativeFrom="column">
                  <wp:posOffset>1367155</wp:posOffset>
                </wp:positionH>
                <wp:positionV relativeFrom="paragraph">
                  <wp:posOffset>2945765</wp:posOffset>
                </wp:positionV>
                <wp:extent cx="457200" cy="135255"/>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45720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435AE3">
                            <w:pPr>
                              <w:jc w:val="center"/>
                              <w:rPr>
                                <w:b/>
                                <w:bCs/>
                                <w:color w:val="FFFF00"/>
                                <w:sz w:val="16"/>
                                <w:szCs w:val="16"/>
                              </w:rPr>
                            </w:pPr>
                            <w:r>
                              <w:rPr>
                                <w:rFonts w:hint="eastAsia"/>
                                <w:b/>
                                <w:bCs/>
                                <w:color w:val="FFFF00"/>
                                <w:sz w:val="16"/>
                                <w:szCs w:val="16"/>
                              </w:rPr>
                              <w:t>厚福沙村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07.65pt;margin-top:231.95pt;height:10.65pt;width:36pt;z-index:251710464;mso-width-relative:page;mso-height-relative:page;" filled="f" stroked="f" coordsize="21600,21600" o:gfxdata="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Dng5baAAAACwEAAA8AAAAAAAAAAQAgAAAAIgAAAGRycy9kb3ducmV2&#10;LnhtbFBLAQIUABQAAAAIAIdO4kBFz8XIMwIAAFcEAAAOAAAAAAAAAAEAIAAAACkBAABkcnMvZTJv&#10;RG9jLnhtbFBLBQYAAAAABgAGAFkBAADOBQAAAAA=&#10;">
                <v:fill on="f" focussize="0,0"/>
                <v:stroke on="f" weight="0.5pt"/>
                <v:imagedata o:title=""/>
                <o:lock v:ext="edit" aspectratio="f"/>
                <v:textbox inset="0mm,0mm,0mm,0mm">
                  <w:txbxContent>
                    <w:p w14:paraId="41435AE3">
                      <w:pPr>
                        <w:jc w:val="center"/>
                        <w:rPr>
                          <w:b/>
                          <w:bCs/>
                          <w:color w:val="FFFF00"/>
                          <w:sz w:val="16"/>
                          <w:szCs w:val="16"/>
                        </w:rPr>
                      </w:pPr>
                      <w:r>
                        <w:rPr>
                          <w:rFonts w:hint="eastAsia"/>
                          <w:b/>
                          <w:bCs/>
                          <w:color w:val="FFFF00"/>
                          <w:sz w:val="16"/>
                          <w:szCs w:val="16"/>
                        </w:rPr>
                        <w:t>厚福沙村</w:t>
                      </w:r>
                    </w:p>
                  </w:txbxContent>
                </v:textbox>
              </v:shape>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1322705</wp:posOffset>
                </wp:positionH>
                <wp:positionV relativeFrom="paragraph">
                  <wp:posOffset>2974340</wp:posOffset>
                </wp:positionV>
                <wp:extent cx="71755" cy="71755"/>
                <wp:effectExtent l="4445" t="4445" r="19050" b="19050"/>
                <wp:wrapNone/>
                <wp:docPr id="97" name="椭圆 9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3332F5FE">
                            <w:pPr>
                              <w:jc w:val="center"/>
                            </w:pPr>
                          </w:p>
                          <w:p w14:paraId="36FD79F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04.15pt;margin-top:234.2pt;height:5.65pt;width:5.65pt;z-index:251709440;v-text-anchor:middle;mso-width-relative:page;mso-height-relative:page;" fillcolor="#FFFF00" filled="t" stroked="t" coordsize="21600,21600" o:gfxdata="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HXEkebbAAAACwEAAA8AAAAAAAAAAQAgAAAA&#10;IgAAAGRycy9kb3ducmV2LnhtbFBLAQIUABQAAAAIAIdO4kB34VGoegIAAAgFAAAOAAAAAAAAAAEA&#10;IAAAACoBAABkcnMvZTJvRG9jLnhtbFBLBQYAAAAABgAGAFkBAAAWBgAAAAA=&#10;">
                <v:fill on="t" focussize="0,0"/>
                <v:stroke weight="0pt" color="#376092 [2404]" joinstyle="round"/>
                <v:imagedata o:title=""/>
                <o:lock v:ext="edit" aspectratio="f"/>
                <v:textbox>
                  <w:txbxContent>
                    <w:p w14:paraId="3332F5FE">
                      <w:pPr>
                        <w:jc w:val="center"/>
                      </w:pPr>
                    </w:p>
                    <w:p w14:paraId="36FD79F4">
                      <w:pPr>
                        <w:jc w:val="center"/>
                      </w:pPr>
                    </w:p>
                  </w:txbxContent>
                </v:textbox>
              </v:shape>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1095375</wp:posOffset>
                </wp:positionH>
                <wp:positionV relativeFrom="paragraph">
                  <wp:posOffset>2928620</wp:posOffset>
                </wp:positionV>
                <wp:extent cx="71755" cy="71755"/>
                <wp:effectExtent l="4445" t="4445" r="19050" b="19050"/>
                <wp:wrapNone/>
                <wp:docPr id="95" name="椭圆 95"/>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55547D0C">
                            <w:pPr>
                              <w:jc w:val="center"/>
                            </w:pPr>
                          </w:p>
                          <w:p w14:paraId="38640B2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6.25pt;margin-top:230.6pt;height:5.65pt;width:5.65pt;z-index:251707392;v-text-anchor:middle;mso-width-relative:page;mso-height-relative:page;" fillcolor="#FFFF00" filled="t" stroked="t" coordsize="21600,21600" o:gfxdata="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WaElfYAAAACwEAAA8AAAAAAAAAAQAgAAAAIgAA&#10;AGRycy9kb3ducmV2LnhtbFBLAQIUABQAAAAIAIdO4kDKVhPAegIAAAgFAAAOAAAAAAAAAAEAIAAA&#10;ACcBAABkcnMvZTJvRG9jLnhtbFBLBQYAAAAABgAGAFkBAAATBgAAAAA=&#10;">
                <v:fill on="t" focussize="0,0"/>
                <v:stroke weight="0pt" color="#376092 [2404]" joinstyle="round"/>
                <v:imagedata o:title=""/>
                <o:lock v:ext="edit" aspectratio="f"/>
                <v:textbox>
                  <w:txbxContent>
                    <w:p w14:paraId="55547D0C">
                      <w:pPr>
                        <w:jc w:val="center"/>
                      </w:pPr>
                    </w:p>
                    <w:p w14:paraId="38640B25">
                      <w:pPr>
                        <w:jc w:val="center"/>
                      </w:pPr>
                    </w:p>
                  </w:txbxContent>
                </v:textbox>
              </v:shape>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1470660</wp:posOffset>
                </wp:positionH>
                <wp:positionV relativeFrom="paragraph">
                  <wp:posOffset>2057400</wp:posOffset>
                </wp:positionV>
                <wp:extent cx="480060" cy="13525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48006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813A78">
                            <w:pPr>
                              <w:jc w:val="center"/>
                              <w:rPr>
                                <w:b/>
                                <w:bCs/>
                                <w:color w:val="FFFF00"/>
                                <w:sz w:val="16"/>
                                <w:szCs w:val="16"/>
                              </w:rPr>
                            </w:pPr>
                            <w:r>
                              <w:rPr>
                                <w:rFonts w:hint="eastAsia"/>
                                <w:b/>
                                <w:bCs/>
                                <w:color w:val="FFFF00"/>
                                <w:sz w:val="16"/>
                                <w:szCs w:val="16"/>
                              </w:rPr>
                              <w:t>三块田村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15.8pt;margin-top:162pt;height:10.65pt;width:37.8pt;z-index:251706368;mso-width-relative:page;mso-height-relative:page;" filled="f" stroked="f" coordsize="21600,21600" o:gfxdata="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MKZK9oAAAALAQAADwAAAAAAAAABACAAAAAiAAAAZHJzL2Rvd25yZXYu&#10;eG1sUEsBAhQAFAAAAAgAh07iQOopcyUyAgAAVwQAAA4AAAAAAAAAAQAgAAAAKQEAAGRycy9lMm9E&#10;b2MueG1sUEsFBgAAAAAGAAYAWQEAAM0FAAAAAA==&#10;">
                <v:fill on="f" focussize="0,0"/>
                <v:stroke on="f" weight="0.5pt"/>
                <v:imagedata o:title=""/>
                <o:lock v:ext="edit" aspectratio="f"/>
                <v:textbox inset="0mm,0mm,0mm,0mm">
                  <w:txbxContent>
                    <w:p w14:paraId="33813A78">
                      <w:pPr>
                        <w:jc w:val="center"/>
                        <w:rPr>
                          <w:b/>
                          <w:bCs/>
                          <w:color w:val="FFFF00"/>
                          <w:sz w:val="16"/>
                          <w:szCs w:val="16"/>
                        </w:rPr>
                      </w:pPr>
                      <w:r>
                        <w:rPr>
                          <w:rFonts w:hint="eastAsia"/>
                          <w:b/>
                          <w:bCs/>
                          <w:color w:val="FFFF00"/>
                          <w:sz w:val="16"/>
                          <w:szCs w:val="16"/>
                        </w:rPr>
                        <w:t>三块田村</w:t>
                      </w:r>
                    </w:p>
                  </w:txbxContent>
                </v:textbox>
              </v:shap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1416685</wp:posOffset>
                </wp:positionH>
                <wp:positionV relativeFrom="paragraph">
                  <wp:posOffset>2083435</wp:posOffset>
                </wp:positionV>
                <wp:extent cx="71755" cy="71755"/>
                <wp:effectExtent l="4445" t="4445" r="19050" b="19050"/>
                <wp:wrapNone/>
                <wp:docPr id="93" name="椭圆 93"/>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44654C46">
                            <w:pPr>
                              <w:jc w:val="center"/>
                            </w:pPr>
                          </w:p>
                          <w:p w14:paraId="3C73402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1.55pt;margin-top:164.05pt;height:5.65pt;width:5.65pt;z-index:251705344;v-text-anchor:middle;mso-width-relative:page;mso-height-relative:page;" fillcolor="#FFFF00" filled="t" stroked="t" coordsize="21600,21600" o:gfxdata="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0wRi5NkAAAALAQAADwAAAAAAAAABACAAAAAi&#10;AAAAZHJzL2Rvd25yZXYueG1sUEsBAhQAFAAAAAgAh07iQA2O1Hh7AgAACAUAAA4AAAAAAAAAAQAg&#10;AAAAKAEAAGRycy9lMm9Eb2MueG1sUEsFBgAAAAAGAAYAWQEAABUGAAAAAA==&#10;">
                <v:fill on="t" focussize="0,0"/>
                <v:stroke weight="0pt" color="#376092 [2404]" joinstyle="round"/>
                <v:imagedata o:title=""/>
                <o:lock v:ext="edit" aspectratio="f"/>
                <v:textbox>
                  <w:txbxContent>
                    <w:p w14:paraId="44654C46">
                      <w:pPr>
                        <w:jc w:val="center"/>
                      </w:pPr>
                    </w:p>
                    <w:p w14:paraId="3C734028">
                      <w:pPr>
                        <w:jc w:val="center"/>
                      </w:pPr>
                    </w:p>
                  </w:txbxContent>
                </v:textbox>
              </v:shape>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1205230</wp:posOffset>
                </wp:positionH>
                <wp:positionV relativeFrom="paragraph">
                  <wp:posOffset>2062480</wp:posOffset>
                </wp:positionV>
                <wp:extent cx="71755" cy="71755"/>
                <wp:effectExtent l="4445" t="4445" r="19050" b="19050"/>
                <wp:wrapNone/>
                <wp:docPr id="90" name="椭圆 9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3DE793A8">
                            <w:pPr>
                              <w:jc w:val="center"/>
                            </w:pPr>
                          </w:p>
                          <w:p w14:paraId="16FEE69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4.9pt;margin-top:162.4pt;height:5.65pt;width:5.65pt;z-index:251703296;v-text-anchor:middle;mso-width-relative:page;mso-height-relative:page;" fillcolor="#FFFF00" filled="t" stroked="t" coordsize="21600,21600" o:gfxdata="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9BfhftoAAAALAQAADwAAAAAAAAABACAAAAAi&#10;AAAAZHJzL2Rvd25yZXYueG1sUEsBAhQAFAAAAAgAh07iQE7hD8l6AgAACAUAAA4AAAAAAAAAAQAg&#10;AAAAKQEAAGRycy9lMm9Eb2MueG1sUEsFBgAAAAAGAAYAWQEAABUGAAAAAA==&#10;">
                <v:fill on="t" focussize="0,0"/>
                <v:stroke weight="0pt" color="#376092 [2404]" joinstyle="round"/>
                <v:imagedata o:title=""/>
                <o:lock v:ext="edit" aspectratio="f"/>
                <v:textbox>
                  <w:txbxContent>
                    <w:p w14:paraId="3DE793A8">
                      <w:pPr>
                        <w:jc w:val="center"/>
                      </w:pPr>
                    </w:p>
                    <w:p w14:paraId="16FEE69A">
                      <w:pPr>
                        <w:jc w:val="center"/>
                      </w:pPr>
                    </w:p>
                  </w:txbxContent>
                </v:textbox>
              </v:shape>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1536065</wp:posOffset>
                </wp:positionH>
                <wp:positionV relativeFrom="paragraph">
                  <wp:posOffset>1849120</wp:posOffset>
                </wp:positionV>
                <wp:extent cx="397510" cy="135255"/>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39751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BBBBD0">
                            <w:pPr>
                              <w:jc w:val="center"/>
                              <w:rPr>
                                <w:b/>
                                <w:bCs/>
                                <w:color w:val="FFFF00"/>
                                <w:sz w:val="16"/>
                                <w:szCs w:val="16"/>
                              </w:rPr>
                            </w:pPr>
                            <w:r>
                              <w:rPr>
                                <w:rFonts w:hint="eastAsia"/>
                                <w:b/>
                                <w:bCs/>
                                <w:color w:val="FFFF00"/>
                                <w:sz w:val="16"/>
                                <w:szCs w:val="16"/>
                              </w:rPr>
                              <w:t>佛子坳</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20.95pt;margin-top:145.6pt;height:10.65pt;width:31.3pt;z-index:251702272;mso-width-relative:page;mso-height-relative:page;" filled="f" stroked="f" coordsize="21600,21600" o:gfxdata="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6RM4TtkAAAALAQAADwAAAAAAAAABACAAAAAiAAAAZHJzL2Rvd25yZXYu&#10;eG1sUEsBAhQAFAAAAAgAh07iQNPGL9AzAgAAVwQAAA4AAAAAAAAAAQAgAAAAKAEAAGRycy9lMm9E&#10;b2MueG1sUEsFBgAAAAAGAAYAWQEAAM0FAAAAAA==&#10;">
                <v:fill on="f" focussize="0,0"/>
                <v:stroke on="f" weight="0.5pt"/>
                <v:imagedata o:title=""/>
                <o:lock v:ext="edit" aspectratio="f"/>
                <v:textbox inset="0mm,0mm,0mm,0mm">
                  <w:txbxContent>
                    <w:p w14:paraId="07BBBBD0">
                      <w:pPr>
                        <w:jc w:val="center"/>
                        <w:rPr>
                          <w:b/>
                          <w:bCs/>
                          <w:color w:val="FFFF00"/>
                          <w:sz w:val="16"/>
                          <w:szCs w:val="16"/>
                        </w:rPr>
                      </w:pPr>
                      <w:r>
                        <w:rPr>
                          <w:rFonts w:hint="eastAsia"/>
                          <w:b/>
                          <w:bCs/>
                          <w:color w:val="FFFF00"/>
                          <w:sz w:val="16"/>
                          <w:szCs w:val="16"/>
                        </w:rPr>
                        <w:t>佛子坳</w:t>
                      </w:r>
                    </w:p>
                  </w:txbxContent>
                </v:textbox>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1465580</wp:posOffset>
                </wp:positionH>
                <wp:positionV relativeFrom="paragraph">
                  <wp:posOffset>1878330</wp:posOffset>
                </wp:positionV>
                <wp:extent cx="71755" cy="71755"/>
                <wp:effectExtent l="4445" t="4445" r="19050" b="19050"/>
                <wp:wrapNone/>
                <wp:docPr id="88" name="椭圆 8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6F6A0674">
                            <w:pPr>
                              <w:jc w:val="center"/>
                            </w:pPr>
                          </w:p>
                          <w:p w14:paraId="5D86CB6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5.4pt;margin-top:147.9pt;height:5.65pt;width:5.65pt;z-index:251701248;v-text-anchor:middle;mso-width-relative:page;mso-height-relative:page;" fillcolor="#FFFF00" filled="t" stroked="t" coordsize="21600,21600" o:gfxdata="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thN5ctoAAAALAQAADwAAAAAAAAABACAAAAAi&#10;AAAAZHJzL2Rvd25yZXYueG1sUEsBAhQAFAAAAAgAh07iQDh/qOl6AgAACAUAAA4AAAAAAAAAAQAg&#10;AAAAKQEAAGRycy9lMm9Eb2MueG1sUEsFBgAAAAAGAAYAWQEAABUGAAAAAA==&#10;">
                <v:fill on="t" focussize="0,0"/>
                <v:stroke weight="0pt" color="#376092 [2404]" joinstyle="round"/>
                <v:imagedata o:title=""/>
                <o:lock v:ext="edit" aspectratio="f"/>
                <v:textbox>
                  <w:txbxContent>
                    <w:p w14:paraId="6F6A0674">
                      <w:pPr>
                        <w:jc w:val="center"/>
                      </w:pPr>
                    </w:p>
                    <w:p w14:paraId="5D86CB6C">
                      <w:pPr>
                        <w:jc w:val="center"/>
                      </w:pPr>
                    </w:p>
                  </w:txbxContent>
                </v:textbox>
              </v:shap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2138045</wp:posOffset>
                </wp:positionH>
                <wp:positionV relativeFrom="paragraph">
                  <wp:posOffset>2484120</wp:posOffset>
                </wp:positionV>
                <wp:extent cx="501015" cy="13525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50101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5F6DDF">
                            <w:pPr>
                              <w:jc w:val="center"/>
                              <w:rPr>
                                <w:b/>
                                <w:bCs/>
                                <w:color w:val="FFFF00"/>
                                <w:sz w:val="16"/>
                                <w:szCs w:val="16"/>
                              </w:rPr>
                            </w:pPr>
                            <w:r>
                              <w:rPr>
                                <w:rFonts w:hint="eastAsia"/>
                                <w:b/>
                                <w:bCs/>
                                <w:color w:val="FFFF00"/>
                                <w:sz w:val="16"/>
                                <w:szCs w:val="16"/>
                              </w:rPr>
                              <w:t>高沙头村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68.35pt;margin-top:195.6pt;height:10.65pt;width:39.45pt;z-index:251700224;mso-width-relative:page;mso-height-relative:page;" filled="f" stroked="f" coordsize="21600,21600" o:gfxdata="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eCJKY2QAAAAsBAAAPAAAAAAAAAAEAIAAAACIAAABkcnMvZG93bnJldi54&#10;bWxQSwECFAAUAAAACACHTuJALRCcPjICAABXBAAADgAAAAAAAAABACAAAAAoAQAAZHJzL2Uyb0Rv&#10;Yy54bWxQSwUGAAAAAAYABgBZAQAAzAUAAAAA&#10;">
                <v:fill on="f" focussize="0,0"/>
                <v:stroke on="f" weight="0.5pt"/>
                <v:imagedata o:title=""/>
                <o:lock v:ext="edit" aspectratio="f"/>
                <v:textbox inset="0mm,0mm,0mm,0mm">
                  <w:txbxContent>
                    <w:p w14:paraId="735F6DDF">
                      <w:pPr>
                        <w:jc w:val="center"/>
                        <w:rPr>
                          <w:b/>
                          <w:bCs/>
                          <w:color w:val="FFFF00"/>
                          <w:sz w:val="16"/>
                          <w:szCs w:val="16"/>
                        </w:rPr>
                      </w:pPr>
                      <w:r>
                        <w:rPr>
                          <w:rFonts w:hint="eastAsia"/>
                          <w:b/>
                          <w:bCs/>
                          <w:color w:val="FFFF00"/>
                          <w:sz w:val="16"/>
                          <w:szCs w:val="16"/>
                        </w:rPr>
                        <w:t>高沙头村</w:t>
                      </w: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2067560</wp:posOffset>
                </wp:positionH>
                <wp:positionV relativeFrom="paragraph">
                  <wp:posOffset>2515870</wp:posOffset>
                </wp:positionV>
                <wp:extent cx="71755" cy="71755"/>
                <wp:effectExtent l="4445" t="4445" r="19050" b="19050"/>
                <wp:wrapNone/>
                <wp:docPr id="86" name="椭圆 8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732E5660">
                            <w:pPr>
                              <w:jc w:val="center"/>
                            </w:pPr>
                          </w:p>
                          <w:p w14:paraId="0DE9920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62.8pt;margin-top:198.1pt;height:5.65pt;width:5.65pt;z-index:251699200;v-text-anchor:middle;mso-width-relative:page;mso-height-relative:page;" fillcolor="#FFFF00" filled="t" stroked="t" coordsize="21600,21600" o:gfxdata="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rkDjN2wAAAAsBAAAPAAAAAAAAAAEAIAAA&#10;ACIAAABkcnMvZG93bnJldi54bWxQSwECFAAUAAAACACHTuJASn8UK3sCAAAIBQAADgAAAAAAAAAB&#10;ACAAAAAqAQAAZHJzL2Uyb0RvYy54bWxQSwUGAAAAAAYABgBZAQAAFwYAAAAA&#10;">
                <v:fill on="t" focussize="0,0"/>
                <v:stroke weight="0pt" color="#376092 [2404]" joinstyle="round"/>
                <v:imagedata o:title=""/>
                <o:lock v:ext="edit" aspectratio="f"/>
                <v:textbox>
                  <w:txbxContent>
                    <w:p w14:paraId="732E5660">
                      <w:pPr>
                        <w:jc w:val="center"/>
                      </w:pPr>
                    </w:p>
                    <w:p w14:paraId="0DE99207">
                      <w:pPr>
                        <w:jc w:val="center"/>
                      </w:pP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2057400</wp:posOffset>
                </wp:positionH>
                <wp:positionV relativeFrom="paragraph">
                  <wp:posOffset>1791970</wp:posOffset>
                </wp:positionV>
                <wp:extent cx="397510" cy="13525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39751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3ADD5F">
                            <w:pPr>
                              <w:jc w:val="center"/>
                              <w:rPr>
                                <w:b/>
                                <w:bCs/>
                                <w:color w:val="FFFF00"/>
                                <w:sz w:val="16"/>
                                <w:szCs w:val="16"/>
                              </w:rPr>
                            </w:pPr>
                            <w:r>
                              <w:rPr>
                                <w:rFonts w:hint="eastAsia"/>
                                <w:b/>
                                <w:bCs/>
                                <w:color w:val="FFFF00"/>
                                <w:sz w:val="16"/>
                                <w:szCs w:val="16"/>
                              </w:rPr>
                              <w:t>旧村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62pt;margin-top:141.1pt;height:10.65pt;width:31.3pt;z-index:251698176;mso-width-relative:page;mso-height-relative:page;" filled="f" stroked="f" coordsize="21600,21600" o:gfxdata="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yU0adkAAAALAQAADwAAAAAAAAABACAAAAAiAAAAZHJzL2Rvd25yZXYu&#10;eG1sUEsBAhQAFAAAAAgAh07iQLGRGmUzAgAAVwQAAA4AAAAAAAAAAQAgAAAAKAEAAGRycy9lMm9E&#10;b2MueG1sUEsFBgAAAAAGAAYAWQEAAM0FAAAAAA==&#10;">
                <v:fill on="f" focussize="0,0"/>
                <v:stroke on="f" weight="0.5pt"/>
                <v:imagedata o:title=""/>
                <o:lock v:ext="edit" aspectratio="f"/>
                <v:textbox inset="0mm,0mm,0mm,0mm">
                  <w:txbxContent>
                    <w:p w14:paraId="2B3ADD5F">
                      <w:pPr>
                        <w:jc w:val="center"/>
                        <w:rPr>
                          <w:b/>
                          <w:bCs/>
                          <w:color w:val="FFFF00"/>
                          <w:sz w:val="16"/>
                          <w:szCs w:val="16"/>
                        </w:rPr>
                      </w:pPr>
                      <w:r>
                        <w:rPr>
                          <w:rFonts w:hint="eastAsia"/>
                          <w:b/>
                          <w:bCs/>
                          <w:color w:val="FFFF00"/>
                          <w:sz w:val="16"/>
                          <w:szCs w:val="16"/>
                        </w:rPr>
                        <w:t>旧村</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2529205</wp:posOffset>
                </wp:positionH>
                <wp:positionV relativeFrom="paragraph">
                  <wp:posOffset>1934845</wp:posOffset>
                </wp:positionV>
                <wp:extent cx="397510" cy="13525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39751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B1CA28">
                            <w:pPr>
                              <w:jc w:val="center"/>
                              <w:rPr>
                                <w:b/>
                                <w:bCs/>
                                <w:color w:val="FFFF00"/>
                                <w:sz w:val="16"/>
                                <w:szCs w:val="16"/>
                              </w:rPr>
                            </w:pPr>
                            <w:r>
                              <w:rPr>
                                <w:rFonts w:hint="eastAsia"/>
                                <w:b/>
                                <w:bCs/>
                                <w:color w:val="FFFF00"/>
                                <w:sz w:val="16"/>
                                <w:szCs w:val="16"/>
                              </w:rPr>
                              <w:t>沙岗头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9.15pt;margin-top:152.35pt;height:10.65pt;width:31.3pt;z-index:251697152;mso-width-relative:page;mso-height-relative:page;" filled="f" stroked="f" coordsize="21600,21600" o:gfxdata="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n2RKdkAAAALAQAADwAAAAAAAAABACAAAAAiAAAAZHJzL2Rvd25yZXYu&#10;eG1sUEsBAhQAFAAAAAgAh07iQBncSSUzAgAAVwQAAA4AAAAAAAAAAQAgAAAAKAEAAGRycy9lMm9E&#10;b2MueG1sUEsFBgAAAAAGAAYAWQEAAM0FAAAAAA==&#10;">
                <v:fill on="f" focussize="0,0"/>
                <v:stroke on="f" weight="0.5pt"/>
                <v:imagedata o:title=""/>
                <o:lock v:ext="edit" aspectratio="f"/>
                <v:textbox inset="0mm,0mm,0mm,0mm">
                  <w:txbxContent>
                    <w:p w14:paraId="09B1CA28">
                      <w:pPr>
                        <w:jc w:val="center"/>
                        <w:rPr>
                          <w:b/>
                          <w:bCs/>
                          <w:color w:val="FFFF00"/>
                          <w:sz w:val="16"/>
                          <w:szCs w:val="16"/>
                        </w:rPr>
                      </w:pPr>
                      <w:r>
                        <w:rPr>
                          <w:rFonts w:hint="eastAsia"/>
                          <w:b/>
                          <w:bCs/>
                          <w:color w:val="FFFF00"/>
                          <w:sz w:val="16"/>
                          <w:szCs w:val="16"/>
                        </w:rPr>
                        <w:t>沙岗头</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2197100</wp:posOffset>
                </wp:positionH>
                <wp:positionV relativeFrom="paragraph">
                  <wp:posOffset>1927225</wp:posOffset>
                </wp:positionV>
                <wp:extent cx="71755" cy="71755"/>
                <wp:effectExtent l="4445" t="4445" r="19050" b="19050"/>
                <wp:wrapNone/>
                <wp:docPr id="81" name="椭圆 81"/>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6FA5909E">
                            <w:pPr>
                              <w:jc w:val="center"/>
                            </w:pPr>
                          </w:p>
                          <w:p w14:paraId="072728F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3pt;margin-top:151.75pt;height:5.65pt;width:5.65pt;z-index:251696128;v-text-anchor:middle;mso-width-relative:page;mso-height-relative:page;" fillcolor="#FFFF00" filled="t" stroked="t" coordsize="21600,21600" o:gfxdata="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F5sixPbAAAACwEAAA8AAAAAAAAAAQAgAAAA&#10;IgAAAGRycy9kb3ducmV2LnhtbFBLAQIUABQAAAAIAIdO4kBzf0pKegIAAAgFAAAOAAAAAAAAAAEA&#10;IAAAACoBAABkcnMvZTJvRG9jLnhtbFBLBQYAAAAABgAGAFkBAAAWBgAAAAA=&#10;">
                <v:fill on="t" focussize="0,0"/>
                <v:stroke weight="0pt" color="#376092 [2404]" joinstyle="round"/>
                <v:imagedata o:title=""/>
                <o:lock v:ext="edit" aspectratio="f"/>
                <v:textbox>
                  <w:txbxContent>
                    <w:p w14:paraId="6FA5909E">
                      <w:pPr>
                        <w:jc w:val="center"/>
                      </w:pPr>
                    </w:p>
                    <w:p w14:paraId="072728FF">
                      <w:pPr>
                        <w:jc w:val="center"/>
                      </w:pP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2440305</wp:posOffset>
                </wp:positionH>
                <wp:positionV relativeFrom="paragraph">
                  <wp:posOffset>1979295</wp:posOffset>
                </wp:positionV>
                <wp:extent cx="71755" cy="71755"/>
                <wp:effectExtent l="4445" t="4445" r="19050" b="19050"/>
                <wp:wrapNone/>
                <wp:docPr id="80" name="椭圆 8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6055157A">
                            <w:pPr>
                              <w:jc w:val="center"/>
                            </w:pPr>
                          </w:p>
                          <w:p w14:paraId="5EC28650">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2.15pt;margin-top:155.85pt;height:5.65pt;width:5.65pt;z-index:251695104;v-text-anchor:middle;mso-width-relative:page;mso-height-relative:page;" fillcolor="#FFFF00" filled="t" stroked="t" coordsize="21600,21600" o:gfxdata="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FbLAU7bAAAACwEAAA8AAAAAAAAAAQAgAAAA&#10;IgAAAGRycy9kb3ducmV2LnhtbFBLAQIUABQAAAAIAIdO4kCNp9OTegIAAAgFAAAOAAAAAAAAAAEA&#10;IAAAACoBAABkcnMvZTJvRG9jLnhtbFBLBQYAAAAABgAGAFkBAAAWBgAAAAA=&#10;">
                <v:fill on="t" focussize="0,0"/>
                <v:stroke weight="0pt" color="#376092 [2404]" joinstyle="round"/>
                <v:imagedata o:title=""/>
                <o:lock v:ext="edit" aspectratio="f"/>
                <v:textbox>
                  <w:txbxContent>
                    <w:p w14:paraId="6055157A">
                      <w:pPr>
                        <w:jc w:val="center"/>
                      </w:pPr>
                    </w:p>
                    <w:p w14:paraId="5EC28650">
                      <w:pPr>
                        <w:jc w:val="center"/>
                      </w:pPr>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3658870</wp:posOffset>
                </wp:positionH>
                <wp:positionV relativeFrom="paragraph">
                  <wp:posOffset>2574925</wp:posOffset>
                </wp:positionV>
                <wp:extent cx="71755" cy="71755"/>
                <wp:effectExtent l="4445" t="4445" r="19050" b="19050"/>
                <wp:wrapNone/>
                <wp:docPr id="78" name="椭圆 7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5EAE2947">
                            <w:pPr>
                              <w:jc w:val="center"/>
                            </w:pPr>
                          </w:p>
                          <w:p w14:paraId="0459FEF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8.1pt;margin-top:202.75pt;height:5.65pt;width:5.65pt;z-index:251693056;v-text-anchor:middle;mso-width-relative:page;mso-height-relative:page;" fillcolor="#FFFF00" filled="t" stroked="t" coordsize="21600,21600" o:gfxdata="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IDZ7J9oAAAALAQAADwAAAAAAAAABACAAAAAi&#10;AAAAZHJzL2Rvd25yZXYueG1sUEsBAhQAFAAAAAgAh07iQOuVvQ16AgAACAUAAA4AAAAAAAAAAQAg&#10;AAAAKQEAAGRycy9lMm9Eb2MueG1sUEsFBgAAAAAGAAYAWQEAABUGAAAAAA==&#10;">
                <v:fill on="t" focussize="0,0"/>
                <v:stroke weight="0pt" color="#376092 [2404]" joinstyle="round"/>
                <v:imagedata o:title=""/>
                <o:lock v:ext="edit" aspectratio="f"/>
                <v:textbox>
                  <w:txbxContent>
                    <w:p w14:paraId="5EAE2947">
                      <w:pPr>
                        <w:jc w:val="center"/>
                      </w:pPr>
                    </w:p>
                    <w:p w14:paraId="0459FEFB">
                      <w:pPr>
                        <w:jc w:val="center"/>
                      </w:pPr>
                    </w:p>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3695700</wp:posOffset>
                </wp:positionH>
                <wp:positionV relativeFrom="paragraph">
                  <wp:posOffset>2101850</wp:posOffset>
                </wp:positionV>
                <wp:extent cx="1514475" cy="135255"/>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51447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67B9C3">
                            <w:pPr>
                              <w:jc w:val="center"/>
                              <w:rPr>
                                <w:b/>
                                <w:bCs/>
                                <w:color w:val="FFFF00"/>
                                <w:sz w:val="16"/>
                                <w:szCs w:val="16"/>
                              </w:rPr>
                            </w:pPr>
                            <w:r>
                              <w:rPr>
                                <w:rFonts w:hint="eastAsia"/>
                                <w:b/>
                                <w:bCs/>
                                <w:color w:val="FFFF00"/>
                                <w:sz w:val="16"/>
                                <w:szCs w:val="16"/>
                              </w:rPr>
                              <w:t>钦州港经济技术开发区第四小学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91pt;margin-top:165.5pt;height:10.65pt;width:119.25pt;z-index:251692032;mso-width-relative:page;mso-height-relative:page;" filled="f" stroked="f" coordsize="21600,21600" o:gfxdata="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lnkGLdgAAAALAQAADwAAAAAAAAABACAAAAAiAAAAZHJzL2Rvd25yZXYu&#10;eG1sUEsBAhQAFAAAAAgAh07iQC4U7EQ0AgAAWAQAAA4AAAAAAAAAAQAgAAAAJwEAAGRycy9lMm9E&#10;b2MueG1sUEsFBgAAAAAGAAYAWQEAAM0FAAAAAA==&#10;">
                <v:fill on="f" focussize="0,0"/>
                <v:stroke on="f" weight="0.5pt"/>
                <v:imagedata o:title=""/>
                <o:lock v:ext="edit" aspectratio="f"/>
                <v:textbox inset="0mm,0mm,0mm,0mm">
                  <w:txbxContent>
                    <w:p w14:paraId="5267B9C3">
                      <w:pPr>
                        <w:jc w:val="center"/>
                        <w:rPr>
                          <w:b/>
                          <w:bCs/>
                          <w:color w:val="FFFF00"/>
                          <w:sz w:val="16"/>
                          <w:szCs w:val="16"/>
                        </w:rPr>
                      </w:pPr>
                      <w:r>
                        <w:rPr>
                          <w:rFonts w:hint="eastAsia"/>
                          <w:b/>
                          <w:bCs/>
                          <w:color w:val="FFFF00"/>
                          <w:sz w:val="16"/>
                          <w:szCs w:val="16"/>
                        </w:rPr>
                        <w:t>钦州港经济技术开发区第四小学</w:t>
                      </w:r>
                    </w:p>
                  </w:txbxContent>
                </v:textbox>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3616325</wp:posOffset>
                </wp:positionH>
                <wp:positionV relativeFrom="paragraph">
                  <wp:posOffset>2136775</wp:posOffset>
                </wp:positionV>
                <wp:extent cx="71755" cy="71755"/>
                <wp:effectExtent l="4445" t="4445" r="19050" b="19050"/>
                <wp:wrapNone/>
                <wp:docPr id="66" name="椭圆 6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026D6312">
                            <w:pPr>
                              <w:jc w:val="center"/>
                            </w:pPr>
                          </w:p>
                          <w:p w14:paraId="20CE4D2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4.75pt;margin-top:168.25pt;height:5.65pt;width:5.65pt;z-index:251691008;v-text-anchor:middle;mso-width-relative:page;mso-height-relative:page;" fillcolor="#FFFF00" filled="t" stroked="t" coordsize="21600,21600" o:gfxdata="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A+ouX2wAAAAsBAAAPAAAAAAAAAAEAIAAA&#10;ACIAAABkcnMvZG93bnJldi54bWxQSwECFAAUAAAACACHTuJAWtPdlXsCAAAIBQAADgAAAAAAAAAB&#10;ACAAAAAqAQAAZHJzL2Uyb0RvYy54bWxQSwUGAAAAAAYABgBZAQAAFwYAAAAA&#10;">
                <v:fill on="t" focussize="0,0"/>
                <v:stroke weight="0pt" color="#376092 [2404]" joinstyle="round"/>
                <v:imagedata o:title=""/>
                <o:lock v:ext="edit" aspectratio="f"/>
                <v:textbox>
                  <w:txbxContent>
                    <w:p w14:paraId="026D6312">
                      <w:pPr>
                        <w:jc w:val="center"/>
                      </w:pPr>
                    </w:p>
                    <w:p w14:paraId="20CE4D24">
                      <w:pPr>
                        <w:jc w:val="center"/>
                      </w:pP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3209925</wp:posOffset>
                </wp:positionH>
                <wp:positionV relativeFrom="paragraph">
                  <wp:posOffset>2049780</wp:posOffset>
                </wp:positionV>
                <wp:extent cx="397510" cy="135255"/>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397510"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E6ADE8">
                            <w:pPr>
                              <w:jc w:val="center"/>
                              <w:rPr>
                                <w:b/>
                                <w:bCs/>
                                <w:color w:val="FFFF00"/>
                                <w:sz w:val="16"/>
                                <w:szCs w:val="16"/>
                              </w:rPr>
                            </w:pPr>
                            <w:r>
                              <w:rPr>
                                <w:rFonts w:hint="eastAsia"/>
                                <w:b/>
                                <w:bCs/>
                                <w:color w:val="FFFF00"/>
                                <w:sz w:val="16"/>
                                <w:szCs w:val="16"/>
                              </w:rPr>
                              <w:t>金鼓村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2.75pt;margin-top:161.4pt;height:10.65pt;width:31.3pt;z-index:251687936;mso-width-relative:page;mso-height-relative:page;" filled="f" stroked="f" coordsize="21600,21600" o:gfxdata="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y0j0u2gAAAAsBAAAPAAAAAAAAAAEAIAAAACIAAABkcnMvZG93bnJldi54&#10;bWxQSwECFAAUAAAACACHTuJAHGPEdzECAABXBAAADgAAAAAAAAABACAAAAApAQAAZHJzL2Uyb0Rv&#10;Yy54bWxQSwUGAAAAAAYABgBZAQAAzAUAAAAA&#10;">
                <v:fill on="f" focussize="0,0"/>
                <v:stroke on="f" weight="0.5pt"/>
                <v:imagedata o:title=""/>
                <o:lock v:ext="edit" aspectratio="f"/>
                <v:textbox inset="0mm,0mm,0mm,0mm">
                  <w:txbxContent>
                    <w:p w14:paraId="69E6ADE8">
                      <w:pPr>
                        <w:jc w:val="center"/>
                        <w:rPr>
                          <w:b/>
                          <w:bCs/>
                          <w:color w:val="FFFF00"/>
                          <w:sz w:val="16"/>
                          <w:szCs w:val="16"/>
                        </w:rPr>
                      </w:pPr>
                      <w:r>
                        <w:rPr>
                          <w:rFonts w:hint="eastAsia"/>
                          <w:b/>
                          <w:bCs/>
                          <w:color w:val="FFFF00"/>
                          <w:sz w:val="16"/>
                          <w:szCs w:val="16"/>
                        </w:rPr>
                        <w:t>金鼓村</w:t>
                      </w:r>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3159125</wp:posOffset>
                </wp:positionH>
                <wp:positionV relativeFrom="paragraph">
                  <wp:posOffset>2070100</wp:posOffset>
                </wp:positionV>
                <wp:extent cx="71755" cy="71755"/>
                <wp:effectExtent l="4445" t="4445" r="19050" b="19050"/>
                <wp:wrapNone/>
                <wp:docPr id="59" name="椭圆 5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66F06C81">
                            <w:pPr>
                              <w:jc w:val="center"/>
                            </w:pPr>
                          </w:p>
                          <w:p w14:paraId="125A50D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8.75pt;margin-top:163pt;height:5.65pt;width:5.65pt;z-index:251686912;v-text-anchor:middle;mso-width-relative:page;mso-height-relative:page;" fillcolor="#FFFF00" filled="t" stroked="t" coordsize="21600,21600" o:gfxdata="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3V5TrbAAAACwEAAA8AAAAAAAAAAQAgAAAA&#10;IgAAAGRycy9kb3ducmV2LnhtbFBLAQIUABQAAAAIAIdO4kCTwJxhegIAAAgFAAAOAAAAAAAAAAEA&#10;IAAAACoBAABkcnMvZTJvRG9jLnhtbFBLBQYAAAAABgAGAFkBAAAWBgAAAAA=&#10;">
                <v:fill on="t" focussize="0,0"/>
                <v:stroke weight="0pt" color="#376092 [2404]" joinstyle="round"/>
                <v:imagedata o:title=""/>
                <o:lock v:ext="edit" aspectratio="f"/>
                <v:textbox>
                  <w:txbxContent>
                    <w:p w14:paraId="66F06C81">
                      <w:pPr>
                        <w:jc w:val="center"/>
                      </w:pPr>
                    </w:p>
                    <w:p w14:paraId="125A50D9">
                      <w:pPr>
                        <w:jc w:val="center"/>
                      </w:pP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3420745</wp:posOffset>
                </wp:positionH>
                <wp:positionV relativeFrom="paragraph">
                  <wp:posOffset>2630170</wp:posOffset>
                </wp:positionV>
                <wp:extent cx="514985" cy="135255"/>
                <wp:effectExtent l="0" t="0" r="0" b="0"/>
                <wp:wrapNone/>
                <wp:docPr id="58" name="文本框 58"/>
                <wp:cNvGraphicFramePr/>
                <a:graphic xmlns:a="http://schemas.openxmlformats.org/drawingml/2006/main">
                  <a:graphicData uri="http://schemas.microsoft.com/office/word/2010/wordprocessingShape">
                    <wps:wsp>
                      <wps:cNvSpPr txBox="1"/>
                      <wps:spPr>
                        <a:xfrm>
                          <a:off x="4690110" y="6687820"/>
                          <a:ext cx="514985" cy="135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F28BE1">
                            <w:pPr>
                              <w:jc w:val="both"/>
                              <w:rPr>
                                <w:b/>
                                <w:bCs/>
                                <w:color w:val="FFFF00"/>
                                <w:sz w:val="16"/>
                                <w:szCs w:val="16"/>
                              </w:rPr>
                            </w:pPr>
                            <w:r>
                              <w:rPr>
                                <w:rFonts w:hint="eastAsia"/>
                                <w:b/>
                                <w:bCs/>
                                <w:color w:val="FFFF00"/>
                                <w:sz w:val="16"/>
                                <w:szCs w:val="16"/>
                              </w:rPr>
                              <w:t>淡水湾村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69.35pt;margin-top:207.1pt;height:10.65pt;width:40.55pt;z-index:251685888;mso-width-relative:page;mso-height-relative:page;" filled="f" stroked="f" coordsize="21600,21600" o:gfxdata="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8f3YDaAAAACwEAAA8AAAAAAAAAAQAgAAAAIgAA&#10;AGRycy9kb3ducmV2LnhtbFBLAQIUABQAAAAIAIdO4kA/Bk9JPwIAAGMEAAAOAAAAAAAAAAEAIAAA&#10;ACkBAABkcnMvZTJvRG9jLnhtbFBLBQYAAAAABgAGAFkBAADaBQAAAAA=&#10;">
                <v:fill on="f" focussize="0,0"/>
                <v:stroke on="f" weight="0.5pt"/>
                <v:imagedata o:title=""/>
                <o:lock v:ext="edit" aspectratio="f"/>
                <v:textbox inset="0mm,0mm,0mm,0mm">
                  <w:txbxContent>
                    <w:p w14:paraId="5CF28BE1">
                      <w:pPr>
                        <w:jc w:val="both"/>
                        <w:rPr>
                          <w:b/>
                          <w:bCs/>
                          <w:color w:val="FFFF00"/>
                          <w:sz w:val="16"/>
                          <w:szCs w:val="16"/>
                        </w:rPr>
                      </w:pPr>
                      <w:r>
                        <w:rPr>
                          <w:rFonts w:hint="eastAsia"/>
                          <w:b/>
                          <w:bCs/>
                          <w:color w:val="FFFF00"/>
                          <w:sz w:val="16"/>
                          <w:szCs w:val="16"/>
                        </w:rPr>
                        <w:t>淡水湾村</w:t>
                      </w:r>
                    </w:p>
                  </w:txbxContent>
                </v:textbox>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3328035</wp:posOffset>
                </wp:positionH>
                <wp:positionV relativeFrom="paragraph">
                  <wp:posOffset>2643505</wp:posOffset>
                </wp:positionV>
                <wp:extent cx="71755" cy="71755"/>
                <wp:effectExtent l="4445" t="4445" r="19050" b="19050"/>
                <wp:wrapNone/>
                <wp:docPr id="57" name="椭圆 57"/>
                <wp:cNvGraphicFramePr/>
                <a:graphic xmlns:a="http://schemas.openxmlformats.org/drawingml/2006/main">
                  <a:graphicData uri="http://schemas.microsoft.com/office/word/2010/wordprocessingShape">
                    <wps:wsp>
                      <wps:cNvSpPr/>
                      <wps:spPr>
                        <a:xfrm>
                          <a:off x="4592320" y="5170805"/>
                          <a:ext cx="71755" cy="71755"/>
                        </a:xfrm>
                        <a:prstGeom prst="ellipse">
                          <a:avLst/>
                        </a:prstGeom>
                        <a:solidFill>
                          <a:srgbClr val="FFFF00"/>
                        </a:solidFill>
                        <a:ln w="0"/>
                      </wps:spPr>
                      <wps:style>
                        <a:lnRef idx="2">
                          <a:schemeClr val="accent1">
                            <a:lumMod val="75000"/>
                          </a:schemeClr>
                        </a:lnRef>
                        <a:fillRef idx="1">
                          <a:schemeClr val="accent1"/>
                        </a:fillRef>
                        <a:effectRef idx="0">
                          <a:srgbClr val="FFFFFF"/>
                        </a:effectRef>
                        <a:fontRef idx="minor">
                          <a:schemeClr val="lt1"/>
                        </a:fontRef>
                      </wps:style>
                      <wps:txbx>
                        <w:txbxContent>
                          <w:p w14:paraId="613AB412">
                            <w:pPr>
                              <w:jc w:val="center"/>
                            </w:pPr>
                          </w:p>
                          <w:p w14:paraId="3E77B08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2.05pt;margin-top:208.15pt;height:5.65pt;width:5.65pt;z-index:251684864;v-text-anchor:middle;mso-width-relative:page;mso-height-relative:page;" fillcolor="#FFFF00" filled="t" stroked="t" coordsize="21600,21600" o:gfxdata="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gn1vONsAAAALAQAA&#10;DwAAAAAAAAABACAAAAAiAAAAZHJzL2Rvd25yZXYueG1sUEsBAhQAFAAAAAgAh07iQONPp4CIAgAA&#10;FAUAAA4AAAAAAAAAAQAgAAAAKgEAAGRycy9lMm9Eb2MueG1sUEsFBgAAAAAGAAYAWQEAACQGAAAA&#10;AA==&#10;">
                <v:fill on="t" focussize="0,0"/>
                <v:stroke weight="0pt" color="#376092 [2404]" joinstyle="round"/>
                <v:imagedata o:title=""/>
                <o:lock v:ext="edit" aspectratio="f"/>
                <v:textbox>
                  <w:txbxContent>
                    <w:p w14:paraId="613AB412">
                      <w:pPr>
                        <w:jc w:val="center"/>
                      </w:pPr>
                    </w:p>
                    <w:p w14:paraId="3E77B085">
                      <w:pPr>
                        <w:jc w:val="center"/>
                      </w:pPr>
                    </w:p>
                  </w:txbxContent>
                </v:textbox>
              </v:shape>
            </w:pict>
          </mc:Fallback>
        </mc:AlternateContent>
      </w:r>
      <w:r>
        <w:drawing>
          <wp:inline distT="0" distB="0" distL="114300" distR="114300">
            <wp:extent cx="5760085" cy="6222365"/>
            <wp:effectExtent l="0" t="0" r="12065" b="698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59"/>
                    <a:stretch>
                      <a:fillRect/>
                    </a:stretch>
                  </pic:blipFill>
                  <pic:spPr>
                    <a:xfrm>
                      <a:off x="0" y="0"/>
                      <a:ext cx="5760085" cy="6222365"/>
                    </a:xfrm>
                    <a:prstGeom prst="rect">
                      <a:avLst/>
                    </a:prstGeom>
                    <a:noFill/>
                    <a:ln>
                      <a:noFill/>
                    </a:ln>
                  </pic:spPr>
                </pic:pic>
              </a:graphicData>
            </a:graphic>
          </wp:inline>
        </w:drawing>
      </w:r>
    </w:p>
    <w:p w14:paraId="53033384">
      <w:pPr>
        <w:pStyle w:val="703"/>
        <w:adjustRightInd w:val="0"/>
        <w:spacing w:line="240" w:lineRule="auto"/>
        <w:ind w:firstLine="0"/>
        <w:jc w:val="center"/>
        <w:textAlignment w:val="baseline"/>
      </w:pPr>
      <w:r>
        <w:rPr>
          <w:rFonts w:hint="eastAsia"/>
          <w:b/>
          <w:bCs/>
        </w:rPr>
        <w:t>图5-1 环境敏感环境保护目标分布图</w:t>
      </w:r>
      <w:r>
        <mc:AlternateContent>
          <mc:Choice Requires="wps">
            <w:drawing>
              <wp:anchor distT="0" distB="0" distL="114300" distR="114300" simplePos="0" relativeHeight="251731968" behindDoc="0" locked="0" layoutInCell="1" allowOverlap="1">
                <wp:simplePos x="0" y="0"/>
                <wp:positionH relativeFrom="column">
                  <wp:posOffset>1037590</wp:posOffset>
                </wp:positionH>
                <wp:positionV relativeFrom="paragraph">
                  <wp:posOffset>4180205</wp:posOffset>
                </wp:positionV>
                <wp:extent cx="530225" cy="252730"/>
                <wp:effectExtent l="4445" t="4445" r="17780" b="9525"/>
                <wp:wrapNone/>
                <wp:docPr id="133" name="任意多边形 133"/>
                <wp:cNvGraphicFramePr/>
                <a:graphic xmlns:a="http://schemas.openxmlformats.org/drawingml/2006/main">
                  <a:graphicData uri="http://schemas.microsoft.com/office/word/2010/wordprocessingShape">
                    <wps:wsp>
                      <wps:cNvSpPr/>
                      <wps:spPr>
                        <a:xfrm>
                          <a:off x="2180590" y="5094605"/>
                          <a:ext cx="530225" cy="252730"/>
                        </a:xfrm>
                        <a:custGeom>
                          <a:avLst/>
                          <a:gdLst>
                            <a:gd name="connisteX0" fmla="*/ 0 w 530225"/>
                            <a:gd name="connsiteY0" fmla="*/ 252730 h 252730"/>
                            <a:gd name="connisteX1" fmla="*/ 66675 w 530225"/>
                            <a:gd name="connsiteY1" fmla="*/ 0 h 252730"/>
                            <a:gd name="connisteX2" fmla="*/ 414020 w 530225"/>
                            <a:gd name="connsiteY2" fmla="*/ 3810 h 252730"/>
                            <a:gd name="connisteX3" fmla="*/ 530225 w 530225"/>
                            <a:gd name="connsiteY3" fmla="*/ 244475 h 252730"/>
                            <a:gd name="connisteX4" fmla="*/ 0 w 530225"/>
                            <a:gd name="connsiteY4" fmla="*/ 252730 h 2527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30225" h="252730">
                              <a:moveTo>
                                <a:pt x="0" y="252730"/>
                              </a:moveTo>
                              <a:lnTo>
                                <a:pt x="66675" y="0"/>
                              </a:lnTo>
                              <a:lnTo>
                                <a:pt x="414020" y="3810"/>
                              </a:lnTo>
                              <a:lnTo>
                                <a:pt x="530225" y="244475"/>
                              </a:lnTo>
                              <a:lnTo>
                                <a:pt x="0" y="252730"/>
                              </a:lnTo>
                              <a:close/>
                            </a:path>
                          </a:pathLst>
                        </a:custGeom>
                        <a:solidFill>
                          <a:srgbClr val="00B050"/>
                        </a:solidFill>
                        <a:ln w="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1.7pt;margin-top:329.15pt;height:19.9pt;width:41.75pt;z-index:251731968;mso-width-relative:page;mso-height-relative:page;" fillcolor="#00B050" filled="t" stroked="t" coordsize="530225,252730" o:gfxdata="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" path="m0,252730l66675,0,414020,3810,530225,244475,0,252730xe">
                <v:path o:connectlocs="0,252730;66675,0;414020,3810;530225,244475;0,252730" o:connectangles="0,0,0,0,0"/>
                <v:fill on="t" focussize="0,0"/>
                <v:stroke weight="0pt" color="#00B050 [2404]" joinstyle="round"/>
                <v:imagedata o:title=""/>
                <o:lock v:ext="edit" aspectratio="f"/>
              </v:shape>
            </w:pict>
          </mc:Fallback>
        </mc:AlternateContent>
      </w:r>
    </w:p>
    <w:p w14:paraId="307DD12B">
      <w:pPr>
        <w:pStyle w:val="703"/>
        <w:adjustRightInd w:val="0"/>
        <w:spacing w:line="240" w:lineRule="auto"/>
        <w:ind w:firstLine="0"/>
        <w:jc w:val="center"/>
        <w:textAlignment w:val="baseline"/>
        <w:rPr>
          <w:rFonts w:ascii="Times New Roman" w:hAnsi="Times New Roman"/>
          <w:bCs/>
          <w:color w:val="000000" w:themeColor="text1"/>
          <w:szCs w:val="21"/>
          <w14:textFill>
            <w14:solidFill>
              <w14:schemeClr w14:val="tx1"/>
            </w14:solidFill>
          </w14:textFill>
        </w:rPr>
      </w:pPr>
    </w:p>
    <w:p w14:paraId="29E80EA1">
      <w:pPr>
        <w:pStyle w:val="703"/>
        <w:adjustRightInd w:val="0"/>
        <w:ind w:firstLine="480" w:firstLineChars="200"/>
        <w:textAlignment w:val="baseline"/>
        <w:rPr>
          <w:rFonts w:ascii="Times New Roman" w:hAnsi="Times New Roman"/>
          <w:bCs/>
          <w:color w:val="FF0000"/>
          <w:szCs w:val="21"/>
        </w:rPr>
      </w:pPr>
    </w:p>
    <w:p w14:paraId="68A0CC50">
      <w:pPr>
        <w:pStyle w:val="703"/>
        <w:adjustRightInd w:val="0"/>
        <w:ind w:firstLine="480" w:firstLineChars="200"/>
        <w:textAlignment w:val="baseline"/>
        <w:rPr>
          <w:rFonts w:ascii="Times New Roman" w:hAnsi="Times New Roman"/>
          <w:bCs/>
          <w:color w:val="FF0000"/>
          <w:szCs w:val="21"/>
        </w:rPr>
        <w:sectPr>
          <w:pgSz w:w="11907" w:h="16840"/>
          <w:pgMar w:top="1440" w:right="1800" w:bottom="1440" w:left="1800" w:header="652" w:footer="851" w:gutter="0"/>
          <w:cols w:space="720" w:num="1"/>
          <w:docGrid w:linePitch="326" w:charSpace="0"/>
        </w:sectPr>
      </w:pPr>
    </w:p>
    <w:p w14:paraId="42329008">
      <w:pPr>
        <w:pStyle w:val="3"/>
        <w:keepNext w:val="0"/>
        <w:keepLines/>
        <w:tabs>
          <w:tab w:val="left" w:pos="426"/>
          <w:tab w:val="left" w:pos="709"/>
          <w:tab w:val="left" w:pos="4614"/>
        </w:tabs>
        <w:overflowPunct/>
        <w:adjustRightInd w:val="0"/>
        <w:spacing w:before="0" w:after="0" w:line="360" w:lineRule="auto"/>
        <w:ind w:left="0" w:firstLine="0"/>
        <w:jc w:val="both"/>
        <w:textAlignment w:val="baseline"/>
        <w:rPr>
          <w:rFonts w:ascii="Times New Roman" w:hAnsi="Times New Roman" w:cs="Times New Roman"/>
          <w:color w:val="000000" w:themeColor="text1"/>
          <w14:textFill>
            <w14:solidFill>
              <w14:schemeClr w14:val="tx1"/>
            </w14:solidFill>
          </w14:textFill>
        </w:rPr>
      </w:pPr>
      <w:bookmarkStart w:id="121" w:name="_Toc84835281"/>
      <w:bookmarkStart w:id="122" w:name="_Toc144375235"/>
      <w:bookmarkStart w:id="123" w:name="_Toc95759354"/>
      <w:bookmarkStart w:id="124" w:name="_Toc95759781"/>
      <w:bookmarkStart w:id="125" w:name="_Toc146041498"/>
      <w:bookmarkStart w:id="126" w:name="_Toc144374987"/>
      <w:r>
        <w:rPr>
          <w:rFonts w:ascii="Times New Roman" w:hAnsi="Times New Roman" w:cs="Times New Roman"/>
          <w:color w:val="000000" w:themeColor="text1"/>
          <w14:textFill>
            <w14:solidFill>
              <w14:schemeClr w14:val="tx1"/>
            </w14:solidFill>
          </w14:textFill>
        </w:rPr>
        <w:t>6、环境风险潜势初判</w:t>
      </w:r>
      <w:bookmarkEnd w:id="121"/>
      <w:bookmarkEnd w:id="122"/>
      <w:bookmarkEnd w:id="123"/>
      <w:bookmarkEnd w:id="124"/>
      <w:bookmarkEnd w:id="125"/>
      <w:bookmarkEnd w:id="126"/>
    </w:p>
    <w:p w14:paraId="20118A06">
      <w:pPr>
        <w:pStyle w:val="346"/>
        <w:ind w:firstLine="482" w:firstLineChars="200"/>
        <w:rPr>
          <w:color w:val="000000" w:themeColor="text1"/>
          <w14:textFill>
            <w14:solidFill>
              <w14:schemeClr w14:val="tx1"/>
            </w14:solidFill>
          </w14:textFill>
        </w:rPr>
      </w:pPr>
      <w:bookmarkStart w:id="127" w:name="_Toc144375236"/>
      <w:r>
        <w:rPr>
          <w:color w:val="000000" w:themeColor="text1"/>
          <w14:textFill>
            <w14:solidFill>
              <w14:schemeClr w14:val="tx1"/>
            </w14:solidFill>
          </w14:textFill>
        </w:rPr>
        <w:t>6.1环境风险潜势划分</w:t>
      </w:r>
      <w:bookmarkEnd w:id="127"/>
    </w:p>
    <w:p w14:paraId="4116850B">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根据《建设项目环境风险评价技术导则》(HJ169-2018)，建设项目环境风险潜势划分为Ⅰ、Ⅱ、Ⅲ、Ⅳ/Ⅳ</w:t>
      </w:r>
      <w:r>
        <w:rPr>
          <w:rFonts w:ascii="Times New Roman" w:hAnsi="Times New Roman"/>
          <w:bCs/>
          <w:color w:val="000000" w:themeColor="text1"/>
          <w:szCs w:val="21"/>
          <w:vertAlign w:val="superscript"/>
          <w14:textFill>
            <w14:solidFill>
              <w14:schemeClr w14:val="tx1"/>
            </w14:solidFill>
          </w14:textFill>
        </w:rPr>
        <w:t>+</w:t>
      </w:r>
      <w:r>
        <w:rPr>
          <w:rFonts w:ascii="Times New Roman" w:hAnsi="Times New Roman"/>
          <w:bCs/>
          <w:color w:val="000000" w:themeColor="text1"/>
          <w:szCs w:val="21"/>
          <w14:textFill>
            <w14:solidFill>
              <w14:schemeClr w14:val="tx1"/>
            </w14:solidFill>
          </w14:textFill>
        </w:rPr>
        <w:t>级。</w:t>
      </w:r>
    </w:p>
    <w:p w14:paraId="30667AE3">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根据建设项目涉及的物质和工艺系统的危险性及其所在地的环境敏感程度，结合事故情形下环境影响途径，对建设项目潜在环境危害程度进行概化分析，按照下表确定环境风险潜势。</w:t>
      </w:r>
    </w:p>
    <w:p w14:paraId="3C58DB83">
      <w:pPr>
        <w:jc w:val="center"/>
        <w:rPr>
          <w:rFonts w:ascii="Times New Roman" w:hAnsi="Times New Roman" w:cs="Times New Roman"/>
          <w:b/>
          <w:color w:val="000000" w:themeColor="text1"/>
          <w:szCs w:val="21"/>
          <w14:textFill>
            <w14:solidFill>
              <w14:schemeClr w14:val="tx1"/>
            </w14:solidFill>
          </w14:textFill>
        </w:rPr>
      </w:pPr>
      <w:bookmarkStart w:id="128" w:name="_Ref6145253"/>
      <w:r>
        <w:rPr>
          <w:rFonts w:ascii="Times New Roman" w:hAnsi="Times New Roman" w:cs="Times New Roman"/>
          <w:b/>
          <w:color w:val="000000" w:themeColor="text1"/>
          <w:szCs w:val="21"/>
          <w14:textFill>
            <w14:solidFill>
              <w14:schemeClr w14:val="tx1"/>
            </w14:solidFill>
          </w14:textFill>
        </w:rPr>
        <w:t>表</w:t>
      </w:r>
      <w:bookmarkEnd w:id="128"/>
      <w:r>
        <w:rPr>
          <w:rFonts w:ascii="Times New Roman" w:hAnsi="Times New Roman" w:cs="Times New Roman"/>
          <w:b/>
          <w:color w:val="000000" w:themeColor="text1"/>
          <w:szCs w:val="21"/>
          <w14:textFill>
            <w14:solidFill>
              <w14:schemeClr w14:val="tx1"/>
            </w14:solidFill>
          </w14:textFill>
        </w:rPr>
        <w:t>6-1建设项目环境风险潜势划分</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9"/>
        <w:gridCol w:w="1482"/>
        <w:gridCol w:w="1539"/>
        <w:gridCol w:w="1792"/>
        <w:gridCol w:w="1751"/>
      </w:tblGrid>
      <w:tr w14:paraId="07729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173" w:type="dxa"/>
            <w:vMerge w:val="restart"/>
            <w:vAlign w:val="center"/>
          </w:tcPr>
          <w:p w14:paraId="04AD2479">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环境敏感程度(E)</w:t>
            </w:r>
          </w:p>
        </w:tc>
        <w:tc>
          <w:tcPr>
            <w:tcW w:w="7262" w:type="dxa"/>
            <w:gridSpan w:val="4"/>
            <w:vAlign w:val="center"/>
          </w:tcPr>
          <w:p w14:paraId="7936A6BD">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危险物质及工艺系统危险性(P)</w:t>
            </w:r>
          </w:p>
        </w:tc>
      </w:tr>
      <w:tr w14:paraId="5DFD4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173" w:type="dxa"/>
            <w:vMerge w:val="continue"/>
            <w:vAlign w:val="center"/>
          </w:tcPr>
          <w:p w14:paraId="151D975F">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p>
        </w:tc>
        <w:tc>
          <w:tcPr>
            <w:tcW w:w="1637" w:type="dxa"/>
            <w:vAlign w:val="center"/>
          </w:tcPr>
          <w:p w14:paraId="06EB568D">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极高危害(P1)</w:t>
            </w:r>
          </w:p>
        </w:tc>
        <w:tc>
          <w:tcPr>
            <w:tcW w:w="1701" w:type="dxa"/>
            <w:vAlign w:val="center"/>
          </w:tcPr>
          <w:p w14:paraId="58D8237C">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高度危害(P2)</w:t>
            </w:r>
          </w:p>
        </w:tc>
        <w:tc>
          <w:tcPr>
            <w:tcW w:w="1985" w:type="dxa"/>
            <w:vAlign w:val="center"/>
          </w:tcPr>
          <w:p w14:paraId="599AAF3A">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中度危害(P3)</w:t>
            </w:r>
          </w:p>
        </w:tc>
        <w:tc>
          <w:tcPr>
            <w:tcW w:w="1939" w:type="dxa"/>
            <w:vAlign w:val="center"/>
          </w:tcPr>
          <w:p w14:paraId="7ED81CEF">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轻度危害(P4)</w:t>
            </w:r>
          </w:p>
        </w:tc>
      </w:tr>
      <w:tr w14:paraId="3C0A4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3" w:type="dxa"/>
            <w:vAlign w:val="center"/>
          </w:tcPr>
          <w:p w14:paraId="5C67624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环境高度敏感区(E1)</w:t>
            </w:r>
          </w:p>
        </w:tc>
        <w:tc>
          <w:tcPr>
            <w:tcW w:w="1637" w:type="dxa"/>
            <w:vAlign w:val="center"/>
          </w:tcPr>
          <w:p w14:paraId="4AA3B489">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r>
              <w:rPr>
                <w:rFonts w:ascii="Times New Roman" w:hAnsi="Times New Roman" w:cs="Times New Roman"/>
                <w:color w:val="000000" w:themeColor="text1"/>
                <w:sz w:val="21"/>
                <w:szCs w:val="21"/>
                <w:vertAlign w:val="superscript"/>
                <w14:textFill>
                  <w14:solidFill>
                    <w14:schemeClr w14:val="tx1"/>
                  </w14:solidFill>
                </w14:textFill>
              </w:rPr>
              <w:t>+</w:t>
            </w:r>
          </w:p>
        </w:tc>
        <w:tc>
          <w:tcPr>
            <w:tcW w:w="1701" w:type="dxa"/>
            <w:vAlign w:val="center"/>
          </w:tcPr>
          <w:p w14:paraId="62AC4DC9">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p>
        </w:tc>
        <w:tc>
          <w:tcPr>
            <w:tcW w:w="1985" w:type="dxa"/>
            <w:vAlign w:val="center"/>
          </w:tcPr>
          <w:p w14:paraId="11B4F1E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39" w:type="dxa"/>
            <w:vAlign w:val="center"/>
          </w:tcPr>
          <w:p w14:paraId="1889140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r>
      <w:tr w14:paraId="0ACD5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3" w:type="dxa"/>
            <w:vAlign w:val="center"/>
          </w:tcPr>
          <w:p w14:paraId="14B9FFB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环境中度敏感区(E2)</w:t>
            </w:r>
          </w:p>
        </w:tc>
        <w:tc>
          <w:tcPr>
            <w:tcW w:w="1637" w:type="dxa"/>
            <w:vAlign w:val="center"/>
          </w:tcPr>
          <w:p w14:paraId="6D7FA5B9">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p>
        </w:tc>
        <w:tc>
          <w:tcPr>
            <w:tcW w:w="1701" w:type="dxa"/>
            <w:vAlign w:val="center"/>
          </w:tcPr>
          <w:p w14:paraId="6F541B46">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85" w:type="dxa"/>
            <w:vAlign w:val="center"/>
          </w:tcPr>
          <w:p w14:paraId="3E0757A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39" w:type="dxa"/>
            <w:vAlign w:val="center"/>
          </w:tcPr>
          <w:p w14:paraId="55EB357C">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r>
      <w:tr w14:paraId="60F09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3" w:type="dxa"/>
            <w:vAlign w:val="center"/>
          </w:tcPr>
          <w:p w14:paraId="736362B6">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环境低度敏感区(E3)</w:t>
            </w:r>
          </w:p>
        </w:tc>
        <w:tc>
          <w:tcPr>
            <w:tcW w:w="1637" w:type="dxa"/>
            <w:vAlign w:val="center"/>
          </w:tcPr>
          <w:p w14:paraId="1A08D9A9">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701" w:type="dxa"/>
            <w:vAlign w:val="center"/>
          </w:tcPr>
          <w:p w14:paraId="19AAEEC8">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85" w:type="dxa"/>
            <w:vAlign w:val="center"/>
          </w:tcPr>
          <w:p w14:paraId="26B0021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c>
          <w:tcPr>
            <w:tcW w:w="1939" w:type="dxa"/>
            <w:vAlign w:val="center"/>
          </w:tcPr>
          <w:p w14:paraId="2DACC9B8">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Ⅰ</w:t>
            </w:r>
          </w:p>
        </w:tc>
      </w:tr>
    </w:tbl>
    <w:p w14:paraId="56ECD7C6">
      <w:pPr>
        <w:pStyle w:val="346"/>
        <w:ind w:firstLine="482" w:firstLineChars="200"/>
        <w:rPr>
          <w:color w:val="FF0000"/>
        </w:rPr>
      </w:pPr>
      <w:bookmarkStart w:id="129" w:name="_Toc144375237"/>
      <w:bookmarkStart w:id="130" w:name="_Toc95759355"/>
      <w:bookmarkStart w:id="131" w:name="_Toc84835283"/>
      <w:r>
        <w:rPr>
          <w:color w:val="000000" w:themeColor="text1"/>
          <w14:textFill>
            <w14:solidFill>
              <w14:schemeClr w14:val="tx1"/>
            </w14:solidFill>
          </w14:textFill>
        </w:rPr>
        <w:t>6.2 P的分级确定</w:t>
      </w:r>
      <w:bookmarkEnd w:id="129"/>
      <w:bookmarkEnd w:id="130"/>
      <w:bookmarkEnd w:id="131"/>
    </w:p>
    <w:p w14:paraId="66348CC1">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分析建设项目生产、使用、储存过程中涉及的有毒有害、易燃易爆物质，参见附录B确定危险物质的临界量。定量分析危险物质与临界量的比值(Q)和所属行业及生产工艺特点(M)，对危险物质及工艺系统危险性(P)等级进行判断。</w:t>
      </w:r>
    </w:p>
    <w:p w14:paraId="37014927">
      <w:pPr>
        <w:pStyle w:val="4001"/>
        <w:rPr>
          <w:color w:val="000000" w:themeColor="text1"/>
          <w14:textFill>
            <w14:solidFill>
              <w14:schemeClr w14:val="tx1"/>
            </w14:solidFill>
          </w14:textFill>
        </w:rPr>
      </w:pPr>
      <w:bookmarkStart w:id="132" w:name="_Toc95759356"/>
      <w:r>
        <w:rPr>
          <w:color w:val="000000" w:themeColor="text1"/>
          <w14:textFill>
            <w14:solidFill>
              <w14:schemeClr w14:val="tx1"/>
            </w14:solidFill>
          </w14:textFill>
        </w:rPr>
        <w:t>6.2.1危险物质数量与临界量比值（Q）</w:t>
      </w:r>
      <w:bookmarkEnd w:id="132"/>
    </w:p>
    <w:p w14:paraId="778800E7">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计算所涉及的每种危险物质在厂界内的最大存在总量与其在《建设项目环境风险评价技术导则》(HJ169-2018)附录B中对应临界量的比值Q。在不同厂区的同一种物质，按其在厂界内的最大存在总量计算。</w:t>
      </w:r>
    </w:p>
    <w:p w14:paraId="12DFE7FC">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当只涉及一种危险物质时，计算该物质的总量与其临界量比值，即为Q；</w:t>
      </w:r>
    </w:p>
    <w:p w14:paraId="55ECBC26">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当存在多种危险物质时，则按下式计算物质总量与其临界量比值（Q）：</w:t>
      </w:r>
    </w:p>
    <w:p w14:paraId="3BE90CDF">
      <w:pPr>
        <w:pStyle w:val="703"/>
        <w:adjustRightInd w:val="0"/>
        <w:ind w:firstLine="0"/>
        <w:jc w:val="center"/>
        <w:textAlignment w:val="baseline"/>
        <w:rPr>
          <w:rFonts w:ascii="Times New Roman" w:hAnsi="Times New Roman"/>
          <w:bCs/>
          <w:color w:val="000000" w:themeColor="text1"/>
          <w:szCs w:val="21"/>
          <w14:textFill>
            <w14:solidFill>
              <w14:schemeClr w14:val="tx1"/>
            </w14:solidFill>
          </w14:textFill>
        </w:rPr>
      </w:pPr>
      <m:oMathPara>
        <m:oMath>
          <m:r>
            <m:rPr/>
            <w:rPr>
              <w:rFonts w:ascii="Cambria Math" w:hAnsi="Cambria Math"/>
              <w:color w:val="000000" w:themeColor="text1"/>
              <w:szCs w:val="21"/>
              <w14:textFill>
                <w14:solidFill>
                  <w14:schemeClr w14:val="tx1"/>
                </w14:solidFill>
              </w14:textFill>
            </w:rPr>
            <m:t>Q</m:t>
          </m:r>
          <m:r>
            <m:rPr>
              <m:sty m:val="p"/>
            </m:rPr>
            <w:rPr>
              <w:rFonts w:ascii="Cambria Math" w:hAnsi="Cambria Math"/>
              <w:color w:val="000000" w:themeColor="text1"/>
              <w:szCs w:val="21"/>
              <w14:textFill>
                <w14:solidFill>
                  <w14:schemeClr w14:val="tx1"/>
                </w14:solidFill>
              </w14:textFill>
            </w:rPr>
            <m:t>=</m:t>
          </m:r>
          <m:f>
            <m:fPr>
              <m:ctrlPr>
                <w:rPr>
                  <w:rFonts w:ascii="Cambria Math" w:hAnsi="Cambria Math"/>
                  <w:bCs/>
                  <w:color w:val="000000" w:themeColor="text1"/>
                  <w:szCs w:val="21"/>
                  <w14:textFill>
                    <w14:solidFill>
                      <w14:schemeClr w14:val="tx1"/>
                    </w14:solidFill>
                  </w14:textFill>
                </w:rPr>
              </m:ctrlPr>
            </m:fPr>
            <m:num>
              <m:sSub>
                <m:sSubPr>
                  <m:ctrlPr>
                    <w:rPr>
                      <w:rFonts w:ascii="Cambria Math" w:hAnsi="Cambria Math"/>
                      <w:bCs/>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q</m:t>
                  </m:r>
                  <m:ctrlPr>
                    <w:rPr>
                      <w:rFonts w:ascii="Cambria Math" w:hAnsi="Cambria Math"/>
                      <w:bCs/>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1</m:t>
                  </m:r>
                  <m:ctrlPr>
                    <w:rPr>
                      <w:rFonts w:ascii="Cambria Math" w:hAnsi="Cambria Math"/>
                      <w:bCs/>
                      <w:i/>
                      <w:color w:val="000000" w:themeColor="text1"/>
                      <w:szCs w:val="21"/>
                      <w14:textFill>
                        <w14:solidFill>
                          <w14:schemeClr w14:val="tx1"/>
                        </w14:solidFill>
                      </w14:textFill>
                    </w:rPr>
                  </m:ctrlPr>
                </m:sub>
              </m:sSub>
              <m:ctrlPr>
                <w:rPr>
                  <w:rFonts w:ascii="Cambria Math" w:hAnsi="Cambria Math"/>
                  <w:bCs/>
                  <w:color w:val="000000" w:themeColor="text1"/>
                  <w:szCs w:val="21"/>
                  <w14:textFill>
                    <w14:solidFill>
                      <w14:schemeClr w14:val="tx1"/>
                    </w14:solidFill>
                  </w14:textFill>
                </w:rPr>
              </m:ctrlPr>
            </m:num>
            <m:den>
              <m:sSub>
                <m:sSubPr>
                  <m:ctrlPr>
                    <w:rPr>
                      <w:rFonts w:ascii="Cambria Math" w:hAnsi="Cambria Math"/>
                      <w:bCs/>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Q</m:t>
                  </m:r>
                  <m:ctrlPr>
                    <w:rPr>
                      <w:rFonts w:ascii="Cambria Math" w:hAnsi="Cambria Math"/>
                      <w:bCs/>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1</m:t>
                  </m:r>
                  <m:ctrlPr>
                    <w:rPr>
                      <w:rFonts w:ascii="Cambria Math" w:hAnsi="Cambria Math"/>
                      <w:bCs/>
                      <w:i/>
                      <w:color w:val="000000" w:themeColor="text1"/>
                      <w:szCs w:val="21"/>
                      <w14:textFill>
                        <w14:solidFill>
                          <w14:schemeClr w14:val="tx1"/>
                        </w14:solidFill>
                      </w14:textFill>
                    </w:rPr>
                  </m:ctrlPr>
                </m:sub>
              </m:sSub>
              <m:ctrlPr>
                <w:rPr>
                  <w:rFonts w:ascii="Cambria Math" w:hAnsi="Cambria Math"/>
                  <w:bCs/>
                  <w:color w:val="000000" w:themeColor="text1"/>
                  <w:szCs w:val="21"/>
                  <w14:textFill>
                    <w14:solidFill>
                      <w14:schemeClr w14:val="tx1"/>
                    </w14:solidFill>
                  </w14:textFill>
                </w:rPr>
              </m:ctrlPr>
            </m:den>
          </m:f>
          <m:r>
            <m:rPr/>
            <w:rPr>
              <w:rFonts w:ascii="Cambria Math" w:hAnsi="Cambria Math"/>
              <w:color w:val="000000" w:themeColor="text1"/>
              <w:szCs w:val="21"/>
              <w14:textFill>
                <w14:solidFill>
                  <w14:schemeClr w14:val="tx1"/>
                </w14:solidFill>
              </w14:textFill>
            </w:rPr>
            <m:t>+</m:t>
          </m:r>
          <m:f>
            <m:fPr>
              <m:ctrlPr>
                <w:rPr>
                  <w:rFonts w:ascii="Cambria Math" w:hAnsi="Cambria Math"/>
                  <w:bCs/>
                  <w:color w:val="000000" w:themeColor="text1"/>
                  <w:szCs w:val="21"/>
                  <w14:textFill>
                    <w14:solidFill>
                      <w14:schemeClr w14:val="tx1"/>
                    </w14:solidFill>
                  </w14:textFill>
                </w:rPr>
              </m:ctrlPr>
            </m:fPr>
            <m:num>
              <m:sSub>
                <m:sSubPr>
                  <m:ctrlPr>
                    <w:rPr>
                      <w:rFonts w:ascii="Cambria Math" w:hAnsi="Cambria Math"/>
                      <w:bCs/>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q</m:t>
                  </m:r>
                  <m:ctrlPr>
                    <w:rPr>
                      <w:rFonts w:ascii="Cambria Math" w:hAnsi="Cambria Math"/>
                      <w:bCs/>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2</m:t>
                  </m:r>
                  <m:ctrlPr>
                    <w:rPr>
                      <w:rFonts w:ascii="Cambria Math" w:hAnsi="Cambria Math"/>
                      <w:bCs/>
                      <w:i/>
                      <w:color w:val="000000" w:themeColor="text1"/>
                      <w:szCs w:val="21"/>
                      <w14:textFill>
                        <w14:solidFill>
                          <w14:schemeClr w14:val="tx1"/>
                        </w14:solidFill>
                      </w14:textFill>
                    </w:rPr>
                  </m:ctrlPr>
                </m:sub>
              </m:sSub>
              <m:ctrlPr>
                <w:rPr>
                  <w:rFonts w:ascii="Cambria Math" w:hAnsi="Cambria Math"/>
                  <w:bCs/>
                  <w:color w:val="000000" w:themeColor="text1"/>
                  <w:szCs w:val="21"/>
                  <w14:textFill>
                    <w14:solidFill>
                      <w14:schemeClr w14:val="tx1"/>
                    </w14:solidFill>
                  </w14:textFill>
                </w:rPr>
              </m:ctrlPr>
            </m:num>
            <m:den>
              <m:sSub>
                <m:sSubPr>
                  <m:ctrlPr>
                    <w:rPr>
                      <w:rFonts w:ascii="Cambria Math" w:hAnsi="Cambria Math"/>
                      <w:bCs/>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Q</m:t>
                  </m:r>
                  <m:ctrlPr>
                    <w:rPr>
                      <w:rFonts w:ascii="Cambria Math" w:hAnsi="Cambria Math"/>
                      <w:bCs/>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2</m:t>
                  </m:r>
                  <m:ctrlPr>
                    <w:rPr>
                      <w:rFonts w:ascii="Cambria Math" w:hAnsi="Cambria Math"/>
                      <w:bCs/>
                      <w:i/>
                      <w:color w:val="000000" w:themeColor="text1"/>
                      <w:szCs w:val="21"/>
                      <w14:textFill>
                        <w14:solidFill>
                          <w14:schemeClr w14:val="tx1"/>
                        </w14:solidFill>
                      </w14:textFill>
                    </w:rPr>
                  </m:ctrlPr>
                </m:sub>
              </m:sSub>
              <m:ctrlPr>
                <w:rPr>
                  <w:rFonts w:ascii="Cambria Math" w:hAnsi="Cambria Math"/>
                  <w:bCs/>
                  <w:color w:val="000000" w:themeColor="text1"/>
                  <w:szCs w:val="21"/>
                  <w14:textFill>
                    <w14:solidFill>
                      <w14:schemeClr w14:val="tx1"/>
                    </w14:solidFill>
                  </w14:textFill>
                </w:rPr>
              </m:ctrlPr>
            </m:den>
          </m:f>
          <m:r>
            <m:rPr/>
            <w:rPr>
              <w:rFonts w:ascii="Cambria Math" w:hAnsi="Cambria Math"/>
              <w:color w:val="000000" w:themeColor="text1"/>
              <w:szCs w:val="21"/>
              <w14:textFill>
                <w14:solidFill>
                  <w14:schemeClr w14:val="tx1"/>
                </w14:solidFill>
              </w14:textFill>
            </w:rPr>
            <m:t>+…</m:t>
          </m:r>
          <m:f>
            <m:fPr>
              <m:ctrlPr>
                <w:rPr>
                  <w:rFonts w:ascii="Cambria Math" w:hAnsi="Cambria Math"/>
                  <w:bCs/>
                  <w:color w:val="000000" w:themeColor="text1"/>
                  <w:szCs w:val="21"/>
                  <w14:textFill>
                    <w14:solidFill>
                      <w14:schemeClr w14:val="tx1"/>
                    </w14:solidFill>
                  </w14:textFill>
                </w:rPr>
              </m:ctrlPr>
            </m:fPr>
            <m:num>
              <m:sSub>
                <m:sSubPr>
                  <m:ctrlPr>
                    <w:rPr>
                      <w:rFonts w:ascii="Cambria Math" w:hAnsi="Cambria Math"/>
                      <w:bCs/>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q</m:t>
                  </m:r>
                  <m:ctrlPr>
                    <w:rPr>
                      <w:rFonts w:ascii="Cambria Math" w:hAnsi="Cambria Math"/>
                      <w:bCs/>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n</m:t>
                  </m:r>
                  <m:ctrlPr>
                    <w:rPr>
                      <w:rFonts w:ascii="Cambria Math" w:hAnsi="Cambria Math"/>
                      <w:bCs/>
                      <w:i/>
                      <w:color w:val="000000" w:themeColor="text1"/>
                      <w:szCs w:val="21"/>
                      <w14:textFill>
                        <w14:solidFill>
                          <w14:schemeClr w14:val="tx1"/>
                        </w14:solidFill>
                      </w14:textFill>
                    </w:rPr>
                  </m:ctrlPr>
                </m:sub>
              </m:sSub>
              <m:ctrlPr>
                <w:rPr>
                  <w:rFonts w:ascii="Cambria Math" w:hAnsi="Cambria Math"/>
                  <w:bCs/>
                  <w:color w:val="000000" w:themeColor="text1"/>
                  <w:szCs w:val="21"/>
                  <w14:textFill>
                    <w14:solidFill>
                      <w14:schemeClr w14:val="tx1"/>
                    </w14:solidFill>
                  </w14:textFill>
                </w:rPr>
              </m:ctrlPr>
            </m:num>
            <m:den>
              <m:sSub>
                <m:sSubPr>
                  <m:ctrlPr>
                    <w:rPr>
                      <w:rFonts w:ascii="Cambria Math" w:hAnsi="Cambria Math"/>
                      <w:bCs/>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Q</m:t>
                  </m:r>
                  <m:ctrlPr>
                    <w:rPr>
                      <w:rFonts w:ascii="Cambria Math" w:hAnsi="Cambria Math"/>
                      <w:bCs/>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n</m:t>
                  </m:r>
                  <m:ctrlPr>
                    <w:rPr>
                      <w:rFonts w:ascii="Cambria Math" w:hAnsi="Cambria Math"/>
                      <w:bCs/>
                      <w:i/>
                      <w:color w:val="000000" w:themeColor="text1"/>
                      <w:szCs w:val="21"/>
                      <w14:textFill>
                        <w14:solidFill>
                          <w14:schemeClr w14:val="tx1"/>
                        </w14:solidFill>
                      </w14:textFill>
                    </w:rPr>
                  </m:ctrlPr>
                </m:sub>
              </m:sSub>
              <m:ctrlPr>
                <w:rPr>
                  <w:rFonts w:ascii="Cambria Math" w:hAnsi="Cambria Math"/>
                  <w:bCs/>
                  <w:color w:val="000000" w:themeColor="text1"/>
                  <w:szCs w:val="21"/>
                  <w14:textFill>
                    <w14:solidFill>
                      <w14:schemeClr w14:val="tx1"/>
                    </w14:solidFill>
                  </w14:textFill>
                </w:rPr>
              </m:ctrlPr>
            </m:den>
          </m:f>
        </m:oMath>
      </m:oMathPara>
    </w:p>
    <w:p w14:paraId="6B083643">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式中：q</w:t>
      </w:r>
      <w:r>
        <w:rPr>
          <w:rFonts w:ascii="Times New Roman" w:hAnsi="Times New Roman"/>
          <w:bCs/>
          <w:color w:val="000000" w:themeColor="text1"/>
          <w:szCs w:val="21"/>
          <w:vertAlign w:val="subscript"/>
          <w14:textFill>
            <w14:solidFill>
              <w14:schemeClr w14:val="tx1"/>
            </w14:solidFill>
          </w14:textFill>
        </w:rPr>
        <w:t>1</w:t>
      </w:r>
      <w:r>
        <w:rPr>
          <w:rFonts w:ascii="Times New Roman" w:hAnsi="Times New Roman"/>
          <w:bCs/>
          <w:color w:val="000000" w:themeColor="text1"/>
          <w:szCs w:val="21"/>
          <w14:textFill>
            <w14:solidFill>
              <w14:schemeClr w14:val="tx1"/>
            </w14:solidFill>
          </w14:textFill>
        </w:rPr>
        <w:t>，q</w:t>
      </w:r>
      <w:r>
        <w:rPr>
          <w:rFonts w:ascii="Times New Roman" w:hAnsi="Times New Roman"/>
          <w:bCs/>
          <w:color w:val="000000" w:themeColor="text1"/>
          <w:szCs w:val="21"/>
          <w:vertAlign w:val="subscript"/>
          <w14:textFill>
            <w14:solidFill>
              <w14:schemeClr w14:val="tx1"/>
            </w14:solidFill>
          </w14:textFill>
        </w:rPr>
        <w:t>2</w:t>
      </w:r>
      <w:r>
        <w:rPr>
          <w:rFonts w:ascii="Times New Roman" w:hAnsi="Times New Roman"/>
          <w:bCs/>
          <w:color w:val="000000" w:themeColor="text1"/>
          <w:szCs w:val="21"/>
          <w14:textFill>
            <w14:solidFill>
              <w14:schemeClr w14:val="tx1"/>
            </w14:solidFill>
          </w14:textFill>
        </w:rPr>
        <w:t>，...，q</w:t>
      </w:r>
      <w:r>
        <w:rPr>
          <w:rFonts w:ascii="Times New Roman" w:hAnsi="Times New Roman"/>
          <w:bCs/>
          <w:color w:val="000000" w:themeColor="text1"/>
          <w:szCs w:val="21"/>
          <w:vertAlign w:val="subscript"/>
          <w14:textFill>
            <w14:solidFill>
              <w14:schemeClr w14:val="tx1"/>
            </w14:solidFill>
          </w14:textFill>
        </w:rPr>
        <w:t>n</w:t>
      </w:r>
      <w:r>
        <w:rPr>
          <w:rFonts w:ascii="Times New Roman" w:hAnsi="Times New Roman"/>
          <w:bCs/>
          <w:color w:val="000000" w:themeColor="text1"/>
          <w:szCs w:val="21"/>
          <w14:textFill>
            <w14:solidFill>
              <w14:schemeClr w14:val="tx1"/>
            </w14:solidFill>
          </w14:textFill>
        </w:rPr>
        <w:t>——每种危险物质的最大存在总量，t；</w:t>
      </w:r>
    </w:p>
    <w:p w14:paraId="37BDB5FA">
      <w:pPr>
        <w:pStyle w:val="703"/>
        <w:adjustRightInd w:val="0"/>
        <w:ind w:firstLine="1200" w:firstLineChars="5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Q</w:t>
      </w:r>
      <w:r>
        <w:rPr>
          <w:rFonts w:ascii="Times New Roman" w:hAnsi="Times New Roman"/>
          <w:bCs/>
          <w:color w:val="000000" w:themeColor="text1"/>
          <w:szCs w:val="21"/>
          <w:vertAlign w:val="subscript"/>
          <w14:textFill>
            <w14:solidFill>
              <w14:schemeClr w14:val="tx1"/>
            </w14:solidFill>
          </w14:textFill>
        </w:rPr>
        <w:t>1</w:t>
      </w:r>
      <w:r>
        <w:rPr>
          <w:rFonts w:ascii="Times New Roman" w:hAnsi="Times New Roman"/>
          <w:bCs/>
          <w:color w:val="000000" w:themeColor="text1"/>
          <w:szCs w:val="21"/>
          <w14:textFill>
            <w14:solidFill>
              <w14:schemeClr w14:val="tx1"/>
            </w14:solidFill>
          </w14:textFill>
        </w:rPr>
        <w:t>，Q</w:t>
      </w:r>
      <w:r>
        <w:rPr>
          <w:rFonts w:ascii="Times New Roman" w:hAnsi="Times New Roman"/>
          <w:bCs/>
          <w:color w:val="000000" w:themeColor="text1"/>
          <w:szCs w:val="21"/>
          <w:vertAlign w:val="subscript"/>
          <w14:textFill>
            <w14:solidFill>
              <w14:schemeClr w14:val="tx1"/>
            </w14:solidFill>
          </w14:textFill>
        </w:rPr>
        <w:t>2</w:t>
      </w:r>
      <w:r>
        <w:rPr>
          <w:rFonts w:ascii="Times New Roman" w:hAnsi="Times New Roman"/>
          <w:bCs/>
          <w:color w:val="000000" w:themeColor="text1"/>
          <w:szCs w:val="21"/>
          <w14:textFill>
            <w14:solidFill>
              <w14:schemeClr w14:val="tx1"/>
            </w14:solidFill>
          </w14:textFill>
        </w:rPr>
        <w:t>，...，Q</w:t>
      </w:r>
      <w:r>
        <w:rPr>
          <w:rFonts w:ascii="Times New Roman" w:hAnsi="Times New Roman"/>
          <w:bCs/>
          <w:color w:val="000000" w:themeColor="text1"/>
          <w:szCs w:val="21"/>
          <w:vertAlign w:val="subscript"/>
          <w14:textFill>
            <w14:solidFill>
              <w14:schemeClr w14:val="tx1"/>
            </w14:solidFill>
          </w14:textFill>
        </w:rPr>
        <w:t>n</w:t>
      </w:r>
      <w:r>
        <w:rPr>
          <w:rFonts w:ascii="Times New Roman" w:hAnsi="Times New Roman"/>
          <w:bCs/>
          <w:color w:val="000000" w:themeColor="text1"/>
          <w:szCs w:val="21"/>
          <w14:textFill>
            <w14:solidFill>
              <w14:schemeClr w14:val="tx1"/>
            </w14:solidFill>
          </w14:textFill>
        </w:rPr>
        <w:t>——每种危险物质的临界量，t。</w:t>
      </w:r>
    </w:p>
    <w:p w14:paraId="180A2CA4">
      <w:pPr>
        <w:pStyle w:val="703"/>
        <w:adjustRightInd w:val="0"/>
        <w:ind w:firstLine="1200" w:firstLineChars="5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当Q＜1时，该项目环境风险潜势为</w:t>
      </w:r>
      <w:r>
        <w:rPr>
          <w:rFonts w:hint="eastAsia" w:cs="宋体"/>
          <w:bCs/>
          <w:color w:val="000000" w:themeColor="text1"/>
          <w:szCs w:val="21"/>
          <w14:textFill>
            <w14:solidFill>
              <w14:schemeClr w14:val="tx1"/>
            </w14:solidFill>
          </w14:textFill>
        </w:rPr>
        <w:t>Ⅰ</w:t>
      </w:r>
      <w:r>
        <w:rPr>
          <w:rFonts w:ascii="Times New Roman" w:hAnsi="Times New Roman"/>
          <w:bCs/>
          <w:color w:val="000000" w:themeColor="text1"/>
          <w:szCs w:val="21"/>
          <w14:textFill>
            <w14:solidFill>
              <w14:schemeClr w14:val="tx1"/>
            </w14:solidFill>
          </w14:textFill>
        </w:rPr>
        <w:t>。</w:t>
      </w:r>
    </w:p>
    <w:p w14:paraId="7C05CDD5">
      <w:pPr>
        <w:pStyle w:val="703"/>
        <w:adjustRightInd w:val="0"/>
        <w:ind w:firstLine="1200" w:firstLineChars="5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当Q≥1时，将Q值划分为：（1）1≤Q＜10；（2）10≤Q＜100；（3）Q≥100。</w:t>
      </w:r>
    </w:p>
    <w:p w14:paraId="4DFDE6E7">
      <w:pPr>
        <w:pStyle w:val="703"/>
        <w:adjustRightInd w:val="0"/>
        <w:ind w:firstLine="508" w:firstLineChars="212"/>
        <w:jc w:val="center"/>
        <w:textAlignment w:val="baseline"/>
        <w:rPr>
          <w:rFonts w:ascii="Times New Roman" w:hAnsi="Times New Roman"/>
          <w:bCs/>
          <w:color w:val="000000" w:themeColor="text1"/>
          <w:szCs w:val="21"/>
          <w14:textFill>
            <w14:solidFill>
              <w14:schemeClr w14:val="tx1"/>
            </w14:solidFill>
          </w14:textFill>
        </w:rPr>
      </w:pPr>
    </w:p>
    <w:p w14:paraId="64790572">
      <w:pPr>
        <w:pStyle w:val="703"/>
        <w:adjustRightInd w:val="0"/>
        <w:ind w:firstLine="511" w:firstLineChars="212"/>
        <w:jc w:val="center"/>
        <w:textAlignment w:val="baseline"/>
        <w:rPr>
          <w:rFonts w:ascii="Times New Roman" w:hAnsi="Times New Roman"/>
          <w:b/>
          <w:color w:val="000000" w:themeColor="text1"/>
          <w:szCs w:val="21"/>
          <w14:textFill>
            <w14:solidFill>
              <w14:schemeClr w14:val="tx1"/>
            </w14:solidFill>
          </w14:textFill>
        </w:rPr>
      </w:pPr>
      <w:r>
        <w:rPr>
          <w:rFonts w:hint="eastAsia" w:ascii="Times New Roman" w:hAnsi="Times New Roman"/>
          <w:b/>
          <w:color w:val="000000" w:themeColor="text1"/>
          <w:szCs w:val="21"/>
          <w14:textFill>
            <w14:solidFill>
              <w14:schemeClr w14:val="tx1"/>
            </w14:solidFill>
          </w14:textFill>
        </w:rPr>
        <w:t>表6-2 本项目货种储存情况及临界量</w:t>
      </w:r>
    </w:p>
    <w:tbl>
      <w:tblPr>
        <w:tblStyle w:val="214"/>
        <w:tblW w:w="50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85"/>
        <w:gridCol w:w="1098"/>
        <w:gridCol w:w="2043"/>
        <w:gridCol w:w="1470"/>
        <w:gridCol w:w="1588"/>
        <w:gridCol w:w="1470"/>
      </w:tblGrid>
      <w:tr w14:paraId="16172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4" w:type="dxa"/>
            <w:vAlign w:val="center"/>
          </w:tcPr>
          <w:p w14:paraId="1603FB1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097" w:type="dxa"/>
            <w:vAlign w:val="center"/>
          </w:tcPr>
          <w:p w14:paraId="15F9C7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货种名称</w:t>
            </w:r>
          </w:p>
        </w:tc>
        <w:tc>
          <w:tcPr>
            <w:tcW w:w="3509" w:type="dxa"/>
            <w:gridSpan w:val="2"/>
            <w:vAlign w:val="center"/>
          </w:tcPr>
          <w:p w14:paraId="375E99D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临界量Qn选取依据</w:t>
            </w:r>
          </w:p>
        </w:tc>
        <w:tc>
          <w:tcPr>
            <w:tcW w:w="1586" w:type="dxa"/>
            <w:vAlign w:val="center"/>
          </w:tcPr>
          <w:p w14:paraId="0F36A5C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最大存在总量</w:t>
            </w:r>
          </w:p>
          <w:p w14:paraId="63B0342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qn（t）</w:t>
            </w:r>
          </w:p>
        </w:tc>
        <w:tc>
          <w:tcPr>
            <w:tcW w:w="1468" w:type="dxa"/>
            <w:vAlign w:val="center"/>
          </w:tcPr>
          <w:p w14:paraId="075E066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临界量</w:t>
            </w:r>
          </w:p>
          <w:p w14:paraId="720307B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Qn（t）</w:t>
            </w:r>
          </w:p>
        </w:tc>
      </w:tr>
      <w:tr w14:paraId="1CE55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4" w:type="dxa"/>
            <w:vAlign w:val="center"/>
          </w:tcPr>
          <w:p w14:paraId="7398B341">
            <w:pPr>
              <w:pStyle w:val="200"/>
              <w:numPr>
                <w:ilvl w:val="0"/>
                <w:numId w:val="34"/>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097" w:type="dxa"/>
            <w:vAlign w:val="center"/>
          </w:tcPr>
          <w:p w14:paraId="38D32FD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2041" w:type="dxa"/>
            <w:vAlign w:val="center"/>
          </w:tcPr>
          <w:p w14:paraId="6175AE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5A33DB7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468" w:type="dxa"/>
            <w:vAlign w:val="center"/>
          </w:tcPr>
          <w:p w14:paraId="415C652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第204项</w:t>
            </w:r>
          </w:p>
        </w:tc>
        <w:tc>
          <w:tcPr>
            <w:tcW w:w="1586" w:type="dxa"/>
            <w:vAlign w:val="center"/>
          </w:tcPr>
          <w:p w14:paraId="6F93C5A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7200</w:t>
            </w:r>
          </w:p>
        </w:tc>
        <w:tc>
          <w:tcPr>
            <w:tcW w:w="1468" w:type="dxa"/>
            <w:vAlign w:val="center"/>
          </w:tcPr>
          <w:p w14:paraId="3B6F714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r>
      <w:tr w14:paraId="648D6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4" w:type="dxa"/>
            <w:vAlign w:val="center"/>
          </w:tcPr>
          <w:p w14:paraId="600BA0F4">
            <w:pPr>
              <w:pStyle w:val="200"/>
              <w:numPr>
                <w:ilvl w:val="0"/>
                <w:numId w:val="34"/>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97" w:type="dxa"/>
            <w:shd w:val="clear" w:color="auto" w:fill="auto"/>
            <w:vAlign w:val="center"/>
          </w:tcPr>
          <w:p w14:paraId="440DF69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发烟硫酸</w:t>
            </w:r>
          </w:p>
        </w:tc>
        <w:tc>
          <w:tcPr>
            <w:tcW w:w="2041" w:type="dxa"/>
            <w:shd w:val="clear" w:color="auto" w:fill="auto"/>
            <w:vAlign w:val="center"/>
          </w:tcPr>
          <w:p w14:paraId="4E6F3C3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621154C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468" w:type="dxa"/>
            <w:shd w:val="clear" w:color="auto" w:fill="auto"/>
            <w:vAlign w:val="center"/>
          </w:tcPr>
          <w:p w14:paraId="3269500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第127项</w:t>
            </w:r>
          </w:p>
        </w:tc>
        <w:tc>
          <w:tcPr>
            <w:tcW w:w="1586" w:type="dxa"/>
            <w:shd w:val="clear" w:color="auto" w:fill="auto"/>
            <w:vAlign w:val="center"/>
          </w:tcPr>
          <w:p w14:paraId="147DEA8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w:t>
            </w:r>
          </w:p>
        </w:tc>
        <w:tc>
          <w:tcPr>
            <w:tcW w:w="1468" w:type="dxa"/>
            <w:shd w:val="clear" w:color="auto" w:fill="auto"/>
            <w:vAlign w:val="center"/>
          </w:tcPr>
          <w:p w14:paraId="0B10F3AE">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5</w:t>
            </w:r>
          </w:p>
        </w:tc>
      </w:tr>
      <w:tr w14:paraId="6392A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4" w:type="dxa"/>
            <w:vAlign w:val="center"/>
          </w:tcPr>
          <w:p w14:paraId="3DAF32FA">
            <w:pPr>
              <w:pStyle w:val="200"/>
              <w:numPr>
                <w:ilvl w:val="0"/>
                <w:numId w:val="34"/>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97" w:type="dxa"/>
            <w:vAlign w:val="center"/>
          </w:tcPr>
          <w:p w14:paraId="05CC490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w:t>
            </w:r>
          </w:p>
        </w:tc>
        <w:tc>
          <w:tcPr>
            <w:tcW w:w="2041" w:type="dxa"/>
            <w:vAlign w:val="center"/>
          </w:tcPr>
          <w:p w14:paraId="531635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7722181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468" w:type="dxa"/>
            <w:vAlign w:val="center"/>
          </w:tcPr>
          <w:p w14:paraId="7BCEF21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第208项</w:t>
            </w:r>
          </w:p>
        </w:tc>
        <w:tc>
          <w:tcPr>
            <w:tcW w:w="1586" w:type="dxa"/>
            <w:vAlign w:val="center"/>
          </w:tcPr>
          <w:p w14:paraId="586AAC2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7340</w:t>
            </w:r>
          </w:p>
        </w:tc>
        <w:tc>
          <w:tcPr>
            <w:tcW w:w="1468" w:type="dxa"/>
            <w:vAlign w:val="center"/>
          </w:tcPr>
          <w:p w14:paraId="5D136BC5">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10</w:t>
            </w:r>
          </w:p>
        </w:tc>
      </w:tr>
      <w:tr w14:paraId="26919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4" w:type="dxa"/>
            <w:vAlign w:val="center"/>
          </w:tcPr>
          <w:p w14:paraId="5A3757A3">
            <w:pPr>
              <w:pStyle w:val="200"/>
              <w:numPr>
                <w:ilvl w:val="0"/>
                <w:numId w:val="34"/>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97" w:type="dxa"/>
            <w:vAlign w:val="center"/>
          </w:tcPr>
          <w:p w14:paraId="57F1B1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w:t>
            </w:r>
          </w:p>
        </w:tc>
        <w:tc>
          <w:tcPr>
            <w:tcW w:w="2041" w:type="dxa"/>
            <w:vAlign w:val="center"/>
          </w:tcPr>
          <w:p w14:paraId="77DA140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3A87EC9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附录B.2</w:t>
            </w:r>
          </w:p>
        </w:tc>
        <w:tc>
          <w:tcPr>
            <w:tcW w:w="1468" w:type="dxa"/>
            <w:vAlign w:val="center"/>
          </w:tcPr>
          <w:p w14:paraId="1B4A22B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第3项</w:t>
            </w:r>
          </w:p>
        </w:tc>
        <w:tc>
          <w:tcPr>
            <w:tcW w:w="1586" w:type="dxa"/>
            <w:vAlign w:val="center"/>
          </w:tcPr>
          <w:p w14:paraId="4FD7999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4947</w:t>
            </w:r>
          </w:p>
        </w:tc>
        <w:tc>
          <w:tcPr>
            <w:tcW w:w="1468" w:type="dxa"/>
            <w:vAlign w:val="center"/>
          </w:tcPr>
          <w:p w14:paraId="1BEEB6B2">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100</w:t>
            </w:r>
          </w:p>
        </w:tc>
      </w:tr>
      <w:tr w14:paraId="776F9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4" w:type="dxa"/>
            <w:vAlign w:val="center"/>
          </w:tcPr>
          <w:p w14:paraId="75642C80">
            <w:pPr>
              <w:pStyle w:val="200"/>
              <w:numPr>
                <w:ilvl w:val="0"/>
                <w:numId w:val="34"/>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97" w:type="dxa"/>
            <w:vAlign w:val="center"/>
          </w:tcPr>
          <w:p w14:paraId="5851889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2041" w:type="dxa"/>
            <w:vAlign w:val="center"/>
          </w:tcPr>
          <w:p w14:paraId="5B10AE1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55E5683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468" w:type="dxa"/>
            <w:vAlign w:val="center"/>
          </w:tcPr>
          <w:p w14:paraId="6437FBC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w:t>
            </w:r>
            <w:r>
              <w:rPr>
                <w:rFonts w:hint="eastAsia" w:ascii="Times New Roman" w:hAnsi="Times New Roman" w:cs="Times New Roman"/>
                <w:color w:val="000000" w:themeColor="text1"/>
                <w:sz w:val="21"/>
                <w:szCs w:val="21"/>
                <w14:textFill>
                  <w14:solidFill>
                    <w14:schemeClr w14:val="tx1"/>
                  </w14:solidFill>
                </w14:textFill>
              </w:rPr>
              <w:t>63</w:t>
            </w:r>
            <w:r>
              <w:rPr>
                <w:rFonts w:ascii="Times New Roman" w:hAnsi="Times New Roman" w:cs="Times New Roman"/>
                <w:color w:val="000000" w:themeColor="text1"/>
                <w:sz w:val="21"/>
                <w:szCs w:val="21"/>
                <w14:textFill>
                  <w14:solidFill>
                    <w14:schemeClr w14:val="tx1"/>
                  </w14:solidFill>
                </w14:textFill>
              </w:rPr>
              <w:t>项</w:t>
            </w:r>
          </w:p>
        </w:tc>
        <w:tc>
          <w:tcPr>
            <w:tcW w:w="1586" w:type="dxa"/>
            <w:vAlign w:val="center"/>
          </w:tcPr>
          <w:p w14:paraId="69C7BC7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9639</w:t>
            </w:r>
          </w:p>
        </w:tc>
        <w:tc>
          <w:tcPr>
            <w:tcW w:w="1468" w:type="dxa"/>
            <w:vAlign w:val="center"/>
          </w:tcPr>
          <w:p w14:paraId="49299DDB">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5</w:t>
            </w:r>
          </w:p>
        </w:tc>
      </w:tr>
      <w:tr w14:paraId="1D86E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4" w:type="dxa"/>
            <w:vAlign w:val="center"/>
          </w:tcPr>
          <w:p w14:paraId="600B96CF">
            <w:pPr>
              <w:pStyle w:val="200"/>
              <w:numPr>
                <w:ilvl w:val="0"/>
                <w:numId w:val="34"/>
              </w:numPr>
              <w:ind w:left="0"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1097" w:type="dxa"/>
            <w:vAlign w:val="center"/>
          </w:tcPr>
          <w:p w14:paraId="0C66999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2041" w:type="dxa"/>
            <w:vAlign w:val="center"/>
          </w:tcPr>
          <w:p w14:paraId="1E7D84C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1614122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468" w:type="dxa"/>
            <w:vAlign w:val="center"/>
          </w:tcPr>
          <w:p w14:paraId="57B94DC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w:t>
            </w:r>
            <w:r>
              <w:rPr>
                <w:rFonts w:hint="eastAsia" w:ascii="Times New Roman" w:hAnsi="Times New Roman" w:cs="Times New Roman"/>
                <w:color w:val="000000" w:themeColor="text1"/>
                <w:sz w:val="21"/>
                <w:szCs w:val="21"/>
                <w14:textFill>
                  <w14:solidFill>
                    <w14:schemeClr w14:val="tx1"/>
                  </w14:solidFill>
                </w14:textFill>
              </w:rPr>
              <w:t>163</w:t>
            </w:r>
            <w:r>
              <w:rPr>
                <w:rFonts w:ascii="Times New Roman" w:hAnsi="Times New Roman" w:cs="Times New Roman"/>
                <w:color w:val="000000" w:themeColor="text1"/>
                <w:sz w:val="21"/>
                <w:szCs w:val="21"/>
                <w14:textFill>
                  <w14:solidFill>
                    <w14:schemeClr w14:val="tx1"/>
                  </w14:solidFill>
                </w14:textFill>
              </w:rPr>
              <w:t>项</w:t>
            </w:r>
          </w:p>
        </w:tc>
        <w:tc>
          <w:tcPr>
            <w:tcW w:w="1586" w:type="dxa"/>
            <w:vAlign w:val="center"/>
          </w:tcPr>
          <w:p w14:paraId="3C7AE21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13810</w:t>
            </w:r>
          </w:p>
        </w:tc>
        <w:tc>
          <w:tcPr>
            <w:tcW w:w="1468" w:type="dxa"/>
            <w:vAlign w:val="center"/>
          </w:tcPr>
          <w:p w14:paraId="3158EEC1">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5</w:t>
            </w:r>
          </w:p>
        </w:tc>
      </w:tr>
    </w:tbl>
    <w:p w14:paraId="0A0DC84F">
      <w:pPr>
        <w:pStyle w:val="703"/>
        <w:adjustRightInd w:val="0"/>
        <w:ind w:firstLine="508" w:firstLineChars="212"/>
        <w:textAlignment w:val="baseline"/>
        <w:rPr>
          <w:rFonts w:ascii="Times New Roman" w:hAnsi="Times New Roman"/>
          <w:bCs/>
          <w:color w:val="000000" w:themeColor="text1"/>
          <w:szCs w:val="21"/>
          <w14:textFill>
            <w14:solidFill>
              <w14:schemeClr w14:val="tx1"/>
            </w14:solidFill>
          </w14:textFill>
        </w:rPr>
      </w:pPr>
    </w:p>
    <w:p w14:paraId="236F690A">
      <w:pPr>
        <w:pStyle w:val="703"/>
        <w:adjustRightInd w:val="0"/>
        <w:ind w:firstLine="480" w:firstLineChars="200"/>
        <w:textAlignment w:val="baseline"/>
        <w:rPr>
          <w:rFonts w:ascii="Times New Roman" w:hAnsi="Times New Roman"/>
          <w:b/>
          <w:bCs/>
          <w:color w:val="FF0000"/>
          <w:szCs w:val="21"/>
        </w:rPr>
      </w:pPr>
      <w:r>
        <w:rPr>
          <w:rFonts w:hint="eastAsia" w:ascii="Times New Roman" w:hAnsi="Times New Roman"/>
          <w:bCs/>
          <w:color w:val="000000" w:themeColor="text1"/>
          <w:szCs w:val="21"/>
          <w14:textFill>
            <w14:solidFill>
              <w14:schemeClr w14:val="tx1"/>
            </w14:solidFill>
          </w14:textFill>
        </w:rPr>
        <w:t>本项目发烟硫酸和98%硫酸共用储罐TK-407系统，两个货种切换使用。</w:t>
      </w:r>
      <w:r>
        <w:rPr>
          <w:rFonts w:ascii="Times New Roman" w:hAnsi="Times New Roman"/>
          <w:bCs/>
          <w:color w:val="000000" w:themeColor="text1"/>
          <w:szCs w:val="21"/>
          <w14:textFill>
            <w14:solidFill>
              <w14:schemeClr w14:val="tx1"/>
            </w14:solidFill>
          </w14:textFill>
        </w:rPr>
        <w:t>根据《建设项目环境风险评价技术导则》(HJ169-2018)附录B物质的危险性及临界量，本项目Q值确定表见下表。</w:t>
      </w:r>
      <w:bookmarkStart w:id="133" w:name="_Ref6145271"/>
    </w:p>
    <w:p w14:paraId="73FC52A4">
      <w:pPr>
        <w:spacing w:before="120" w:beforeLines="50"/>
        <w:jc w:val="center"/>
        <w:rPr>
          <w:rFonts w:ascii="Times New Roman" w:hAnsi="Times New Roman" w:cs="Times New Roman"/>
          <w:b/>
          <w:color w:val="000000" w:themeColor="text1"/>
          <w:szCs w:val="21"/>
          <w14:textFill>
            <w14:solidFill>
              <w14:schemeClr w14:val="tx1"/>
            </w14:solidFill>
          </w14:textFill>
        </w:rPr>
      </w:pPr>
      <w:r>
        <w:rPr>
          <w:rFonts w:ascii="Times New Roman" w:hAnsi="Times New Roman" w:cs="Times New Roman"/>
          <w:b/>
          <w:color w:val="000000" w:themeColor="text1"/>
          <w:szCs w:val="21"/>
          <w14:textFill>
            <w14:solidFill>
              <w14:schemeClr w14:val="tx1"/>
            </w14:solidFill>
          </w14:textFill>
        </w:rPr>
        <w:t>表</w:t>
      </w:r>
      <w:bookmarkEnd w:id="133"/>
      <w:r>
        <w:rPr>
          <w:rFonts w:ascii="Times New Roman" w:hAnsi="Times New Roman" w:cs="Times New Roman"/>
          <w:b/>
          <w:color w:val="000000" w:themeColor="text1"/>
          <w:szCs w:val="21"/>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3</w:t>
      </w:r>
      <w:r>
        <w:rPr>
          <w:rFonts w:ascii="Times New Roman" w:hAnsi="Times New Roman" w:cs="Times New Roman"/>
          <w:b/>
          <w:color w:val="000000" w:themeColor="text1"/>
          <w:szCs w:val="21"/>
          <w14:textFill>
            <w14:solidFill>
              <w14:schemeClr w14:val="tx1"/>
            </w14:solidFill>
          </w14:textFill>
        </w:rPr>
        <w:t>本项目Q值确定表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792"/>
        <w:gridCol w:w="945"/>
        <w:gridCol w:w="1533"/>
        <w:gridCol w:w="1178"/>
        <w:gridCol w:w="1040"/>
        <w:gridCol w:w="911"/>
        <w:gridCol w:w="798"/>
        <w:gridCol w:w="1212"/>
      </w:tblGrid>
      <w:tr w14:paraId="620DE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4" w:hRule="atLeast"/>
          <w:jc w:val="center"/>
        </w:trPr>
        <w:tc>
          <w:tcPr>
            <w:tcW w:w="792" w:type="dxa"/>
            <w:vAlign w:val="center"/>
          </w:tcPr>
          <w:p w14:paraId="49474DFD">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序号</w:t>
            </w:r>
          </w:p>
        </w:tc>
        <w:tc>
          <w:tcPr>
            <w:tcW w:w="945" w:type="dxa"/>
            <w:vAlign w:val="center"/>
          </w:tcPr>
          <w:p w14:paraId="4963FABA">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物料名称</w:t>
            </w:r>
          </w:p>
        </w:tc>
        <w:tc>
          <w:tcPr>
            <w:tcW w:w="2711" w:type="dxa"/>
            <w:gridSpan w:val="2"/>
            <w:vAlign w:val="center"/>
          </w:tcPr>
          <w:p w14:paraId="78A3C9C2">
            <w:pPr>
              <w:adjustRightInd w:val="0"/>
              <w:snapToGrid w:val="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临界量Qn选取依据</w:t>
            </w:r>
          </w:p>
        </w:tc>
        <w:tc>
          <w:tcPr>
            <w:tcW w:w="1040" w:type="dxa"/>
            <w:vAlign w:val="center"/>
          </w:tcPr>
          <w:p w14:paraId="4ACEF9A1">
            <w:pPr>
              <w:adjustRightInd w:val="0"/>
              <w:snapToGrid w:val="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最大存在总量q</w:t>
            </w:r>
            <w:r>
              <w:rPr>
                <w:rFonts w:ascii="Times New Roman" w:hAnsi="Times New Roman" w:cs="Times New Roman"/>
                <w:b/>
                <w:bCs/>
                <w:color w:val="000000" w:themeColor="text1"/>
                <w:sz w:val="21"/>
                <w:szCs w:val="21"/>
                <w:vertAlign w:val="subscript"/>
                <w14:textFill>
                  <w14:solidFill>
                    <w14:schemeClr w14:val="tx1"/>
                  </w14:solidFill>
                </w14:textFill>
              </w:rPr>
              <w:t>n</w:t>
            </w:r>
            <w:r>
              <w:rPr>
                <w:rFonts w:ascii="Times New Roman" w:hAnsi="Times New Roman" w:cs="Times New Roman"/>
                <w:b/>
                <w:bCs/>
                <w:color w:val="000000" w:themeColor="text1"/>
                <w:sz w:val="21"/>
                <w:szCs w:val="21"/>
                <w14:textFill>
                  <w14:solidFill>
                    <w14:schemeClr w14:val="tx1"/>
                  </w14:solidFill>
                </w14:textFill>
              </w:rPr>
              <w:t>（t）</w:t>
            </w:r>
          </w:p>
        </w:tc>
        <w:tc>
          <w:tcPr>
            <w:tcW w:w="911" w:type="dxa"/>
            <w:vAlign w:val="center"/>
          </w:tcPr>
          <w:p w14:paraId="33CEE591">
            <w:pPr>
              <w:adjustRightInd w:val="0"/>
              <w:snapToGrid w:val="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临界量</w:t>
            </w:r>
          </w:p>
          <w:p w14:paraId="66B4FAD8">
            <w:pPr>
              <w:adjustRightInd w:val="0"/>
              <w:snapToGrid w:val="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Q</w:t>
            </w:r>
            <w:r>
              <w:rPr>
                <w:rFonts w:ascii="Times New Roman" w:hAnsi="Times New Roman" w:cs="Times New Roman"/>
                <w:b/>
                <w:bCs/>
                <w:color w:val="000000" w:themeColor="text1"/>
                <w:sz w:val="21"/>
                <w:szCs w:val="21"/>
                <w:vertAlign w:val="subscript"/>
                <w14:textFill>
                  <w14:solidFill>
                    <w14:schemeClr w14:val="tx1"/>
                  </w14:solidFill>
                </w14:textFill>
              </w:rPr>
              <w:t>n</w:t>
            </w:r>
            <w:r>
              <w:rPr>
                <w:rFonts w:ascii="Times New Roman" w:hAnsi="Times New Roman" w:cs="Times New Roman"/>
                <w:b/>
                <w:bCs/>
                <w:color w:val="000000" w:themeColor="text1"/>
                <w:sz w:val="21"/>
                <w:szCs w:val="21"/>
                <w14:textFill>
                  <w14:solidFill>
                    <w14:schemeClr w14:val="tx1"/>
                  </w14:solidFill>
                </w14:textFill>
              </w:rPr>
              <w:t>（t）</w:t>
            </w:r>
          </w:p>
        </w:tc>
        <w:tc>
          <w:tcPr>
            <w:tcW w:w="798" w:type="dxa"/>
            <w:vAlign w:val="center"/>
          </w:tcPr>
          <w:p w14:paraId="70F8769A">
            <w:pPr>
              <w:adjustRightInd w:val="0"/>
              <w:snapToGrid w:val="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该种物</w:t>
            </w:r>
          </w:p>
          <w:p w14:paraId="60C56476">
            <w:pPr>
              <w:adjustRightInd w:val="0"/>
              <w:snapToGrid w:val="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质Q值</w:t>
            </w:r>
          </w:p>
        </w:tc>
        <w:tc>
          <w:tcPr>
            <w:tcW w:w="1212" w:type="dxa"/>
            <w:vAlign w:val="center"/>
          </w:tcPr>
          <w:p w14:paraId="32112D5A">
            <w:pPr>
              <w:adjustRightInd w:val="0"/>
              <w:snapToGrid w:val="0"/>
              <w:jc w:val="center"/>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备注</w:t>
            </w:r>
          </w:p>
        </w:tc>
      </w:tr>
      <w:tr w14:paraId="75A5B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4" w:hRule="atLeast"/>
          <w:jc w:val="center"/>
        </w:trPr>
        <w:tc>
          <w:tcPr>
            <w:tcW w:w="792" w:type="dxa"/>
            <w:vAlign w:val="center"/>
          </w:tcPr>
          <w:p w14:paraId="7F03C629">
            <w:pPr>
              <w:pStyle w:val="200"/>
              <w:numPr>
                <w:ilvl w:val="0"/>
                <w:numId w:val="35"/>
              </w:numPr>
              <w:ind w:firstLineChars="0"/>
              <w:jc w:val="center"/>
              <w:rPr>
                <w:rFonts w:ascii="Times New Roman" w:hAnsi="Times New Roman" w:cs="Times New Roman"/>
                <w:color w:val="000000" w:themeColor="text1"/>
                <w:sz w:val="21"/>
                <w14:textFill>
                  <w14:solidFill>
                    <w14:schemeClr w14:val="tx1"/>
                  </w14:solidFill>
                </w14:textFill>
              </w:rPr>
            </w:pPr>
          </w:p>
        </w:tc>
        <w:tc>
          <w:tcPr>
            <w:tcW w:w="945" w:type="dxa"/>
            <w:vAlign w:val="center"/>
          </w:tcPr>
          <w:p w14:paraId="19C3E918">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液体硫磺</w:t>
            </w:r>
          </w:p>
        </w:tc>
        <w:tc>
          <w:tcPr>
            <w:tcW w:w="1533" w:type="dxa"/>
            <w:vAlign w:val="center"/>
          </w:tcPr>
          <w:p w14:paraId="4AC762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4AEF273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178" w:type="dxa"/>
            <w:vAlign w:val="center"/>
          </w:tcPr>
          <w:p w14:paraId="41907F8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第204项</w:t>
            </w:r>
          </w:p>
        </w:tc>
        <w:tc>
          <w:tcPr>
            <w:tcW w:w="1040" w:type="dxa"/>
            <w:vAlign w:val="center"/>
          </w:tcPr>
          <w:p w14:paraId="52A9F49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7200</w:t>
            </w:r>
          </w:p>
        </w:tc>
        <w:tc>
          <w:tcPr>
            <w:tcW w:w="911" w:type="dxa"/>
            <w:vAlign w:val="center"/>
          </w:tcPr>
          <w:p w14:paraId="5CFB5C7E">
            <w:pPr>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10</w:t>
            </w:r>
          </w:p>
        </w:tc>
        <w:tc>
          <w:tcPr>
            <w:tcW w:w="798" w:type="dxa"/>
            <w:vAlign w:val="center"/>
          </w:tcPr>
          <w:p w14:paraId="5FDBEE5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720.0</w:t>
            </w:r>
          </w:p>
        </w:tc>
        <w:tc>
          <w:tcPr>
            <w:tcW w:w="1212" w:type="dxa"/>
            <w:vAlign w:val="center"/>
          </w:tcPr>
          <w:p w14:paraId="031CCB7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r w14:paraId="2E251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4" w:hRule="atLeast"/>
          <w:jc w:val="center"/>
        </w:trPr>
        <w:tc>
          <w:tcPr>
            <w:tcW w:w="792" w:type="dxa"/>
            <w:vAlign w:val="center"/>
          </w:tcPr>
          <w:p w14:paraId="66FABCA9">
            <w:pPr>
              <w:pStyle w:val="200"/>
              <w:numPr>
                <w:ilvl w:val="0"/>
                <w:numId w:val="35"/>
              </w:numPr>
              <w:ind w:firstLineChars="0"/>
              <w:jc w:val="center"/>
              <w:rPr>
                <w:rFonts w:ascii="Times New Roman" w:hAnsi="Times New Roman" w:cs="Times New Roman"/>
                <w:color w:val="000000" w:themeColor="text1"/>
                <w:sz w:val="21"/>
                <w14:textFill>
                  <w14:solidFill>
                    <w14:schemeClr w14:val="tx1"/>
                  </w14:solidFill>
                </w14:textFill>
              </w:rPr>
            </w:pPr>
          </w:p>
        </w:tc>
        <w:tc>
          <w:tcPr>
            <w:tcW w:w="945" w:type="dxa"/>
            <w:vAlign w:val="center"/>
          </w:tcPr>
          <w:p w14:paraId="2CDFE28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w:t>
            </w:r>
          </w:p>
        </w:tc>
        <w:tc>
          <w:tcPr>
            <w:tcW w:w="1533" w:type="dxa"/>
            <w:vAlign w:val="center"/>
          </w:tcPr>
          <w:p w14:paraId="04FD1DA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1283B1D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178" w:type="dxa"/>
            <w:vAlign w:val="center"/>
          </w:tcPr>
          <w:p w14:paraId="07092EC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第127项</w:t>
            </w:r>
          </w:p>
        </w:tc>
        <w:tc>
          <w:tcPr>
            <w:tcW w:w="1040" w:type="dxa"/>
            <w:vAlign w:val="center"/>
          </w:tcPr>
          <w:p w14:paraId="2ACFB71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w:t>
            </w:r>
          </w:p>
        </w:tc>
        <w:tc>
          <w:tcPr>
            <w:tcW w:w="911" w:type="dxa"/>
            <w:vAlign w:val="center"/>
          </w:tcPr>
          <w:p w14:paraId="705BF4A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w:t>
            </w:r>
          </w:p>
        </w:tc>
        <w:tc>
          <w:tcPr>
            <w:tcW w:w="798" w:type="dxa"/>
            <w:vAlign w:val="center"/>
          </w:tcPr>
          <w:p w14:paraId="43274E8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1468.0</w:t>
            </w:r>
          </w:p>
        </w:tc>
        <w:tc>
          <w:tcPr>
            <w:tcW w:w="1212" w:type="dxa"/>
            <w:vMerge w:val="restart"/>
            <w:vAlign w:val="center"/>
          </w:tcPr>
          <w:p w14:paraId="0234839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发烟硫酸和硫酸共用同一个储罐，根据需要进行切换，取大值</w:t>
            </w:r>
          </w:p>
        </w:tc>
      </w:tr>
      <w:tr w14:paraId="44B54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4" w:hRule="atLeast"/>
          <w:jc w:val="center"/>
        </w:trPr>
        <w:tc>
          <w:tcPr>
            <w:tcW w:w="792" w:type="dxa"/>
            <w:vAlign w:val="center"/>
          </w:tcPr>
          <w:p w14:paraId="5118429E">
            <w:pPr>
              <w:pStyle w:val="200"/>
              <w:numPr>
                <w:ilvl w:val="0"/>
                <w:numId w:val="35"/>
              </w:numPr>
              <w:ind w:firstLineChars="0"/>
              <w:jc w:val="center"/>
              <w:rPr>
                <w:rFonts w:ascii="Times New Roman" w:hAnsi="Times New Roman" w:cs="Times New Roman"/>
                <w:color w:val="000000" w:themeColor="text1"/>
                <w:sz w:val="21"/>
                <w14:textFill>
                  <w14:solidFill>
                    <w14:schemeClr w14:val="tx1"/>
                  </w14:solidFill>
                </w14:textFill>
              </w:rPr>
            </w:pPr>
          </w:p>
        </w:tc>
        <w:tc>
          <w:tcPr>
            <w:tcW w:w="945" w:type="dxa"/>
            <w:vAlign w:val="center"/>
          </w:tcPr>
          <w:p w14:paraId="22B683F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98%</w:t>
            </w:r>
            <w:r>
              <w:rPr>
                <w:rFonts w:ascii="Times New Roman" w:hAnsi="Times New Roman" w:cs="Times New Roman"/>
                <w:color w:val="000000" w:themeColor="text1"/>
                <w:sz w:val="21"/>
                <w:szCs w:val="21"/>
                <w14:textFill>
                  <w14:solidFill>
                    <w14:schemeClr w14:val="tx1"/>
                  </w14:solidFill>
                </w14:textFill>
              </w:rPr>
              <w:t>硫酸</w:t>
            </w:r>
          </w:p>
        </w:tc>
        <w:tc>
          <w:tcPr>
            <w:tcW w:w="1533" w:type="dxa"/>
            <w:vAlign w:val="center"/>
          </w:tcPr>
          <w:p w14:paraId="76790C5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4A793F2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178" w:type="dxa"/>
            <w:vAlign w:val="center"/>
          </w:tcPr>
          <w:p w14:paraId="2ADAB2F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第208项</w:t>
            </w:r>
          </w:p>
        </w:tc>
        <w:tc>
          <w:tcPr>
            <w:tcW w:w="1040" w:type="dxa"/>
            <w:vAlign w:val="center"/>
          </w:tcPr>
          <w:p w14:paraId="162700E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w:t>
            </w:r>
          </w:p>
        </w:tc>
        <w:tc>
          <w:tcPr>
            <w:tcW w:w="911" w:type="dxa"/>
            <w:vAlign w:val="center"/>
          </w:tcPr>
          <w:p w14:paraId="04ABE93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798" w:type="dxa"/>
            <w:vAlign w:val="center"/>
          </w:tcPr>
          <w:p w14:paraId="3DEEFA5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w:t>
            </w:r>
          </w:p>
        </w:tc>
        <w:tc>
          <w:tcPr>
            <w:tcW w:w="1212" w:type="dxa"/>
            <w:vMerge w:val="continue"/>
            <w:vAlign w:val="center"/>
          </w:tcPr>
          <w:p w14:paraId="5A520FE2">
            <w:pPr>
              <w:jc w:val="center"/>
              <w:rPr>
                <w:rFonts w:ascii="Times New Roman" w:hAnsi="Times New Roman" w:cs="Times New Roman"/>
                <w:color w:val="000000" w:themeColor="text1"/>
                <w:sz w:val="21"/>
                <w:szCs w:val="21"/>
                <w14:textFill>
                  <w14:solidFill>
                    <w14:schemeClr w14:val="tx1"/>
                  </w14:solidFill>
                </w14:textFill>
              </w:rPr>
            </w:pPr>
          </w:p>
        </w:tc>
      </w:tr>
      <w:tr w14:paraId="75E69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4" w:hRule="atLeast"/>
          <w:jc w:val="center"/>
        </w:trPr>
        <w:tc>
          <w:tcPr>
            <w:tcW w:w="792" w:type="dxa"/>
            <w:vAlign w:val="center"/>
          </w:tcPr>
          <w:p w14:paraId="03B170B9">
            <w:pPr>
              <w:pStyle w:val="200"/>
              <w:numPr>
                <w:ilvl w:val="0"/>
                <w:numId w:val="35"/>
              </w:numPr>
              <w:ind w:firstLineChars="0"/>
              <w:jc w:val="center"/>
              <w:rPr>
                <w:rFonts w:ascii="Times New Roman" w:hAnsi="Times New Roman" w:cs="Times New Roman"/>
                <w:color w:val="000000" w:themeColor="text1"/>
                <w:sz w:val="21"/>
                <w14:textFill>
                  <w14:solidFill>
                    <w14:schemeClr w14:val="tx1"/>
                  </w14:solidFill>
                </w14:textFill>
              </w:rPr>
            </w:pPr>
          </w:p>
        </w:tc>
        <w:tc>
          <w:tcPr>
            <w:tcW w:w="945" w:type="dxa"/>
            <w:vAlign w:val="center"/>
          </w:tcPr>
          <w:p w14:paraId="3D4E6AA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液碱</w:t>
            </w:r>
          </w:p>
        </w:tc>
        <w:tc>
          <w:tcPr>
            <w:tcW w:w="1533" w:type="dxa"/>
            <w:vAlign w:val="center"/>
          </w:tcPr>
          <w:p w14:paraId="4BF945C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0B7862B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w:t>
            </w:r>
            <w:r>
              <w:rPr>
                <w:rFonts w:hint="eastAsia" w:ascii="Times New Roman" w:hAnsi="Times New Roman" w:cs="Times New Roman"/>
                <w:color w:val="000000" w:themeColor="text1"/>
                <w:sz w:val="21"/>
                <w:szCs w:val="21"/>
                <w14:textFill>
                  <w14:solidFill>
                    <w14:schemeClr w14:val="tx1"/>
                  </w14:solidFill>
                </w14:textFill>
              </w:rPr>
              <w:t>2</w:t>
            </w:r>
          </w:p>
        </w:tc>
        <w:tc>
          <w:tcPr>
            <w:tcW w:w="1178" w:type="dxa"/>
            <w:vAlign w:val="center"/>
          </w:tcPr>
          <w:p w14:paraId="610D7FB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危害水环境物质(急性毒性类别1)</w:t>
            </w:r>
          </w:p>
        </w:tc>
        <w:tc>
          <w:tcPr>
            <w:tcW w:w="1040" w:type="dxa"/>
            <w:vAlign w:val="center"/>
          </w:tcPr>
          <w:p w14:paraId="0139E57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4947</w:t>
            </w:r>
          </w:p>
        </w:tc>
        <w:tc>
          <w:tcPr>
            <w:tcW w:w="911" w:type="dxa"/>
            <w:vAlign w:val="center"/>
          </w:tcPr>
          <w:p w14:paraId="77DCCF0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100</w:t>
            </w:r>
          </w:p>
        </w:tc>
        <w:tc>
          <w:tcPr>
            <w:tcW w:w="798" w:type="dxa"/>
            <w:vAlign w:val="center"/>
          </w:tcPr>
          <w:p w14:paraId="2257871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49.5</w:t>
            </w:r>
          </w:p>
        </w:tc>
        <w:tc>
          <w:tcPr>
            <w:tcW w:w="1212" w:type="dxa"/>
            <w:vAlign w:val="center"/>
          </w:tcPr>
          <w:p w14:paraId="1C03337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r w14:paraId="296D0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4" w:hRule="atLeast"/>
          <w:jc w:val="center"/>
        </w:trPr>
        <w:tc>
          <w:tcPr>
            <w:tcW w:w="792" w:type="dxa"/>
            <w:vAlign w:val="center"/>
          </w:tcPr>
          <w:p w14:paraId="048C8CD3">
            <w:pPr>
              <w:pStyle w:val="200"/>
              <w:numPr>
                <w:ilvl w:val="0"/>
                <w:numId w:val="35"/>
              </w:numPr>
              <w:ind w:firstLineChars="0"/>
              <w:jc w:val="center"/>
              <w:rPr>
                <w:rFonts w:ascii="Times New Roman" w:hAnsi="Times New Roman" w:cs="Times New Roman"/>
                <w:color w:val="000000" w:themeColor="text1"/>
                <w:sz w:val="21"/>
                <w14:textFill>
                  <w14:solidFill>
                    <w14:schemeClr w14:val="tx1"/>
                  </w14:solidFill>
                </w14:textFill>
              </w:rPr>
            </w:pPr>
          </w:p>
        </w:tc>
        <w:tc>
          <w:tcPr>
            <w:tcW w:w="945" w:type="dxa"/>
            <w:vAlign w:val="center"/>
          </w:tcPr>
          <w:p w14:paraId="0CECA2F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1533" w:type="dxa"/>
            <w:vAlign w:val="center"/>
          </w:tcPr>
          <w:p w14:paraId="0DF03FF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6DF9C8F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178" w:type="dxa"/>
            <w:vAlign w:val="center"/>
          </w:tcPr>
          <w:p w14:paraId="0A761ED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w:t>
            </w:r>
            <w:r>
              <w:rPr>
                <w:rFonts w:hint="eastAsia" w:ascii="Times New Roman" w:hAnsi="Times New Roman" w:cs="Times New Roman"/>
                <w:color w:val="000000" w:themeColor="text1"/>
                <w:sz w:val="21"/>
                <w:szCs w:val="21"/>
                <w14:textFill>
                  <w14:solidFill>
                    <w14:schemeClr w14:val="tx1"/>
                  </w14:solidFill>
                </w14:textFill>
              </w:rPr>
              <w:t>63</w:t>
            </w:r>
            <w:r>
              <w:rPr>
                <w:rFonts w:ascii="Times New Roman" w:hAnsi="Times New Roman" w:cs="Times New Roman"/>
                <w:color w:val="000000" w:themeColor="text1"/>
                <w:sz w:val="21"/>
                <w:szCs w:val="21"/>
                <w14:textFill>
                  <w14:solidFill>
                    <w14:schemeClr w14:val="tx1"/>
                  </w14:solidFill>
                </w14:textFill>
              </w:rPr>
              <w:t>项</w:t>
            </w:r>
          </w:p>
        </w:tc>
        <w:tc>
          <w:tcPr>
            <w:tcW w:w="1040" w:type="dxa"/>
            <w:vAlign w:val="center"/>
          </w:tcPr>
          <w:p w14:paraId="641E817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9639</w:t>
            </w:r>
          </w:p>
        </w:tc>
        <w:tc>
          <w:tcPr>
            <w:tcW w:w="911" w:type="dxa"/>
            <w:vAlign w:val="center"/>
          </w:tcPr>
          <w:p w14:paraId="584FE8CA">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5</w:t>
            </w:r>
          </w:p>
        </w:tc>
        <w:tc>
          <w:tcPr>
            <w:tcW w:w="798" w:type="dxa"/>
            <w:vAlign w:val="center"/>
          </w:tcPr>
          <w:p w14:paraId="41DC794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1927.8</w:t>
            </w:r>
          </w:p>
        </w:tc>
        <w:tc>
          <w:tcPr>
            <w:tcW w:w="1212" w:type="dxa"/>
            <w:vAlign w:val="center"/>
          </w:tcPr>
          <w:p w14:paraId="04A2FA2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r w14:paraId="06F83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4" w:hRule="atLeast"/>
          <w:jc w:val="center"/>
        </w:trPr>
        <w:tc>
          <w:tcPr>
            <w:tcW w:w="792" w:type="dxa"/>
            <w:vAlign w:val="center"/>
          </w:tcPr>
          <w:p w14:paraId="3A76FAAE">
            <w:pPr>
              <w:pStyle w:val="200"/>
              <w:numPr>
                <w:ilvl w:val="0"/>
                <w:numId w:val="35"/>
              </w:numPr>
              <w:ind w:firstLineChars="0"/>
              <w:jc w:val="center"/>
              <w:rPr>
                <w:rFonts w:ascii="Times New Roman" w:hAnsi="Times New Roman" w:cs="Times New Roman"/>
                <w:color w:val="000000" w:themeColor="text1"/>
                <w:sz w:val="21"/>
                <w14:textFill>
                  <w14:solidFill>
                    <w14:schemeClr w14:val="tx1"/>
                  </w14:solidFill>
                </w14:textFill>
              </w:rPr>
            </w:pPr>
          </w:p>
        </w:tc>
        <w:tc>
          <w:tcPr>
            <w:tcW w:w="945" w:type="dxa"/>
            <w:vAlign w:val="center"/>
          </w:tcPr>
          <w:p w14:paraId="1F04A4A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1533" w:type="dxa"/>
            <w:vAlign w:val="center"/>
          </w:tcPr>
          <w:p w14:paraId="60FD34A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（HJ169-2018）</w:t>
            </w:r>
          </w:p>
          <w:p w14:paraId="792E4BE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附录B.1</w:t>
            </w:r>
          </w:p>
        </w:tc>
        <w:tc>
          <w:tcPr>
            <w:tcW w:w="1178" w:type="dxa"/>
            <w:vAlign w:val="center"/>
          </w:tcPr>
          <w:p w14:paraId="4A25CA9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第</w:t>
            </w:r>
            <w:r>
              <w:rPr>
                <w:rFonts w:hint="eastAsia" w:ascii="Times New Roman" w:hAnsi="Times New Roman" w:cs="Times New Roman"/>
                <w:color w:val="000000" w:themeColor="text1"/>
                <w:sz w:val="21"/>
                <w:szCs w:val="21"/>
                <w14:textFill>
                  <w14:solidFill>
                    <w14:schemeClr w14:val="tx1"/>
                  </w14:solidFill>
                </w14:textFill>
              </w:rPr>
              <w:t>163</w:t>
            </w:r>
            <w:r>
              <w:rPr>
                <w:rFonts w:ascii="Times New Roman" w:hAnsi="Times New Roman" w:cs="Times New Roman"/>
                <w:color w:val="000000" w:themeColor="text1"/>
                <w:sz w:val="21"/>
                <w:szCs w:val="21"/>
                <w14:textFill>
                  <w14:solidFill>
                    <w14:schemeClr w14:val="tx1"/>
                  </w14:solidFill>
                </w14:textFill>
              </w:rPr>
              <w:t>项</w:t>
            </w:r>
          </w:p>
        </w:tc>
        <w:tc>
          <w:tcPr>
            <w:tcW w:w="1040" w:type="dxa"/>
            <w:vAlign w:val="center"/>
          </w:tcPr>
          <w:p w14:paraId="5544F43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13810</w:t>
            </w:r>
          </w:p>
        </w:tc>
        <w:tc>
          <w:tcPr>
            <w:tcW w:w="911" w:type="dxa"/>
            <w:vAlign w:val="center"/>
          </w:tcPr>
          <w:p w14:paraId="5BFB9E58">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5</w:t>
            </w:r>
          </w:p>
        </w:tc>
        <w:tc>
          <w:tcPr>
            <w:tcW w:w="798" w:type="dxa"/>
            <w:vAlign w:val="center"/>
          </w:tcPr>
          <w:p w14:paraId="0C8A18F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2762.0</w:t>
            </w:r>
          </w:p>
        </w:tc>
        <w:tc>
          <w:tcPr>
            <w:tcW w:w="1212" w:type="dxa"/>
            <w:vAlign w:val="center"/>
          </w:tcPr>
          <w:p w14:paraId="70787E6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r w14:paraId="5B41E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4" w:hRule="atLeast"/>
          <w:jc w:val="center"/>
        </w:trPr>
        <w:tc>
          <w:tcPr>
            <w:tcW w:w="6399" w:type="dxa"/>
            <w:gridSpan w:val="6"/>
            <w:vAlign w:val="center"/>
          </w:tcPr>
          <w:p w14:paraId="0BEACD1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合计</w:t>
            </w:r>
          </w:p>
        </w:tc>
        <w:tc>
          <w:tcPr>
            <w:tcW w:w="798" w:type="dxa"/>
            <w:vAlign w:val="center"/>
          </w:tcPr>
          <w:p w14:paraId="3CD564F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7661.3</w:t>
            </w:r>
          </w:p>
        </w:tc>
        <w:tc>
          <w:tcPr>
            <w:tcW w:w="1212" w:type="dxa"/>
            <w:vAlign w:val="center"/>
          </w:tcPr>
          <w:p w14:paraId="1FCFBA99">
            <w:pPr>
              <w:jc w:val="center"/>
              <w:rPr>
                <w:rFonts w:ascii="Times New Roman" w:hAnsi="Times New Roman" w:cs="Times New Roman"/>
                <w:color w:val="000000" w:themeColor="text1"/>
                <w:sz w:val="21"/>
                <w:szCs w:val="21"/>
                <w14:textFill>
                  <w14:solidFill>
                    <w14:schemeClr w14:val="tx1"/>
                  </w14:solidFill>
                </w14:textFill>
              </w:rPr>
            </w:pPr>
          </w:p>
        </w:tc>
      </w:tr>
    </w:tbl>
    <w:p w14:paraId="49B564B0">
      <w:pPr>
        <w:pStyle w:val="118"/>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根据上表可知，本项目Q=</w:t>
      </w:r>
      <w:r>
        <w:rPr>
          <w:rFonts w:hint="eastAsia" w:ascii="Times New Roman" w:hAnsi="Times New Roman" w:cs="Times New Roman"/>
          <w:color w:val="000000" w:themeColor="text1"/>
          <w14:textFill>
            <w14:solidFill>
              <w14:schemeClr w14:val="tx1"/>
            </w14:solidFill>
          </w14:textFill>
        </w:rPr>
        <w:t>7661.3</w:t>
      </w:r>
      <w:r>
        <w:rPr>
          <w:rFonts w:ascii="Times New Roman" w:hAnsi="Times New Roman" w:cs="Times New Roman"/>
          <w:bCs/>
          <w:color w:val="000000" w:themeColor="text1"/>
          <w:szCs w:val="21"/>
          <w14:textFill>
            <w14:solidFill>
              <w14:schemeClr w14:val="tx1"/>
            </w14:solidFill>
          </w14:textFill>
        </w:rPr>
        <w:t>≥100。</w:t>
      </w:r>
    </w:p>
    <w:p w14:paraId="4C3E10E7">
      <w:pPr>
        <w:pStyle w:val="4003"/>
        <w:rPr>
          <w:color w:val="000000" w:themeColor="text1"/>
          <w14:textFill>
            <w14:solidFill>
              <w14:schemeClr w14:val="tx1"/>
            </w14:solidFill>
          </w14:textFill>
        </w:rPr>
      </w:pPr>
      <w:bookmarkStart w:id="134" w:name="_Toc95759357"/>
      <w:r>
        <w:rPr>
          <w:color w:val="000000" w:themeColor="text1"/>
          <w14:textFill>
            <w14:solidFill>
              <w14:schemeClr w14:val="tx1"/>
            </w14:solidFill>
          </w14:textFill>
        </w:rPr>
        <w:t>6.2.2行业及生产工艺（M）</w:t>
      </w:r>
      <w:bookmarkEnd w:id="134"/>
    </w:p>
    <w:p w14:paraId="35E858BA">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分析项目所属行业及生产工艺特点，按照</w:t>
      </w:r>
      <w:r>
        <w:rPr>
          <w:rFonts w:ascii="Times New Roman" w:hAnsi="Times New Roman"/>
          <w:bCs/>
          <w:color w:val="000000" w:themeColor="text1"/>
          <w:szCs w:val="21"/>
          <w14:textFill>
            <w14:solidFill>
              <w14:schemeClr w14:val="tx1"/>
            </w14:solidFill>
          </w14:textFill>
        </w:rPr>
        <w:fldChar w:fldCharType="begin"/>
      </w:r>
      <w:r>
        <w:rPr>
          <w:rFonts w:ascii="Times New Roman" w:hAnsi="Times New Roman"/>
          <w:bCs/>
          <w:color w:val="000000" w:themeColor="text1"/>
          <w:szCs w:val="21"/>
          <w14:textFill>
            <w14:solidFill>
              <w14:schemeClr w14:val="tx1"/>
            </w14:solidFill>
          </w14:textFill>
        </w:rPr>
        <w:instrText xml:space="preserve"> REF _Ref6145281 \h  \* MERGEFORMAT </w:instrText>
      </w:r>
      <w:r>
        <w:rPr>
          <w:rFonts w:ascii="Times New Roman" w:hAnsi="Times New Roman"/>
          <w:bCs/>
          <w:color w:val="000000" w:themeColor="text1"/>
          <w:szCs w:val="21"/>
          <w14:textFill>
            <w14:solidFill>
              <w14:schemeClr w14:val="tx1"/>
            </w14:solidFill>
          </w14:textFill>
        </w:rPr>
        <w:fldChar w:fldCharType="separate"/>
      </w:r>
      <w:r>
        <w:rPr>
          <w:rFonts w:ascii="Times New Roman" w:hAnsi="Times New Roman"/>
          <w:bCs/>
          <w:color w:val="000000" w:themeColor="text1"/>
          <w:szCs w:val="21"/>
          <w14:textFill>
            <w14:solidFill>
              <w14:schemeClr w14:val="tx1"/>
            </w14:solidFill>
          </w14:textFill>
        </w:rPr>
        <w:t>表</w:t>
      </w:r>
      <w:r>
        <w:rPr>
          <w:rFonts w:ascii="Times New Roman" w:hAnsi="Times New Roman"/>
          <w:bCs/>
          <w:color w:val="000000" w:themeColor="text1"/>
          <w:szCs w:val="21"/>
          <w14:textFill>
            <w14:solidFill>
              <w14:schemeClr w14:val="tx1"/>
            </w14:solidFill>
          </w14:textFill>
        </w:rPr>
        <w:fldChar w:fldCharType="end"/>
      </w:r>
      <w:r>
        <w:rPr>
          <w:rFonts w:ascii="Times New Roman" w:hAnsi="Times New Roman"/>
          <w:bCs/>
          <w:color w:val="000000" w:themeColor="text1"/>
          <w:szCs w:val="21"/>
          <w14:textFill>
            <w14:solidFill>
              <w14:schemeClr w14:val="tx1"/>
            </w14:solidFill>
          </w14:textFill>
        </w:rPr>
        <w:t>评估生产工艺情况。具有多套工艺单元的项目，对每套生产工艺分别评分并求和。将M划分为（1）M＞20；（2）10＜M≤20；（3）5＜M≤10；（4）M=5，分别以M1、M2、M3和M4表示。</w:t>
      </w:r>
    </w:p>
    <w:p w14:paraId="1F78244A">
      <w:pPr>
        <w:jc w:val="center"/>
        <w:rPr>
          <w:rFonts w:ascii="Times New Roman" w:hAnsi="Times New Roman" w:cs="Times New Roman"/>
          <w:b/>
          <w:color w:val="000000" w:themeColor="text1"/>
          <w:szCs w:val="21"/>
          <w14:textFill>
            <w14:solidFill>
              <w14:schemeClr w14:val="tx1"/>
            </w14:solidFill>
          </w14:textFill>
        </w:rPr>
      </w:pPr>
      <w:bookmarkStart w:id="135" w:name="_Ref6145281"/>
      <w:r>
        <w:rPr>
          <w:rFonts w:ascii="Times New Roman" w:hAnsi="Times New Roman" w:cs="Times New Roman"/>
          <w:b/>
          <w:color w:val="000000" w:themeColor="text1"/>
          <w:szCs w:val="21"/>
          <w14:textFill>
            <w14:solidFill>
              <w14:schemeClr w14:val="tx1"/>
            </w14:solidFill>
          </w14:textFill>
        </w:rPr>
        <w:t>表</w:t>
      </w:r>
      <w:bookmarkEnd w:id="135"/>
      <w:r>
        <w:rPr>
          <w:rFonts w:ascii="Times New Roman" w:hAnsi="Times New Roman" w:cs="Times New Roman"/>
          <w:b/>
          <w:color w:val="000000" w:themeColor="text1"/>
          <w:szCs w:val="21"/>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4</w:t>
      </w:r>
      <w:r>
        <w:rPr>
          <w:rFonts w:ascii="Times New Roman" w:hAnsi="Times New Roman" w:cs="Times New Roman"/>
          <w:b/>
          <w:color w:val="000000" w:themeColor="text1"/>
          <w:szCs w:val="21"/>
          <w14:textFill>
            <w14:solidFill>
              <w14:schemeClr w14:val="tx1"/>
            </w14:solidFill>
          </w14:textFill>
        </w:rPr>
        <w:t>行业及生产工艺（M）</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5121"/>
        <w:gridCol w:w="1075"/>
        <w:gridCol w:w="1290"/>
      </w:tblGrid>
      <w:tr w14:paraId="11750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dxa"/>
            <w:vAlign w:val="center"/>
          </w:tcPr>
          <w:p w14:paraId="6A03DDBD">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行业</w:t>
            </w:r>
          </w:p>
        </w:tc>
        <w:tc>
          <w:tcPr>
            <w:tcW w:w="5121" w:type="dxa"/>
            <w:vAlign w:val="center"/>
          </w:tcPr>
          <w:p w14:paraId="59CEC350">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评估依据</w:t>
            </w:r>
          </w:p>
        </w:tc>
        <w:tc>
          <w:tcPr>
            <w:tcW w:w="1075" w:type="dxa"/>
            <w:vAlign w:val="center"/>
          </w:tcPr>
          <w:p w14:paraId="40517F0E">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分值</w:t>
            </w:r>
          </w:p>
        </w:tc>
        <w:tc>
          <w:tcPr>
            <w:tcW w:w="1290" w:type="dxa"/>
            <w:vAlign w:val="center"/>
          </w:tcPr>
          <w:p w14:paraId="65BD15C0">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本项目分值</w:t>
            </w:r>
          </w:p>
        </w:tc>
      </w:tr>
      <w:tr w14:paraId="1D993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dxa"/>
            <w:vMerge w:val="restart"/>
            <w:vAlign w:val="center"/>
          </w:tcPr>
          <w:p w14:paraId="432AB442">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石化、化工、医药、轻工、化纤、有色冶炼等</w:t>
            </w:r>
          </w:p>
        </w:tc>
        <w:tc>
          <w:tcPr>
            <w:tcW w:w="5121" w:type="dxa"/>
            <w:vAlign w:val="center"/>
          </w:tcPr>
          <w:p w14:paraId="775C6E27">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075" w:type="dxa"/>
            <w:vAlign w:val="center"/>
          </w:tcPr>
          <w:p w14:paraId="1D84EB8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10/套</w:t>
            </w:r>
          </w:p>
        </w:tc>
        <w:tc>
          <w:tcPr>
            <w:tcW w:w="1290" w:type="dxa"/>
            <w:vAlign w:val="center"/>
          </w:tcPr>
          <w:p w14:paraId="2DD32E2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3F8A8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dxa"/>
            <w:vMerge w:val="continue"/>
            <w:vAlign w:val="center"/>
          </w:tcPr>
          <w:p w14:paraId="7C3B91E1">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121" w:type="dxa"/>
            <w:vAlign w:val="center"/>
          </w:tcPr>
          <w:p w14:paraId="09AA1B61">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无机酸制酸工艺、焦化工艺</w:t>
            </w:r>
          </w:p>
        </w:tc>
        <w:tc>
          <w:tcPr>
            <w:tcW w:w="1075" w:type="dxa"/>
            <w:vAlign w:val="center"/>
          </w:tcPr>
          <w:p w14:paraId="5170845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5/套</w:t>
            </w:r>
          </w:p>
        </w:tc>
        <w:tc>
          <w:tcPr>
            <w:tcW w:w="1290" w:type="dxa"/>
            <w:vAlign w:val="center"/>
          </w:tcPr>
          <w:p w14:paraId="5C30C8C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3C402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dxa"/>
            <w:vMerge w:val="continue"/>
            <w:vAlign w:val="center"/>
          </w:tcPr>
          <w:p w14:paraId="484896E0">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5121" w:type="dxa"/>
            <w:vAlign w:val="center"/>
          </w:tcPr>
          <w:p w14:paraId="47E886B0">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其他高温或高压，且涉及危险物质的工艺过程a、危险物质贮存罐区</w:t>
            </w:r>
          </w:p>
        </w:tc>
        <w:tc>
          <w:tcPr>
            <w:tcW w:w="1075" w:type="dxa"/>
            <w:vAlign w:val="center"/>
          </w:tcPr>
          <w:p w14:paraId="3EA5223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5/套（罐区）</w:t>
            </w:r>
          </w:p>
        </w:tc>
        <w:tc>
          <w:tcPr>
            <w:tcW w:w="1290" w:type="dxa"/>
            <w:vAlign w:val="center"/>
          </w:tcPr>
          <w:p w14:paraId="7D08301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0341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dxa"/>
            <w:vAlign w:val="center"/>
          </w:tcPr>
          <w:p w14:paraId="678CDC4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管道、港口/码头等</w:t>
            </w:r>
          </w:p>
        </w:tc>
        <w:tc>
          <w:tcPr>
            <w:tcW w:w="5121" w:type="dxa"/>
            <w:vAlign w:val="center"/>
          </w:tcPr>
          <w:p w14:paraId="637021E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涉及危险物质管道运输项目、港口/码头等</w:t>
            </w:r>
          </w:p>
        </w:tc>
        <w:tc>
          <w:tcPr>
            <w:tcW w:w="1075" w:type="dxa"/>
            <w:vAlign w:val="center"/>
          </w:tcPr>
          <w:p w14:paraId="61D5B00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290" w:type="dxa"/>
            <w:vAlign w:val="center"/>
          </w:tcPr>
          <w:p w14:paraId="476D3EB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4CF9C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dxa"/>
            <w:vAlign w:val="center"/>
          </w:tcPr>
          <w:p w14:paraId="767DD94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石油天然气</w:t>
            </w:r>
          </w:p>
        </w:tc>
        <w:tc>
          <w:tcPr>
            <w:tcW w:w="5121" w:type="dxa"/>
            <w:vAlign w:val="center"/>
          </w:tcPr>
          <w:p w14:paraId="07166122">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石油、天然气、页岩气开采（含净化），气库（不含加气站的气库），油库（不含加气站的油库）、油气管线b（不含城镇燃气管线）</w:t>
            </w:r>
          </w:p>
        </w:tc>
        <w:tc>
          <w:tcPr>
            <w:tcW w:w="1075" w:type="dxa"/>
            <w:vAlign w:val="center"/>
          </w:tcPr>
          <w:p w14:paraId="710B821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290" w:type="dxa"/>
            <w:vAlign w:val="center"/>
          </w:tcPr>
          <w:p w14:paraId="40A7B24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p>
        </w:tc>
      </w:tr>
      <w:tr w14:paraId="2FC93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7" w:type="dxa"/>
            <w:vAlign w:val="center"/>
          </w:tcPr>
          <w:p w14:paraId="64C2BED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其他</w:t>
            </w:r>
          </w:p>
        </w:tc>
        <w:tc>
          <w:tcPr>
            <w:tcW w:w="5121" w:type="dxa"/>
            <w:vAlign w:val="center"/>
          </w:tcPr>
          <w:p w14:paraId="0D620ECF">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涉及危险物质使用、贮存的项目</w:t>
            </w:r>
          </w:p>
        </w:tc>
        <w:tc>
          <w:tcPr>
            <w:tcW w:w="1075" w:type="dxa"/>
            <w:vAlign w:val="center"/>
          </w:tcPr>
          <w:p w14:paraId="7A34B23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290" w:type="dxa"/>
            <w:vAlign w:val="center"/>
          </w:tcPr>
          <w:p w14:paraId="3D10D0F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r>
      <w:tr w14:paraId="390E4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3" w:type="dxa"/>
            <w:gridSpan w:val="3"/>
            <w:vAlign w:val="center"/>
          </w:tcPr>
          <w:p w14:paraId="7F15573F">
            <w:pPr>
              <w:autoSpaceDE w:val="0"/>
              <w:autoSpaceDN w:val="0"/>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a高温指工艺温度≥300</w:t>
            </w: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，高压指压力容器的设计压力（</w:t>
            </w:r>
            <w:r>
              <w:rPr>
                <w:rFonts w:ascii="Times New Roman" w:hAnsi="Times New Roman" w:cs="Times New Roman"/>
                <w:i/>
                <w:iCs/>
                <w:color w:val="000000" w:themeColor="text1"/>
                <w:sz w:val="21"/>
                <w:szCs w:val="21"/>
                <w14:textFill>
                  <w14:solidFill>
                    <w14:schemeClr w14:val="tx1"/>
                  </w14:solidFill>
                </w14:textFill>
              </w:rPr>
              <w:t>P</w:t>
            </w:r>
            <w:r>
              <w:rPr>
                <w:rFonts w:ascii="Times New Roman" w:hAnsi="Times New Roman" w:cs="Times New Roman"/>
                <w:color w:val="000000" w:themeColor="text1"/>
                <w:sz w:val="21"/>
                <w:szCs w:val="21"/>
                <w14:textFill>
                  <w14:solidFill>
                    <w14:schemeClr w14:val="tx1"/>
                  </w14:solidFill>
                </w14:textFill>
              </w:rPr>
              <w:t>）≥10.0MPa；</w:t>
            </w:r>
          </w:p>
          <w:p w14:paraId="66C24FE0">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b长输管道运输项目应按站场、管线分段进行评价。</w:t>
            </w:r>
          </w:p>
        </w:tc>
        <w:tc>
          <w:tcPr>
            <w:tcW w:w="1290" w:type="dxa"/>
            <w:vAlign w:val="center"/>
          </w:tcPr>
          <w:p w14:paraId="27D983D8">
            <w:pPr>
              <w:autoSpaceDE w:val="0"/>
              <w:autoSpaceDN w:val="0"/>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总分值：5</w:t>
            </w:r>
          </w:p>
        </w:tc>
      </w:tr>
    </w:tbl>
    <w:p w14:paraId="615A01DF">
      <w:pPr>
        <w:pStyle w:val="703"/>
        <w:adjustRightInd w:val="0"/>
        <w:spacing w:before="120" w:beforeLines="5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本项目属于“其他-涉及危险物质使用、贮存的项目”，M=5，则本项目行业及生产工艺为M4。</w:t>
      </w:r>
    </w:p>
    <w:p w14:paraId="56A4E3BA">
      <w:pPr>
        <w:pStyle w:val="4003"/>
        <w:rPr>
          <w:color w:val="000000" w:themeColor="text1"/>
          <w14:textFill>
            <w14:solidFill>
              <w14:schemeClr w14:val="tx1"/>
            </w14:solidFill>
          </w14:textFill>
        </w:rPr>
      </w:pPr>
      <w:bookmarkStart w:id="136" w:name="_Toc95759358"/>
      <w:r>
        <w:rPr>
          <w:color w:val="000000" w:themeColor="text1"/>
          <w14:textFill>
            <w14:solidFill>
              <w14:schemeClr w14:val="tx1"/>
            </w14:solidFill>
          </w14:textFill>
        </w:rPr>
        <w:t>6.2.3危险物质及工艺系统危险性（P）分级</w:t>
      </w:r>
      <w:bookmarkEnd w:id="136"/>
    </w:p>
    <w:p w14:paraId="3B3DBB06">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根据危险物质数量与临界量比值（Q）和行业及生产工艺（M），按照下表确定危险物质及工艺系统危险性等级（P），分别以P1、P2、P3、P4表示。</w:t>
      </w:r>
    </w:p>
    <w:p w14:paraId="1D56E084">
      <w:pPr>
        <w:jc w:val="center"/>
        <w:rPr>
          <w:rFonts w:ascii="Times New Roman" w:hAnsi="Times New Roman" w:cs="Times New Roman"/>
          <w:b/>
          <w:color w:val="000000" w:themeColor="text1"/>
          <w:szCs w:val="21"/>
          <w14:textFill>
            <w14:solidFill>
              <w14:schemeClr w14:val="tx1"/>
            </w14:solidFill>
          </w14:textFill>
        </w:rPr>
      </w:pPr>
      <w:bookmarkStart w:id="137" w:name="_Ref6145374"/>
      <w:r>
        <w:rPr>
          <w:rFonts w:ascii="Times New Roman" w:hAnsi="Times New Roman" w:cs="Times New Roman"/>
          <w:b/>
          <w:color w:val="000000" w:themeColor="text1"/>
          <w:szCs w:val="21"/>
          <w14:textFill>
            <w14:solidFill>
              <w14:schemeClr w14:val="tx1"/>
            </w14:solidFill>
          </w14:textFill>
        </w:rPr>
        <w:t>表</w:t>
      </w:r>
      <w:bookmarkEnd w:id="137"/>
      <w:r>
        <w:rPr>
          <w:rFonts w:ascii="Times New Roman" w:hAnsi="Times New Roman" w:cs="Times New Roman"/>
          <w:b/>
          <w:color w:val="000000" w:themeColor="text1"/>
          <w:szCs w:val="21"/>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5</w:t>
      </w:r>
      <w:r>
        <w:rPr>
          <w:rFonts w:ascii="Times New Roman" w:hAnsi="Times New Roman" w:cs="Times New Roman"/>
          <w:b/>
          <w:color w:val="000000" w:themeColor="text1"/>
          <w:szCs w:val="21"/>
          <w14:textFill>
            <w14:solidFill>
              <w14:schemeClr w14:val="tx1"/>
            </w14:solidFill>
          </w14:textFill>
        </w:rPr>
        <w:t>危险物质及工艺系统危险性等级判断（P）</w:t>
      </w:r>
    </w:p>
    <w:tbl>
      <w:tblPr>
        <w:tblStyle w:val="88"/>
        <w:tblW w:w="8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0"/>
        <w:gridCol w:w="1767"/>
        <w:gridCol w:w="1918"/>
        <w:gridCol w:w="1619"/>
        <w:gridCol w:w="1763"/>
      </w:tblGrid>
      <w:tr w14:paraId="55379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830" w:type="dxa"/>
            <w:vMerge w:val="restart"/>
            <w:vAlign w:val="center"/>
          </w:tcPr>
          <w:p w14:paraId="6C50F29B">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危险物质数量</w:t>
            </w:r>
          </w:p>
          <w:p w14:paraId="095C86F1">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与临界量比值（Q）</w:t>
            </w:r>
          </w:p>
        </w:tc>
        <w:tc>
          <w:tcPr>
            <w:tcW w:w="7067" w:type="dxa"/>
            <w:gridSpan w:val="4"/>
            <w:vAlign w:val="center"/>
          </w:tcPr>
          <w:p w14:paraId="0FFFBCB4">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行业及生产工艺（M）</w:t>
            </w:r>
          </w:p>
        </w:tc>
      </w:tr>
      <w:tr w14:paraId="7B70D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830" w:type="dxa"/>
            <w:vMerge w:val="continue"/>
            <w:vAlign w:val="center"/>
          </w:tcPr>
          <w:p w14:paraId="03DE842B">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p>
        </w:tc>
        <w:tc>
          <w:tcPr>
            <w:tcW w:w="1767" w:type="dxa"/>
            <w:vAlign w:val="center"/>
          </w:tcPr>
          <w:p w14:paraId="1FD3E22A">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M1</w:t>
            </w:r>
          </w:p>
        </w:tc>
        <w:tc>
          <w:tcPr>
            <w:tcW w:w="1918" w:type="dxa"/>
            <w:vAlign w:val="center"/>
          </w:tcPr>
          <w:p w14:paraId="773A4F8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M2</w:t>
            </w:r>
          </w:p>
        </w:tc>
        <w:tc>
          <w:tcPr>
            <w:tcW w:w="1619" w:type="dxa"/>
            <w:vAlign w:val="center"/>
          </w:tcPr>
          <w:p w14:paraId="019A81F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M3</w:t>
            </w:r>
          </w:p>
        </w:tc>
        <w:tc>
          <w:tcPr>
            <w:tcW w:w="1763" w:type="dxa"/>
            <w:vAlign w:val="center"/>
          </w:tcPr>
          <w:p w14:paraId="01FF6FD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M4</w:t>
            </w:r>
          </w:p>
        </w:tc>
      </w:tr>
      <w:tr w14:paraId="44F76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0" w:type="dxa"/>
            <w:vAlign w:val="center"/>
          </w:tcPr>
          <w:p w14:paraId="6BFF601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i/>
                <w:iCs/>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14:textFill>
                  <w14:solidFill>
                    <w14:schemeClr w14:val="tx1"/>
                  </w14:solidFill>
                </w14:textFill>
              </w:rPr>
              <w:t>≥100</w:t>
            </w:r>
          </w:p>
        </w:tc>
        <w:tc>
          <w:tcPr>
            <w:tcW w:w="1767" w:type="dxa"/>
            <w:vAlign w:val="center"/>
          </w:tcPr>
          <w:p w14:paraId="3C4E313A">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P1</w:t>
            </w:r>
          </w:p>
        </w:tc>
        <w:tc>
          <w:tcPr>
            <w:tcW w:w="1918" w:type="dxa"/>
            <w:shd w:val="clear" w:color="auto" w:fill="FFFFFF" w:themeFill="background1"/>
            <w:vAlign w:val="center"/>
          </w:tcPr>
          <w:p w14:paraId="3C0C2B64">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P1</w:t>
            </w:r>
          </w:p>
        </w:tc>
        <w:tc>
          <w:tcPr>
            <w:tcW w:w="1619" w:type="dxa"/>
            <w:vAlign w:val="center"/>
          </w:tcPr>
          <w:p w14:paraId="79923493">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P2</w:t>
            </w:r>
          </w:p>
        </w:tc>
        <w:tc>
          <w:tcPr>
            <w:tcW w:w="1763" w:type="dxa"/>
            <w:shd w:val="clear" w:color="auto" w:fill="D8D8D8" w:themeFill="background1" w:themeFillShade="D9"/>
            <w:vAlign w:val="center"/>
          </w:tcPr>
          <w:p w14:paraId="689A9D5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P3</w:t>
            </w:r>
          </w:p>
        </w:tc>
      </w:tr>
      <w:tr w14:paraId="31BFC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0" w:type="dxa"/>
            <w:vAlign w:val="center"/>
          </w:tcPr>
          <w:p w14:paraId="4EB8974F">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r>
              <w:rPr>
                <w:rFonts w:ascii="Times New Roman" w:hAnsi="Times New Roman" w:cs="Times New Roman"/>
                <w:i/>
                <w:iCs/>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14:textFill>
                  <w14:solidFill>
                    <w14:schemeClr w14:val="tx1"/>
                  </w14:solidFill>
                </w14:textFill>
              </w:rPr>
              <w:t>＜100</w:t>
            </w:r>
          </w:p>
        </w:tc>
        <w:tc>
          <w:tcPr>
            <w:tcW w:w="1767" w:type="dxa"/>
            <w:vAlign w:val="center"/>
          </w:tcPr>
          <w:p w14:paraId="0F031BC6">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P1</w:t>
            </w:r>
          </w:p>
        </w:tc>
        <w:tc>
          <w:tcPr>
            <w:tcW w:w="1918" w:type="dxa"/>
            <w:vAlign w:val="center"/>
          </w:tcPr>
          <w:p w14:paraId="6D7AEAD9">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P1</w:t>
            </w:r>
          </w:p>
        </w:tc>
        <w:tc>
          <w:tcPr>
            <w:tcW w:w="1619" w:type="dxa"/>
            <w:vAlign w:val="center"/>
          </w:tcPr>
          <w:p w14:paraId="7150989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P3</w:t>
            </w:r>
          </w:p>
        </w:tc>
        <w:tc>
          <w:tcPr>
            <w:tcW w:w="1763" w:type="dxa"/>
            <w:vAlign w:val="center"/>
          </w:tcPr>
          <w:p w14:paraId="38E85E1A">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w:t>
            </w:r>
          </w:p>
        </w:tc>
      </w:tr>
      <w:tr w14:paraId="6AFAA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0" w:type="dxa"/>
            <w:vAlign w:val="center"/>
          </w:tcPr>
          <w:p w14:paraId="4C57FC5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r>
              <w:rPr>
                <w:rFonts w:ascii="Times New Roman" w:hAnsi="Times New Roman" w:cs="Times New Roman"/>
                <w:i/>
                <w:iCs/>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14:textFill>
                  <w14:solidFill>
                    <w14:schemeClr w14:val="tx1"/>
                  </w14:solidFill>
                </w14:textFill>
              </w:rPr>
              <w:t>＜10</w:t>
            </w:r>
          </w:p>
        </w:tc>
        <w:tc>
          <w:tcPr>
            <w:tcW w:w="1767" w:type="dxa"/>
            <w:vAlign w:val="center"/>
          </w:tcPr>
          <w:p w14:paraId="377F6088">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P2</w:t>
            </w:r>
          </w:p>
        </w:tc>
        <w:tc>
          <w:tcPr>
            <w:tcW w:w="1918" w:type="dxa"/>
            <w:vAlign w:val="center"/>
          </w:tcPr>
          <w:p w14:paraId="1627F7F4">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P3</w:t>
            </w:r>
          </w:p>
        </w:tc>
        <w:tc>
          <w:tcPr>
            <w:tcW w:w="1619" w:type="dxa"/>
            <w:vAlign w:val="center"/>
          </w:tcPr>
          <w:p w14:paraId="76A50AA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w:t>
            </w:r>
          </w:p>
        </w:tc>
        <w:tc>
          <w:tcPr>
            <w:tcW w:w="1763" w:type="dxa"/>
            <w:vAlign w:val="center"/>
          </w:tcPr>
          <w:p w14:paraId="21CEFD4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P4</w:t>
            </w:r>
          </w:p>
        </w:tc>
      </w:tr>
    </w:tbl>
    <w:p w14:paraId="4D35F946">
      <w:pPr>
        <w:pStyle w:val="703"/>
        <w:adjustRightInd w:val="0"/>
        <w:spacing w:before="120" w:beforeLines="5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根据分析可知，本项目</w:t>
      </w:r>
      <w:r>
        <w:rPr>
          <w:rFonts w:ascii="Times New Roman" w:hAnsi="Times New Roman"/>
          <w:bCs/>
          <w:color w:val="000000" w:themeColor="text1"/>
          <w:kern w:val="2"/>
          <w14:textFill>
            <w14:solidFill>
              <w14:schemeClr w14:val="tx1"/>
            </w14:solidFill>
          </w14:textFill>
        </w:rPr>
        <w:t>危险物质数量与临</w:t>
      </w:r>
      <w:r>
        <w:rPr>
          <w:rFonts w:ascii="Times New Roman" w:hAnsi="Times New Roman"/>
          <w:bCs/>
          <w:color w:val="000000" w:themeColor="text1"/>
          <w:szCs w:val="21"/>
          <w14:textFill>
            <w14:solidFill>
              <w14:schemeClr w14:val="tx1"/>
            </w14:solidFill>
          </w14:textFill>
        </w:rPr>
        <w:t>界量比值Q=</w:t>
      </w:r>
      <w:r>
        <w:rPr>
          <w:rFonts w:hint="eastAsia" w:ascii="Times New Roman" w:hAnsi="Times New Roman"/>
          <w:color w:val="000000" w:themeColor="text1"/>
          <w14:textFill>
            <w14:solidFill>
              <w14:schemeClr w14:val="tx1"/>
            </w14:solidFill>
          </w14:textFill>
        </w:rPr>
        <w:t>7661.3</w:t>
      </w:r>
      <w:r>
        <w:rPr>
          <w:rFonts w:ascii="Times New Roman" w:hAnsi="Times New Roman"/>
          <w:bCs/>
          <w:color w:val="000000" w:themeColor="text1"/>
          <w:szCs w:val="21"/>
          <w14:textFill>
            <w14:solidFill>
              <w14:schemeClr w14:val="tx1"/>
            </w14:solidFill>
          </w14:textFill>
        </w:rPr>
        <w:t>≥100、行业及生产工艺为M4，则本项目危险物质及工艺系统危险性等级为P3。</w:t>
      </w:r>
    </w:p>
    <w:p w14:paraId="4D9D5723">
      <w:pPr>
        <w:pStyle w:val="346"/>
        <w:ind w:firstLine="482" w:firstLineChars="200"/>
        <w:rPr>
          <w:color w:val="000000" w:themeColor="text1"/>
          <w14:textFill>
            <w14:solidFill>
              <w14:schemeClr w14:val="tx1"/>
            </w14:solidFill>
          </w14:textFill>
        </w:rPr>
      </w:pPr>
      <w:bookmarkStart w:id="138" w:name="_Toc144375238"/>
      <w:r>
        <w:rPr>
          <w:color w:val="000000" w:themeColor="text1"/>
          <w14:textFill>
            <w14:solidFill>
              <w14:schemeClr w14:val="tx1"/>
            </w14:solidFill>
          </w14:textFill>
        </w:rPr>
        <w:t>6.3 E的分级确定</w:t>
      </w:r>
      <w:bookmarkEnd w:id="138"/>
    </w:p>
    <w:p w14:paraId="20C24D04">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分析危险物质在事故情形下的环境影响途径，对建设项目各要素环境敏感程度(E)等级进行判断。</w:t>
      </w:r>
    </w:p>
    <w:p w14:paraId="60AB960F">
      <w:pPr>
        <w:pStyle w:val="4003"/>
        <w:rPr>
          <w:color w:val="000000" w:themeColor="text1"/>
          <w14:textFill>
            <w14:solidFill>
              <w14:schemeClr w14:val="tx1"/>
            </w14:solidFill>
          </w14:textFill>
        </w:rPr>
      </w:pPr>
      <w:bookmarkStart w:id="139" w:name="_Toc95759359"/>
      <w:r>
        <w:rPr>
          <w:color w:val="000000" w:themeColor="text1"/>
          <w14:textFill>
            <w14:solidFill>
              <w14:schemeClr w14:val="tx1"/>
            </w14:solidFill>
          </w14:textFill>
        </w:rPr>
        <w:t>6.3.1大气环境</w:t>
      </w:r>
      <w:bookmarkEnd w:id="139"/>
    </w:p>
    <w:p w14:paraId="3FE5AB23">
      <w:pPr>
        <w:pStyle w:val="703"/>
        <w:adjustRightIn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依据环境敏感目标环境敏感性及人口密度划分环境风险受体的敏感性，共分为三种类型，E1为环境高度敏感区，E2为环境中度敏感区，E3为环境低度敏感区，分级原则见下表。</w:t>
      </w:r>
      <w:bookmarkStart w:id="140" w:name="_Ref6145431"/>
    </w:p>
    <w:p w14:paraId="52AACC6C">
      <w:pPr>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
          <w:color w:val="000000" w:themeColor="text1"/>
          <w:szCs w:val="21"/>
          <w14:textFill>
            <w14:solidFill>
              <w14:schemeClr w14:val="tx1"/>
            </w14:solidFill>
          </w14:textFill>
        </w:rPr>
        <w:t>表</w:t>
      </w:r>
      <w:bookmarkEnd w:id="140"/>
      <w:r>
        <w:rPr>
          <w:rFonts w:ascii="Times New Roman" w:hAnsi="Times New Roman" w:cs="Times New Roman"/>
          <w:b/>
          <w:color w:val="000000" w:themeColor="text1"/>
          <w:szCs w:val="21"/>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6</w:t>
      </w:r>
      <w:r>
        <w:rPr>
          <w:rFonts w:ascii="Times New Roman" w:hAnsi="Times New Roman" w:cs="Times New Roman"/>
          <w:b/>
          <w:color w:val="000000" w:themeColor="text1"/>
          <w:szCs w:val="21"/>
          <w14:textFill>
            <w14:solidFill>
              <w14:schemeClr w14:val="tx1"/>
            </w14:solidFill>
          </w14:textFill>
        </w:rPr>
        <w:t>大气环境敏感程度分级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5"/>
        <w:gridCol w:w="7698"/>
      </w:tblGrid>
      <w:tr w14:paraId="25A3A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Align w:val="center"/>
          </w:tcPr>
          <w:p w14:paraId="6E20520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分级</w:t>
            </w:r>
          </w:p>
        </w:tc>
        <w:tc>
          <w:tcPr>
            <w:tcW w:w="8512" w:type="dxa"/>
            <w:vAlign w:val="center"/>
          </w:tcPr>
          <w:p w14:paraId="753B2A01">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大气环境敏感性</w:t>
            </w:r>
          </w:p>
        </w:tc>
      </w:tr>
      <w:tr w14:paraId="0491D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889" w:type="dxa"/>
            <w:shd w:val="clear" w:color="auto" w:fill="FFFFFF" w:themeFill="background1"/>
            <w:vAlign w:val="center"/>
          </w:tcPr>
          <w:p w14:paraId="1D51CD5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w:t>
            </w:r>
          </w:p>
        </w:tc>
        <w:tc>
          <w:tcPr>
            <w:tcW w:w="8512" w:type="dxa"/>
            <w:vAlign w:val="center"/>
          </w:tcPr>
          <w:p w14:paraId="7ADEAAD9">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761D7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889" w:type="dxa"/>
            <w:shd w:val="clear" w:color="auto" w:fill="D8D8D8" w:themeFill="background1" w:themeFillShade="D9"/>
            <w:vAlign w:val="center"/>
          </w:tcPr>
          <w:p w14:paraId="540D471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E2</w:t>
            </w:r>
          </w:p>
        </w:tc>
        <w:tc>
          <w:tcPr>
            <w:tcW w:w="8512" w:type="dxa"/>
            <w:shd w:val="clear" w:color="auto" w:fill="D8D8D8" w:themeFill="background1" w:themeFillShade="D9"/>
            <w:vAlign w:val="center"/>
          </w:tcPr>
          <w:p w14:paraId="562A3628">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42BC9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889" w:type="dxa"/>
            <w:vAlign w:val="center"/>
          </w:tcPr>
          <w:p w14:paraId="7517162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E3</w:t>
            </w:r>
          </w:p>
        </w:tc>
        <w:tc>
          <w:tcPr>
            <w:tcW w:w="8512" w:type="dxa"/>
            <w:vAlign w:val="center"/>
          </w:tcPr>
          <w:p w14:paraId="68EC7113">
            <w:pPr>
              <w:adjustRightInd w:val="0"/>
              <w:snapToGrid w:val="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周边5km范围内居住区、医疗卫生、文化教育、科研、行政办公等机构人口总数小于1万人；或周边500m范围内人口总数小于500人；油气、化学品输送管线管段周边200m范围内，每千米管段人口数小于100人</w:t>
            </w:r>
          </w:p>
        </w:tc>
      </w:tr>
    </w:tbl>
    <w:p w14:paraId="29C250F3">
      <w:pPr>
        <w:pStyle w:val="703"/>
        <w:adjustRightInd w:val="0"/>
        <w:snapToGri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根据调查，本项目厂界外5km范围内居住区、医疗卫生、文化教育、科研、行政办公等机构人口总数约为</w:t>
      </w:r>
      <w:r>
        <w:rPr>
          <w:rFonts w:hint="eastAsia" w:ascii="Times New Roman" w:hAnsi="Times New Roman"/>
          <w:bCs/>
          <w:color w:val="000000" w:themeColor="text1"/>
          <w:szCs w:val="21"/>
          <w14:textFill>
            <w14:solidFill>
              <w14:schemeClr w14:val="tx1"/>
            </w14:solidFill>
          </w14:textFill>
        </w:rPr>
        <w:t>26050</w:t>
      </w:r>
      <w:r>
        <w:rPr>
          <w:rFonts w:ascii="Times New Roman" w:hAnsi="Times New Roman"/>
          <w:bCs/>
          <w:color w:val="000000" w:themeColor="text1"/>
          <w:szCs w:val="21"/>
          <w14:textFill>
            <w14:solidFill>
              <w14:schemeClr w14:val="tx1"/>
            </w14:solidFill>
          </w14:textFill>
        </w:rPr>
        <w:t>人，500m范围内均为工业区，无居住区、医疗卫生、文化教育、科研、行政办公等机构，故本项目大气环境敏感程度等级为E2。</w:t>
      </w:r>
    </w:p>
    <w:p w14:paraId="62458525">
      <w:pPr>
        <w:pStyle w:val="4003"/>
        <w:rPr>
          <w:color w:val="000000" w:themeColor="text1"/>
          <w14:textFill>
            <w14:solidFill>
              <w14:schemeClr w14:val="tx1"/>
            </w14:solidFill>
          </w14:textFill>
        </w:rPr>
      </w:pPr>
      <w:bookmarkStart w:id="141" w:name="_Toc95759360"/>
      <w:r>
        <w:rPr>
          <w:color w:val="000000" w:themeColor="text1"/>
          <w14:textFill>
            <w14:solidFill>
              <w14:schemeClr w14:val="tx1"/>
            </w14:solidFill>
          </w14:textFill>
        </w:rPr>
        <w:t>6.3.2地表水环境</w:t>
      </w:r>
      <w:bookmarkEnd w:id="141"/>
    </w:p>
    <w:p w14:paraId="4534294D">
      <w:pPr>
        <w:pStyle w:val="703"/>
        <w:adjustRightInd w:val="0"/>
        <w:snapToGrid w:val="0"/>
        <w:ind w:firstLine="480" w:firstLineChars="20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依据事故情况下危险物质泄漏到水体的排放点受纳地表水体功能敏感性，与下游环境敏感目标情况，共分为三种类型，E1为环境高度敏感区，E2为环境中度敏感区，E3为环境低度敏感区，地表水功能敏感性分区和环境敏感目标分级分别见下表。</w:t>
      </w:r>
    </w:p>
    <w:p w14:paraId="5E54A3EB">
      <w:pPr>
        <w:jc w:val="center"/>
        <w:rPr>
          <w:rFonts w:ascii="Times New Roman" w:hAnsi="Times New Roman" w:cs="Times New Roman"/>
          <w:b/>
          <w:color w:val="000000" w:themeColor="text1"/>
          <w:szCs w:val="21"/>
          <w14:textFill>
            <w14:solidFill>
              <w14:schemeClr w14:val="tx1"/>
            </w14:solidFill>
          </w14:textFill>
        </w:rPr>
      </w:pPr>
      <w:bookmarkStart w:id="142" w:name="_Ref6145443"/>
      <w:r>
        <w:rPr>
          <w:rFonts w:ascii="Times New Roman" w:hAnsi="Times New Roman" w:cs="Times New Roman"/>
          <w:b/>
          <w:color w:val="000000" w:themeColor="text1"/>
          <w:szCs w:val="21"/>
          <w14:textFill>
            <w14:solidFill>
              <w14:schemeClr w14:val="tx1"/>
            </w14:solidFill>
          </w14:textFill>
        </w:rPr>
        <w:t>表</w:t>
      </w:r>
      <w:bookmarkEnd w:id="142"/>
      <w:r>
        <w:rPr>
          <w:rFonts w:ascii="Times New Roman" w:hAnsi="Times New Roman" w:cs="Times New Roman"/>
          <w:b/>
          <w:color w:val="000000" w:themeColor="text1"/>
          <w:szCs w:val="21"/>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7</w:t>
      </w:r>
      <w:r>
        <w:rPr>
          <w:rFonts w:ascii="Times New Roman" w:hAnsi="Times New Roman" w:cs="Times New Roman"/>
          <w:b/>
          <w:color w:val="000000" w:themeColor="text1"/>
          <w:szCs w:val="21"/>
          <w14:textFill>
            <w14:solidFill>
              <w14:schemeClr w14:val="tx1"/>
            </w14:solidFill>
          </w14:textFill>
        </w:rPr>
        <w:t>地表水环境敏感程度分级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82"/>
        <w:gridCol w:w="1815"/>
        <w:gridCol w:w="1813"/>
        <w:gridCol w:w="1813"/>
      </w:tblGrid>
      <w:tr w14:paraId="798F5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996" w:type="dxa"/>
            <w:vMerge w:val="restart"/>
            <w:vAlign w:val="center"/>
          </w:tcPr>
          <w:p w14:paraId="6766B10B">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环境敏感目标</w:t>
            </w:r>
          </w:p>
        </w:tc>
        <w:tc>
          <w:tcPr>
            <w:tcW w:w="5288" w:type="dxa"/>
            <w:gridSpan w:val="3"/>
            <w:vAlign w:val="center"/>
          </w:tcPr>
          <w:p w14:paraId="5E38C4B1">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地表水功能敏感性</w:t>
            </w:r>
          </w:p>
        </w:tc>
      </w:tr>
      <w:tr w14:paraId="07E58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996" w:type="dxa"/>
            <w:vMerge w:val="continue"/>
            <w:vAlign w:val="center"/>
          </w:tcPr>
          <w:p w14:paraId="0E20116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p>
        </w:tc>
        <w:tc>
          <w:tcPr>
            <w:tcW w:w="1764" w:type="dxa"/>
            <w:vAlign w:val="center"/>
          </w:tcPr>
          <w:p w14:paraId="4DCB6F6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F1</w:t>
            </w:r>
          </w:p>
        </w:tc>
        <w:tc>
          <w:tcPr>
            <w:tcW w:w="1762" w:type="dxa"/>
            <w:vAlign w:val="center"/>
          </w:tcPr>
          <w:p w14:paraId="3E131748">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F2</w:t>
            </w:r>
          </w:p>
        </w:tc>
        <w:tc>
          <w:tcPr>
            <w:tcW w:w="1762" w:type="dxa"/>
            <w:vAlign w:val="center"/>
          </w:tcPr>
          <w:p w14:paraId="57E881B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F3</w:t>
            </w:r>
          </w:p>
        </w:tc>
      </w:tr>
      <w:tr w14:paraId="320A3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96" w:type="dxa"/>
            <w:vAlign w:val="center"/>
          </w:tcPr>
          <w:p w14:paraId="6C25139E">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S1</w:t>
            </w:r>
          </w:p>
        </w:tc>
        <w:tc>
          <w:tcPr>
            <w:tcW w:w="1764" w:type="dxa"/>
            <w:vAlign w:val="center"/>
          </w:tcPr>
          <w:p w14:paraId="3A6D580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w:t>
            </w:r>
          </w:p>
        </w:tc>
        <w:tc>
          <w:tcPr>
            <w:tcW w:w="1762" w:type="dxa"/>
            <w:vAlign w:val="center"/>
          </w:tcPr>
          <w:p w14:paraId="411CBAB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w:t>
            </w:r>
          </w:p>
        </w:tc>
        <w:tc>
          <w:tcPr>
            <w:tcW w:w="1762" w:type="dxa"/>
            <w:shd w:val="clear" w:color="auto" w:fill="D8D8D8" w:themeFill="background1" w:themeFillShade="D9"/>
            <w:vAlign w:val="center"/>
          </w:tcPr>
          <w:p w14:paraId="6860BF8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E2</w:t>
            </w:r>
          </w:p>
        </w:tc>
      </w:tr>
      <w:tr w14:paraId="538DE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96" w:type="dxa"/>
            <w:vAlign w:val="center"/>
          </w:tcPr>
          <w:p w14:paraId="4DBA4C05">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S2</w:t>
            </w:r>
          </w:p>
        </w:tc>
        <w:tc>
          <w:tcPr>
            <w:tcW w:w="1764" w:type="dxa"/>
            <w:vAlign w:val="center"/>
          </w:tcPr>
          <w:p w14:paraId="7DC64A68">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w:t>
            </w:r>
          </w:p>
        </w:tc>
        <w:tc>
          <w:tcPr>
            <w:tcW w:w="1762" w:type="dxa"/>
            <w:vAlign w:val="center"/>
          </w:tcPr>
          <w:p w14:paraId="0294544F">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E2</w:t>
            </w:r>
          </w:p>
        </w:tc>
        <w:tc>
          <w:tcPr>
            <w:tcW w:w="1762" w:type="dxa"/>
            <w:shd w:val="clear" w:color="auto" w:fill="FFFFFF" w:themeFill="background1"/>
            <w:vAlign w:val="center"/>
          </w:tcPr>
          <w:p w14:paraId="1CA48235">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E3</w:t>
            </w:r>
          </w:p>
        </w:tc>
      </w:tr>
      <w:tr w14:paraId="1A3E0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96" w:type="dxa"/>
            <w:vAlign w:val="center"/>
          </w:tcPr>
          <w:p w14:paraId="1567052E">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S3</w:t>
            </w:r>
          </w:p>
        </w:tc>
        <w:tc>
          <w:tcPr>
            <w:tcW w:w="1764" w:type="dxa"/>
            <w:vAlign w:val="center"/>
          </w:tcPr>
          <w:p w14:paraId="631B668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w:t>
            </w:r>
          </w:p>
        </w:tc>
        <w:tc>
          <w:tcPr>
            <w:tcW w:w="1762" w:type="dxa"/>
            <w:vAlign w:val="center"/>
          </w:tcPr>
          <w:p w14:paraId="3577AD7E">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E2</w:t>
            </w:r>
          </w:p>
        </w:tc>
        <w:tc>
          <w:tcPr>
            <w:tcW w:w="1762" w:type="dxa"/>
            <w:vAlign w:val="center"/>
          </w:tcPr>
          <w:p w14:paraId="5B354FF5">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E3</w:t>
            </w:r>
          </w:p>
        </w:tc>
      </w:tr>
    </w:tbl>
    <w:p w14:paraId="67F0E32F">
      <w:pPr>
        <w:spacing w:before="120" w:beforeLines="50"/>
        <w:jc w:val="center"/>
        <w:rPr>
          <w:rFonts w:ascii="Times New Roman" w:hAnsi="Times New Roman" w:cs="Times New Roman"/>
          <w:b/>
          <w:color w:val="000000" w:themeColor="text1"/>
          <w:szCs w:val="21"/>
          <w14:textFill>
            <w14:solidFill>
              <w14:schemeClr w14:val="tx1"/>
            </w14:solidFill>
          </w14:textFill>
        </w:rPr>
      </w:pPr>
      <w:bookmarkStart w:id="143" w:name="_Ref6145453"/>
      <w:r>
        <w:rPr>
          <w:rFonts w:ascii="Times New Roman" w:hAnsi="Times New Roman" w:cs="Times New Roman"/>
          <w:b/>
          <w:color w:val="000000" w:themeColor="text1"/>
          <w:szCs w:val="21"/>
          <w14:textFill>
            <w14:solidFill>
              <w14:schemeClr w14:val="tx1"/>
            </w14:solidFill>
          </w14:textFill>
        </w:rPr>
        <w:t>表</w:t>
      </w:r>
      <w:bookmarkEnd w:id="143"/>
      <w:r>
        <w:rPr>
          <w:rFonts w:ascii="Times New Roman" w:hAnsi="Times New Roman" w:cs="Times New Roman"/>
          <w:b/>
          <w:color w:val="000000" w:themeColor="text1"/>
          <w:szCs w:val="21"/>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8</w:t>
      </w:r>
      <w:r>
        <w:rPr>
          <w:rFonts w:ascii="Times New Roman" w:hAnsi="Times New Roman" w:cs="Times New Roman"/>
          <w:b/>
          <w:color w:val="000000" w:themeColor="text1"/>
          <w:szCs w:val="21"/>
          <w14:textFill>
            <w14:solidFill>
              <w14:schemeClr w14:val="tx1"/>
            </w14:solidFill>
          </w14:textFill>
        </w:rPr>
        <w:t>地表水功能敏感性分区</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7199"/>
      </w:tblGrid>
      <w:tr w14:paraId="3BD70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0" w:type="dxa"/>
            <w:vAlign w:val="center"/>
          </w:tcPr>
          <w:p w14:paraId="6FFD6CEF">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敏感性</w:t>
            </w:r>
          </w:p>
        </w:tc>
        <w:tc>
          <w:tcPr>
            <w:tcW w:w="7369" w:type="dxa"/>
            <w:vAlign w:val="center"/>
          </w:tcPr>
          <w:p w14:paraId="5353A2E8">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地表水环境敏感特征</w:t>
            </w:r>
          </w:p>
        </w:tc>
      </w:tr>
      <w:tr w14:paraId="593E6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0" w:type="dxa"/>
            <w:vAlign w:val="center"/>
          </w:tcPr>
          <w:p w14:paraId="1B027A2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敏感F1</w:t>
            </w:r>
          </w:p>
        </w:tc>
        <w:tc>
          <w:tcPr>
            <w:tcW w:w="7369" w:type="dxa"/>
            <w:vAlign w:val="center"/>
          </w:tcPr>
          <w:p w14:paraId="2B82229F">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排放点进入地表水水域环境功能为</w:t>
            </w:r>
            <w:r>
              <w:rPr>
                <w:rFonts w:hint="eastAsia"/>
                <w:color w:val="000000" w:themeColor="text1"/>
                <w:sz w:val="21"/>
                <w:szCs w:val="21"/>
                <w14:textFill>
                  <w14:solidFill>
                    <w14:schemeClr w14:val="tx1"/>
                  </w14:solidFill>
                </w14:textFill>
              </w:rPr>
              <w:t>Ⅱ</w:t>
            </w:r>
            <w:r>
              <w:rPr>
                <w:rFonts w:ascii="Times New Roman" w:hAnsi="Times New Roman" w:cs="Times New Roman"/>
                <w:color w:val="000000" w:themeColor="text1"/>
                <w:sz w:val="21"/>
                <w:szCs w:val="21"/>
                <w14:textFill>
                  <w14:solidFill>
                    <w14:schemeClr w14:val="tx1"/>
                  </w14:solidFill>
                </w14:textFill>
              </w:rPr>
              <w:t>类及以上，或海水水质分类第一类；或以发生事故时，危险物质泄漏到水体的排放点算起，排放进入受纳河流最大流速时，24h流经范围内涉跨国界的</w:t>
            </w:r>
          </w:p>
        </w:tc>
      </w:tr>
      <w:tr w14:paraId="3D0B3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0" w:type="dxa"/>
            <w:vAlign w:val="center"/>
          </w:tcPr>
          <w:p w14:paraId="3E47F7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较敏感F2</w:t>
            </w:r>
          </w:p>
        </w:tc>
        <w:tc>
          <w:tcPr>
            <w:tcW w:w="7369" w:type="dxa"/>
            <w:vAlign w:val="center"/>
          </w:tcPr>
          <w:p w14:paraId="15233E33">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排放点进入地表水水域环境功能为</w:t>
            </w:r>
            <w:r>
              <w:rPr>
                <w:rFonts w:hint="eastAsia"/>
                <w:color w:val="000000" w:themeColor="text1"/>
                <w:sz w:val="21"/>
                <w:szCs w:val="21"/>
                <w14:textFill>
                  <w14:solidFill>
                    <w14:schemeClr w14:val="tx1"/>
                  </w14:solidFill>
                </w14:textFill>
              </w:rPr>
              <w:t>Ⅲ</w:t>
            </w:r>
            <w:r>
              <w:rPr>
                <w:rFonts w:ascii="Times New Roman" w:hAnsi="Times New Roman" w:cs="Times New Roman"/>
                <w:color w:val="000000" w:themeColor="text1"/>
                <w:sz w:val="21"/>
                <w:szCs w:val="21"/>
                <w14:textFill>
                  <w14:solidFill>
                    <w14:schemeClr w14:val="tx1"/>
                  </w14:solidFill>
                </w14:textFill>
              </w:rPr>
              <w:t>类，或海水水质分类第二类；或以发生事故时，危险物质泄漏到水体的排放点算起，排放进入受纳河流最大流速时，24h流经范围内涉跨省界的</w:t>
            </w:r>
          </w:p>
        </w:tc>
      </w:tr>
      <w:tr w14:paraId="50D6C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0" w:type="dxa"/>
            <w:shd w:val="clear" w:color="auto" w:fill="D8D8D8" w:themeFill="background1" w:themeFillShade="D9"/>
            <w:vAlign w:val="center"/>
          </w:tcPr>
          <w:p w14:paraId="5E1946B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低敏感F3</w:t>
            </w:r>
          </w:p>
        </w:tc>
        <w:tc>
          <w:tcPr>
            <w:tcW w:w="7369" w:type="dxa"/>
            <w:shd w:val="clear" w:color="auto" w:fill="D8D8D8" w:themeFill="background1" w:themeFillShade="D9"/>
            <w:vAlign w:val="center"/>
          </w:tcPr>
          <w:p w14:paraId="45010491">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上述地区之外的其他地区</w:t>
            </w:r>
          </w:p>
        </w:tc>
      </w:tr>
    </w:tbl>
    <w:p w14:paraId="74A550FD">
      <w:pPr>
        <w:spacing w:before="120" w:beforeLines="50"/>
        <w:jc w:val="center"/>
        <w:rPr>
          <w:rFonts w:ascii="Times New Roman" w:hAnsi="Times New Roman" w:cs="Times New Roman"/>
          <w:bCs/>
          <w:color w:val="000000" w:themeColor="text1"/>
          <w:szCs w:val="21"/>
          <w14:textFill>
            <w14:solidFill>
              <w14:schemeClr w14:val="tx1"/>
            </w14:solidFill>
          </w14:textFill>
        </w:rPr>
      </w:pPr>
      <w:bookmarkStart w:id="144" w:name="_Ref6145463"/>
    </w:p>
    <w:p w14:paraId="06876DB6">
      <w:pPr>
        <w:spacing w:before="120" w:beforeLines="50"/>
        <w:jc w:val="center"/>
        <w:rPr>
          <w:rFonts w:ascii="Times New Roman" w:hAnsi="Times New Roman" w:cs="Times New Roman"/>
          <w:b/>
          <w:color w:val="000000" w:themeColor="text1"/>
          <w:szCs w:val="21"/>
          <w14:textFill>
            <w14:solidFill>
              <w14:schemeClr w14:val="tx1"/>
            </w14:solidFill>
          </w14:textFill>
        </w:rPr>
      </w:pPr>
      <w:r>
        <w:rPr>
          <w:rFonts w:ascii="Times New Roman" w:hAnsi="Times New Roman" w:cs="Times New Roman"/>
          <w:b/>
          <w:color w:val="000000" w:themeColor="text1"/>
          <w:szCs w:val="21"/>
          <w14:textFill>
            <w14:solidFill>
              <w14:schemeClr w14:val="tx1"/>
            </w14:solidFill>
          </w14:textFill>
        </w:rPr>
        <w:t>表</w:t>
      </w:r>
      <w:bookmarkEnd w:id="144"/>
      <w:r>
        <w:rPr>
          <w:rFonts w:ascii="Times New Roman" w:hAnsi="Times New Roman" w:cs="Times New Roman"/>
          <w:b/>
          <w:color w:val="000000" w:themeColor="text1"/>
          <w:szCs w:val="21"/>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 xml:space="preserve">-9 </w:t>
      </w:r>
      <w:r>
        <w:rPr>
          <w:rFonts w:ascii="Times New Roman" w:hAnsi="Times New Roman" w:cs="Times New Roman"/>
          <w:b/>
          <w:color w:val="000000" w:themeColor="text1"/>
          <w:szCs w:val="21"/>
          <w14:textFill>
            <w14:solidFill>
              <w14:schemeClr w14:val="tx1"/>
            </w14:solidFill>
          </w14:textFill>
        </w:rPr>
        <w:t>环境敏感目标分级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8"/>
        <w:gridCol w:w="7635"/>
      </w:tblGrid>
      <w:tr w14:paraId="18E16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59" w:type="dxa"/>
            <w:vAlign w:val="center"/>
          </w:tcPr>
          <w:p w14:paraId="365DF710">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分级</w:t>
            </w:r>
          </w:p>
        </w:tc>
        <w:tc>
          <w:tcPr>
            <w:tcW w:w="8442" w:type="dxa"/>
            <w:vAlign w:val="center"/>
          </w:tcPr>
          <w:p w14:paraId="608847A4">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环境敏感目标</w:t>
            </w:r>
          </w:p>
        </w:tc>
      </w:tr>
      <w:tr w14:paraId="4EAB1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9" w:hRule="atLeast"/>
          <w:jc w:val="center"/>
        </w:trPr>
        <w:tc>
          <w:tcPr>
            <w:tcW w:w="959" w:type="dxa"/>
            <w:shd w:val="clear" w:color="auto" w:fill="D8D8D8" w:themeFill="background1" w:themeFillShade="D9"/>
            <w:vAlign w:val="center"/>
          </w:tcPr>
          <w:p w14:paraId="79B1365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S1</w:t>
            </w:r>
          </w:p>
        </w:tc>
        <w:tc>
          <w:tcPr>
            <w:tcW w:w="8442" w:type="dxa"/>
            <w:shd w:val="clear" w:color="auto" w:fill="D8D8D8" w:themeFill="background1" w:themeFillShade="D9"/>
            <w:vAlign w:val="center"/>
          </w:tcPr>
          <w:p w14:paraId="7034494C">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43F21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8" w:hRule="atLeast"/>
          <w:jc w:val="center"/>
        </w:trPr>
        <w:tc>
          <w:tcPr>
            <w:tcW w:w="959" w:type="dxa"/>
            <w:vAlign w:val="center"/>
          </w:tcPr>
          <w:p w14:paraId="4D6438C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S2</w:t>
            </w:r>
          </w:p>
        </w:tc>
        <w:tc>
          <w:tcPr>
            <w:tcW w:w="8442" w:type="dxa"/>
            <w:vAlign w:val="center"/>
          </w:tcPr>
          <w:p w14:paraId="6401CD4F">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3C659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959" w:type="dxa"/>
            <w:vAlign w:val="center"/>
          </w:tcPr>
          <w:p w14:paraId="3AD1901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S3</w:t>
            </w:r>
          </w:p>
        </w:tc>
        <w:tc>
          <w:tcPr>
            <w:tcW w:w="8442" w:type="dxa"/>
            <w:vAlign w:val="center"/>
          </w:tcPr>
          <w:p w14:paraId="6DB531B7">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排放点下游（顺水流向）10km范围、近岸海域一个潮周期水质点可能达到的最大水平距离的两倍范围内无上述类型1和类型2包括的敏感保护目标。</w:t>
            </w:r>
          </w:p>
        </w:tc>
      </w:tr>
    </w:tbl>
    <w:p w14:paraId="3F3BCF46">
      <w:pPr>
        <w:autoSpaceDE w:val="0"/>
        <w:autoSpaceDN w:val="0"/>
        <w:adjustRightInd w:val="0"/>
        <w:spacing w:before="120" w:beforeLines="50" w:line="360" w:lineRule="auto"/>
        <w:ind w:firstLine="480" w:firstLineChars="200"/>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本项目产生的</w:t>
      </w:r>
      <w:r>
        <w:rPr>
          <w:rFonts w:hint="eastAsia" w:ascii="Times New Roman" w:hAnsi="Times New Roman" w:cs="Times New Roman"/>
          <w:color w:val="000000" w:themeColor="text1"/>
          <w14:textFill>
            <w14:solidFill>
              <w14:schemeClr w14:val="tx1"/>
            </w14:solidFill>
          </w14:textFill>
        </w:rPr>
        <w:t>场地清洗废水、初期雨水</w:t>
      </w:r>
      <w:r>
        <w:rPr>
          <w:rFonts w:ascii="Times New Roman" w:hAnsi="Times New Roman" w:cs="Times New Roman"/>
          <w:color w:val="000000" w:themeColor="text1"/>
          <w14:textFill>
            <w14:solidFill>
              <w14:schemeClr w14:val="tx1"/>
            </w14:solidFill>
          </w14:textFill>
        </w:rPr>
        <w:t>和生活污水均排入</w:t>
      </w:r>
      <w:r>
        <w:rPr>
          <w:rFonts w:hint="eastAsia" w:ascii="Times New Roman" w:hAnsi="Times New Roman" w:cs="Times New Roman"/>
          <w:color w:val="000000" w:themeColor="text1"/>
          <w14:textFill>
            <w14:solidFill>
              <w14:schemeClr w14:val="tx1"/>
            </w14:solidFill>
          </w14:textFill>
        </w:rPr>
        <w:t>广西恒逸污水处理厂</w:t>
      </w:r>
      <w:r>
        <w:rPr>
          <w:rFonts w:ascii="Times New Roman" w:hAnsi="Times New Roman" w:cs="Times New Roman"/>
          <w:color w:val="000000" w:themeColor="text1"/>
          <w14:textFill>
            <w14:solidFill>
              <w14:schemeClr w14:val="tx1"/>
            </w14:solidFill>
          </w14:textFill>
        </w:rPr>
        <w:t>集中处理，无直接外排废水，南面厂界外海域海水水质为第四类，地表水敏感特征为低敏感F3。本项目最近的环境风险受体为广西茅尾海红树林自治区级自然保护区（七十二泾片），位于项目西北方向，距离厂界约</w:t>
      </w:r>
      <w:r>
        <w:rPr>
          <w:rFonts w:hint="eastAsia" w:ascii="Times New Roman" w:hAnsi="Times New Roman" w:cs="Times New Roman"/>
          <w:color w:val="000000" w:themeColor="text1"/>
          <w14:textFill>
            <w14:solidFill>
              <w14:schemeClr w14:val="tx1"/>
            </w14:solidFill>
          </w14:textFill>
        </w:rPr>
        <w:t>3.8km</w:t>
      </w:r>
      <w:r>
        <w:rPr>
          <w:rFonts w:ascii="Times New Roman" w:hAnsi="Times New Roman" w:cs="Times New Roman"/>
          <w:color w:val="000000" w:themeColor="text1"/>
          <w14:textFill>
            <w14:solidFill>
              <w14:schemeClr w14:val="tx1"/>
            </w14:solidFill>
          </w14:textFill>
        </w:rPr>
        <w:t>，近岸海域一个潮周期水质点可能达到的最大水平距离的两倍范围内，因此，环境敏感目标分级为S</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w:t>
      </w:r>
    </w:p>
    <w:p w14:paraId="5C44A644">
      <w:pPr>
        <w:autoSpaceDE w:val="0"/>
        <w:autoSpaceDN w:val="0"/>
        <w:adjustRightInd w:val="0"/>
        <w:spacing w:line="360" w:lineRule="auto"/>
        <w:ind w:firstLine="480" w:firstLineChars="200"/>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综上，本项目地表水环境敏感程度为环境低敏度敏感区E</w:t>
      </w:r>
      <w:r>
        <w:rPr>
          <w:rFonts w:hint="eastAsia" w:ascii="Times New Roman" w:hAnsi="Times New Roman" w:cs="Times New Roman"/>
          <w:bCs/>
          <w:color w:val="000000" w:themeColor="text1"/>
          <w:szCs w:val="21"/>
          <w14:textFill>
            <w14:solidFill>
              <w14:schemeClr w14:val="tx1"/>
            </w14:solidFill>
          </w14:textFill>
        </w:rPr>
        <w:t>2</w:t>
      </w:r>
      <w:r>
        <w:rPr>
          <w:rFonts w:ascii="Times New Roman" w:hAnsi="Times New Roman" w:cs="Times New Roman"/>
          <w:bCs/>
          <w:color w:val="000000" w:themeColor="text1"/>
          <w:szCs w:val="21"/>
          <w14:textFill>
            <w14:solidFill>
              <w14:schemeClr w14:val="tx1"/>
            </w14:solidFill>
          </w14:textFill>
        </w:rPr>
        <w:t>。</w:t>
      </w:r>
    </w:p>
    <w:p w14:paraId="6FD4FA72">
      <w:pPr>
        <w:pStyle w:val="4003"/>
        <w:rPr>
          <w:color w:val="FF0000"/>
        </w:rPr>
      </w:pPr>
      <w:bookmarkStart w:id="145" w:name="_Toc95759361"/>
      <w:r>
        <w:rPr>
          <w:color w:val="000000" w:themeColor="text1"/>
          <w14:textFill>
            <w14:solidFill>
              <w14:schemeClr w14:val="tx1"/>
            </w14:solidFill>
          </w14:textFill>
        </w:rPr>
        <w:t>6.3.3地下水环境</w:t>
      </w:r>
      <w:bookmarkEnd w:id="145"/>
    </w:p>
    <w:p w14:paraId="4901CCED">
      <w:pPr>
        <w:pStyle w:val="703"/>
        <w:adjustRightInd w:val="0"/>
        <w:ind w:firstLine="48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依据地下水功能敏感性与包气带防污性能，共分为三种类型，E1为环境高度敏感区，E2为环境中度敏感区，E3为环境低度敏感区，分级原则见</w:t>
      </w:r>
      <w:r>
        <w:rPr>
          <w:rFonts w:ascii="Times New Roman" w:hAnsi="Times New Roman"/>
          <w:bCs/>
          <w:color w:val="000000" w:themeColor="text1"/>
          <w:szCs w:val="21"/>
          <w14:textFill>
            <w14:solidFill>
              <w14:schemeClr w14:val="tx1"/>
            </w14:solidFill>
          </w14:textFill>
        </w:rPr>
        <w:fldChar w:fldCharType="begin"/>
      </w:r>
      <w:r>
        <w:rPr>
          <w:rFonts w:ascii="Times New Roman" w:hAnsi="Times New Roman"/>
          <w:bCs/>
          <w:color w:val="000000" w:themeColor="text1"/>
          <w:szCs w:val="21"/>
          <w14:textFill>
            <w14:solidFill>
              <w14:schemeClr w14:val="tx1"/>
            </w14:solidFill>
          </w14:textFill>
        </w:rPr>
        <w:instrText xml:space="preserve"> REF _Ref6145475 \h  \* MERGEFORMAT </w:instrText>
      </w:r>
      <w:r>
        <w:rPr>
          <w:rFonts w:ascii="Times New Roman" w:hAnsi="Times New Roman"/>
          <w:bCs/>
          <w:color w:val="000000" w:themeColor="text1"/>
          <w:szCs w:val="21"/>
          <w14:textFill>
            <w14:solidFill>
              <w14:schemeClr w14:val="tx1"/>
            </w14:solidFill>
          </w14:textFill>
        </w:rPr>
        <w:fldChar w:fldCharType="separate"/>
      </w:r>
      <w:r>
        <w:rPr>
          <w:rFonts w:ascii="Times New Roman" w:hAnsi="Times New Roman"/>
          <w:bCs/>
          <w:color w:val="000000" w:themeColor="text1"/>
          <w:szCs w:val="21"/>
          <w14:textFill>
            <w14:solidFill>
              <w14:schemeClr w14:val="tx1"/>
            </w14:solidFill>
          </w14:textFill>
        </w:rPr>
        <w:t>表</w:t>
      </w:r>
      <w:r>
        <w:rPr>
          <w:rFonts w:ascii="Times New Roman" w:hAnsi="Times New Roman"/>
          <w:bCs/>
          <w:color w:val="000000" w:themeColor="text1"/>
          <w:szCs w:val="21"/>
          <w14:textFill>
            <w14:solidFill>
              <w14:schemeClr w14:val="tx1"/>
            </w14:solidFill>
          </w14:textFill>
        </w:rPr>
        <w:fldChar w:fldCharType="end"/>
      </w:r>
      <w:r>
        <w:rPr>
          <w:rFonts w:ascii="Times New Roman" w:hAnsi="Times New Roman"/>
          <w:bCs/>
          <w:color w:val="000000" w:themeColor="text1"/>
          <w:szCs w:val="21"/>
          <w14:textFill>
            <w14:solidFill>
              <w14:schemeClr w14:val="tx1"/>
            </w14:solidFill>
          </w14:textFill>
        </w:rPr>
        <w:t>。其中地下水功能敏感性分区和包气带防污性能分级分别见</w:t>
      </w:r>
      <w:r>
        <w:rPr>
          <w:rFonts w:ascii="Times New Roman" w:hAnsi="Times New Roman"/>
          <w:bCs/>
          <w:color w:val="000000" w:themeColor="text1"/>
          <w:szCs w:val="21"/>
          <w14:textFill>
            <w14:solidFill>
              <w14:schemeClr w14:val="tx1"/>
            </w14:solidFill>
          </w14:textFill>
        </w:rPr>
        <w:fldChar w:fldCharType="begin"/>
      </w:r>
      <w:r>
        <w:rPr>
          <w:rFonts w:ascii="Times New Roman" w:hAnsi="Times New Roman"/>
          <w:bCs/>
          <w:color w:val="000000" w:themeColor="text1"/>
          <w:szCs w:val="21"/>
          <w14:textFill>
            <w14:solidFill>
              <w14:schemeClr w14:val="tx1"/>
            </w14:solidFill>
          </w14:textFill>
        </w:rPr>
        <w:instrText xml:space="preserve"> REF _Ref6145479 \h  \* MERGEFORMAT </w:instrText>
      </w:r>
      <w:r>
        <w:rPr>
          <w:rFonts w:ascii="Times New Roman" w:hAnsi="Times New Roman"/>
          <w:bCs/>
          <w:color w:val="000000" w:themeColor="text1"/>
          <w:szCs w:val="21"/>
          <w14:textFill>
            <w14:solidFill>
              <w14:schemeClr w14:val="tx1"/>
            </w14:solidFill>
          </w14:textFill>
        </w:rPr>
        <w:fldChar w:fldCharType="separate"/>
      </w:r>
    </w:p>
    <w:p w14:paraId="0DE65347">
      <w:pPr>
        <w:spacing w:before="120" w:beforeLines="50"/>
        <w:jc w:val="center"/>
        <w:rPr>
          <w:rFonts w:ascii="Times New Roman" w:hAnsi="Times New Roman" w:cs="Times New Roman"/>
          <w:bCs/>
          <w:color w:val="000000" w:themeColor="text1"/>
          <w:szCs w:val="21"/>
          <w14:textFill>
            <w14:solidFill>
              <w14:schemeClr w14:val="tx1"/>
            </w14:solidFill>
          </w14:textFill>
        </w:rPr>
      </w:pPr>
    </w:p>
    <w:p w14:paraId="5E826193">
      <w:pPr>
        <w:pStyle w:val="703"/>
        <w:adjustRightInd w:val="0"/>
        <w:ind w:firstLine="480"/>
        <w:textAlignment w:val="baseline"/>
        <w:rPr>
          <w:rFonts w:ascii="Times New Roman" w:hAnsi="Times New Roman"/>
          <w:bCs/>
          <w:color w:val="000000" w:themeColor="text1"/>
          <w:szCs w:val="21"/>
          <w14:textFill>
            <w14:solidFill>
              <w14:schemeClr w14:val="tx1"/>
            </w14:solidFill>
          </w14:textFill>
        </w:rPr>
      </w:pPr>
      <w:r>
        <w:rPr>
          <w:rFonts w:ascii="Times New Roman" w:hAnsi="Times New Roman"/>
          <w:b/>
          <w:color w:val="000000" w:themeColor="text1"/>
          <w:szCs w:val="21"/>
          <w14:textFill>
            <w14:solidFill>
              <w14:schemeClr w14:val="tx1"/>
            </w14:solidFill>
          </w14:textFill>
        </w:rPr>
        <w:t>表</w:t>
      </w:r>
      <w:r>
        <w:rPr>
          <w:rFonts w:ascii="Times New Roman" w:hAnsi="Times New Roman"/>
          <w:bCs/>
          <w:color w:val="000000" w:themeColor="text1"/>
          <w:szCs w:val="21"/>
          <w14:textFill>
            <w14:solidFill>
              <w14:schemeClr w14:val="tx1"/>
            </w14:solidFill>
          </w14:textFill>
        </w:rPr>
        <w:fldChar w:fldCharType="end"/>
      </w:r>
      <w:r>
        <w:rPr>
          <w:rFonts w:ascii="Times New Roman" w:hAnsi="Times New Roman"/>
          <w:bCs/>
          <w:color w:val="000000" w:themeColor="text1"/>
          <w:szCs w:val="21"/>
          <w14:textFill>
            <w14:solidFill>
              <w14:schemeClr w14:val="tx1"/>
            </w14:solidFill>
          </w14:textFill>
        </w:rPr>
        <w:t>6-9和</w:t>
      </w:r>
      <w:r>
        <w:rPr>
          <w:rFonts w:ascii="Times New Roman" w:hAnsi="Times New Roman"/>
          <w:bCs/>
          <w:color w:val="000000" w:themeColor="text1"/>
          <w:szCs w:val="21"/>
          <w14:textFill>
            <w14:solidFill>
              <w14:schemeClr w14:val="tx1"/>
            </w14:solidFill>
          </w14:textFill>
        </w:rPr>
        <w:fldChar w:fldCharType="begin"/>
      </w:r>
      <w:r>
        <w:rPr>
          <w:rFonts w:ascii="Times New Roman" w:hAnsi="Times New Roman"/>
          <w:bCs/>
          <w:color w:val="000000" w:themeColor="text1"/>
          <w:szCs w:val="21"/>
          <w14:textFill>
            <w14:solidFill>
              <w14:schemeClr w14:val="tx1"/>
            </w14:solidFill>
          </w14:textFill>
        </w:rPr>
        <w:instrText xml:space="preserve"> REF _Ref6145484 \h  \* MERGEFORMAT </w:instrText>
      </w:r>
      <w:r>
        <w:rPr>
          <w:rFonts w:ascii="Times New Roman" w:hAnsi="Times New Roman"/>
          <w:bCs/>
          <w:color w:val="000000" w:themeColor="text1"/>
          <w:szCs w:val="21"/>
          <w14:textFill>
            <w14:solidFill>
              <w14:schemeClr w14:val="tx1"/>
            </w14:solidFill>
          </w14:textFill>
        </w:rPr>
        <w:fldChar w:fldCharType="separate"/>
      </w:r>
      <w:r>
        <w:rPr>
          <w:rFonts w:ascii="Times New Roman" w:hAnsi="Times New Roman"/>
          <w:bCs/>
          <w:color w:val="000000" w:themeColor="text1"/>
          <w:szCs w:val="21"/>
          <w14:textFill>
            <w14:solidFill>
              <w14:schemeClr w14:val="tx1"/>
            </w14:solidFill>
          </w14:textFill>
        </w:rPr>
        <w:t>表</w:t>
      </w:r>
      <w:r>
        <w:rPr>
          <w:rFonts w:ascii="Times New Roman" w:hAnsi="Times New Roman"/>
          <w:bCs/>
          <w:color w:val="000000" w:themeColor="text1"/>
          <w:szCs w:val="21"/>
          <w14:textFill>
            <w14:solidFill>
              <w14:schemeClr w14:val="tx1"/>
            </w14:solidFill>
          </w14:textFill>
        </w:rPr>
        <w:fldChar w:fldCharType="end"/>
      </w:r>
      <w:r>
        <w:rPr>
          <w:rFonts w:ascii="Times New Roman" w:hAnsi="Times New Roman"/>
          <w:bCs/>
          <w:color w:val="000000" w:themeColor="text1"/>
          <w:szCs w:val="21"/>
          <w14:textFill>
            <w14:solidFill>
              <w14:schemeClr w14:val="tx1"/>
            </w14:solidFill>
          </w14:textFill>
        </w:rPr>
        <w:t>6-10。当同一建设项目涉及两个G分区或D分级及以上时，取相对高值。</w:t>
      </w:r>
    </w:p>
    <w:p w14:paraId="734F1B82">
      <w:pPr>
        <w:jc w:val="center"/>
        <w:rPr>
          <w:rFonts w:ascii="Times New Roman" w:hAnsi="Times New Roman" w:cs="Times New Roman"/>
          <w:b/>
          <w:color w:val="000000" w:themeColor="text1"/>
          <w:szCs w:val="21"/>
          <w14:textFill>
            <w14:solidFill>
              <w14:schemeClr w14:val="tx1"/>
            </w14:solidFill>
          </w14:textFill>
        </w:rPr>
      </w:pPr>
      <w:bookmarkStart w:id="146" w:name="_Ref6145475"/>
      <w:r>
        <w:rPr>
          <w:rFonts w:ascii="Times New Roman" w:hAnsi="Times New Roman" w:cs="Times New Roman"/>
          <w:b/>
          <w:color w:val="000000" w:themeColor="text1"/>
          <w:szCs w:val="21"/>
          <w14:textFill>
            <w14:solidFill>
              <w14:schemeClr w14:val="tx1"/>
            </w14:solidFill>
          </w14:textFill>
        </w:rPr>
        <w:t>表</w:t>
      </w:r>
      <w:bookmarkEnd w:id="146"/>
      <w:r>
        <w:rPr>
          <w:rFonts w:ascii="Times New Roman" w:hAnsi="Times New Roman" w:cs="Times New Roman"/>
          <w:b/>
          <w:color w:val="000000" w:themeColor="text1"/>
          <w:szCs w:val="21"/>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10</w:t>
      </w:r>
      <w:r>
        <w:rPr>
          <w:rFonts w:ascii="Times New Roman" w:hAnsi="Times New Roman" w:cs="Times New Roman"/>
          <w:b/>
          <w:color w:val="000000" w:themeColor="text1"/>
          <w:szCs w:val="21"/>
          <w14:textFill>
            <w14:solidFill>
              <w14:schemeClr w14:val="tx1"/>
            </w14:solidFill>
          </w14:textFill>
        </w:rPr>
        <w:t>地下水环境敏感程度分级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98"/>
        <w:gridCol w:w="1974"/>
        <w:gridCol w:w="1974"/>
        <w:gridCol w:w="1977"/>
      </w:tblGrid>
      <w:tr w14:paraId="3E433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72" w:type="dxa"/>
            <w:vMerge w:val="restart"/>
            <w:vAlign w:val="center"/>
          </w:tcPr>
          <w:p w14:paraId="7559B117">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包气带防污性能</w:t>
            </w:r>
          </w:p>
        </w:tc>
        <w:tc>
          <w:tcPr>
            <w:tcW w:w="6529" w:type="dxa"/>
            <w:gridSpan w:val="3"/>
            <w:vAlign w:val="center"/>
          </w:tcPr>
          <w:p w14:paraId="5BA06583">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地下水功能敏感性</w:t>
            </w:r>
          </w:p>
        </w:tc>
      </w:tr>
      <w:tr w14:paraId="1C6E9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72" w:type="dxa"/>
            <w:vMerge w:val="continue"/>
            <w:vAlign w:val="center"/>
          </w:tcPr>
          <w:p w14:paraId="378D10E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p>
        </w:tc>
        <w:tc>
          <w:tcPr>
            <w:tcW w:w="2175" w:type="dxa"/>
            <w:vAlign w:val="center"/>
          </w:tcPr>
          <w:p w14:paraId="0799A8F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G1</w:t>
            </w:r>
          </w:p>
        </w:tc>
        <w:tc>
          <w:tcPr>
            <w:tcW w:w="2175" w:type="dxa"/>
            <w:vAlign w:val="center"/>
          </w:tcPr>
          <w:p w14:paraId="08C4B57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G2</w:t>
            </w:r>
          </w:p>
        </w:tc>
        <w:tc>
          <w:tcPr>
            <w:tcW w:w="2179" w:type="dxa"/>
            <w:vAlign w:val="center"/>
          </w:tcPr>
          <w:p w14:paraId="601C9C7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G3</w:t>
            </w:r>
          </w:p>
        </w:tc>
      </w:tr>
      <w:tr w14:paraId="3F552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72" w:type="dxa"/>
            <w:vAlign w:val="center"/>
          </w:tcPr>
          <w:p w14:paraId="4279214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D1</w:t>
            </w:r>
          </w:p>
        </w:tc>
        <w:tc>
          <w:tcPr>
            <w:tcW w:w="2175" w:type="dxa"/>
            <w:vAlign w:val="center"/>
          </w:tcPr>
          <w:p w14:paraId="4721B25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w:t>
            </w:r>
          </w:p>
        </w:tc>
        <w:tc>
          <w:tcPr>
            <w:tcW w:w="2175" w:type="dxa"/>
            <w:vAlign w:val="center"/>
          </w:tcPr>
          <w:p w14:paraId="4E03BBD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w:t>
            </w:r>
          </w:p>
        </w:tc>
        <w:tc>
          <w:tcPr>
            <w:tcW w:w="2179" w:type="dxa"/>
            <w:vAlign w:val="center"/>
          </w:tcPr>
          <w:p w14:paraId="2D45DAC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E2</w:t>
            </w:r>
          </w:p>
        </w:tc>
      </w:tr>
      <w:tr w14:paraId="64ED9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72" w:type="dxa"/>
            <w:vAlign w:val="center"/>
          </w:tcPr>
          <w:p w14:paraId="730F36F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D2</w:t>
            </w:r>
          </w:p>
        </w:tc>
        <w:tc>
          <w:tcPr>
            <w:tcW w:w="2175" w:type="dxa"/>
            <w:vAlign w:val="center"/>
          </w:tcPr>
          <w:p w14:paraId="7523295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E1</w:t>
            </w:r>
          </w:p>
        </w:tc>
        <w:tc>
          <w:tcPr>
            <w:tcW w:w="2175" w:type="dxa"/>
            <w:vAlign w:val="center"/>
          </w:tcPr>
          <w:p w14:paraId="093466C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E2</w:t>
            </w:r>
          </w:p>
        </w:tc>
        <w:tc>
          <w:tcPr>
            <w:tcW w:w="2179" w:type="dxa"/>
            <w:shd w:val="clear" w:color="auto" w:fill="D8D8D8" w:themeFill="background1" w:themeFillShade="D9"/>
            <w:vAlign w:val="center"/>
          </w:tcPr>
          <w:p w14:paraId="3E068E2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E3</w:t>
            </w:r>
          </w:p>
        </w:tc>
      </w:tr>
      <w:tr w14:paraId="666B1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72" w:type="dxa"/>
            <w:vAlign w:val="center"/>
          </w:tcPr>
          <w:p w14:paraId="04460A0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D3</w:t>
            </w:r>
          </w:p>
        </w:tc>
        <w:tc>
          <w:tcPr>
            <w:tcW w:w="2175" w:type="dxa"/>
            <w:vAlign w:val="center"/>
          </w:tcPr>
          <w:p w14:paraId="4470377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E2</w:t>
            </w:r>
          </w:p>
        </w:tc>
        <w:tc>
          <w:tcPr>
            <w:tcW w:w="2175" w:type="dxa"/>
            <w:vAlign w:val="center"/>
          </w:tcPr>
          <w:p w14:paraId="69483AA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E3</w:t>
            </w:r>
          </w:p>
        </w:tc>
        <w:tc>
          <w:tcPr>
            <w:tcW w:w="2179" w:type="dxa"/>
            <w:vAlign w:val="center"/>
          </w:tcPr>
          <w:p w14:paraId="236046C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E3</w:t>
            </w:r>
          </w:p>
        </w:tc>
      </w:tr>
    </w:tbl>
    <w:p w14:paraId="10DBA21D">
      <w:pPr>
        <w:spacing w:before="120" w:beforeLines="50"/>
        <w:jc w:val="center"/>
        <w:rPr>
          <w:rFonts w:ascii="Times New Roman" w:hAnsi="Times New Roman" w:cs="Times New Roman"/>
          <w:bCs/>
          <w:color w:val="000000" w:themeColor="text1"/>
          <w:szCs w:val="21"/>
          <w14:textFill>
            <w14:solidFill>
              <w14:schemeClr w14:val="tx1"/>
            </w14:solidFill>
          </w14:textFill>
        </w:rPr>
      </w:pPr>
      <w:bookmarkStart w:id="147" w:name="_Ref6145479"/>
    </w:p>
    <w:p w14:paraId="547CA8A0">
      <w:pPr>
        <w:spacing w:before="120" w:beforeLines="50"/>
        <w:jc w:val="center"/>
        <w:rPr>
          <w:rFonts w:ascii="Times New Roman" w:hAnsi="Times New Roman" w:cs="Times New Roman"/>
          <w:bCs/>
          <w:color w:val="000000" w:themeColor="text1"/>
          <w:szCs w:val="21"/>
          <w14:textFill>
            <w14:solidFill>
              <w14:schemeClr w14:val="tx1"/>
            </w14:solidFill>
          </w14:textFill>
        </w:rPr>
      </w:pPr>
    </w:p>
    <w:p w14:paraId="50E84C46">
      <w:pPr>
        <w:spacing w:before="120" w:beforeLines="5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
          <w:color w:val="000000" w:themeColor="text1"/>
          <w:szCs w:val="21"/>
          <w14:textFill>
            <w14:solidFill>
              <w14:schemeClr w14:val="tx1"/>
            </w14:solidFill>
          </w14:textFill>
        </w:rPr>
        <w:t>表</w:t>
      </w:r>
      <w:bookmarkEnd w:id="147"/>
      <w:r>
        <w:rPr>
          <w:rFonts w:ascii="Times New Roman" w:hAnsi="Times New Roman" w:cs="Times New Roman"/>
          <w:b/>
          <w:color w:val="000000" w:themeColor="text1"/>
          <w:szCs w:val="21"/>
          <w14:textFill>
            <w14:solidFill>
              <w14:schemeClr w14:val="tx1"/>
            </w14:solidFill>
          </w14:textFill>
        </w:rPr>
        <w:t>6-1</w:t>
      </w:r>
      <w:r>
        <w:rPr>
          <w:rFonts w:hint="eastAsia" w:ascii="Times New Roman" w:hAnsi="Times New Roman" w:cs="Times New Roman"/>
          <w:b/>
          <w:color w:val="000000" w:themeColor="text1"/>
          <w:szCs w:val="21"/>
          <w14:textFill>
            <w14:solidFill>
              <w14:schemeClr w14:val="tx1"/>
            </w14:solidFill>
          </w14:textFill>
        </w:rPr>
        <w:t>1</w:t>
      </w:r>
      <w:r>
        <w:rPr>
          <w:rFonts w:ascii="Times New Roman" w:hAnsi="Times New Roman" w:cs="Times New Roman"/>
          <w:b/>
          <w:color w:val="000000" w:themeColor="text1"/>
          <w:szCs w:val="21"/>
          <w14:textFill>
            <w14:solidFill>
              <w14:schemeClr w14:val="tx1"/>
            </w14:solidFill>
          </w14:textFill>
        </w:rPr>
        <w:t>地下水功能敏感性分区</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0"/>
        <w:gridCol w:w="7303"/>
      </w:tblGrid>
      <w:tr w14:paraId="33ED6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27" w:type="dxa"/>
            <w:vAlign w:val="center"/>
          </w:tcPr>
          <w:p w14:paraId="09FB8CF1">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敏感性</w:t>
            </w:r>
          </w:p>
        </w:tc>
        <w:tc>
          <w:tcPr>
            <w:tcW w:w="8074" w:type="dxa"/>
            <w:vAlign w:val="center"/>
          </w:tcPr>
          <w:p w14:paraId="0A3CA24B">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地下水环境敏感特征</w:t>
            </w:r>
          </w:p>
        </w:tc>
      </w:tr>
      <w:tr w14:paraId="13A4B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 w:hRule="atLeast"/>
          <w:jc w:val="center"/>
        </w:trPr>
        <w:tc>
          <w:tcPr>
            <w:tcW w:w="1327" w:type="dxa"/>
            <w:vAlign w:val="center"/>
          </w:tcPr>
          <w:p w14:paraId="093DC15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敏感G1</w:t>
            </w:r>
          </w:p>
        </w:tc>
        <w:tc>
          <w:tcPr>
            <w:tcW w:w="8074" w:type="dxa"/>
            <w:vAlign w:val="center"/>
          </w:tcPr>
          <w:p w14:paraId="3ABFFEC6">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41693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1327" w:type="dxa"/>
            <w:vAlign w:val="center"/>
          </w:tcPr>
          <w:p w14:paraId="5740417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较敏感G2</w:t>
            </w:r>
          </w:p>
        </w:tc>
        <w:tc>
          <w:tcPr>
            <w:tcW w:w="8074" w:type="dxa"/>
            <w:vAlign w:val="center"/>
          </w:tcPr>
          <w:p w14:paraId="36101FD1">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ascii="Times New Roman" w:hAnsi="Times New Roman" w:cs="Times New Roman"/>
                <w:color w:val="000000" w:themeColor="text1"/>
                <w:sz w:val="21"/>
                <w:szCs w:val="21"/>
                <w:vertAlign w:val="superscript"/>
                <w14:textFill>
                  <w14:solidFill>
                    <w14:schemeClr w14:val="tx1"/>
                  </w14:solidFill>
                </w14:textFill>
              </w:rPr>
              <w:t>a</w:t>
            </w:r>
          </w:p>
        </w:tc>
      </w:tr>
      <w:tr w14:paraId="5F84C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shd w:val="clear" w:color="auto" w:fill="D8D8D8" w:themeFill="background1" w:themeFillShade="D9"/>
            <w:vAlign w:val="center"/>
          </w:tcPr>
          <w:p w14:paraId="60449CD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不敏感G3</w:t>
            </w:r>
          </w:p>
        </w:tc>
        <w:tc>
          <w:tcPr>
            <w:tcW w:w="8074" w:type="dxa"/>
            <w:shd w:val="clear" w:color="auto" w:fill="D8D8D8" w:themeFill="background1" w:themeFillShade="D9"/>
            <w:vAlign w:val="center"/>
          </w:tcPr>
          <w:p w14:paraId="0930F170">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上述地区之外的其他地区</w:t>
            </w:r>
          </w:p>
        </w:tc>
      </w:tr>
      <w:tr w14:paraId="4B1C2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01" w:type="dxa"/>
            <w:gridSpan w:val="2"/>
            <w:vAlign w:val="center"/>
          </w:tcPr>
          <w:p w14:paraId="316D09B2">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vertAlign w:val="superscript"/>
                <w14:textFill>
                  <w14:solidFill>
                    <w14:schemeClr w14:val="tx1"/>
                  </w14:solidFill>
                </w14:textFill>
              </w:rPr>
              <w:t>a</w:t>
            </w:r>
            <w:r>
              <w:rPr>
                <w:rFonts w:ascii="Times New Roman" w:hAnsi="Times New Roman" w:cs="Times New Roman"/>
                <w:color w:val="000000" w:themeColor="text1"/>
                <w:sz w:val="21"/>
                <w:szCs w:val="21"/>
                <w14:textFill>
                  <w14:solidFill>
                    <w14:schemeClr w14:val="tx1"/>
                  </w14:solidFill>
                </w14:textFill>
              </w:rPr>
              <w:t>“环境敏感区”是指《建设项目环境影响评价分类管理名录》中所界定的涉及地下水的环境敏感区</w:t>
            </w:r>
          </w:p>
        </w:tc>
      </w:tr>
    </w:tbl>
    <w:p w14:paraId="3A991CBC">
      <w:pPr>
        <w:spacing w:before="120" w:beforeLines="50"/>
        <w:jc w:val="center"/>
        <w:rPr>
          <w:rFonts w:ascii="Times New Roman" w:hAnsi="Times New Roman" w:cs="Times New Roman"/>
          <w:b/>
          <w:color w:val="000000" w:themeColor="text1"/>
          <w:szCs w:val="21"/>
          <w14:textFill>
            <w14:solidFill>
              <w14:schemeClr w14:val="tx1"/>
            </w14:solidFill>
          </w14:textFill>
        </w:rPr>
      </w:pPr>
      <w:bookmarkStart w:id="148" w:name="_Ref6145484"/>
      <w:r>
        <w:rPr>
          <w:rFonts w:ascii="Times New Roman" w:hAnsi="Times New Roman" w:cs="Times New Roman"/>
          <w:b/>
          <w:color w:val="000000" w:themeColor="text1"/>
          <w:szCs w:val="21"/>
          <w14:textFill>
            <w14:solidFill>
              <w14:schemeClr w14:val="tx1"/>
            </w14:solidFill>
          </w14:textFill>
        </w:rPr>
        <w:t>表</w:t>
      </w:r>
      <w:bookmarkEnd w:id="148"/>
      <w:r>
        <w:rPr>
          <w:rFonts w:ascii="Times New Roman" w:hAnsi="Times New Roman" w:cs="Times New Roman"/>
          <w:b/>
          <w:color w:val="000000" w:themeColor="text1"/>
          <w:szCs w:val="21"/>
          <w14:textFill>
            <w14:solidFill>
              <w14:schemeClr w14:val="tx1"/>
            </w14:solidFill>
          </w14:textFill>
        </w:rPr>
        <w:t>6-1</w:t>
      </w:r>
      <w:r>
        <w:rPr>
          <w:rFonts w:hint="eastAsia" w:ascii="Times New Roman" w:hAnsi="Times New Roman" w:cs="Times New Roman"/>
          <w:b/>
          <w:color w:val="000000" w:themeColor="text1"/>
          <w:szCs w:val="21"/>
          <w14:textFill>
            <w14:solidFill>
              <w14:schemeClr w14:val="tx1"/>
            </w14:solidFill>
          </w14:textFill>
        </w:rPr>
        <w:t>2</w:t>
      </w:r>
      <w:r>
        <w:rPr>
          <w:rFonts w:ascii="Times New Roman" w:hAnsi="Times New Roman" w:cs="Times New Roman"/>
          <w:b/>
          <w:color w:val="000000" w:themeColor="text1"/>
          <w:szCs w:val="21"/>
          <w14:textFill>
            <w14:solidFill>
              <w14:schemeClr w14:val="tx1"/>
            </w14:solidFill>
          </w14:textFill>
        </w:rPr>
        <w:t>包气带防污性能分级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0"/>
        <w:gridCol w:w="7303"/>
      </w:tblGrid>
      <w:tr w14:paraId="5DC38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vAlign w:val="center"/>
          </w:tcPr>
          <w:p w14:paraId="14DA3870">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分级</w:t>
            </w:r>
          </w:p>
        </w:tc>
        <w:tc>
          <w:tcPr>
            <w:tcW w:w="8074" w:type="dxa"/>
            <w:vAlign w:val="center"/>
          </w:tcPr>
          <w:p w14:paraId="7379F0C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包气带岩土的渗透性能</w:t>
            </w:r>
          </w:p>
        </w:tc>
      </w:tr>
      <w:tr w14:paraId="420B8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vAlign w:val="center"/>
          </w:tcPr>
          <w:p w14:paraId="7DD1814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D3</w:t>
            </w:r>
          </w:p>
        </w:tc>
        <w:tc>
          <w:tcPr>
            <w:tcW w:w="8074" w:type="dxa"/>
            <w:vAlign w:val="center"/>
          </w:tcPr>
          <w:p w14:paraId="05A4139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Mb≥1.0m，</w:t>
            </w:r>
            <w:r>
              <w:rPr>
                <w:rFonts w:ascii="Times New Roman" w:hAnsi="Times New Roman" w:cs="Times New Roman"/>
                <w:i/>
                <w:iCs/>
                <w:color w:val="000000" w:themeColor="text1"/>
                <w:sz w:val="21"/>
                <w:szCs w:val="21"/>
                <w14:textFill>
                  <w14:solidFill>
                    <w14:schemeClr w14:val="tx1"/>
                  </w14:solidFill>
                </w14:textFill>
              </w:rPr>
              <w:t>K</w:t>
            </w:r>
            <w:r>
              <w:rPr>
                <w:rFonts w:ascii="Times New Roman" w:hAnsi="Times New Roman" w:cs="Times New Roman"/>
                <w:color w:val="000000" w:themeColor="text1"/>
                <w:sz w:val="21"/>
                <w:szCs w:val="21"/>
                <w14:textFill>
                  <w14:solidFill>
                    <w14:schemeClr w14:val="tx1"/>
                  </w14:solidFill>
                </w14:textFill>
              </w:rPr>
              <w:t>≤1.0×10</w:t>
            </w:r>
            <w:r>
              <w:rPr>
                <w:rFonts w:ascii="Times New Roman" w:hAnsi="Times New Roman" w:cs="Times New Roman"/>
                <w:color w:val="000000" w:themeColor="text1"/>
                <w:sz w:val="21"/>
                <w:szCs w:val="21"/>
                <w:vertAlign w:val="superscript"/>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cm/s，且分布连续、稳定</w:t>
            </w:r>
          </w:p>
        </w:tc>
      </w:tr>
      <w:tr w14:paraId="0E65B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shd w:val="clear" w:color="auto" w:fill="D8D8D8" w:themeFill="background1" w:themeFillShade="D9"/>
            <w:vAlign w:val="center"/>
          </w:tcPr>
          <w:p w14:paraId="6C6AD7DC">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D2</w:t>
            </w:r>
          </w:p>
        </w:tc>
        <w:tc>
          <w:tcPr>
            <w:tcW w:w="8074" w:type="dxa"/>
            <w:shd w:val="clear" w:color="auto" w:fill="D8D8D8" w:themeFill="background1" w:themeFillShade="D9"/>
            <w:vAlign w:val="center"/>
          </w:tcPr>
          <w:p w14:paraId="4957439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0.5m≤Mb&lt;1.0m，</w:t>
            </w:r>
            <w:r>
              <w:rPr>
                <w:rFonts w:ascii="Times New Roman" w:hAnsi="Times New Roman" w:cs="Times New Roman"/>
                <w:i/>
                <w:iCs/>
                <w:color w:val="000000" w:themeColor="text1"/>
                <w:sz w:val="21"/>
                <w:szCs w:val="21"/>
                <w14:textFill>
                  <w14:solidFill>
                    <w14:schemeClr w14:val="tx1"/>
                  </w14:solidFill>
                </w14:textFill>
              </w:rPr>
              <w:t>K</w:t>
            </w:r>
            <w:r>
              <w:rPr>
                <w:rFonts w:ascii="Times New Roman" w:hAnsi="Times New Roman" w:cs="Times New Roman"/>
                <w:color w:val="000000" w:themeColor="text1"/>
                <w:sz w:val="21"/>
                <w:szCs w:val="21"/>
                <w14:textFill>
                  <w14:solidFill>
                    <w14:schemeClr w14:val="tx1"/>
                  </w14:solidFill>
                </w14:textFill>
              </w:rPr>
              <w:t>≤1.0×10</w:t>
            </w:r>
            <w:r>
              <w:rPr>
                <w:rFonts w:ascii="Times New Roman" w:hAnsi="Times New Roman" w:cs="Times New Roman"/>
                <w:color w:val="000000" w:themeColor="text1"/>
                <w:sz w:val="21"/>
                <w:szCs w:val="21"/>
                <w:vertAlign w:val="superscript"/>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cm/s，且分布连续、稳定</w:t>
            </w:r>
          </w:p>
          <w:p w14:paraId="1487A44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Mb≥1.0m，1.0×10</w:t>
            </w:r>
            <w:r>
              <w:rPr>
                <w:rFonts w:ascii="Times New Roman" w:hAnsi="Times New Roman" w:cs="Times New Roman"/>
                <w:color w:val="000000" w:themeColor="text1"/>
                <w:sz w:val="21"/>
                <w:szCs w:val="21"/>
                <w:vertAlign w:val="superscript"/>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cm/s＜</w:t>
            </w:r>
            <w:r>
              <w:rPr>
                <w:rFonts w:ascii="Times New Roman" w:hAnsi="Times New Roman" w:cs="Times New Roman"/>
                <w:i/>
                <w:iCs/>
                <w:color w:val="000000" w:themeColor="text1"/>
                <w:sz w:val="21"/>
                <w:szCs w:val="21"/>
                <w14:textFill>
                  <w14:solidFill>
                    <w14:schemeClr w14:val="tx1"/>
                  </w14:solidFill>
                </w14:textFill>
              </w:rPr>
              <w:t>K</w:t>
            </w:r>
            <w:r>
              <w:rPr>
                <w:rFonts w:ascii="Times New Roman" w:hAnsi="Times New Roman" w:cs="Times New Roman"/>
                <w:color w:val="000000" w:themeColor="text1"/>
                <w:sz w:val="21"/>
                <w:szCs w:val="21"/>
                <w14:textFill>
                  <w14:solidFill>
                    <w14:schemeClr w14:val="tx1"/>
                  </w14:solidFill>
                </w14:textFill>
              </w:rPr>
              <w:t>≤1.0×10</w:t>
            </w:r>
            <w:r>
              <w:rPr>
                <w:rFonts w:ascii="Times New Roman" w:hAnsi="Times New Roman" w:cs="Times New Roman"/>
                <w:color w:val="000000" w:themeColor="text1"/>
                <w:sz w:val="21"/>
                <w:szCs w:val="21"/>
                <w:vertAlign w:val="superscript"/>
                <w14:textFill>
                  <w14:solidFill>
                    <w14:schemeClr w14:val="tx1"/>
                  </w14:solidFill>
                </w14:textFill>
              </w:rPr>
              <w:t>-4</w:t>
            </w:r>
            <w:r>
              <w:rPr>
                <w:rFonts w:ascii="Times New Roman" w:hAnsi="Times New Roman" w:cs="Times New Roman"/>
                <w:color w:val="000000" w:themeColor="text1"/>
                <w:sz w:val="21"/>
                <w:szCs w:val="21"/>
                <w14:textFill>
                  <w14:solidFill>
                    <w14:schemeClr w14:val="tx1"/>
                  </w14:solidFill>
                </w14:textFill>
              </w:rPr>
              <w:t>cm/s，且分布连续、稳定</w:t>
            </w:r>
          </w:p>
        </w:tc>
      </w:tr>
      <w:tr w14:paraId="55669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7" w:type="dxa"/>
            <w:vAlign w:val="center"/>
          </w:tcPr>
          <w:p w14:paraId="044F39D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D1</w:t>
            </w:r>
          </w:p>
        </w:tc>
        <w:tc>
          <w:tcPr>
            <w:tcW w:w="8074" w:type="dxa"/>
            <w:vAlign w:val="center"/>
          </w:tcPr>
          <w:p w14:paraId="3693998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岩（土）层不满足上述“D2”和“D3”条件</w:t>
            </w:r>
          </w:p>
        </w:tc>
      </w:tr>
      <w:tr w14:paraId="46E78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01" w:type="dxa"/>
            <w:gridSpan w:val="2"/>
            <w:vAlign w:val="center"/>
          </w:tcPr>
          <w:p w14:paraId="7862BE5A">
            <w:pPr>
              <w:adjustRightInd w:val="0"/>
              <w:snapToGrid w:val="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Mb：岩土层单层厚度。</w:t>
            </w:r>
            <w:r>
              <w:rPr>
                <w:rFonts w:ascii="Times New Roman" w:hAnsi="Times New Roman" w:cs="Times New Roman"/>
                <w:i/>
                <w:iCs/>
                <w:color w:val="000000" w:themeColor="text1"/>
                <w:sz w:val="21"/>
                <w:szCs w:val="21"/>
                <w14:textFill>
                  <w14:solidFill>
                    <w14:schemeClr w14:val="tx1"/>
                  </w14:solidFill>
                </w14:textFill>
              </w:rPr>
              <w:t>K</w:t>
            </w:r>
            <w:r>
              <w:rPr>
                <w:rFonts w:ascii="Times New Roman" w:hAnsi="Times New Roman" w:cs="Times New Roman"/>
                <w:color w:val="000000" w:themeColor="text1"/>
                <w:sz w:val="21"/>
                <w:szCs w:val="21"/>
                <w14:textFill>
                  <w14:solidFill>
                    <w14:schemeClr w14:val="tx1"/>
                  </w14:solidFill>
                </w14:textFill>
              </w:rPr>
              <w:t>：渗透系数。</w:t>
            </w:r>
          </w:p>
        </w:tc>
      </w:tr>
    </w:tbl>
    <w:p w14:paraId="3C7CFCB9">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本项目所在区域不涉及G1、G2所列的集中式饮用水源准保护区、特殊地下水资源保护区等环境敏感区，地下水环境敏感性分区为不敏感G3。</w:t>
      </w:r>
      <w:r>
        <w:rPr>
          <w:rFonts w:hint="eastAsia" w:ascii="Times New Roman" w:hAnsi="Times New Roman" w:cs="Times New Roman"/>
          <w:color w:val="000000" w:themeColor="text1"/>
          <w14:textFill>
            <w14:solidFill>
              <w14:schemeClr w14:val="tx1"/>
            </w14:solidFill>
          </w14:textFill>
        </w:rPr>
        <w:t>本</w:t>
      </w:r>
      <w:r>
        <w:rPr>
          <w:rFonts w:ascii="Times New Roman" w:hAnsi="Times New Roman" w:cs="Times New Roman"/>
          <w:color w:val="000000" w:themeColor="text1"/>
          <w14:textFill>
            <w14:solidFill>
              <w14:schemeClr w14:val="tx1"/>
            </w14:solidFill>
          </w14:textFill>
        </w:rPr>
        <w:t>项目所在区域为填海造地，场地现状地形较平坦，现状地面标高约为4.04～5.51m。</w:t>
      </w:r>
      <w:r>
        <w:rPr>
          <w:rFonts w:hint="eastAsia" w:ascii="Times New Roman" w:hAnsi="Times New Roman" w:cs="Times New Roman"/>
          <w:color w:val="000000" w:themeColor="text1"/>
          <w14:textFill>
            <w14:solidFill>
              <w14:schemeClr w14:val="tx1"/>
            </w14:solidFill>
          </w14:textFill>
        </w:rPr>
        <w:t>东</w:t>
      </w:r>
      <w:r>
        <w:rPr>
          <w:rFonts w:ascii="Times New Roman" w:hAnsi="Times New Roman" w:cs="Times New Roman"/>
          <w:bCs/>
          <w:color w:val="000000" w:themeColor="text1"/>
          <w14:textFill>
            <w14:solidFill>
              <w14:schemeClr w14:val="tx1"/>
            </w14:solidFill>
          </w14:textFill>
        </w:rPr>
        <w:t>侧已建有海堤防护，海堤与本项目场地最近距离约为</w:t>
      </w:r>
      <w:r>
        <w:rPr>
          <w:rFonts w:hint="eastAsia" w:ascii="Times New Roman" w:hAnsi="Times New Roman" w:cs="Times New Roman"/>
          <w:bCs/>
          <w:color w:val="000000" w:themeColor="text1"/>
          <w14:textFill>
            <w14:solidFill>
              <w14:schemeClr w14:val="tx1"/>
            </w14:solidFill>
          </w14:textFill>
        </w:rPr>
        <w:t>105</w:t>
      </w:r>
      <w:r>
        <w:rPr>
          <w:rFonts w:ascii="Times New Roman" w:hAnsi="Times New Roman" w:cs="Times New Roman"/>
          <w:bCs/>
          <w:color w:val="000000" w:themeColor="text1"/>
          <w14:textFill>
            <w14:solidFill>
              <w14:schemeClr w14:val="tx1"/>
            </w14:solidFill>
          </w14:textFill>
        </w:rPr>
        <w:t>m，海水位标高为0.75～3.17m。</w:t>
      </w:r>
      <w:r>
        <w:rPr>
          <w:rFonts w:ascii="Times New Roman" w:hAnsi="Times New Roman" w:cs="Times New Roman"/>
          <w:color w:val="000000" w:themeColor="text1"/>
          <w14:textFill>
            <w14:solidFill>
              <w14:schemeClr w14:val="tx1"/>
            </w14:solidFill>
          </w14:textFill>
        </w:rPr>
        <w:t>场区上覆土层主要为素填土</w:t>
      </w:r>
      <w:r>
        <w:rPr>
          <w:rFonts w:hint="eastAsia"/>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，厚度5.2～12.10m；淤泥质粉质黏土</w:t>
      </w:r>
      <w:r>
        <w:rPr>
          <w:rFonts w:hint="eastAsia"/>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，厚度1.00～7.20m；强风化泥质粉砂岩</w:t>
      </w:r>
      <w:r>
        <w:rPr>
          <w:rFonts w:hint="eastAsia"/>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，厚度3.90～14.30m；中风化泥质粉砂岩</w:t>
      </w:r>
      <w:r>
        <w:rPr>
          <w:rFonts w:hint="eastAsia"/>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，厚度1.40～6.10m。最上层地下水为赋存于素填土</w:t>
      </w:r>
      <w:r>
        <w:rPr>
          <w:rFonts w:hint="eastAsia"/>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、淤泥质粉质黏土</w:t>
      </w:r>
      <w:r>
        <w:rPr>
          <w:rFonts w:hint="eastAsia"/>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层孔隙中的孔隙水，为上层滞水，主要接收场地及附近地表水、海水、大气降水下渗补给，向附近海域呈渗流排泄或蒸发，水位及水量随季节及周边地表水变化而变化。该层水位埋深3.87～4.33m，高程为0.03～1.23m，该层水量较大，受季节影响明显，年水位变化幅度约为1～2m。项目岩土层单层厚度均大于1m，包气带岩层渗透系数为</w:t>
      </w:r>
      <w:r>
        <w:rPr>
          <w:rFonts w:ascii="Times New Roman" w:hAnsi="Times New Roman" w:cs="Times New Roman"/>
          <w:color w:val="000000" w:themeColor="text1"/>
          <w:szCs w:val="21"/>
          <w14:textFill>
            <w14:solidFill>
              <w14:schemeClr w14:val="tx1"/>
            </w14:solidFill>
          </w14:textFill>
        </w:rPr>
        <w:t>6.0×10</w:t>
      </w:r>
      <w:r>
        <w:rPr>
          <w:rFonts w:ascii="Times New Roman" w:hAnsi="Times New Roman" w:cs="Times New Roman"/>
          <w:color w:val="000000" w:themeColor="text1"/>
          <w:szCs w:val="21"/>
          <w:vertAlign w:val="superscript"/>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cm/s，故包气带防污性能分级为D2。</w:t>
      </w:r>
    </w:p>
    <w:p w14:paraId="25AB8398">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综上，本项目地下水环境敏感程度分级为环境中度敏感区E3。</w:t>
      </w:r>
    </w:p>
    <w:p w14:paraId="451572E9">
      <w:pPr>
        <w:autoSpaceDE w:val="0"/>
        <w:autoSpaceDN w:val="0"/>
        <w:adjustRightInd w:val="0"/>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表6-1</w:t>
      </w:r>
      <w:r>
        <w:rPr>
          <w:rFonts w:hint="eastAsia" w:ascii="Times New Roman" w:hAnsi="Times New Roman" w:cs="Times New Roman"/>
          <w:b/>
          <w:bCs/>
          <w:color w:val="000000" w:themeColor="text1"/>
          <w14:textFill>
            <w14:solidFill>
              <w14:schemeClr w14:val="tx1"/>
            </w14:solidFill>
          </w14:textFill>
        </w:rPr>
        <w:t>3</w:t>
      </w:r>
      <w:r>
        <w:rPr>
          <w:rFonts w:ascii="Times New Roman" w:hAnsi="Times New Roman" w:cs="Times New Roman"/>
          <w:b/>
          <w:bCs/>
          <w:color w:val="000000" w:themeColor="text1"/>
          <w14:textFill>
            <w14:solidFill>
              <w14:schemeClr w14:val="tx1"/>
            </w14:solidFill>
          </w14:textFill>
        </w:rPr>
        <w:t xml:space="preserve"> 项目环境敏感特征表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02"/>
        <w:gridCol w:w="830"/>
        <w:gridCol w:w="2038"/>
        <w:gridCol w:w="974"/>
        <w:gridCol w:w="975"/>
        <w:gridCol w:w="1779"/>
        <w:gridCol w:w="965"/>
      </w:tblGrid>
      <w:tr w14:paraId="39783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Align w:val="center"/>
          </w:tcPr>
          <w:p w14:paraId="6F23204F">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类别</w:t>
            </w:r>
          </w:p>
        </w:tc>
        <w:tc>
          <w:tcPr>
            <w:tcW w:w="7561" w:type="dxa"/>
            <w:gridSpan w:val="6"/>
            <w:vAlign w:val="center"/>
          </w:tcPr>
          <w:p w14:paraId="4346F524">
            <w:pPr>
              <w:pStyle w:val="187"/>
              <w:spacing w:line="240" w:lineRule="auto"/>
              <w:ind w:firstLine="0" w:firstLineChars="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环境敏感特征</w:t>
            </w:r>
          </w:p>
        </w:tc>
      </w:tr>
      <w:tr w14:paraId="5F973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restart"/>
            <w:vAlign w:val="center"/>
          </w:tcPr>
          <w:p w14:paraId="51519DA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环境空气</w:t>
            </w:r>
          </w:p>
        </w:tc>
        <w:tc>
          <w:tcPr>
            <w:tcW w:w="7561" w:type="dxa"/>
            <w:gridSpan w:val="6"/>
            <w:vAlign w:val="center"/>
          </w:tcPr>
          <w:p w14:paraId="712FDFB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厂址周边5km范围内</w:t>
            </w:r>
          </w:p>
        </w:tc>
      </w:tr>
      <w:tr w14:paraId="3CB63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B44F0F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9F044F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序号</w:t>
            </w:r>
          </w:p>
        </w:tc>
        <w:tc>
          <w:tcPr>
            <w:tcW w:w="2038" w:type="dxa"/>
            <w:vAlign w:val="center"/>
          </w:tcPr>
          <w:p w14:paraId="6F72EF4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敏感目标名称</w:t>
            </w:r>
          </w:p>
        </w:tc>
        <w:tc>
          <w:tcPr>
            <w:tcW w:w="974" w:type="dxa"/>
            <w:vAlign w:val="center"/>
          </w:tcPr>
          <w:p w14:paraId="46D61BF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相对方位</w:t>
            </w:r>
          </w:p>
        </w:tc>
        <w:tc>
          <w:tcPr>
            <w:tcW w:w="975" w:type="dxa"/>
            <w:vAlign w:val="center"/>
          </w:tcPr>
          <w:p w14:paraId="341C966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距离km</w:t>
            </w:r>
          </w:p>
        </w:tc>
        <w:tc>
          <w:tcPr>
            <w:tcW w:w="1779" w:type="dxa"/>
            <w:vAlign w:val="center"/>
          </w:tcPr>
          <w:p w14:paraId="6E078AE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属性</w:t>
            </w:r>
          </w:p>
        </w:tc>
        <w:tc>
          <w:tcPr>
            <w:tcW w:w="965" w:type="dxa"/>
            <w:vAlign w:val="center"/>
          </w:tcPr>
          <w:p w14:paraId="0313C0B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人口数</w:t>
            </w:r>
          </w:p>
        </w:tc>
      </w:tr>
      <w:tr w14:paraId="75544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21A82C9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270812AA">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6B2376E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淡水湾村</w:t>
            </w:r>
          </w:p>
        </w:tc>
        <w:tc>
          <w:tcPr>
            <w:tcW w:w="974" w:type="dxa"/>
            <w:vAlign w:val="center"/>
          </w:tcPr>
          <w:p w14:paraId="62C6F5A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975" w:type="dxa"/>
            <w:vAlign w:val="center"/>
          </w:tcPr>
          <w:p w14:paraId="1E7E3CD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2.07</w:t>
            </w:r>
          </w:p>
        </w:tc>
        <w:tc>
          <w:tcPr>
            <w:tcW w:w="1779" w:type="dxa"/>
            <w:vAlign w:val="center"/>
          </w:tcPr>
          <w:p w14:paraId="5D14D7A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70FDCB3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420</w:t>
            </w:r>
          </w:p>
        </w:tc>
      </w:tr>
      <w:tr w14:paraId="36472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7E62079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EF53F20">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0F9656D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果子山村</w:t>
            </w:r>
          </w:p>
        </w:tc>
        <w:tc>
          <w:tcPr>
            <w:tcW w:w="974" w:type="dxa"/>
            <w:vAlign w:val="center"/>
          </w:tcPr>
          <w:p w14:paraId="228F3F4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w:t>
            </w:r>
          </w:p>
        </w:tc>
        <w:tc>
          <w:tcPr>
            <w:tcW w:w="975" w:type="dxa"/>
            <w:vAlign w:val="center"/>
          </w:tcPr>
          <w:p w14:paraId="2593A18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w:t>
            </w:r>
            <w:r>
              <w:rPr>
                <w:rFonts w:hint="eastAsia" w:ascii="Times New Roman" w:hAnsi="Times New Roman"/>
                <w:color w:val="000000" w:themeColor="text1"/>
                <w:sz w:val="21"/>
                <w:szCs w:val="21"/>
                <w14:textFill>
                  <w14:solidFill>
                    <w14:schemeClr w14:val="tx1"/>
                  </w14:solidFill>
                </w14:textFill>
              </w:rPr>
              <w:t>16</w:t>
            </w:r>
          </w:p>
        </w:tc>
        <w:tc>
          <w:tcPr>
            <w:tcW w:w="1779" w:type="dxa"/>
            <w:vAlign w:val="center"/>
          </w:tcPr>
          <w:p w14:paraId="41D20DF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51DB89F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990</w:t>
            </w:r>
          </w:p>
        </w:tc>
      </w:tr>
      <w:tr w14:paraId="7986B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01A6CB0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55E8247">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40591C7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厚福沙村</w:t>
            </w:r>
          </w:p>
        </w:tc>
        <w:tc>
          <w:tcPr>
            <w:tcW w:w="974" w:type="dxa"/>
            <w:vAlign w:val="center"/>
          </w:tcPr>
          <w:p w14:paraId="49963B6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W</w:t>
            </w:r>
          </w:p>
        </w:tc>
        <w:tc>
          <w:tcPr>
            <w:tcW w:w="975" w:type="dxa"/>
            <w:vAlign w:val="center"/>
          </w:tcPr>
          <w:p w14:paraId="1D6D8FE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r>
              <w:rPr>
                <w:rFonts w:hint="eastAsia" w:ascii="Times New Roman" w:hAnsi="Times New Roman"/>
                <w:color w:val="000000" w:themeColor="text1"/>
                <w:sz w:val="21"/>
                <w:szCs w:val="21"/>
                <w14:textFill>
                  <w14:solidFill>
                    <w14:schemeClr w14:val="tx1"/>
                  </w14:solidFill>
                </w14:textFill>
              </w:rPr>
              <w:t>53</w:t>
            </w:r>
          </w:p>
        </w:tc>
        <w:tc>
          <w:tcPr>
            <w:tcW w:w="1779" w:type="dxa"/>
            <w:vAlign w:val="center"/>
          </w:tcPr>
          <w:p w14:paraId="5E059A6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36E37B4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150</w:t>
            </w:r>
          </w:p>
        </w:tc>
      </w:tr>
      <w:tr w14:paraId="24CBB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9568C5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D378855">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1947D32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滨海社区</w:t>
            </w:r>
          </w:p>
        </w:tc>
        <w:tc>
          <w:tcPr>
            <w:tcW w:w="974" w:type="dxa"/>
            <w:vAlign w:val="center"/>
          </w:tcPr>
          <w:p w14:paraId="125C3C0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w:t>
            </w:r>
          </w:p>
        </w:tc>
        <w:tc>
          <w:tcPr>
            <w:tcW w:w="975" w:type="dxa"/>
            <w:vAlign w:val="center"/>
          </w:tcPr>
          <w:p w14:paraId="3353CA1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w:t>
            </w:r>
            <w:r>
              <w:rPr>
                <w:rFonts w:hint="eastAsia" w:ascii="Times New Roman" w:hAnsi="Times New Roman"/>
                <w:color w:val="000000" w:themeColor="text1"/>
                <w:sz w:val="21"/>
                <w:szCs w:val="21"/>
                <w14:textFill>
                  <w14:solidFill>
                    <w14:schemeClr w14:val="tx1"/>
                  </w14:solidFill>
                </w14:textFill>
              </w:rPr>
              <w:t>27</w:t>
            </w:r>
          </w:p>
        </w:tc>
        <w:tc>
          <w:tcPr>
            <w:tcW w:w="1779" w:type="dxa"/>
            <w:vAlign w:val="center"/>
          </w:tcPr>
          <w:p w14:paraId="5651E35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1990C82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13590</w:t>
            </w:r>
          </w:p>
        </w:tc>
      </w:tr>
      <w:tr w14:paraId="698A1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7722280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54DF781D">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247456B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三块田村</w:t>
            </w:r>
          </w:p>
        </w:tc>
        <w:tc>
          <w:tcPr>
            <w:tcW w:w="974" w:type="dxa"/>
            <w:vAlign w:val="center"/>
          </w:tcPr>
          <w:p w14:paraId="4EE70A5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w:t>
            </w:r>
          </w:p>
        </w:tc>
        <w:tc>
          <w:tcPr>
            <w:tcW w:w="975" w:type="dxa"/>
            <w:vAlign w:val="center"/>
          </w:tcPr>
          <w:p w14:paraId="7F205A5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2.90</w:t>
            </w:r>
          </w:p>
        </w:tc>
        <w:tc>
          <w:tcPr>
            <w:tcW w:w="1779" w:type="dxa"/>
            <w:vAlign w:val="center"/>
          </w:tcPr>
          <w:p w14:paraId="6F4EF19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55806FF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460</w:t>
            </w:r>
          </w:p>
        </w:tc>
      </w:tr>
      <w:tr w14:paraId="52352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70C261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7724258F">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5ACB6CC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沙岗头</w:t>
            </w:r>
          </w:p>
        </w:tc>
        <w:tc>
          <w:tcPr>
            <w:tcW w:w="974" w:type="dxa"/>
            <w:vAlign w:val="center"/>
          </w:tcPr>
          <w:p w14:paraId="2D68685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t>
            </w:r>
          </w:p>
        </w:tc>
        <w:tc>
          <w:tcPr>
            <w:tcW w:w="975" w:type="dxa"/>
            <w:vAlign w:val="center"/>
          </w:tcPr>
          <w:p w14:paraId="270C163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2.5</w:t>
            </w:r>
            <w:r>
              <w:rPr>
                <w:rFonts w:hint="eastAsia" w:ascii="Times New Roman" w:hAnsi="Times New Roman"/>
                <w:color w:val="000000" w:themeColor="text1"/>
                <w:sz w:val="21"/>
                <w:szCs w:val="21"/>
                <w14:textFill>
                  <w14:solidFill>
                    <w14:schemeClr w14:val="tx1"/>
                  </w14:solidFill>
                </w14:textFill>
              </w:rPr>
              <w:t>7</w:t>
            </w:r>
          </w:p>
        </w:tc>
        <w:tc>
          <w:tcPr>
            <w:tcW w:w="1779" w:type="dxa"/>
            <w:vAlign w:val="center"/>
          </w:tcPr>
          <w:p w14:paraId="10FD481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22F2DE7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330</w:t>
            </w:r>
          </w:p>
        </w:tc>
      </w:tr>
      <w:tr w14:paraId="76A14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7F78B82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34088CE4">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4C7DECD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旧村</w:t>
            </w:r>
          </w:p>
        </w:tc>
        <w:tc>
          <w:tcPr>
            <w:tcW w:w="974" w:type="dxa"/>
            <w:vAlign w:val="center"/>
          </w:tcPr>
          <w:p w14:paraId="11E7E99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t>
            </w:r>
          </w:p>
        </w:tc>
        <w:tc>
          <w:tcPr>
            <w:tcW w:w="975" w:type="dxa"/>
            <w:vAlign w:val="center"/>
          </w:tcPr>
          <w:p w14:paraId="2E8746E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r>
              <w:rPr>
                <w:rFonts w:hint="eastAsia" w:ascii="Times New Roman" w:hAnsi="Times New Roman"/>
                <w:color w:val="000000" w:themeColor="text1"/>
                <w:sz w:val="21"/>
                <w:szCs w:val="21"/>
                <w14:textFill>
                  <w14:solidFill>
                    <w14:schemeClr w14:val="tx1"/>
                  </w14:solidFill>
                </w14:textFill>
              </w:rPr>
              <w:t>82</w:t>
            </w:r>
          </w:p>
        </w:tc>
        <w:tc>
          <w:tcPr>
            <w:tcW w:w="1779" w:type="dxa"/>
            <w:vAlign w:val="center"/>
          </w:tcPr>
          <w:p w14:paraId="6C76CD6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3A2682B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270</w:t>
            </w:r>
          </w:p>
        </w:tc>
      </w:tr>
      <w:tr w14:paraId="1C968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472E79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0A47BA3">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02675BC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金鼓村</w:t>
            </w:r>
          </w:p>
        </w:tc>
        <w:tc>
          <w:tcPr>
            <w:tcW w:w="974" w:type="dxa"/>
            <w:vAlign w:val="center"/>
          </w:tcPr>
          <w:p w14:paraId="0C24B5E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975" w:type="dxa"/>
            <w:vAlign w:val="center"/>
          </w:tcPr>
          <w:p w14:paraId="4498184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2.60</w:t>
            </w:r>
          </w:p>
        </w:tc>
        <w:tc>
          <w:tcPr>
            <w:tcW w:w="1779" w:type="dxa"/>
            <w:vAlign w:val="center"/>
          </w:tcPr>
          <w:p w14:paraId="41560D0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5893042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1300</w:t>
            </w:r>
          </w:p>
        </w:tc>
      </w:tr>
      <w:tr w14:paraId="0F444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6ADC29D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BCDE3B8">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385FCCD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竹笼</w:t>
            </w:r>
          </w:p>
        </w:tc>
        <w:tc>
          <w:tcPr>
            <w:tcW w:w="974" w:type="dxa"/>
            <w:vAlign w:val="center"/>
          </w:tcPr>
          <w:p w14:paraId="1BF1DE4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w:t>
            </w:r>
          </w:p>
        </w:tc>
        <w:tc>
          <w:tcPr>
            <w:tcW w:w="975" w:type="dxa"/>
            <w:vAlign w:val="center"/>
          </w:tcPr>
          <w:p w14:paraId="6E3270F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r>
              <w:rPr>
                <w:rFonts w:hint="eastAsia" w:ascii="Times New Roman" w:hAnsi="Times New Roman"/>
                <w:color w:val="000000" w:themeColor="text1"/>
                <w:sz w:val="21"/>
                <w:szCs w:val="21"/>
                <w14:textFill>
                  <w14:solidFill>
                    <w14:schemeClr w14:val="tx1"/>
                  </w14:solidFill>
                </w14:textFill>
              </w:rPr>
              <w:t>87</w:t>
            </w:r>
          </w:p>
        </w:tc>
        <w:tc>
          <w:tcPr>
            <w:tcW w:w="1779" w:type="dxa"/>
            <w:vAlign w:val="center"/>
          </w:tcPr>
          <w:p w14:paraId="6D13F5E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2AFD2CE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270</w:t>
            </w:r>
          </w:p>
        </w:tc>
      </w:tr>
      <w:tr w14:paraId="261EC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2AECB35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7ADD100">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07A21F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佛子坳</w:t>
            </w:r>
          </w:p>
        </w:tc>
        <w:tc>
          <w:tcPr>
            <w:tcW w:w="974" w:type="dxa"/>
            <w:vAlign w:val="center"/>
          </w:tcPr>
          <w:p w14:paraId="698CA8D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NW</w:t>
            </w:r>
          </w:p>
        </w:tc>
        <w:tc>
          <w:tcPr>
            <w:tcW w:w="975" w:type="dxa"/>
            <w:vAlign w:val="center"/>
          </w:tcPr>
          <w:p w14:paraId="5EB245C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3.46</w:t>
            </w:r>
          </w:p>
        </w:tc>
        <w:tc>
          <w:tcPr>
            <w:tcW w:w="1779" w:type="dxa"/>
            <w:vAlign w:val="center"/>
          </w:tcPr>
          <w:p w14:paraId="5FDFD56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73BB3C2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900</w:t>
            </w:r>
          </w:p>
        </w:tc>
      </w:tr>
      <w:tr w14:paraId="30335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3055B2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DCDD7EA">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A012D1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第一垌</w:t>
            </w:r>
            <w:r>
              <w:rPr>
                <w:rFonts w:hint="eastAsia" w:ascii="Times New Roman" w:hAnsi="Times New Roman"/>
                <w:color w:val="000000" w:themeColor="text1"/>
                <w:sz w:val="21"/>
                <w:szCs w:val="21"/>
                <w14:textFill>
                  <w14:solidFill>
                    <w14:schemeClr w14:val="tx1"/>
                  </w14:solidFill>
                </w14:textFill>
              </w:rPr>
              <w:t>村</w:t>
            </w:r>
          </w:p>
        </w:tc>
        <w:tc>
          <w:tcPr>
            <w:tcW w:w="974" w:type="dxa"/>
            <w:vAlign w:val="center"/>
          </w:tcPr>
          <w:p w14:paraId="22173EA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975" w:type="dxa"/>
            <w:vAlign w:val="center"/>
          </w:tcPr>
          <w:p w14:paraId="5E9283A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3.47</w:t>
            </w:r>
          </w:p>
        </w:tc>
        <w:tc>
          <w:tcPr>
            <w:tcW w:w="1779" w:type="dxa"/>
            <w:vAlign w:val="center"/>
          </w:tcPr>
          <w:p w14:paraId="42B36B0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09BC5FE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300</w:t>
            </w:r>
          </w:p>
        </w:tc>
      </w:tr>
      <w:tr w14:paraId="74368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74D9DC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D096A5E">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A0E80A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鸡墩头</w:t>
            </w:r>
            <w:r>
              <w:rPr>
                <w:rFonts w:hint="eastAsia" w:ascii="Times New Roman" w:hAnsi="Times New Roman"/>
                <w:color w:val="000000" w:themeColor="text1"/>
                <w:sz w:val="21"/>
                <w:szCs w:val="21"/>
                <w14:textFill>
                  <w14:solidFill>
                    <w14:schemeClr w14:val="tx1"/>
                  </w14:solidFill>
                </w14:textFill>
              </w:rPr>
              <w:t>社区</w:t>
            </w:r>
          </w:p>
        </w:tc>
        <w:tc>
          <w:tcPr>
            <w:tcW w:w="974" w:type="dxa"/>
            <w:vAlign w:val="center"/>
          </w:tcPr>
          <w:p w14:paraId="01D7B18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E</w:t>
            </w:r>
          </w:p>
        </w:tc>
        <w:tc>
          <w:tcPr>
            <w:tcW w:w="975" w:type="dxa"/>
            <w:vAlign w:val="center"/>
          </w:tcPr>
          <w:p w14:paraId="2B5A836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3.85</w:t>
            </w:r>
          </w:p>
        </w:tc>
        <w:tc>
          <w:tcPr>
            <w:tcW w:w="1779" w:type="dxa"/>
            <w:vAlign w:val="center"/>
          </w:tcPr>
          <w:p w14:paraId="4ED5B1F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4599031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2400</w:t>
            </w:r>
          </w:p>
        </w:tc>
      </w:tr>
      <w:tr w14:paraId="3631A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59D71EC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48E3C305">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15FD929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细垌环村</w:t>
            </w:r>
          </w:p>
        </w:tc>
        <w:tc>
          <w:tcPr>
            <w:tcW w:w="974" w:type="dxa"/>
            <w:vAlign w:val="center"/>
          </w:tcPr>
          <w:p w14:paraId="12EA47C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NS</w:t>
            </w:r>
          </w:p>
        </w:tc>
        <w:tc>
          <w:tcPr>
            <w:tcW w:w="975" w:type="dxa"/>
            <w:vAlign w:val="center"/>
          </w:tcPr>
          <w:p w14:paraId="52C3A29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4.36</w:t>
            </w:r>
          </w:p>
        </w:tc>
        <w:tc>
          <w:tcPr>
            <w:tcW w:w="1779" w:type="dxa"/>
            <w:vAlign w:val="center"/>
          </w:tcPr>
          <w:p w14:paraId="257E4BE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7DA1826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300</w:t>
            </w:r>
          </w:p>
        </w:tc>
      </w:tr>
      <w:tr w14:paraId="748B6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14F1491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EF17DDB">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6AE2B1F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过山路村</w:t>
            </w:r>
          </w:p>
        </w:tc>
        <w:tc>
          <w:tcPr>
            <w:tcW w:w="974" w:type="dxa"/>
            <w:vAlign w:val="center"/>
          </w:tcPr>
          <w:p w14:paraId="3885567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E</w:t>
            </w:r>
          </w:p>
        </w:tc>
        <w:tc>
          <w:tcPr>
            <w:tcW w:w="975" w:type="dxa"/>
            <w:vAlign w:val="center"/>
          </w:tcPr>
          <w:p w14:paraId="6FC3684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2.93</w:t>
            </w:r>
          </w:p>
        </w:tc>
        <w:tc>
          <w:tcPr>
            <w:tcW w:w="1779" w:type="dxa"/>
            <w:vAlign w:val="center"/>
          </w:tcPr>
          <w:p w14:paraId="0340F18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2948ED5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450</w:t>
            </w:r>
          </w:p>
        </w:tc>
      </w:tr>
      <w:tr w14:paraId="27601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C4424C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B1F37B0">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1CED9A9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南港村</w:t>
            </w:r>
          </w:p>
        </w:tc>
        <w:tc>
          <w:tcPr>
            <w:tcW w:w="974" w:type="dxa"/>
            <w:vAlign w:val="center"/>
          </w:tcPr>
          <w:p w14:paraId="45163E0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NW</w:t>
            </w:r>
          </w:p>
        </w:tc>
        <w:tc>
          <w:tcPr>
            <w:tcW w:w="975" w:type="dxa"/>
            <w:vAlign w:val="center"/>
          </w:tcPr>
          <w:p w14:paraId="030A101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4.28</w:t>
            </w:r>
          </w:p>
        </w:tc>
        <w:tc>
          <w:tcPr>
            <w:tcW w:w="1779" w:type="dxa"/>
            <w:vAlign w:val="center"/>
          </w:tcPr>
          <w:p w14:paraId="0855B5A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78A0439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600</w:t>
            </w:r>
          </w:p>
        </w:tc>
      </w:tr>
      <w:tr w14:paraId="2F7A1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1D1FD66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0789654C">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3D3B75F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天塘村</w:t>
            </w:r>
          </w:p>
        </w:tc>
        <w:tc>
          <w:tcPr>
            <w:tcW w:w="974" w:type="dxa"/>
            <w:vAlign w:val="center"/>
          </w:tcPr>
          <w:p w14:paraId="23095C0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w:t>
            </w:r>
          </w:p>
        </w:tc>
        <w:tc>
          <w:tcPr>
            <w:tcW w:w="975" w:type="dxa"/>
            <w:vAlign w:val="center"/>
          </w:tcPr>
          <w:p w14:paraId="118D10C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3.73</w:t>
            </w:r>
          </w:p>
        </w:tc>
        <w:tc>
          <w:tcPr>
            <w:tcW w:w="1779" w:type="dxa"/>
            <w:vAlign w:val="center"/>
          </w:tcPr>
          <w:p w14:paraId="758E188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居住区</w:t>
            </w:r>
          </w:p>
        </w:tc>
        <w:tc>
          <w:tcPr>
            <w:tcW w:w="965" w:type="dxa"/>
            <w:vAlign w:val="center"/>
          </w:tcPr>
          <w:p w14:paraId="056D202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250</w:t>
            </w:r>
          </w:p>
        </w:tc>
      </w:tr>
      <w:tr w14:paraId="115C5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0544CDD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38571AA8">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389A917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钦州港经济技术开发区第五小学</w:t>
            </w:r>
          </w:p>
        </w:tc>
        <w:tc>
          <w:tcPr>
            <w:tcW w:w="974" w:type="dxa"/>
            <w:vAlign w:val="center"/>
          </w:tcPr>
          <w:p w14:paraId="7A0A635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E</w:t>
            </w:r>
          </w:p>
        </w:tc>
        <w:tc>
          <w:tcPr>
            <w:tcW w:w="975" w:type="dxa"/>
            <w:vAlign w:val="center"/>
          </w:tcPr>
          <w:p w14:paraId="1E391DF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4.33</w:t>
            </w:r>
          </w:p>
        </w:tc>
        <w:tc>
          <w:tcPr>
            <w:tcW w:w="1779" w:type="dxa"/>
            <w:vAlign w:val="center"/>
          </w:tcPr>
          <w:p w14:paraId="68E3D86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学校</w:t>
            </w:r>
          </w:p>
        </w:tc>
        <w:tc>
          <w:tcPr>
            <w:tcW w:w="965" w:type="dxa"/>
            <w:vAlign w:val="center"/>
          </w:tcPr>
          <w:p w14:paraId="2D300EC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1000</w:t>
            </w:r>
          </w:p>
        </w:tc>
      </w:tr>
      <w:tr w14:paraId="20E16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00BFD21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6ABBAD61">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091D4C0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钦州港经济技术开发区</w:t>
            </w:r>
            <w:r>
              <w:rPr>
                <w:rFonts w:hint="eastAsia" w:ascii="Times New Roman" w:hAnsi="Times New Roman"/>
                <w:color w:val="000000" w:themeColor="text1"/>
                <w:sz w:val="21"/>
                <w:szCs w:val="21"/>
                <w14:textFill>
                  <w14:solidFill>
                    <w14:schemeClr w14:val="tx1"/>
                  </w14:solidFill>
                </w14:textFill>
              </w:rPr>
              <w:t>第一</w:t>
            </w:r>
            <w:r>
              <w:rPr>
                <w:rFonts w:ascii="Times New Roman" w:hAnsi="Times New Roman"/>
                <w:color w:val="000000" w:themeColor="text1"/>
                <w:sz w:val="21"/>
                <w:szCs w:val="21"/>
                <w14:textFill>
                  <w14:solidFill>
                    <w14:schemeClr w14:val="tx1"/>
                  </w14:solidFill>
                </w14:textFill>
              </w:rPr>
              <w:t>中学</w:t>
            </w:r>
          </w:p>
        </w:tc>
        <w:tc>
          <w:tcPr>
            <w:tcW w:w="974" w:type="dxa"/>
            <w:vAlign w:val="center"/>
          </w:tcPr>
          <w:p w14:paraId="26ACCD0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975" w:type="dxa"/>
            <w:vAlign w:val="center"/>
          </w:tcPr>
          <w:p w14:paraId="775EA29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3.11</w:t>
            </w:r>
          </w:p>
        </w:tc>
        <w:tc>
          <w:tcPr>
            <w:tcW w:w="1779" w:type="dxa"/>
            <w:vAlign w:val="center"/>
          </w:tcPr>
          <w:p w14:paraId="5A877A4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学校</w:t>
            </w:r>
          </w:p>
        </w:tc>
        <w:tc>
          <w:tcPr>
            <w:tcW w:w="965" w:type="dxa"/>
            <w:vAlign w:val="center"/>
          </w:tcPr>
          <w:p w14:paraId="2599CF92">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1070</w:t>
            </w:r>
          </w:p>
        </w:tc>
      </w:tr>
      <w:tr w14:paraId="45822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62EDF0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D846BBA">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3836571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钦州港经济技术开发区第四小学</w:t>
            </w:r>
          </w:p>
        </w:tc>
        <w:tc>
          <w:tcPr>
            <w:tcW w:w="974" w:type="dxa"/>
            <w:vAlign w:val="center"/>
          </w:tcPr>
          <w:p w14:paraId="32BC5A7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NE</w:t>
            </w:r>
          </w:p>
        </w:tc>
        <w:tc>
          <w:tcPr>
            <w:tcW w:w="975" w:type="dxa"/>
            <w:vAlign w:val="center"/>
          </w:tcPr>
          <w:p w14:paraId="404B3E0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3.00</w:t>
            </w:r>
          </w:p>
        </w:tc>
        <w:tc>
          <w:tcPr>
            <w:tcW w:w="1779" w:type="dxa"/>
            <w:vAlign w:val="center"/>
          </w:tcPr>
          <w:p w14:paraId="18FA24A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学校</w:t>
            </w:r>
          </w:p>
        </w:tc>
        <w:tc>
          <w:tcPr>
            <w:tcW w:w="965" w:type="dxa"/>
            <w:vAlign w:val="center"/>
          </w:tcPr>
          <w:p w14:paraId="2AE474D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1000</w:t>
            </w:r>
          </w:p>
        </w:tc>
      </w:tr>
      <w:tr w14:paraId="1ED96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4CF0B08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3B025024">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5B562BE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广西茅尾海红树林自治区级自然保护区（七十二泾片）</w:t>
            </w:r>
          </w:p>
        </w:tc>
        <w:tc>
          <w:tcPr>
            <w:tcW w:w="974" w:type="dxa"/>
            <w:vAlign w:val="center"/>
          </w:tcPr>
          <w:p w14:paraId="200E1D2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NW</w:t>
            </w:r>
          </w:p>
        </w:tc>
        <w:tc>
          <w:tcPr>
            <w:tcW w:w="975" w:type="dxa"/>
            <w:vAlign w:val="center"/>
          </w:tcPr>
          <w:p w14:paraId="7515410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3.8</w:t>
            </w:r>
          </w:p>
        </w:tc>
        <w:tc>
          <w:tcPr>
            <w:tcW w:w="1779" w:type="dxa"/>
            <w:vAlign w:val="center"/>
          </w:tcPr>
          <w:p w14:paraId="0FB4CC5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区级自然保护区</w:t>
            </w:r>
          </w:p>
        </w:tc>
        <w:tc>
          <w:tcPr>
            <w:tcW w:w="965" w:type="dxa"/>
            <w:vAlign w:val="center"/>
          </w:tcPr>
          <w:p w14:paraId="33B421C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r w14:paraId="3C89C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1A71FE5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293EAC18">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70359D5C">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红树林集中分布斑块</w:t>
            </w:r>
          </w:p>
        </w:tc>
        <w:tc>
          <w:tcPr>
            <w:tcW w:w="974" w:type="dxa"/>
            <w:vAlign w:val="center"/>
          </w:tcPr>
          <w:p w14:paraId="7862599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N</w:t>
            </w:r>
          </w:p>
        </w:tc>
        <w:tc>
          <w:tcPr>
            <w:tcW w:w="975" w:type="dxa"/>
            <w:vAlign w:val="center"/>
          </w:tcPr>
          <w:p w14:paraId="1DB8DFA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3.7</w:t>
            </w:r>
          </w:p>
        </w:tc>
        <w:tc>
          <w:tcPr>
            <w:tcW w:w="1779" w:type="dxa"/>
            <w:vAlign w:val="center"/>
          </w:tcPr>
          <w:p w14:paraId="29CF39AD">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红树林</w:t>
            </w:r>
          </w:p>
        </w:tc>
        <w:tc>
          <w:tcPr>
            <w:tcW w:w="965" w:type="dxa"/>
            <w:vAlign w:val="center"/>
          </w:tcPr>
          <w:p w14:paraId="48B411B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r w14:paraId="0675A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FB1146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18F7C6A3">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424ABE8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钦州港青菜头南浅海滩涂养殖区</w:t>
            </w:r>
          </w:p>
        </w:tc>
        <w:tc>
          <w:tcPr>
            <w:tcW w:w="974" w:type="dxa"/>
            <w:vAlign w:val="center"/>
          </w:tcPr>
          <w:p w14:paraId="180D994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WS</w:t>
            </w:r>
          </w:p>
        </w:tc>
        <w:tc>
          <w:tcPr>
            <w:tcW w:w="975" w:type="dxa"/>
            <w:vAlign w:val="center"/>
          </w:tcPr>
          <w:p w14:paraId="1CE4AFF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5.9</w:t>
            </w:r>
          </w:p>
        </w:tc>
        <w:tc>
          <w:tcPr>
            <w:tcW w:w="1779" w:type="dxa"/>
            <w:vAlign w:val="center"/>
          </w:tcPr>
          <w:p w14:paraId="2F9C6F9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养殖区</w:t>
            </w:r>
          </w:p>
        </w:tc>
        <w:tc>
          <w:tcPr>
            <w:tcW w:w="965" w:type="dxa"/>
            <w:vAlign w:val="center"/>
          </w:tcPr>
          <w:p w14:paraId="691DC4B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r w14:paraId="0CF02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3E8B100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830" w:type="dxa"/>
            <w:vAlign w:val="center"/>
          </w:tcPr>
          <w:p w14:paraId="7521DBA0">
            <w:pPr>
              <w:pStyle w:val="187"/>
              <w:numPr>
                <w:ilvl w:val="0"/>
                <w:numId w:val="36"/>
              </w:numPr>
              <w:spacing w:line="240" w:lineRule="auto"/>
              <w:ind w:firstLineChars="0"/>
              <w:jc w:val="center"/>
              <w:rPr>
                <w:rFonts w:ascii="Times New Roman" w:hAnsi="Times New Roman"/>
                <w:color w:val="000000" w:themeColor="text1"/>
                <w:sz w:val="21"/>
                <w:szCs w:val="21"/>
                <w14:textFill>
                  <w14:solidFill>
                    <w14:schemeClr w14:val="tx1"/>
                  </w14:solidFill>
                </w14:textFill>
              </w:rPr>
            </w:pPr>
          </w:p>
        </w:tc>
        <w:tc>
          <w:tcPr>
            <w:tcW w:w="2038" w:type="dxa"/>
            <w:vAlign w:val="center"/>
          </w:tcPr>
          <w:p w14:paraId="19451D87">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蚝排养殖区</w:t>
            </w:r>
          </w:p>
        </w:tc>
        <w:tc>
          <w:tcPr>
            <w:tcW w:w="974" w:type="dxa"/>
            <w:vAlign w:val="center"/>
          </w:tcPr>
          <w:p w14:paraId="1DE4654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w:t>
            </w:r>
          </w:p>
        </w:tc>
        <w:tc>
          <w:tcPr>
            <w:tcW w:w="975" w:type="dxa"/>
            <w:vAlign w:val="center"/>
          </w:tcPr>
          <w:p w14:paraId="150BB6B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3.5</w:t>
            </w:r>
          </w:p>
        </w:tc>
        <w:tc>
          <w:tcPr>
            <w:tcW w:w="1779" w:type="dxa"/>
            <w:vAlign w:val="center"/>
          </w:tcPr>
          <w:p w14:paraId="6CF9EBFB">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养殖区</w:t>
            </w:r>
          </w:p>
        </w:tc>
        <w:tc>
          <w:tcPr>
            <w:tcW w:w="965" w:type="dxa"/>
            <w:vAlign w:val="center"/>
          </w:tcPr>
          <w:p w14:paraId="6F4FFD73">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p>
        </w:tc>
      </w:tr>
      <w:tr w14:paraId="3A314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1CE5C1A5">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6596" w:type="dxa"/>
            <w:gridSpan w:val="5"/>
            <w:vAlign w:val="center"/>
          </w:tcPr>
          <w:p w14:paraId="30257B46">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厂址周边500m范围内人口数小计</w:t>
            </w:r>
          </w:p>
        </w:tc>
        <w:tc>
          <w:tcPr>
            <w:tcW w:w="965" w:type="dxa"/>
            <w:vAlign w:val="center"/>
          </w:tcPr>
          <w:p w14:paraId="209BA51F">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w:t>
            </w:r>
          </w:p>
        </w:tc>
      </w:tr>
      <w:tr w14:paraId="34D6B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51BD0AE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6596" w:type="dxa"/>
            <w:gridSpan w:val="5"/>
            <w:vAlign w:val="center"/>
          </w:tcPr>
          <w:p w14:paraId="41AFF86A">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厂址周边5km范围内人口数小计</w:t>
            </w:r>
          </w:p>
        </w:tc>
        <w:tc>
          <w:tcPr>
            <w:tcW w:w="965" w:type="dxa"/>
            <w:vAlign w:val="center"/>
          </w:tcPr>
          <w:p w14:paraId="39DDB3A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26050</w:t>
            </w:r>
          </w:p>
        </w:tc>
      </w:tr>
      <w:tr w14:paraId="77B10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continue"/>
            <w:vAlign w:val="center"/>
          </w:tcPr>
          <w:p w14:paraId="7C8BFB59">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6596" w:type="dxa"/>
            <w:gridSpan w:val="5"/>
            <w:vAlign w:val="center"/>
          </w:tcPr>
          <w:p w14:paraId="12869484">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大气环境敏感程度E值</w:t>
            </w:r>
          </w:p>
        </w:tc>
        <w:tc>
          <w:tcPr>
            <w:tcW w:w="965" w:type="dxa"/>
            <w:vAlign w:val="center"/>
          </w:tcPr>
          <w:p w14:paraId="68944BC8">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E2</w:t>
            </w:r>
          </w:p>
        </w:tc>
      </w:tr>
      <w:tr w14:paraId="60CE4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02" w:type="dxa"/>
            <w:vMerge w:val="restart"/>
            <w:vAlign w:val="center"/>
          </w:tcPr>
          <w:p w14:paraId="132E72D0">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地表水</w:t>
            </w:r>
            <w:r>
              <w:rPr>
                <w:rFonts w:hint="eastAsia" w:ascii="Times New Roman" w:hAnsi="Times New Roman"/>
                <w:color w:val="000000" w:themeColor="text1"/>
                <w:sz w:val="21"/>
                <w:szCs w:val="21"/>
                <w14:textFill>
                  <w14:solidFill>
                    <w14:schemeClr w14:val="tx1"/>
                  </w14:solidFill>
                </w14:textFill>
              </w:rPr>
              <w:t>、海水环境</w:t>
            </w:r>
          </w:p>
        </w:tc>
        <w:tc>
          <w:tcPr>
            <w:tcW w:w="7561" w:type="dxa"/>
            <w:gridSpan w:val="6"/>
            <w:vAlign w:val="center"/>
          </w:tcPr>
          <w:p w14:paraId="333B7C4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受纳水体</w:t>
            </w:r>
          </w:p>
        </w:tc>
      </w:tr>
      <w:tr w14:paraId="7CAA4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802" w:type="dxa"/>
            <w:vMerge w:val="continue"/>
            <w:vAlign w:val="center"/>
          </w:tcPr>
          <w:p w14:paraId="6A0B464E">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p>
        </w:tc>
        <w:tc>
          <w:tcPr>
            <w:tcW w:w="7561" w:type="dxa"/>
            <w:gridSpan w:val="6"/>
            <w:vAlign w:val="center"/>
          </w:tcPr>
          <w:p w14:paraId="6598BE31">
            <w:pPr>
              <w:pStyle w:val="187"/>
              <w:spacing w:line="240" w:lineRule="auto"/>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本项目不涉及</w:t>
            </w:r>
          </w:p>
        </w:tc>
      </w:tr>
    </w:tbl>
    <w:p w14:paraId="6F1E3D48">
      <w:pPr>
        <w:autoSpaceDE w:val="0"/>
        <w:autoSpaceDN w:val="0"/>
        <w:adjustRightInd w:val="0"/>
        <w:jc w:val="center"/>
        <w:rPr>
          <w:rFonts w:ascii="Times New Roman" w:hAnsi="Times New Roman" w:cs="Times New Roman"/>
          <w:color w:val="000000" w:themeColor="text1"/>
          <w14:textFill>
            <w14:solidFill>
              <w14:schemeClr w14:val="tx1"/>
            </w14:solidFill>
          </w14:textFill>
        </w:rPr>
      </w:pPr>
    </w:p>
    <w:p w14:paraId="453DBE35">
      <w:pPr>
        <w:pStyle w:val="346"/>
        <w:ind w:firstLine="482" w:firstLineChars="200"/>
        <w:rPr>
          <w:color w:val="000000" w:themeColor="text1"/>
          <w14:textFill>
            <w14:solidFill>
              <w14:schemeClr w14:val="tx1"/>
            </w14:solidFill>
          </w14:textFill>
        </w:rPr>
      </w:pPr>
      <w:bookmarkStart w:id="149" w:name="_Toc144375239"/>
      <w:r>
        <w:rPr>
          <w:color w:val="000000" w:themeColor="text1"/>
          <w14:textFill>
            <w14:solidFill>
              <w14:schemeClr w14:val="tx1"/>
            </w14:solidFill>
          </w14:textFill>
        </w:rPr>
        <w:t>6.4 小结</w:t>
      </w:r>
      <w:bookmarkEnd w:id="149"/>
    </w:p>
    <w:p w14:paraId="3216CB89">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根据6.2章节的分析，本项目Q=</w:t>
      </w:r>
      <w:r>
        <w:rPr>
          <w:rFonts w:hint="eastAsia" w:ascii="Times New Roman" w:hAnsi="Times New Roman" w:cs="Times New Roman"/>
          <w:color w:val="000000" w:themeColor="text1"/>
          <w14:textFill>
            <w14:solidFill>
              <w14:schemeClr w14:val="tx1"/>
            </w14:solidFill>
          </w14:textFill>
        </w:rPr>
        <w:t>7661.3</w:t>
      </w:r>
      <w:r>
        <w:rPr>
          <w:rFonts w:ascii="Times New Roman" w:hAnsi="Times New Roman" w:cs="Times New Roman"/>
          <w:color w:val="000000" w:themeColor="text1"/>
          <w14:textFill>
            <w14:solidFill>
              <w14:schemeClr w14:val="tx1"/>
            </w14:solidFill>
          </w14:textFill>
        </w:rPr>
        <w:t>≥100，</w:t>
      </w:r>
      <w:r>
        <w:rPr>
          <w:rFonts w:ascii="Times New Roman" w:hAnsi="Times New Roman" w:cs="Times New Roman"/>
          <w:bCs/>
          <w:color w:val="000000" w:themeColor="text1"/>
          <w:szCs w:val="21"/>
          <w14:textFill>
            <w14:solidFill>
              <w14:schemeClr w14:val="tx1"/>
            </w14:solidFill>
          </w14:textFill>
        </w:rPr>
        <w:t>行业及生产工艺为M4，项目危险物质及工艺系统危险性等级为P3。</w:t>
      </w:r>
    </w:p>
    <w:p w14:paraId="56AB30DC">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根据6.3章节分析，本项目环境风险潜势判定情况如下表：</w:t>
      </w:r>
    </w:p>
    <w:p w14:paraId="528983C1">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132BE407">
      <w:pPr>
        <w:autoSpaceDE w:val="0"/>
        <w:autoSpaceDN w:val="0"/>
        <w:adjustRightInd w:val="0"/>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表6-1</w:t>
      </w:r>
      <w:r>
        <w:rPr>
          <w:rFonts w:hint="eastAsia" w:ascii="Times New Roman" w:hAnsi="Times New Roman" w:cs="Times New Roman"/>
          <w:b/>
          <w:bCs/>
          <w:color w:val="000000" w:themeColor="text1"/>
          <w14:textFill>
            <w14:solidFill>
              <w14:schemeClr w14:val="tx1"/>
            </w14:solidFill>
          </w14:textFill>
        </w:rPr>
        <w:t>4</w:t>
      </w:r>
      <w:r>
        <w:rPr>
          <w:rFonts w:ascii="Times New Roman" w:hAnsi="Times New Roman" w:cs="Times New Roman"/>
          <w:b/>
          <w:bCs/>
          <w:color w:val="000000" w:themeColor="text1"/>
          <w14:textFill>
            <w14:solidFill>
              <w14:schemeClr w14:val="tx1"/>
            </w14:solidFill>
          </w14:textFill>
        </w:rPr>
        <w:t xml:space="preserve"> 本项目环境风险潜势判定情况</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9"/>
        <w:gridCol w:w="1482"/>
        <w:gridCol w:w="1539"/>
        <w:gridCol w:w="1792"/>
        <w:gridCol w:w="1751"/>
      </w:tblGrid>
      <w:tr w14:paraId="3F703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73" w:type="dxa"/>
            <w:vMerge w:val="restart"/>
            <w:vAlign w:val="center"/>
          </w:tcPr>
          <w:p w14:paraId="239F1969">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环境敏感程度(E)</w:t>
            </w:r>
          </w:p>
        </w:tc>
        <w:tc>
          <w:tcPr>
            <w:tcW w:w="7262" w:type="dxa"/>
            <w:gridSpan w:val="4"/>
            <w:vAlign w:val="center"/>
          </w:tcPr>
          <w:p w14:paraId="2381ADFB">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危险物质及工艺系统危险性(P)</w:t>
            </w:r>
          </w:p>
        </w:tc>
      </w:tr>
      <w:tr w14:paraId="73CB3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73" w:type="dxa"/>
            <w:vMerge w:val="continue"/>
            <w:vAlign w:val="center"/>
          </w:tcPr>
          <w:p w14:paraId="089629C1">
            <w:pPr>
              <w:pStyle w:val="35"/>
              <w:snapToGrid w:val="0"/>
              <w:spacing w:after="0"/>
              <w:ind w:left="0" w:leftChars="0"/>
              <w:jc w:val="center"/>
              <w:rPr>
                <w:rFonts w:ascii="Times New Roman" w:hAnsi="Times New Roman" w:cs="Times New Roman"/>
                <w:b/>
                <w:color w:val="000000" w:themeColor="text1"/>
                <w:sz w:val="21"/>
                <w:szCs w:val="21"/>
                <w14:textFill>
                  <w14:solidFill>
                    <w14:schemeClr w14:val="tx1"/>
                  </w14:solidFill>
                </w14:textFill>
              </w:rPr>
            </w:pPr>
          </w:p>
        </w:tc>
        <w:tc>
          <w:tcPr>
            <w:tcW w:w="1637" w:type="dxa"/>
            <w:vAlign w:val="center"/>
          </w:tcPr>
          <w:p w14:paraId="7FC4B5F8">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极高危害(P1)</w:t>
            </w:r>
          </w:p>
        </w:tc>
        <w:tc>
          <w:tcPr>
            <w:tcW w:w="1701" w:type="dxa"/>
            <w:vAlign w:val="center"/>
          </w:tcPr>
          <w:p w14:paraId="7AE3321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高度危害(P2)</w:t>
            </w:r>
          </w:p>
        </w:tc>
        <w:tc>
          <w:tcPr>
            <w:tcW w:w="1985" w:type="dxa"/>
            <w:vAlign w:val="center"/>
          </w:tcPr>
          <w:p w14:paraId="5D79851D">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中度危害(P3)</w:t>
            </w:r>
          </w:p>
        </w:tc>
        <w:tc>
          <w:tcPr>
            <w:tcW w:w="1939" w:type="dxa"/>
            <w:vAlign w:val="center"/>
          </w:tcPr>
          <w:p w14:paraId="5AED2A0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轻度危害(P4)</w:t>
            </w:r>
          </w:p>
        </w:tc>
      </w:tr>
      <w:tr w14:paraId="26840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35" w:type="dxa"/>
            <w:gridSpan w:val="5"/>
            <w:vAlign w:val="center"/>
          </w:tcPr>
          <w:p w14:paraId="370C1BCB">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大气环境</w:t>
            </w:r>
          </w:p>
        </w:tc>
      </w:tr>
      <w:tr w14:paraId="51216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3C2A333F">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环境高度敏感区(E1)</w:t>
            </w:r>
          </w:p>
        </w:tc>
        <w:tc>
          <w:tcPr>
            <w:tcW w:w="1637" w:type="dxa"/>
            <w:vAlign w:val="center"/>
          </w:tcPr>
          <w:p w14:paraId="5C4CD206">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r>
              <w:rPr>
                <w:rFonts w:ascii="Times New Roman" w:hAnsi="Times New Roman" w:cs="Times New Roman"/>
                <w:color w:val="000000" w:themeColor="text1"/>
                <w:sz w:val="21"/>
                <w:szCs w:val="21"/>
                <w:vertAlign w:val="superscript"/>
                <w14:textFill>
                  <w14:solidFill>
                    <w14:schemeClr w14:val="tx1"/>
                  </w14:solidFill>
                </w14:textFill>
              </w:rPr>
              <w:t>+</w:t>
            </w:r>
          </w:p>
        </w:tc>
        <w:tc>
          <w:tcPr>
            <w:tcW w:w="1701" w:type="dxa"/>
            <w:vAlign w:val="center"/>
          </w:tcPr>
          <w:p w14:paraId="65F20334">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p>
        </w:tc>
        <w:tc>
          <w:tcPr>
            <w:tcW w:w="1985" w:type="dxa"/>
            <w:vAlign w:val="center"/>
          </w:tcPr>
          <w:p w14:paraId="4BF1704C">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39" w:type="dxa"/>
            <w:vAlign w:val="center"/>
          </w:tcPr>
          <w:p w14:paraId="6A9A41D6">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r>
      <w:tr w14:paraId="41957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44AA3AF3">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环境中度敏感区(E2)</w:t>
            </w:r>
          </w:p>
        </w:tc>
        <w:tc>
          <w:tcPr>
            <w:tcW w:w="1637" w:type="dxa"/>
            <w:vAlign w:val="center"/>
          </w:tcPr>
          <w:p w14:paraId="5BFECABD">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p>
        </w:tc>
        <w:tc>
          <w:tcPr>
            <w:tcW w:w="1701" w:type="dxa"/>
            <w:vAlign w:val="center"/>
          </w:tcPr>
          <w:p w14:paraId="4B705605">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85" w:type="dxa"/>
            <w:shd w:val="clear" w:color="auto" w:fill="D8D8D8" w:themeFill="background1" w:themeFillShade="D9"/>
            <w:vAlign w:val="center"/>
          </w:tcPr>
          <w:p w14:paraId="06B0FF95">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39" w:type="dxa"/>
            <w:vAlign w:val="center"/>
          </w:tcPr>
          <w:p w14:paraId="1E32756E">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r>
      <w:tr w14:paraId="766F4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3827526A">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环境低度敏感区(E3)</w:t>
            </w:r>
          </w:p>
        </w:tc>
        <w:tc>
          <w:tcPr>
            <w:tcW w:w="1637" w:type="dxa"/>
            <w:vAlign w:val="center"/>
          </w:tcPr>
          <w:p w14:paraId="1047475A">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701" w:type="dxa"/>
            <w:vAlign w:val="center"/>
          </w:tcPr>
          <w:p w14:paraId="1B4E57A6">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85" w:type="dxa"/>
            <w:vAlign w:val="center"/>
          </w:tcPr>
          <w:p w14:paraId="57BA5FA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c>
          <w:tcPr>
            <w:tcW w:w="1939" w:type="dxa"/>
            <w:vAlign w:val="center"/>
          </w:tcPr>
          <w:p w14:paraId="0B6B0759">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Ⅰ</w:t>
            </w:r>
          </w:p>
        </w:tc>
      </w:tr>
      <w:tr w14:paraId="52D03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35" w:type="dxa"/>
            <w:gridSpan w:val="5"/>
            <w:vAlign w:val="center"/>
          </w:tcPr>
          <w:p w14:paraId="701AC22B">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地表水环境</w:t>
            </w:r>
          </w:p>
        </w:tc>
      </w:tr>
      <w:tr w14:paraId="53D9C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17073206">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环境高度敏感区(E1)</w:t>
            </w:r>
          </w:p>
        </w:tc>
        <w:tc>
          <w:tcPr>
            <w:tcW w:w="1637" w:type="dxa"/>
            <w:vAlign w:val="center"/>
          </w:tcPr>
          <w:p w14:paraId="0D0C57A9">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r>
              <w:rPr>
                <w:rFonts w:ascii="Times New Roman" w:hAnsi="Times New Roman" w:cs="Times New Roman"/>
                <w:color w:val="000000" w:themeColor="text1"/>
                <w:sz w:val="21"/>
                <w:szCs w:val="21"/>
                <w:vertAlign w:val="superscript"/>
                <w14:textFill>
                  <w14:solidFill>
                    <w14:schemeClr w14:val="tx1"/>
                  </w14:solidFill>
                </w14:textFill>
              </w:rPr>
              <w:t>+</w:t>
            </w:r>
          </w:p>
        </w:tc>
        <w:tc>
          <w:tcPr>
            <w:tcW w:w="1701" w:type="dxa"/>
            <w:vAlign w:val="center"/>
          </w:tcPr>
          <w:p w14:paraId="68D744F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p>
        </w:tc>
        <w:tc>
          <w:tcPr>
            <w:tcW w:w="1985" w:type="dxa"/>
            <w:vAlign w:val="center"/>
          </w:tcPr>
          <w:p w14:paraId="46B69EC5">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39" w:type="dxa"/>
            <w:vAlign w:val="center"/>
          </w:tcPr>
          <w:p w14:paraId="64E6775E">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r>
      <w:tr w14:paraId="70694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5F8D3594">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环境中度敏感区(E2)</w:t>
            </w:r>
          </w:p>
        </w:tc>
        <w:tc>
          <w:tcPr>
            <w:tcW w:w="1637" w:type="dxa"/>
            <w:vAlign w:val="center"/>
          </w:tcPr>
          <w:p w14:paraId="79BA934A">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p>
        </w:tc>
        <w:tc>
          <w:tcPr>
            <w:tcW w:w="1701" w:type="dxa"/>
            <w:vAlign w:val="center"/>
          </w:tcPr>
          <w:p w14:paraId="69C2A248">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85" w:type="dxa"/>
            <w:shd w:val="clear" w:color="auto" w:fill="D8D8D8" w:themeFill="background1" w:themeFillShade="D9"/>
            <w:vAlign w:val="center"/>
          </w:tcPr>
          <w:p w14:paraId="29592A6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39" w:type="dxa"/>
            <w:vAlign w:val="center"/>
          </w:tcPr>
          <w:p w14:paraId="12E0B7B9">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r>
      <w:tr w14:paraId="3E924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72E0ACCF">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环境低度敏感区(E3)</w:t>
            </w:r>
          </w:p>
        </w:tc>
        <w:tc>
          <w:tcPr>
            <w:tcW w:w="1637" w:type="dxa"/>
            <w:vAlign w:val="center"/>
          </w:tcPr>
          <w:p w14:paraId="19AA37F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701" w:type="dxa"/>
            <w:vAlign w:val="center"/>
          </w:tcPr>
          <w:p w14:paraId="282CD99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85" w:type="dxa"/>
            <w:vAlign w:val="center"/>
          </w:tcPr>
          <w:p w14:paraId="5964786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c>
          <w:tcPr>
            <w:tcW w:w="1939" w:type="dxa"/>
            <w:vAlign w:val="center"/>
          </w:tcPr>
          <w:p w14:paraId="77E08F5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Ⅰ</w:t>
            </w:r>
          </w:p>
        </w:tc>
      </w:tr>
      <w:tr w14:paraId="2EED7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35" w:type="dxa"/>
            <w:gridSpan w:val="5"/>
            <w:vAlign w:val="center"/>
          </w:tcPr>
          <w:p w14:paraId="681C08AA">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地下水环境</w:t>
            </w:r>
          </w:p>
        </w:tc>
      </w:tr>
      <w:tr w14:paraId="11109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127E5ED5">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环境高度敏感区(E1)</w:t>
            </w:r>
          </w:p>
        </w:tc>
        <w:tc>
          <w:tcPr>
            <w:tcW w:w="1637" w:type="dxa"/>
            <w:vAlign w:val="center"/>
          </w:tcPr>
          <w:p w14:paraId="36301F2C">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r>
              <w:rPr>
                <w:rFonts w:ascii="Times New Roman" w:hAnsi="Times New Roman" w:cs="Times New Roman"/>
                <w:color w:val="000000" w:themeColor="text1"/>
                <w:sz w:val="21"/>
                <w:szCs w:val="21"/>
                <w:vertAlign w:val="superscript"/>
                <w14:textFill>
                  <w14:solidFill>
                    <w14:schemeClr w14:val="tx1"/>
                  </w14:solidFill>
                </w14:textFill>
              </w:rPr>
              <w:t>+</w:t>
            </w:r>
          </w:p>
        </w:tc>
        <w:tc>
          <w:tcPr>
            <w:tcW w:w="1701" w:type="dxa"/>
            <w:vAlign w:val="center"/>
          </w:tcPr>
          <w:p w14:paraId="2916B6B7">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p>
        </w:tc>
        <w:tc>
          <w:tcPr>
            <w:tcW w:w="1985" w:type="dxa"/>
            <w:vAlign w:val="center"/>
          </w:tcPr>
          <w:p w14:paraId="31E0AE90">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39" w:type="dxa"/>
            <w:vAlign w:val="center"/>
          </w:tcPr>
          <w:p w14:paraId="24B75A48">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r>
      <w:tr w14:paraId="1CA0E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6E99332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环境中度敏感区(E2)</w:t>
            </w:r>
          </w:p>
        </w:tc>
        <w:tc>
          <w:tcPr>
            <w:tcW w:w="1637" w:type="dxa"/>
            <w:vAlign w:val="center"/>
          </w:tcPr>
          <w:p w14:paraId="2D7BB763">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Ⅳ</w:t>
            </w:r>
          </w:p>
        </w:tc>
        <w:tc>
          <w:tcPr>
            <w:tcW w:w="1701" w:type="dxa"/>
            <w:vAlign w:val="center"/>
          </w:tcPr>
          <w:p w14:paraId="3AC784C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85" w:type="dxa"/>
            <w:vAlign w:val="center"/>
          </w:tcPr>
          <w:p w14:paraId="1BE31CE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39" w:type="dxa"/>
            <w:vAlign w:val="center"/>
          </w:tcPr>
          <w:p w14:paraId="57007721">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r>
      <w:tr w14:paraId="30BFA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73" w:type="dxa"/>
            <w:vAlign w:val="center"/>
          </w:tcPr>
          <w:p w14:paraId="60FAB87F">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环境低度敏感区(E3)</w:t>
            </w:r>
          </w:p>
        </w:tc>
        <w:tc>
          <w:tcPr>
            <w:tcW w:w="1637" w:type="dxa"/>
            <w:vAlign w:val="center"/>
          </w:tcPr>
          <w:p w14:paraId="2A13E50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701" w:type="dxa"/>
            <w:vAlign w:val="center"/>
          </w:tcPr>
          <w:p w14:paraId="4ED07A35">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p>
        </w:tc>
        <w:tc>
          <w:tcPr>
            <w:tcW w:w="1985" w:type="dxa"/>
            <w:shd w:val="clear" w:color="auto" w:fill="D8D8D8" w:themeFill="background1" w:themeFillShade="D9"/>
            <w:vAlign w:val="center"/>
          </w:tcPr>
          <w:p w14:paraId="04D69C82">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p>
        </w:tc>
        <w:tc>
          <w:tcPr>
            <w:tcW w:w="1939" w:type="dxa"/>
            <w:vAlign w:val="center"/>
          </w:tcPr>
          <w:p w14:paraId="041938CC">
            <w:pPr>
              <w:pStyle w:val="35"/>
              <w:snapToGrid w:val="0"/>
              <w:spacing w:after="0"/>
              <w:ind w:left="0" w:left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Ⅰ</w:t>
            </w:r>
          </w:p>
        </w:tc>
      </w:tr>
    </w:tbl>
    <w:p w14:paraId="1285B4B7">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综上所述，本项目危险物质及工艺系统危险性等级判定为P3，各要素环境风险潜势判定如下：</w:t>
      </w:r>
    </w:p>
    <w:p w14:paraId="716B0111">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①大气环境敏感程度为E2，环境风险潜势为Ⅲ。</w:t>
      </w:r>
    </w:p>
    <w:p w14:paraId="43B3EC27">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②地表水环境敏感程度为E2，环境风险潜势为Ⅲ。</w:t>
      </w:r>
    </w:p>
    <w:p w14:paraId="6A103693">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③地下水环境敏感程度为E3，环境风险潜势为Ⅱ。</w:t>
      </w:r>
    </w:p>
    <w:p w14:paraId="4C6FD360">
      <w:pPr>
        <w:autoSpaceDE w:val="0"/>
        <w:autoSpaceDN w:val="0"/>
        <w:adjustRightIn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根据《建设项目环境风险评价技术导则》（HJ169-2018）6.4建设项目环境风险潜势综合等级取各要素等级的相对高值，则本项目风险潜势综合等级为Ⅲ。</w:t>
      </w:r>
    </w:p>
    <w:p w14:paraId="23A1368D">
      <w:pPr>
        <w:pStyle w:val="118"/>
        <w:rPr>
          <w:rFonts w:ascii="Times New Roman" w:hAnsi="Times New Roman" w:cs="Times New Roman"/>
          <w:color w:val="FF0000"/>
        </w:rPr>
      </w:pPr>
      <w:bookmarkStart w:id="150" w:name="_Toc2789990"/>
    </w:p>
    <w:p w14:paraId="13A1A70E">
      <w:pPr>
        <w:pStyle w:val="118"/>
        <w:rPr>
          <w:rFonts w:ascii="Times New Roman" w:hAnsi="Times New Roman" w:cs="Times New Roman"/>
          <w:color w:val="FF0000"/>
        </w:rPr>
      </w:pPr>
    </w:p>
    <w:p w14:paraId="59C43613">
      <w:pPr>
        <w:pStyle w:val="118"/>
        <w:rPr>
          <w:rFonts w:ascii="Times New Roman" w:hAnsi="Times New Roman" w:cs="Times New Roman"/>
          <w:color w:val="FF0000"/>
        </w:rPr>
      </w:pPr>
    </w:p>
    <w:p w14:paraId="100CF58A">
      <w:pPr>
        <w:pStyle w:val="118"/>
        <w:rPr>
          <w:rFonts w:ascii="Times New Roman" w:hAnsi="Times New Roman" w:cs="Times New Roman"/>
          <w:color w:val="FF0000"/>
        </w:rPr>
      </w:pPr>
    </w:p>
    <w:p w14:paraId="03340951">
      <w:pPr>
        <w:spacing w:line="360" w:lineRule="auto"/>
        <w:rPr>
          <w:rFonts w:ascii="Times New Roman" w:hAnsi="Times New Roman" w:cs="Times New Roman"/>
          <w:color w:val="FF0000"/>
          <w:szCs w:val="21"/>
        </w:rPr>
        <w:sectPr>
          <w:pgSz w:w="11907" w:h="16840"/>
          <w:pgMar w:top="1440" w:right="1800" w:bottom="1440" w:left="1800" w:header="652" w:footer="851" w:gutter="0"/>
          <w:cols w:space="720" w:num="1"/>
          <w:docGrid w:linePitch="326" w:charSpace="0"/>
        </w:sectPr>
      </w:pPr>
    </w:p>
    <w:p w14:paraId="2A27AB84">
      <w:pPr>
        <w:pStyle w:val="3"/>
        <w:keepNext w:val="0"/>
        <w:keepLines/>
        <w:tabs>
          <w:tab w:val="left" w:pos="284"/>
          <w:tab w:val="left" w:pos="709"/>
        </w:tabs>
        <w:overflowPunct/>
        <w:adjustRightInd w:val="0"/>
        <w:spacing w:before="0" w:after="0" w:line="360" w:lineRule="auto"/>
        <w:ind w:left="0" w:firstLine="0"/>
        <w:jc w:val="both"/>
        <w:textAlignment w:val="baseline"/>
        <w:rPr>
          <w:rFonts w:ascii="Times New Roman" w:hAnsi="Times New Roman" w:cs="Times New Roman"/>
          <w:color w:val="000000" w:themeColor="text1"/>
          <w14:textFill>
            <w14:solidFill>
              <w14:schemeClr w14:val="tx1"/>
            </w14:solidFill>
          </w14:textFill>
        </w:rPr>
      </w:pPr>
      <w:bookmarkStart w:id="151" w:name="_Toc95759782"/>
      <w:bookmarkStart w:id="152" w:name="_Toc146041499"/>
      <w:bookmarkStart w:id="153" w:name="_Toc95759365"/>
      <w:bookmarkStart w:id="154" w:name="_Toc84835287"/>
      <w:bookmarkStart w:id="155" w:name="_Toc144375240"/>
      <w:bookmarkStart w:id="156" w:name="_Toc144374988"/>
      <w:r>
        <w:rPr>
          <w:rFonts w:ascii="Times New Roman" w:hAnsi="Times New Roman" w:cs="Times New Roman"/>
          <w:color w:val="000000" w:themeColor="text1"/>
          <w14:textFill>
            <w14:solidFill>
              <w14:schemeClr w14:val="tx1"/>
            </w14:solidFill>
          </w14:textFill>
        </w:rPr>
        <w:t>7、风险识别</w:t>
      </w:r>
      <w:bookmarkEnd w:id="150"/>
      <w:bookmarkEnd w:id="151"/>
      <w:bookmarkEnd w:id="152"/>
      <w:bookmarkEnd w:id="153"/>
      <w:bookmarkEnd w:id="154"/>
      <w:bookmarkEnd w:id="155"/>
      <w:bookmarkEnd w:id="156"/>
    </w:p>
    <w:p w14:paraId="655608D1">
      <w:pPr>
        <w:pStyle w:val="346"/>
        <w:ind w:firstLine="482" w:firstLineChars="200"/>
        <w:rPr>
          <w:color w:val="000000" w:themeColor="text1"/>
          <w14:textFill>
            <w14:solidFill>
              <w14:schemeClr w14:val="tx1"/>
            </w14:solidFill>
          </w14:textFill>
        </w:rPr>
      </w:pPr>
      <w:bookmarkStart w:id="157" w:name="_Toc144375241"/>
      <w:bookmarkStart w:id="158" w:name="_Toc95759366"/>
      <w:r>
        <w:rPr>
          <w:color w:val="000000" w:themeColor="text1"/>
          <w14:textFill>
            <w14:solidFill>
              <w14:schemeClr w14:val="tx1"/>
            </w14:solidFill>
          </w14:textFill>
        </w:rPr>
        <w:t>7.1物质危险性识别</w:t>
      </w:r>
      <w:bookmarkEnd w:id="157"/>
      <w:bookmarkEnd w:id="158"/>
    </w:p>
    <w:p w14:paraId="05E4CC3C">
      <w:pPr>
        <w:pStyle w:val="4003"/>
        <w:rPr>
          <w:color w:val="000000" w:themeColor="text1"/>
          <w14:textFill>
            <w14:solidFill>
              <w14:schemeClr w14:val="tx1"/>
            </w14:solidFill>
          </w14:textFill>
        </w:rPr>
      </w:pPr>
      <w:r>
        <w:rPr>
          <w:color w:val="000000" w:themeColor="text1"/>
          <w14:textFill>
            <w14:solidFill>
              <w14:schemeClr w14:val="tx1"/>
            </w14:solidFill>
          </w14:textFill>
        </w:rPr>
        <w:t>7.1.1 货种危险性识别</w:t>
      </w:r>
    </w:p>
    <w:p w14:paraId="12035C4D">
      <w:pPr>
        <w:adjustRightInd w:val="0"/>
        <w:snapToGrid w:val="0"/>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根据建设单位提供的货物种类及其理化性质，对照《危险化学品目录》（2022调整版）、《危险化学品安全技术全书（第三版）》（化学工业出版社）等，本项目化学品的危险性识别如下表：</w:t>
      </w:r>
    </w:p>
    <w:p w14:paraId="7F87F91D">
      <w:pPr>
        <w:adjustRightInd w:val="0"/>
        <w:snapToGrid w:val="0"/>
        <w:jc w:val="center"/>
        <w:rPr>
          <w:rFonts w:ascii="Times New Roman" w:hAnsi="Times New Roman" w:cs="Times New Roman"/>
          <w:b/>
          <w:bCs/>
          <w:color w:val="FF0000"/>
        </w:rPr>
      </w:pPr>
      <w:r>
        <w:rPr>
          <w:rFonts w:ascii="Times New Roman" w:hAnsi="Times New Roman" w:cs="Times New Roman"/>
          <w:b/>
          <w:bCs/>
          <w:color w:val="000000" w:themeColor="text1"/>
          <w14:textFill>
            <w14:solidFill>
              <w14:schemeClr w14:val="tx1"/>
            </w14:solidFill>
          </w14:textFill>
        </w:rPr>
        <w:t>表7-1 项目货种危险特性一览表</w:t>
      </w:r>
    </w:p>
    <w:tbl>
      <w:tblPr>
        <w:tblStyle w:val="88"/>
        <w:tblW w:w="14651" w:type="dxa"/>
        <w:jc w:val="center"/>
        <w:tblLayout w:type="fixed"/>
        <w:tblCellMar>
          <w:top w:w="0" w:type="dxa"/>
          <w:left w:w="11" w:type="dxa"/>
          <w:bottom w:w="0" w:type="dxa"/>
          <w:right w:w="11" w:type="dxa"/>
        </w:tblCellMar>
      </w:tblPr>
      <w:tblGrid>
        <w:gridCol w:w="409"/>
        <w:gridCol w:w="1149"/>
        <w:gridCol w:w="711"/>
        <w:gridCol w:w="1160"/>
        <w:gridCol w:w="708"/>
        <w:gridCol w:w="708"/>
        <w:gridCol w:w="2111"/>
        <w:gridCol w:w="603"/>
        <w:gridCol w:w="2103"/>
        <w:gridCol w:w="1565"/>
        <w:gridCol w:w="3424"/>
      </w:tblGrid>
      <w:tr w14:paraId="0821DF9A">
        <w:tblPrEx>
          <w:tblCellMar>
            <w:top w:w="0" w:type="dxa"/>
            <w:left w:w="11" w:type="dxa"/>
            <w:bottom w:w="0" w:type="dxa"/>
            <w:right w:w="11" w:type="dxa"/>
          </w:tblCellMar>
        </w:tblPrEx>
        <w:trPr>
          <w:trHeight w:val="363" w:hRule="atLeast"/>
          <w:tblHeader/>
          <w:jc w:val="center"/>
        </w:trPr>
        <w:tc>
          <w:tcPr>
            <w:tcW w:w="409" w:type="dxa"/>
            <w:tcBorders>
              <w:top w:val="single" w:color="000000" w:sz="4" w:space="0"/>
              <w:left w:val="single" w:color="000000" w:sz="4" w:space="0"/>
              <w:bottom w:val="single" w:color="000000" w:sz="4" w:space="0"/>
              <w:right w:val="single" w:color="000000" w:sz="4" w:space="0"/>
            </w:tcBorders>
            <w:vAlign w:val="center"/>
          </w:tcPr>
          <w:p w14:paraId="3C8AA450">
            <w:pPr>
              <w:jc w:val="center"/>
              <w:textAlignment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序号</w:t>
            </w:r>
          </w:p>
        </w:tc>
        <w:tc>
          <w:tcPr>
            <w:tcW w:w="1149" w:type="dxa"/>
            <w:tcBorders>
              <w:top w:val="single" w:color="000000" w:sz="4" w:space="0"/>
              <w:left w:val="single" w:color="000000" w:sz="4" w:space="0"/>
              <w:bottom w:val="single" w:color="000000" w:sz="4" w:space="0"/>
              <w:right w:val="single" w:color="000000" w:sz="4" w:space="0"/>
            </w:tcBorders>
            <w:vAlign w:val="center"/>
          </w:tcPr>
          <w:p w14:paraId="2E4E5931">
            <w:pPr>
              <w:jc w:val="center"/>
              <w:textAlignment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新增品名</w:t>
            </w:r>
          </w:p>
        </w:tc>
        <w:tc>
          <w:tcPr>
            <w:tcW w:w="711" w:type="dxa"/>
            <w:tcBorders>
              <w:top w:val="single" w:color="000000" w:sz="4" w:space="0"/>
              <w:left w:val="single" w:color="000000" w:sz="4" w:space="0"/>
              <w:bottom w:val="single" w:color="000000" w:sz="4" w:space="0"/>
              <w:right w:val="single" w:color="000000" w:sz="4" w:space="0"/>
            </w:tcBorders>
            <w:vAlign w:val="center"/>
          </w:tcPr>
          <w:p w14:paraId="633A866E">
            <w:pPr>
              <w:jc w:val="center"/>
              <w:textAlignment w:val="center"/>
              <w:rPr>
                <w:rFonts w:ascii="Times New Roman" w:hAnsi="Times New Roman" w:cs="Times New Roman"/>
                <w:b/>
                <w:bCs/>
                <w:color w:val="000000" w:themeColor="text1"/>
                <w:sz w:val="21"/>
                <w:szCs w:val="21"/>
                <w:lang w:bidi="ar"/>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是否危化品</w:t>
            </w:r>
          </w:p>
        </w:tc>
        <w:tc>
          <w:tcPr>
            <w:tcW w:w="1160" w:type="dxa"/>
            <w:tcBorders>
              <w:top w:val="single" w:color="000000" w:sz="4" w:space="0"/>
              <w:left w:val="single" w:color="000000" w:sz="4" w:space="0"/>
              <w:bottom w:val="single" w:color="000000" w:sz="4" w:space="0"/>
              <w:right w:val="single" w:color="000000" w:sz="4" w:space="0"/>
            </w:tcBorders>
            <w:vAlign w:val="center"/>
          </w:tcPr>
          <w:p w14:paraId="18D2A5F5">
            <w:pPr>
              <w:jc w:val="center"/>
              <w:textAlignment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CAS编号</w:t>
            </w:r>
          </w:p>
        </w:tc>
        <w:tc>
          <w:tcPr>
            <w:tcW w:w="708" w:type="dxa"/>
            <w:tcBorders>
              <w:top w:val="single" w:color="000000" w:sz="4" w:space="0"/>
              <w:left w:val="single" w:color="000000" w:sz="4" w:space="0"/>
              <w:bottom w:val="single" w:color="000000" w:sz="4" w:space="0"/>
              <w:right w:val="single" w:color="000000" w:sz="4" w:space="0"/>
            </w:tcBorders>
            <w:vAlign w:val="center"/>
          </w:tcPr>
          <w:p w14:paraId="765D9F51">
            <w:pPr>
              <w:jc w:val="center"/>
              <w:textAlignment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闪点</w:t>
            </w:r>
            <w:r>
              <w:rPr>
                <w:rFonts w:hint="eastAsia"/>
                <w:b/>
                <w:bCs/>
                <w:color w:val="000000" w:themeColor="text1"/>
                <w:sz w:val="21"/>
                <w:szCs w:val="21"/>
                <w:lang w:bidi="ar"/>
                <w14:textFill>
                  <w14:solidFill>
                    <w14:schemeClr w14:val="tx1"/>
                  </w14:solidFill>
                </w14:textFill>
              </w:rPr>
              <w:t>℃</w:t>
            </w:r>
          </w:p>
        </w:tc>
        <w:tc>
          <w:tcPr>
            <w:tcW w:w="708" w:type="dxa"/>
            <w:tcBorders>
              <w:top w:val="single" w:color="000000" w:sz="4" w:space="0"/>
              <w:left w:val="single" w:color="000000" w:sz="4" w:space="0"/>
              <w:bottom w:val="single" w:color="000000" w:sz="4" w:space="0"/>
              <w:right w:val="single" w:color="000000" w:sz="4" w:space="0"/>
            </w:tcBorders>
            <w:vAlign w:val="center"/>
          </w:tcPr>
          <w:p w14:paraId="47A81EA3">
            <w:pPr>
              <w:jc w:val="center"/>
              <w:textAlignment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水溶性</w:t>
            </w:r>
          </w:p>
        </w:tc>
        <w:tc>
          <w:tcPr>
            <w:tcW w:w="2111" w:type="dxa"/>
            <w:tcBorders>
              <w:top w:val="single" w:color="000000" w:sz="4" w:space="0"/>
              <w:left w:val="single" w:color="000000" w:sz="4" w:space="0"/>
              <w:bottom w:val="single" w:color="000000" w:sz="4" w:space="0"/>
              <w:right w:val="single" w:color="000000" w:sz="4" w:space="0"/>
            </w:tcBorders>
            <w:vAlign w:val="center"/>
          </w:tcPr>
          <w:p w14:paraId="328E7062">
            <w:pPr>
              <w:jc w:val="center"/>
              <w:textAlignment w:val="center"/>
              <w:rPr>
                <w:rFonts w:ascii="Times New Roman" w:hAnsi="Times New Roman" w:cs="Times New Roman"/>
                <w:b/>
                <w:bCs/>
                <w:color w:val="000000" w:themeColor="text1"/>
                <w:sz w:val="21"/>
                <w:szCs w:val="21"/>
                <w:lang w:bidi="ar"/>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急性毒性</w:t>
            </w:r>
          </w:p>
        </w:tc>
        <w:tc>
          <w:tcPr>
            <w:tcW w:w="603" w:type="dxa"/>
            <w:tcBorders>
              <w:top w:val="single" w:color="000000" w:sz="4" w:space="0"/>
              <w:left w:val="single" w:color="000000" w:sz="4" w:space="0"/>
              <w:bottom w:val="single" w:color="000000" w:sz="4" w:space="0"/>
              <w:right w:val="single" w:color="000000" w:sz="4" w:space="0"/>
            </w:tcBorders>
            <w:vAlign w:val="center"/>
          </w:tcPr>
          <w:p w14:paraId="45882786">
            <w:pPr>
              <w:jc w:val="center"/>
              <w:textAlignment w:val="center"/>
              <w:rPr>
                <w:rFonts w:ascii="Times New Roman" w:hAnsi="Times New Roman" w:cs="Times New Roman"/>
                <w:b/>
                <w:bCs/>
                <w:color w:val="000000" w:themeColor="text1"/>
                <w:sz w:val="21"/>
                <w:szCs w:val="21"/>
                <w:lang w:bidi="ar"/>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火险等级</w:t>
            </w:r>
          </w:p>
        </w:tc>
        <w:tc>
          <w:tcPr>
            <w:tcW w:w="2103" w:type="dxa"/>
            <w:tcBorders>
              <w:top w:val="single" w:color="000000" w:sz="4" w:space="0"/>
              <w:left w:val="single" w:color="000000" w:sz="4" w:space="0"/>
              <w:bottom w:val="single" w:color="000000" w:sz="4" w:space="0"/>
              <w:right w:val="single" w:color="000000" w:sz="4" w:space="0"/>
            </w:tcBorders>
            <w:vAlign w:val="center"/>
          </w:tcPr>
          <w:p w14:paraId="615C9AA8">
            <w:pPr>
              <w:jc w:val="center"/>
              <w:textAlignment w:val="center"/>
              <w:rPr>
                <w:rFonts w:ascii="Times New Roman" w:hAnsi="Times New Roman" w:cs="Times New Roman"/>
                <w:b/>
                <w:bCs/>
                <w:color w:val="000000" w:themeColor="text1"/>
                <w:sz w:val="21"/>
                <w:szCs w:val="21"/>
                <w:lang w:bidi="ar"/>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火灾爆炸危险特性</w:t>
            </w:r>
          </w:p>
        </w:tc>
        <w:tc>
          <w:tcPr>
            <w:tcW w:w="1565" w:type="dxa"/>
            <w:tcBorders>
              <w:top w:val="single" w:color="000000" w:sz="4" w:space="0"/>
              <w:left w:val="single" w:color="000000" w:sz="4" w:space="0"/>
              <w:bottom w:val="single" w:color="000000" w:sz="4" w:space="0"/>
              <w:right w:val="single" w:color="000000" w:sz="4" w:space="0"/>
            </w:tcBorders>
            <w:vAlign w:val="center"/>
          </w:tcPr>
          <w:p w14:paraId="6DC085D8">
            <w:pPr>
              <w:jc w:val="center"/>
              <w:textAlignment w:val="center"/>
              <w:rPr>
                <w:rFonts w:ascii="Times New Roman" w:hAnsi="Times New Roman" w:cs="Times New Roman"/>
                <w:b/>
                <w:bCs/>
                <w:color w:val="000000" w:themeColor="text1"/>
                <w:sz w:val="21"/>
                <w:szCs w:val="21"/>
                <w:lang w:bidi="ar"/>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火灾次生/伴生污染物</w:t>
            </w:r>
          </w:p>
        </w:tc>
        <w:tc>
          <w:tcPr>
            <w:tcW w:w="3424" w:type="dxa"/>
            <w:tcBorders>
              <w:top w:val="single" w:color="000000" w:sz="4" w:space="0"/>
              <w:left w:val="single" w:color="000000" w:sz="4" w:space="0"/>
              <w:bottom w:val="single" w:color="000000" w:sz="4" w:space="0"/>
              <w:right w:val="single" w:color="000000" w:sz="4" w:space="0"/>
            </w:tcBorders>
            <w:vAlign w:val="center"/>
          </w:tcPr>
          <w:p w14:paraId="61B24788">
            <w:pPr>
              <w:jc w:val="center"/>
              <w:textAlignment w:val="center"/>
              <w:rPr>
                <w:rFonts w:ascii="Times New Roman" w:hAnsi="Times New Roman" w:cs="Times New Roman"/>
                <w:b/>
                <w:bCs/>
                <w:color w:val="000000" w:themeColor="text1"/>
                <w:sz w:val="21"/>
                <w:szCs w:val="21"/>
                <w:lang w:bidi="ar"/>
                <w14:textFill>
                  <w14:solidFill>
                    <w14:schemeClr w14:val="tx1"/>
                  </w14:solidFill>
                </w14:textFill>
              </w:rPr>
            </w:pPr>
            <w:r>
              <w:rPr>
                <w:rFonts w:ascii="Times New Roman" w:hAnsi="Times New Roman" w:cs="Times New Roman"/>
                <w:b/>
                <w:bCs/>
                <w:color w:val="000000" w:themeColor="text1"/>
                <w:sz w:val="21"/>
                <w:szCs w:val="21"/>
                <w:lang w:bidi="ar"/>
                <w14:textFill>
                  <w14:solidFill>
                    <w14:schemeClr w14:val="tx1"/>
                  </w14:solidFill>
                </w14:textFill>
              </w:rPr>
              <w:t>危险特性</w:t>
            </w:r>
          </w:p>
        </w:tc>
      </w:tr>
      <w:tr w14:paraId="0D9DF338">
        <w:tblPrEx>
          <w:tblCellMar>
            <w:top w:w="0" w:type="dxa"/>
            <w:left w:w="11" w:type="dxa"/>
            <w:bottom w:w="0" w:type="dxa"/>
            <w:right w:w="11" w:type="dxa"/>
          </w:tblCellMar>
        </w:tblPrEx>
        <w:trPr>
          <w:trHeight w:val="363" w:hRule="atLeast"/>
          <w:jc w:val="center"/>
        </w:trPr>
        <w:tc>
          <w:tcPr>
            <w:tcW w:w="409" w:type="dxa"/>
            <w:tcBorders>
              <w:top w:val="single" w:color="000000" w:sz="4" w:space="0"/>
              <w:left w:val="single" w:color="000000" w:sz="4" w:space="0"/>
              <w:bottom w:val="single" w:color="000000" w:sz="4" w:space="0"/>
              <w:right w:val="single" w:color="000000" w:sz="4" w:space="0"/>
            </w:tcBorders>
            <w:vAlign w:val="center"/>
          </w:tcPr>
          <w:p w14:paraId="4321D944">
            <w:pPr>
              <w:pStyle w:val="200"/>
              <w:numPr>
                <w:ilvl w:val="0"/>
                <w:numId w:val="37"/>
              </w:numPr>
              <w:ind w:firstLineChars="0"/>
              <w:jc w:val="center"/>
              <w:textAlignment w:val="center"/>
              <w:rPr>
                <w:rFonts w:ascii="Times New Roman" w:hAnsi="Times New Roman" w:cs="Times New Roman"/>
                <w:color w:val="000000" w:themeColor="text1"/>
                <w:sz w:val="21"/>
                <w:szCs w:val="21"/>
                <w14:textFill>
                  <w14:solidFill>
                    <w14:schemeClr w14:val="tx1"/>
                  </w14:solidFill>
                </w14:textFill>
              </w:rPr>
            </w:pPr>
          </w:p>
        </w:tc>
        <w:tc>
          <w:tcPr>
            <w:tcW w:w="1149" w:type="dxa"/>
            <w:tcBorders>
              <w:top w:val="single" w:color="000000" w:sz="4" w:space="0"/>
              <w:left w:val="single" w:color="000000" w:sz="4" w:space="0"/>
              <w:bottom w:val="single" w:color="000000" w:sz="4" w:space="0"/>
              <w:right w:val="single" w:color="000000" w:sz="4" w:space="0"/>
            </w:tcBorders>
            <w:vAlign w:val="center"/>
          </w:tcPr>
          <w:p w14:paraId="7E7038A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711" w:type="dxa"/>
            <w:tcBorders>
              <w:top w:val="single" w:color="000000" w:sz="4" w:space="0"/>
              <w:left w:val="single" w:color="000000" w:sz="4" w:space="0"/>
              <w:bottom w:val="single" w:color="000000" w:sz="4" w:space="0"/>
              <w:right w:val="single" w:color="000000" w:sz="4" w:space="0"/>
            </w:tcBorders>
            <w:vAlign w:val="center"/>
          </w:tcPr>
          <w:p w14:paraId="5D227BF2">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是</w:t>
            </w:r>
          </w:p>
        </w:tc>
        <w:tc>
          <w:tcPr>
            <w:tcW w:w="1160" w:type="dxa"/>
            <w:tcBorders>
              <w:top w:val="single" w:color="000000" w:sz="4" w:space="0"/>
              <w:left w:val="single" w:color="000000" w:sz="4" w:space="0"/>
              <w:bottom w:val="single" w:color="000000" w:sz="4" w:space="0"/>
              <w:right w:val="single" w:color="000000" w:sz="4" w:space="0"/>
            </w:tcBorders>
            <w:vAlign w:val="center"/>
          </w:tcPr>
          <w:p w14:paraId="5191C05F">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7704-34-9</w:t>
            </w:r>
          </w:p>
        </w:tc>
        <w:tc>
          <w:tcPr>
            <w:tcW w:w="708" w:type="dxa"/>
            <w:tcBorders>
              <w:top w:val="single" w:color="000000" w:sz="4" w:space="0"/>
              <w:left w:val="single" w:color="000000" w:sz="4" w:space="0"/>
              <w:bottom w:val="single" w:color="000000" w:sz="4" w:space="0"/>
              <w:right w:val="single" w:color="000000" w:sz="4" w:space="0"/>
            </w:tcBorders>
            <w:vAlign w:val="center"/>
          </w:tcPr>
          <w:p w14:paraId="4EA3196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207.2</w:t>
            </w:r>
          </w:p>
        </w:tc>
        <w:tc>
          <w:tcPr>
            <w:tcW w:w="708" w:type="dxa"/>
            <w:tcBorders>
              <w:top w:val="single" w:color="000000" w:sz="4" w:space="0"/>
              <w:left w:val="single" w:color="000000" w:sz="4" w:space="0"/>
              <w:bottom w:val="single" w:color="000000" w:sz="4" w:space="0"/>
              <w:right w:val="single" w:color="000000" w:sz="4" w:space="0"/>
            </w:tcBorders>
            <w:vAlign w:val="center"/>
          </w:tcPr>
          <w:p w14:paraId="1DD98E6E">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不溶</w:t>
            </w:r>
          </w:p>
        </w:tc>
        <w:tc>
          <w:tcPr>
            <w:tcW w:w="2111" w:type="dxa"/>
            <w:tcBorders>
              <w:top w:val="single" w:color="000000" w:sz="4" w:space="0"/>
              <w:left w:val="single" w:color="000000" w:sz="4" w:space="0"/>
              <w:bottom w:val="single" w:color="000000" w:sz="4" w:space="0"/>
              <w:right w:val="single" w:color="000000" w:sz="4" w:space="0"/>
            </w:tcBorders>
            <w:vAlign w:val="center"/>
          </w:tcPr>
          <w:p w14:paraId="1CD31C0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03" w:type="dxa"/>
            <w:tcBorders>
              <w:top w:val="single" w:color="000000" w:sz="4" w:space="0"/>
              <w:left w:val="single" w:color="000000" w:sz="4" w:space="0"/>
              <w:bottom w:val="single" w:color="000000" w:sz="4" w:space="0"/>
              <w:right w:val="single" w:color="000000" w:sz="4" w:space="0"/>
            </w:tcBorders>
            <w:vAlign w:val="center"/>
          </w:tcPr>
          <w:p w14:paraId="6BD160B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丙B</w:t>
            </w:r>
          </w:p>
        </w:tc>
        <w:tc>
          <w:tcPr>
            <w:tcW w:w="2103" w:type="dxa"/>
            <w:tcBorders>
              <w:top w:val="single" w:color="000000" w:sz="4" w:space="0"/>
              <w:left w:val="single" w:color="000000" w:sz="4" w:space="0"/>
              <w:bottom w:val="single" w:color="000000" w:sz="4" w:space="0"/>
              <w:right w:val="single" w:color="000000" w:sz="4" w:space="0"/>
            </w:tcBorders>
            <w:vAlign w:val="center"/>
          </w:tcPr>
          <w:p w14:paraId="501A0896">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可燃</w:t>
            </w:r>
          </w:p>
        </w:tc>
        <w:tc>
          <w:tcPr>
            <w:tcW w:w="1565" w:type="dxa"/>
            <w:tcBorders>
              <w:top w:val="single" w:color="000000" w:sz="4" w:space="0"/>
              <w:left w:val="single" w:color="000000" w:sz="4" w:space="0"/>
              <w:bottom w:val="single" w:color="000000" w:sz="4" w:space="0"/>
              <w:right w:val="single" w:color="000000" w:sz="4" w:space="0"/>
            </w:tcBorders>
            <w:vAlign w:val="center"/>
          </w:tcPr>
          <w:p w14:paraId="709757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二氧化硫</w:t>
            </w:r>
          </w:p>
        </w:tc>
        <w:tc>
          <w:tcPr>
            <w:tcW w:w="3424" w:type="dxa"/>
            <w:tcBorders>
              <w:top w:val="single" w:color="000000" w:sz="4" w:space="0"/>
              <w:left w:val="single" w:color="000000" w:sz="4" w:space="0"/>
              <w:bottom w:val="single" w:color="000000" w:sz="4" w:space="0"/>
              <w:right w:val="single" w:color="000000" w:sz="4" w:space="0"/>
            </w:tcBorders>
            <w:vAlign w:val="center"/>
          </w:tcPr>
          <w:p w14:paraId="7F87D9E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可燃液体</w:t>
            </w:r>
          </w:p>
        </w:tc>
      </w:tr>
      <w:tr w14:paraId="6A4B8E90">
        <w:tblPrEx>
          <w:tblCellMar>
            <w:top w:w="0" w:type="dxa"/>
            <w:left w:w="11" w:type="dxa"/>
            <w:bottom w:w="0" w:type="dxa"/>
            <w:right w:w="11" w:type="dxa"/>
          </w:tblCellMar>
        </w:tblPrEx>
        <w:trPr>
          <w:trHeight w:val="363" w:hRule="atLeast"/>
          <w:jc w:val="center"/>
        </w:trPr>
        <w:tc>
          <w:tcPr>
            <w:tcW w:w="409" w:type="dxa"/>
            <w:tcBorders>
              <w:top w:val="single" w:color="000000" w:sz="4" w:space="0"/>
              <w:left w:val="single" w:color="000000" w:sz="4" w:space="0"/>
              <w:bottom w:val="single" w:color="000000" w:sz="4" w:space="0"/>
              <w:right w:val="single" w:color="000000" w:sz="4" w:space="0"/>
            </w:tcBorders>
            <w:vAlign w:val="center"/>
          </w:tcPr>
          <w:p w14:paraId="4338971F">
            <w:pPr>
              <w:pStyle w:val="200"/>
              <w:numPr>
                <w:ilvl w:val="0"/>
                <w:numId w:val="37"/>
              </w:numPr>
              <w:ind w:firstLineChars="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1149" w:type="dxa"/>
            <w:tcBorders>
              <w:top w:val="single" w:color="000000" w:sz="4" w:space="0"/>
              <w:left w:val="single" w:color="000000" w:sz="4" w:space="0"/>
              <w:bottom w:val="single" w:color="000000" w:sz="4" w:space="0"/>
              <w:right w:val="single" w:color="000000" w:sz="4" w:space="0"/>
            </w:tcBorders>
            <w:vAlign w:val="center"/>
          </w:tcPr>
          <w:p w14:paraId="195B161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w:t>
            </w:r>
          </w:p>
        </w:tc>
        <w:tc>
          <w:tcPr>
            <w:tcW w:w="711" w:type="dxa"/>
            <w:tcBorders>
              <w:top w:val="single" w:color="000000" w:sz="4" w:space="0"/>
              <w:left w:val="single" w:color="000000" w:sz="4" w:space="0"/>
              <w:bottom w:val="single" w:color="000000" w:sz="4" w:space="0"/>
              <w:right w:val="single" w:color="000000" w:sz="4" w:space="0"/>
            </w:tcBorders>
            <w:vAlign w:val="center"/>
          </w:tcPr>
          <w:p w14:paraId="2E0D9DF9">
            <w:pPr>
              <w:jc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是</w:t>
            </w:r>
          </w:p>
        </w:tc>
        <w:tc>
          <w:tcPr>
            <w:tcW w:w="1160" w:type="dxa"/>
            <w:tcBorders>
              <w:top w:val="single" w:color="000000" w:sz="4" w:space="0"/>
              <w:left w:val="single" w:color="000000" w:sz="4" w:space="0"/>
              <w:bottom w:val="single" w:color="000000" w:sz="4" w:space="0"/>
              <w:right w:val="single" w:color="000000" w:sz="4" w:space="0"/>
            </w:tcBorders>
            <w:vAlign w:val="center"/>
          </w:tcPr>
          <w:p w14:paraId="6F45CA32">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8014-95-7</w:t>
            </w:r>
          </w:p>
        </w:tc>
        <w:tc>
          <w:tcPr>
            <w:tcW w:w="708" w:type="dxa"/>
            <w:tcBorders>
              <w:top w:val="single" w:color="000000" w:sz="4" w:space="0"/>
              <w:left w:val="single" w:color="000000" w:sz="4" w:space="0"/>
              <w:bottom w:val="single" w:color="000000" w:sz="4" w:space="0"/>
              <w:right w:val="single" w:color="000000" w:sz="4" w:space="0"/>
            </w:tcBorders>
            <w:vAlign w:val="center"/>
          </w:tcPr>
          <w:p w14:paraId="40E3D7A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708" w:type="dxa"/>
            <w:tcBorders>
              <w:top w:val="single" w:color="000000" w:sz="4" w:space="0"/>
              <w:left w:val="single" w:color="000000" w:sz="4" w:space="0"/>
              <w:bottom w:val="single" w:color="000000" w:sz="4" w:space="0"/>
              <w:right w:val="single" w:color="000000" w:sz="4" w:space="0"/>
            </w:tcBorders>
            <w:vAlign w:val="center"/>
          </w:tcPr>
          <w:p w14:paraId="5BDE1EAF">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溶于水</w:t>
            </w:r>
          </w:p>
        </w:tc>
        <w:tc>
          <w:tcPr>
            <w:tcW w:w="2111" w:type="dxa"/>
            <w:tcBorders>
              <w:top w:val="single" w:color="000000" w:sz="4" w:space="0"/>
              <w:left w:val="single" w:color="000000" w:sz="4" w:space="0"/>
              <w:bottom w:val="single" w:color="000000" w:sz="4" w:space="0"/>
              <w:right w:val="single" w:color="000000" w:sz="4" w:space="0"/>
            </w:tcBorders>
            <w:vAlign w:val="center"/>
          </w:tcPr>
          <w:p w14:paraId="4C58EDD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LD</w:t>
            </w:r>
            <w:r>
              <w:rPr>
                <w:rFonts w:ascii="Times New Roman" w:hAnsi="Times New Roman" w:cs="Times New Roman"/>
                <w:color w:val="000000" w:themeColor="text1"/>
                <w:sz w:val="21"/>
                <w:szCs w:val="21"/>
                <w:vertAlign w:val="subscript"/>
                <w14:textFill>
                  <w14:solidFill>
                    <w14:schemeClr w14:val="tx1"/>
                  </w14:solidFill>
                </w14:textFill>
              </w:rPr>
              <w:t>50</w:t>
            </w:r>
            <w:r>
              <w:rPr>
                <w:rFonts w:ascii="Times New Roman" w:hAnsi="Times New Roman" w:cs="Times New Roman"/>
                <w:color w:val="000000" w:themeColor="text1"/>
                <w:sz w:val="21"/>
                <w:szCs w:val="21"/>
                <w14:textFill>
                  <w14:solidFill>
                    <w14:schemeClr w14:val="tx1"/>
                  </w14:solidFill>
                </w14:textFill>
              </w:rPr>
              <w:t>:2140mg/kg（大鼠经口）</w:t>
            </w:r>
          </w:p>
          <w:p w14:paraId="01CD91F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LC</w:t>
            </w:r>
            <w:r>
              <w:rPr>
                <w:rFonts w:ascii="Times New Roman" w:hAnsi="Times New Roman" w:cs="Times New Roman"/>
                <w:color w:val="000000" w:themeColor="text1"/>
                <w:sz w:val="21"/>
                <w:szCs w:val="21"/>
                <w:vertAlign w:val="subscript"/>
                <w14:textFill>
                  <w14:solidFill>
                    <w14:schemeClr w14:val="tx1"/>
                  </w14:solidFill>
                </w14:textFill>
              </w:rPr>
              <w:t>50</w:t>
            </w:r>
            <w:r>
              <w:rPr>
                <w:rFonts w:ascii="Times New Roman" w:hAnsi="Times New Roman" w:cs="Times New Roman"/>
                <w:color w:val="000000" w:themeColor="text1"/>
                <w:sz w:val="21"/>
                <w:szCs w:val="21"/>
                <w14:textFill>
                  <w14:solidFill>
                    <w14:schemeClr w14:val="tx1"/>
                  </w14:solidFill>
                </w14:textFill>
              </w:rPr>
              <w:t>：510mg/m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，2 小时（大鼠吸入）； 320 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，2小时（小鼠吸入）</w:t>
            </w:r>
          </w:p>
        </w:tc>
        <w:tc>
          <w:tcPr>
            <w:tcW w:w="603" w:type="dxa"/>
            <w:tcBorders>
              <w:top w:val="single" w:color="000000" w:sz="4" w:space="0"/>
              <w:left w:val="single" w:color="000000" w:sz="4" w:space="0"/>
              <w:bottom w:val="single" w:color="000000" w:sz="4" w:space="0"/>
              <w:right w:val="single" w:color="000000" w:sz="4" w:space="0"/>
            </w:tcBorders>
            <w:vAlign w:val="center"/>
          </w:tcPr>
          <w:p w14:paraId="22E5BD9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乙</w:t>
            </w:r>
          </w:p>
        </w:tc>
        <w:tc>
          <w:tcPr>
            <w:tcW w:w="2103" w:type="dxa"/>
            <w:tcBorders>
              <w:top w:val="single" w:color="000000" w:sz="4" w:space="0"/>
              <w:left w:val="single" w:color="000000" w:sz="4" w:space="0"/>
              <w:bottom w:val="single" w:color="000000" w:sz="4" w:space="0"/>
              <w:right w:val="single" w:color="000000" w:sz="4" w:space="0"/>
            </w:tcBorders>
            <w:vAlign w:val="center"/>
          </w:tcPr>
          <w:p w14:paraId="647E2510">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发烟硫酸本身不可燃，但作为极强的氧化剂，能与绝大多数可燃物、有机物（如木材、纸张、布料、糖、纤维素）发生剧烈氧化反应，释放大量热，可能直接引燃物质。</w:t>
            </w:r>
          </w:p>
        </w:tc>
        <w:tc>
          <w:tcPr>
            <w:tcW w:w="1565" w:type="dxa"/>
            <w:tcBorders>
              <w:top w:val="single" w:color="000000" w:sz="4" w:space="0"/>
              <w:left w:val="single" w:color="000000" w:sz="4" w:space="0"/>
              <w:bottom w:val="single" w:color="000000" w:sz="4" w:space="0"/>
              <w:right w:val="single" w:color="000000" w:sz="4" w:space="0"/>
            </w:tcBorders>
            <w:vAlign w:val="center"/>
          </w:tcPr>
          <w:p w14:paraId="094B2C5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三氧化硫烟雾、硫酸雾</w:t>
            </w:r>
          </w:p>
        </w:tc>
        <w:tc>
          <w:tcPr>
            <w:tcW w:w="3424" w:type="dxa"/>
            <w:tcBorders>
              <w:top w:val="single" w:color="000000" w:sz="4" w:space="0"/>
              <w:left w:val="single" w:color="000000" w:sz="4" w:space="0"/>
              <w:bottom w:val="single" w:color="000000" w:sz="4" w:space="0"/>
              <w:right w:val="single" w:color="000000" w:sz="4" w:space="0"/>
            </w:tcBorders>
            <w:vAlign w:val="center"/>
          </w:tcPr>
          <w:p w14:paraId="5ABF032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无特殊燃爆特性。</w:t>
            </w:r>
          </w:p>
          <w:p w14:paraId="247C339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皮肤腐蚀/刺激，类别1A；</w:t>
            </w:r>
          </w:p>
          <w:p w14:paraId="6F5B291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严重眼损伤/眼刺激，类别1；</w:t>
            </w:r>
          </w:p>
          <w:p w14:paraId="36637CB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特异性靶器官毒性次接触，类别3(呼吸道刺激)；</w:t>
            </w:r>
          </w:p>
          <w:p w14:paraId="04D1035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危害水生环境一急性危害，类别3。</w:t>
            </w:r>
          </w:p>
          <w:p w14:paraId="79DB2E97">
            <w:pPr>
              <w:jc w:val="center"/>
              <w:rPr>
                <w:rFonts w:ascii="Times New Roman" w:hAnsi="Times New Roman" w:cs="Times New Roman"/>
                <w:color w:val="000000" w:themeColor="text1"/>
                <w:sz w:val="21"/>
                <w:szCs w:val="21"/>
                <w14:textFill>
                  <w14:solidFill>
                    <w14:schemeClr w14:val="tx1"/>
                  </w14:solidFill>
                </w14:textFill>
              </w:rPr>
            </w:pPr>
          </w:p>
        </w:tc>
      </w:tr>
      <w:tr w14:paraId="73ACE7DD">
        <w:tblPrEx>
          <w:tblCellMar>
            <w:top w:w="0" w:type="dxa"/>
            <w:left w:w="11" w:type="dxa"/>
            <w:bottom w:w="0" w:type="dxa"/>
            <w:right w:w="11" w:type="dxa"/>
          </w:tblCellMar>
        </w:tblPrEx>
        <w:trPr>
          <w:trHeight w:val="363" w:hRule="atLeast"/>
          <w:jc w:val="center"/>
        </w:trPr>
        <w:tc>
          <w:tcPr>
            <w:tcW w:w="409" w:type="dxa"/>
            <w:tcBorders>
              <w:top w:val="single" w:color="000000" w:sz="4" w:space="0"/>
              <w:left w:val="single" w:color="000000" w:sz="4" w:space="0"/>
              <w:bottom w:val="single" w:color="000000" w:sz="4" w:space="0"/>
              <w:right w:val="single" w:color="000000" w:sz="4" w:space="0"/>
            </w:tcBorders>
            <w:vAlign w:val="center"/>
          </w:tcPr>
          <w:p w14:paraId="66B62519">
            <w:pPr>
              <w:pStyle w:val="200"/>
              <w:numPr>
                <w:ilvl w:val="0"/>
                <w:numId w:val="37"/>
              </w:numPr>
              <w:ind w:firstLineChars="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1149" w:type="dxa"/>
            <w:tcBorders>
              <w:top w:val="single" w:color="000000" w:sz="4" w:space="0"/>
              <w:left w:val="single" w:color="000000" w:sz="4" w:space="0"/>
              <w:bottom w:val="single" w:color="000000" w:sz="4" w:space="0"/>
              <w:right w:val="single" w:color="000000" w:sz="4" w:space="0"/>
            </w:tcBorders>
            <w:vAlign w:val="center"/>
          </w:tcPr>
          <w:p w14:paraId="3EB4125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98%</w:t>
            </w:r>
            <w:r>
              <w:rPr>
                <w:rFonts w:ascii="Times New Roman" w:hAnsi="Times New Roman" w:cs="Times New Roman"/>
                <w:color w:val="000000" w:themeColor="text1"/>
                <w:sz w:val="21"/>
                <w:szCs w:val="21"/>
                <w14:textFill>
                  <w14:solidFill>
                    <w14:schemeClr w14:val="tx1"/>
                  </w14:solidFill>
                </w14:textFill>
              </w:rPr>
              <w:t>硫酸</w:t>
            </w:r>
          </w:p>
        </w:tc>
        <w:tc>
          <w:tcPr>
            <w:tcW w:w="711" w:type="dxa"/>
            <w:tcBorders>
              <w:top w:val="single" w:color="000000" w:sz="4" w:space="0"/>
              <w:left w:val="single" w:color="000000" w:sz="4" w:space="0"/>
              <w:bottom w:val="single" w:color="000000" w:sz="4" w:space="0"/>
              <w:right w:val="single" w:color="000000" w:sz="4" w:space="0"/>
            </w:tcBorders>
            <w:vAlign w:val="center"/>
          </w:tcPr>
          <w:p w14:paraId="12C3EB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是</w:t>
            </w:r>
          </w:p>
        </w:tc>
        <w:tc>
          <w:tcPr>
            <w:tcW w:w="1160" w:type="dxa"/>
            <w:tcBorders>
              <w:top w:val="single" w:color="000000" w:sz="4" w:space="0"/>
              <w:left w:val="single" w:color="000000" w:sz="4" w:space="0"/>
              <w:bottom w:val="single" w:color="000000" w:sz="4" w:space="0"/>
              <w:right w:val="single" w:color="000000" w:sz="4" w:space="0"/>
            </w:tcBorders>
            <w:vAlign w:val="center"/>
          </w:tcPr>
          <w:p w14:paraId="397E4946">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7664-93-9</w:t>
            </w:r>
          </w:p>
        </w:tc>
        <w:tc>
          <w:tcPr>
            <w:tcW w:w="708" w:type="dxa"/>
            <w:tcBorders>
              <w:top w:val="single" w:color="000000" w:sz="4" w:space="0"/>
              <w:left w:val="single" w:color="000000" w:sz="4" w:space="0"/>
              <w:bottom w:val="single" w:color="000000" w:sz="4" w:space="0"/>
              <w:right w:val="single" w:color="000000" w:sz="4" w:space="0"/>
            </w:tcBorders>
            <w:vAlign w:val="center"/>
          </w:tcPr>
          <w:p w14:paraId="1F6119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708" w:type="dxa"/>
            <w:tcBorders>
              <w:top w:val="single" w:color="000000" w:sz="4" w:space="0"/>
              <w:left w:val="single" w:color="000000" w:sz="4" w:space="0"/>
              <w:bottom w:val="single" w:color="000000" w:sz="4" w:space="0"/>
              <w:right w:val="single" w:color="000000" w:sz="4" w:space="0"/>
            </w:tcBorders>
            <w:vAlign w:val="center"/>
          </w:tcPr>
          <w:p w14:paraId="756BDAEB">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溶于水</w:t>
            </w:r>
          </w:p>
        </w:tc>
        <w:tc>
          <w:tcPr>
            <w:tcW w:w="2111" w:type="dxa"/>
            <w:tcBorders>
              <w:top w:val="single" w:color="000000" w:sz="4" w:space="0"/>
              <w:left w:val="single" w:color="000000" w:sz="4" w:space="0"/>
              <w:bottom w:val="single" w:color="000000" w:sz="4" w:space="0"/>
              <w:right w:val="single" w:color="000000" w:sz="4" w:space="0"/>
            </w:tcBorders>
            <w:vAlign w:val="center"/>
          </w:tcPr>
          <w:p w14:paraId="3CFA307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LD</w:t>
            </w:r>
            <w:r>
              <w:rPr>
                <w:rFonts w:ascii="Times New Roman" w:hAnsi="Times New Roman" w:cs="Times New Roman"/>
                <w:color w:val="000000" w:themeColor="text1"/>
                <w:sz w:val="21"/>
                <w:szCs w:val="21"/>
                <w:vertAlign w:val="subscript"/>
                <w14:textFill>
                  <w14:solidFill>
                    <w14:schemeClr w14:val="tx1"/>
                  </w14:solidFill>
                </w14:textFill>
              </w:rPr>
              <w:t>50</w:t>
            </w:r>
            <w:r>
              <w:rPr>
                <w:rFonts w:ascii="Times New Roman" w:hAnsi="Times New Roman" w:cs="Times New Roman"/>
                <w:color w:val="000000" w:themeColor="text1"/>
                <w:sz w:val="21"/>
                <w:szCs w:val="21"/>
                <w14:textFill>
                  <w14:solidFill>
                    <w14:schemeClr w14:val="tx1"/>
                  </w14:solidFill>
                </w14:textFill>
              </w:rPr>
              <w:t>:2140mg/kg（大鼠经口）</w:t>
            </w:r>
          </w:p>
          <w:p w14:paraId="04A1F9B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LC</w:t>
            </w:r>
            <w:r>
              <w:rPr>
                <w:rFonts w:ascii="Times New Roman" w:hAnsi="Times New Roman" w:cs="Times New Roman"/>
                <w:color w:val="000000" w:themeColor="text1"/>
                <w:sz w:val="21"/>
                <w:szCs w:val="21"/>
                <w:vertAlign w:val="subscript"/>
                <w14:textFill>
                  <w14:solidFill>
                    <w14:schemeClr w14:val="tx1"/>
                  </w14:solidFill>
                </w14:textFill>
              </w:rPr>
              <w:t>50</w:t>
            </w:r>
            <w:r>
              <w:rPr>
                <w:rFonts w:ascii="Times New Roman" w:hAnsi="Times New Roman" w:cs="Times New Roman"/>
                <w:color w:val="000000" w:themeColor="text1"/>
                <w:sz w:val="21"/>
                <w:szCs w:val="21"/>
                <w14:textFill>
                  <w14:solidFill>
                    <w14:schemeClr w14:val="tx1"/>
                  </w14:solidFill>
                </w14:textFill>
              </w:rPr>
              <w:t>：510mg/m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，2 小时（大鼠吸入）； 320 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，2小时（小鼠吸入）</w:t>
            </w:r>
          </w:p>
        </w:tc>
        <w:tc>
          <w:tcPr>
            <w:tcW w:w="603" w:type="dxa"/>
            <w:tcBorders>
              <w:top w:val="single" w:color="000000" w:sz="4" w:space="0"/>
              <w:left w:val="single" w:color="000000" w:sz="4" w:space="0"/>
              <w:bottom w:val="single" w:color="000000" w:sz="4" w:space="0"/>
              <w:right w:val="single" w:color="000000" w:sz="4" w:space="0"/>
            </w:tcBorders>
            <w:vAlign w:val="center"/>
          </w:tcPr>
          <w:p w14:paraId="754A876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戊</w:t>
            </w:r>
          </w:p>
        </w:tc>
        <w:tc>
          <w:tcPr>
            <w:tcW w:w="2103" w:type="dxa"/>
            <w:tcBorders>
              <w:top w:val="single" w:color="000000" w:sz="4" w:space="0"/>
              <w:left w:val="single" w:color="000000" w:sz="4" w:space="0"/>
              <w:bottom w:val="single" w:color="000000" w:sz="4" w:space="0"/>
              <w:right w:val="single" w:color="000000" w:sz="4" w:space="0"/>
            </w:tcBorders>
            <w:vAlign w:val="center"/>
          </w:tcPr>
          <w:p w14:paraId="01C946A2">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本品不燃，遇水大量放热，与易燃物和可燃物接触会发生剧烈反应，甚至引起燃烧。有强烈的腐蚀性和吸水性。</w:t>
            </w:r>
          </w:p>
        </w:tc>
        <w:tc>
          <w:tcPr>
            <w:tcW w:w="1565" w:type="dxa"/>
            <w:tcBorders>
              <w:top w:val="single" w:color="000000" w:sz="4" w:space="0"/>
              <w:left w:val="single" w:color="000000" w:sz="4" w:space="0"/>
              <w:bottom w:val="single" w:color="000000" w:sz="4" w:space="0"/>
              <w:right w:val="single" w:color="000000" w:sz="4" w:space="0"/>
            </w:tcBorders>
            <w:vAlign w:val="center"/>
          </w:tcPr>
          <w:p w14:paraId="318D0DF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3424" w:type="dxa"/>
            <w:tcBorders>
              <w:top w:val="single" w:color="000000" w:sz="4" w:space="0"/>
              <w:left w:val="single" w:color="000000" w:sz="4" w:space="0"/>
              <w:bottom w:val="single" w:color="000000" w:sz="4" w:space="0"/>
              <w:right w:val="single" w:color="000000" w:sz="4" w:space="0"/>
            </w:tcBorders>
            <w:vAlign w:val="center"/>
          </w:tcPr>
          <w:p w14:paraId="62996B8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皮肤腐蚀/刺激，类别1A</w:t>
            </w:r>
            <w:r>
              <w:rPr>
                <w:rFonts w:ascii="Times New Roman" w:hAnsi="Times New Roman" w:cs="Times New Roman"/>
                <w:color w:val="000000" w:themeColor="text1"/>
                <w:sz w:val="21"/>
                <w:szCs w:val="21"/>
                <w14:textFill>
                  <w14:solidFill>
                    <w14:schemeClr w14:val="tx1"/>
                  </w14:solidFill>
                </w14:textFill>
              </w:rPr>
              <w:br w:type="textWrapping"/>
            </w:r>
            <w:r>
              <w:rPr>
                <w:rFonts w:ascii="Times New Roman" w:hAnsi="Times New Roman" w:cs="Times New Roman"/>
                <w:color w:val="000000" w:themeColor="text1"/>
                <w:sz w:val="21"/>
                <w:szCs w:val="21"/>
                <w14:textFill>
                  <w14:solidFill>
                    <w14:schemeClr w14:val="tx1"/>
                  </w14:solidFill>
                </w14:textFill>
              </w:rPr>
              <w:t>严重眼损伤眼剌激，类别1</w:t>
            </w:r>
          </w:p>
        </w:tc>
      </w:tr>
      <w:tr w14:paraId="6C0A0013">
        <w:tblPrEx>
          <w:tblCellMar>
            <w:top w:w="0" w:type="dxa"/>
            <w:left w:w="11" w:type="dxa"/>
            <w:bottom w:w="0" w:type="dxa"/>
            <w:right w:w="11" w:type="dxa"/>
          </w:tblCellMar>
        </w:tblPrEx>
        <w:trPr>
          <w:trHeight w:val="363" w:hRule="atLeast"/>
          <w:jc w:val="center"/>
        </w:trPr>
        <w:tc>
          <w:tcPr>
            <w:tcW w:w="409" w:type="dxa"/>
            <w:tcBorders>
              <w:top w:val="single" w:color="000000" w:sz="4" w:space="0"/>
              <w:left w:val="single" w:color="000000" w:sz="4" w:space="0"/>
              <w:bottom w:val="single" w:color="000000" w:sz="4" w:space="0"/>
              <w:right w:val="single" w:color="000000" w:sz="4" w:space="0"/>
            </w:tcBorders>
            <w:vAlign w:val="center"/>
          </w:tcPr>
          <w:p w14:paraId="4BAB22F5">
            <w:pPr>
              <w:pStyle w:val="200"/>
              <w:numPr>
                <w:ilvl w:val="0"/>
                <w:numId w:val="37"/>
              </w:numPr>
              <w:ind w:firstLineChars="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1149" w:type="dxa"/>
            <w:tcBorders>
              <w:top w:val="single" w:color="000000" w:sz="4" w:space="0"/>
              <w:left w:val="single" w:color="000000" w:sz="4" w:space="0"/>
              <w:bottom w:val="single" w:color="000000" w:sz="4" w:space="0"/>
              <w:right w:val="single" w:color="000000" w:sz="4" w:space="0"/>
            </w:tcBorders>
            <w:vAlign w:val="center"/>
          </w:tcPr>
          <w:p w14:paraId="5C52160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液碱（48wt%）</w:t>
            </w:r>
          </w:p>
        </w:tc>
        <w:tc>
          <w:tcPr>
            <w:tcW w:w="711" w:type="dxa"/>
            <w:tcBorders>
              <w:top w:val="single" w:color="000000" w:sz="4" w:space="0"/>
              <w:left w:val="single" w:color="000000" w:sz="4" w:space="0"/>
              <w:bottom w:val="single" w:color="000000" w:sz="4" w:space="0"/>
              <w:right w:val="single" w:color="000000" w:sz="4" w:space="0"/>
            </w:tcBorders>
            <w:vAlign w:val="center"/>
          </w:tcPr>
          <w:p w14:paraId="374D8C1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是</w:t>
            </w:r>
          </w:p>
        </w:tc>
        <w:tc>
          <w:tcPr>
            <w:tcW w:w="1160" w:type="dxa"/>
            <w:tcBorders>
              <w:top w:val="single" w:color="000000" w:sz="4" w:space="0"/>
              <w:left w:val="single" w:color="000000" w:sz="4" w:space="0"/>
              <w:bottom w:val="single" w:color="000000" w:sz="4" w:space="0"/>
              <w:right w:val="single" w:color="000000" w:sz="4" w:space="0"/>
            </w:tcBorders>
            <w:vAlign w:val="center"/>
          </w:tcPr>
          <w:p w14:paraId="67F315F3">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1310-73-2</w:t>
            </w:r>
          </w:p>
        </w:tc>
        <w:tc>
          <w:tcPr>
            <w:tcW w:w="708" w:type="dxa"/>
            <w:tcBorders>
              <w:top w:val="single" w:color="000000" w:sz="4" w:space="0"/>
              <w:left w:val="single" w:color="000000" w:sz="4" w:space="0"/>
              <w:bottom w:val="single" w:color="000000" w:sz="4" w:space="0"/>
              <w:right w:val="single" w:color="000000" w:sz="4" w:space="0"/>
            </w:tcBorders>
            <w:vAlign w:val="center"/>
          </w:tcPr>
          <w:p w14:paraId="598D339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708" w:type="dxa"/>
            <w:tcBorders>
              <w:top w:val="single" w:color="000000" w:sz="4" w:space="0"/>
              <w:left w:val="single" w:color="000000" w:sz="4" w:space="0"/>
              <w:bottom w:val="single" w:color="000000" w:sz="4" w:space="0"/>
              <w:right w:val="single" w:color="000000" w:sz="4" w:space="0"/>
            </w:tcBorders>
            <w:vAlign w:val="center"/>
          </w:tcPr>
          <w:p w14:paraId="31ACAF07">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溶于水</w:t>
            </w:r>
          </w:p>
        </w:tc>
        <w:tc>
          <w:tcPr>
            <w:tcW w:w="2111" w:type="dxa"/>
            <w:tcBorders>
              <w:top w:val="single" w:color="000000" w:sz="4" w:space="0"/>
              <w:left w:val="single" w:color="000000" w:sz="4" w:space="0"/>
              <w:bottom w:val="single" w:color="000000" w:sz="4" w:space="0"/>
              <w:right w:val="single" w:color="000000" w:sz="4" w:space="0"/>
            </w:tcBorders>
            <w:vAlign w:val="center"/>
          </w:tcPr>
          <w:p w14:paraId="36ED6E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603" w:type="dxa"/>
            <w:tcBorders>
              <w:top w:val="single" w:color="000000" w:sz="4" w:space="0"/>
              <w:left w:val="single" w:color="000000" w:sz="4" w:space="0"/>
              <w:bottom w:val="single" w:color="000000" w:sz="4" w:space="0"/>
              <w:right w:val="single" w:color="000000" w:sz="4" w:space="0"/>
            </w:tcBorders>
            <w:vAlign w:val="center"/>
          </w:tcPr>
          <w:p w14:paraId="4300AE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戊</w:t>
            </w:r>
          </w:p>
        </w:tc>
        <w:tc>
          <w:tcPr>
            <w:tcW w:w="2103" w:type="dxa"/>
            <w:tcBorders>
              <w:top w:val="single" w:color="000000" w:sz="4" w:space="0"/>
              <w:left w:val="single" w:color="000000" w:sz="4" w:space="0"/>
              <w:bottom w:val="single" w:color="000000" w:sz="4" w:space="0"/>
              <w:right w:val="single" w:color="000000" w:sz="4" w:space="0"/>
            </w:tcBorders>
            <w:vAlign w:val="center"/>
          </w:tcPr>
          <w:p w14:paraId="45B0283A">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与酸发生中和反应并放出热。对铝、锌、</w:t>
            </w:r>
          </w:p>
          <w:p w14:paraId="6E9371C5">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和锡有腐蚀性，并放出易燃易爆的氢气。</w:t>
            </w:r>
          </w:p>
        </w:tc>
        <w:tc>
          <w:tcPr>
            <w:tcW w:w="1565" w:type="dxa"/>
            <w:tcBorders>
              <w:top w:val="single" w:color="000000" w:sz="4" w:space="0"/>
              <w:left w:val="single" w:color="000000" w:sz="4" w:space="0"/>
              <w:bottom w:val="single" w:color="000000" w:sz="4" w:space="0"/>
              <w:right w:val="single" w:color="000000" w:sz="4" w:space="0"/>
            </w:tcBorders>
            <w:vAlign w:val="center"/>
          </w:tcPr>
          <w:p w14:paraId="2EC0078A">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3424" w:type="dxa"/>
            <w:tcBorders>
              <w:top w:val="single" w:color="000000" w:sz="4" w:space="0"/>
              <w:left w:val="single" w:color="000000" w:sz="4" w:space="0"/>
              <w:bottom w:val="single" w:color="000000" w:sz="4" w:space="0"/>
              <w:right w:val="single" w:color="000000" w:sz="4" w:space="0"/>
            </w:tcBorders>
            <w:vAlign w:val="center"/>
          </w:tcPr>
          <w:p w14:paraId="7A14485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不燃</w:t>
            </w:r>
          </w:p>
        </w:tc>
      </w:tr>
      <w:tr w14:paraId="532BE66D">
        <w:tblPrEx>
          <w:tblCellMar>
            <w:top w:w="0" w:type="dxa"/>
            <w:left w:w="11" w:type="dxa"/>
            <w:bottom w:w="0" w:type="dxa"/>
            <w:right w:w="11" w:type="dxa"/>
          </w:tblCellMar>
        </w:tblPrEx>
        <w:trPr>
          <w:trHeight w:val="363" w:hRule="atLeast"/>
          <w:jc w:val="center"/>
        </w:trPr>
        <w:tc>
          <w:tcPr>
            <w:tcW w:w="409" w:type="dxa"/>
            <w:tcBorders>
              <w:top w:val="single" w:color="000000" w:sz="4" w:space="0"/>
              <w:left w:val="single" w:color="000000" w:sz="4" w:space="0"/>
              <w:bottom w:val="single" w:color="000000" w:sz="4" w:space="0"/>
              <w:right w:val="single" w:color="000000" w:sz="4" w:space="0"/>
            </w:tcBorders>
            <w:vAlign w:val="center"/>
          </w:tcPr>
          <w:p w14:paraId="6E43AA70">
            <w:pPr>
              <w:pStyle w:val="200"/>
              <w:numPr>
                <w:ilvl w:val="0"/>
                <w:numId w:val="37"/>
              </w:numPr>
              <w:ind w:firstLineChars="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1149" w:type="dxa"/>
            <w:tcBorders>
              <w:top w:val="single" w:color="000000" w:sz="4" w:space="0"/>
              <w:left w:val="single" w:color="000000" w:sz="4" w:space="0"/>
              <w:bottom w:val="single" w:color="000000" w:sz="4" w:space="0"/>
              <w:right w:val="single" w:color="000000" w:sz="4" w:space="0"/>
            </w:tcBorders>
            <w:vAlign w:val="center"/>
          </w:tcPr>
          <w:p w14:paraId="11E21F5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711" w:type="dxa"/>
            <w:tcBorders>
              <w:top w:val="single" w:color="000000" w:sz="4" w:space="0"/>
              <w:left w:val="single" w:color="000000" w:sz="4" w:space="0"/>
              <w:bottom w:val="single" w:color="000000" w:sz="4" w:space="0"/>
              <w:right w:val="single" w:color="000000" w:sz="4" w:space="0"/>
            </w:tcBorders>
            <w:vAlign w:val="center"/>
          </w:tcPr>
          <w:p w14:paraId="29B6ED4E">
            <w:pPr>
              <w:jc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是</w:t>
            </w:r>
          </w:p>
        </w:tc>
        <w:tc>
          <w:tcPr>
            <w:tcW w:w="1160" w:type="dxa"/>
            <w:tcBorders>
              <w:top w:val="single" w:color="000000" w:sz="4" w:space="0"/>
              <w:left w:val="single" w:color="000000" w:sz="4" w:space="0"/>
              <w:bottom w:val="single" w:color="000000" w:sz="4" w:space="0"/>
              <w:right w:val="single" w:color="000000" w:sz="4" w:space="0"/>
            </w:tcBorders>
            <w:vAlign w:val="center"/>
          </w:tcPr>
          <w:p w14:paraId="3219ED8F">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108-95-2</w:t>
            </w:r>
          </w:p>
        </w:tc>
        <w:tc>
          <w:tcPr>
            <w:tcW w:w="708" w:type="dxa"/>
            <w:tcBorders>
              <w:top w:val="single" w:color="000000" w:sz="4" w:space="0"/>
              <w:left w:val="single" w:color="000000" w:sz="4" w:space="0"/>
              <w:bottom w:val="single" w:color="000000" w:sz="4" w:space="0"/>
              <w:right w:val="single" w:color="000000" w:sz="4" w:space="0"/>
            </w:tcBorders>
            <w:vAlign w:val="center"/>
          </w:tcPr>
          <w:p w14:paraId="79CE3C1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79</w:t>
            </w:r>
          </w:p>
        </w:tc>
        <w:tc>
          <w:tcPr>
            <w:tcW w:w="708" w:type="dxa"/>
            <w:tcBorders>
              <w:top w:val="single" w:color="000000" w:sz="4" w:space="0"/>
              <w:left w:val="single" w:color="000000" w:sz="4" w:space="0"/>
              <w:bottom w:val="single" w:color="000000" w:sz="4" w:space="0"/>
              <w:right w:val="single" w:color="000000" w:sz="4" w:space="0"/>
            </w:tcBorders>
            <w:vAlign w:val="center"/>
          </w:tcPr>
          <w:p w14:paraId="7A1ED15D">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微溶</w:t>
            </w:r>
          </w:p>
        </w:tc>
        <w:tc>
          <w:tcPr>
            <w:tcW w:w="2111" w:type="dxa"/>
            <w:tcBorders>
              <w:top w:val="single" w:color="000000" w:sz="4" w:space="0"/>
              <w:left w:val="single" w:color="000000" w:sz="4" w:space="0"/>
              <w:bottom w:val="single" w:color="000000" w:sz="4" w:space="0"/>
              <w:right w:val="single" w:color="000000" w:sz="4" w:space="0"/>
            </w:tcBorders>
            <w:vAlign w:val="center"/>
          </w:tcPr>
          <w:p w14:paraId="01CB7D7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LD</w:t>
            </w:r>
            <w:r>
              <w:rPr>
                <w:rFonts w:ascii="Times New Roman" w:hAnsi="Times New Roman" w:cs="Times New Roman"/>
                <w:color w:val="000000" w:themeColor="text1"/>
                <w:sz w:val="21"/>
                <w:szCs w:val="21"/>
                <w:vertAlign w:val="subscript"/>
                <w14:textFill>
                  <w14:solidFill>
                    <w14:schemeClr w14:val="tx1"/>
                  </w14:solidFill>
                </w14:textFill>
              </w:rPr>
              <w:t>50</w:t>
            </w:r>
            <w:r>
              <w:rPr>
                <w:rFonts w:ascii="Times New Roman" w:hAnsi="Times New Roman" w:cs="Times New Roman"/>
                <w:color w:val="000000" w:themeColor="text1"/>
                <w:sz w:val="21"/>
                <w:szCs w:val="21"/>
                <w14:textFill>
                  <w14:solidFill>
                    <w14:schemeClr w14:val="tx1"/>
                  </w14:solidFill>
                </w14:textFill>
              </w:rPr>
              <w:t>：317mg /kg(大鼠经口)</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270mg/kg (小鼠经口)</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669mg/kg(大鼠经皮)</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 xml:space="preserve"> 630mg /kg (兔经皮)</w:t>
            </w:r>
          </w:p>
        </w:tc>
        <w:tc>
          <w:tcPr>
            <w:tcW w:w="603" w:type="dxa"/>
            <w:tcBorders>
              <w:top w:val="single" w:color="000000" w:sz="4" w:space="0"/>
              <w:left w:val="single" w:color="000000" w:sz="4" w:space="0"/>
              <w:bottom w:val="single" w:color="000000" w:sz="4" w:space="0"/>
              <w:right w:val="single" w:color="000000" w:sz="4" w:space="0"/>
            </w:tcBorders>
            <w:vAlign w:val="center"/>
          </w:tcPr>
          <w:p w14:paraId="26FFF096">
            <w:pPr>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丙</w:t>
            </w:r>
            <w:r>
              <w:rPr>
                <w:color w:val="000000" w:themeColor="text1"/>
                <w:sz w:val="21"/>
                <w:szCs w:val="21"/>
                <w14:textFill>
                  <w14:solidFill>
                    <w14:schemeClr w14:val="tx1"/>
                  </w14:solidFill>
                </w14:textFill>
              </w:rPr>
              <w:t>A</w:t>
            </w:r>
          </w:p>
        </w:tc>
        <w:tc>
          <w:tcPr>
            <w:tcW w:w="2103" w:type="dxa"/>
            <w:tcBorders>
              <w:top w:val="single" w:color="000000" w:sz="4" w:space="0"/>
              <w:left w:val="single" w:color="000000" w:sz="4" w:space="0"/>
              <w:bottom w:val="single" w:color="000000" w:sz="4" w:space="0"/>
              <w:right w:val="single" w:color="000000" w:sz="4" w:space="0"/>
            </w:tcBorders>
            <w:vAlign w:val="center"/>
          </w:tcPr>
          <w:p w14:paraId="5A0AD732">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遇明火、高热可燃</w:t>
            </w:r>
          </w:p>
        </w:tc>
        <w:tc>
          <w:tcPr>
            <w:tcW w:w="1565" w:type="dxa"/>
            <w:tcBorders>
              <w:top w:val="single" w:color="000000" w:sz="4" w:space="0"/>
              <w:left w:val="single" w:color="000000" w:sz="4" w:space="0"/>
              <w:bottom w:val="single" w:color="000000" w:sz="4" w:space="0"/>
              <w:right w:val="single" w:color="000000" w:sz="4" w:space="0"/>
            </w:tcBorders>
            <w:vAlign w:val="center"/>
          </w:tcPr>
          <w:p w14:paraId="239C3AE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一氧化碳</w:t>
            </w:r>
          </w:p>
        </w:tc>
        <w:tc>
          <w:tcPr>
            <w:tcW w:w="3424" w:type="dxa"/>
            <w:tcBorders>
              <w:top w:val="single" w:color="000000" w:sz="4" w:space="0"/>
              <w:left w:val="single" w:color="000000" w:sz="4" w:space="0"/>
              <w:bottom w:val="single" w:color="000000" w:sz="4" w:space="0"/>
              <w:right w:val="single" w:color="000000" w:sz="4" w:space="0"/>
            </w:tcBorders>
            <w:vAlign w:val="center"/>
          </w:tcPr>
          <w:p w14:paraId="2C8BFBF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急性毒性-经口，类别3*</w:t>
            </w:r>
            <w:r>
              <w:rPr>
                <w:rFonts w:ascii="Times New Roman" w:hAnsi="Times New Roman" w:cs="Times New Roman"/>
                <w:color w:val="000000" w:themeColor="text1"/>
                <w:sz w:val="21"/>
                <w:szCs w:val="21"/>
                <w14:textFill>
                  <w14:solidFill>
                    <w14:schemeClr w14:val="tx1"/>
                  </w14:solidFill>
                </w14:textFill>
              </w:rPr>
              <w:br w:type="textWrapping"/>
            </w:r>
            <w:r>
              <w:rPr>
                <w:rFonts w:ascii="Times New Roman" w:hAnsi="Times New Roman" w:cs="Times New Roman"/>
                <w:color w:val="000000" w:themeColor="text1"/>
                <w:sz w:val="21"/>
                <w:szCs w:val="21"/>
                <w14:textFill>
                  <w14:solidFill>
                    <w14:schemeClr w14:val="tx1"/>
                  </w14:solidFill>
                </w14:textFill>
              </w:rPr>
              <w:t>急性毒性-经皮，类别3*</w:t>
            </w:r>
            <w:r>
              <w:rPr>
                <w:rFonts w:ascii="Times New Roman" w:hAnsi="Times New Roman" w:cs="Times New Roman"/>
                <w:color w:val="000000" w:themeColor="text1"/>
                <w:sz w:val="21"/>
                <w:szCs w:val="21"/>
                <w14:textFill>
                  <w14:solidFill>
                    <w14:schemeClr w14:val="tx1"/>
                  </w14:solidFill>
                </w14:textFill>
              </w:rPr>
              <w:br w:type="textWrapping"/>
            </w:r>
            <w:r>
              <w:rPr>
                <w:rFonts w:ascii="Times New Roman" w:hAnsi="Times New Roman" w:cs="Times New Roman"/>
                <w:color w:val="000000" w:themeColor="text1"/>
                <w:sz w:val="21"/>
                <w:szCs w:val="21"/>
                <w14:textFill>
                  <w14:solidFill>
                    <w14:schemeClr w14:val="tx1"/>
                  </w14:solidFill>
                </w14:textFill>
              </w:rPr>
              <w:t>急性毒性-吸入，类别3</w:t>
            </w:r>
            <w:r>
              <w:rPr>
                <w:rFonts w:ascii="Times New Roman" w:hAnsi="Times New Roman" w:cs="Times New Roman"/>
                <w:color w:val="000000" w:themeColor="text1"/>
                <w:sz w:val="21"/>
                <w:szCs w:val="21"/>
                <w14:textFill>
                  <w14:solidFill>
                    <w14:schemeClr w14:val="tx1"/>
                  </w14:solidFill>
                </w14:textFill>
              </w:rPr>
              <w:br w:type="textWrapping"/>
            </w:r>
            <w:r>
              <w:rPr>
                <w:rFonts w:ascii="Times New Roman" w:hAnsi="Times New Roman" w:cs="Times New Roman"/>
                <w:color w:val="000000" w:themeColor="text1"/>
                <w:sz w:val="21"/>
                <w:szCs w:val="21"/>
                <w14:textFill>
                  <w14:solidFill>
                    <w14:schemeClr w14:val="tx1"/>
                  </w14:solidFill>
                </w14:textFill>
              </w:rPr>
              <w:t>皮肤腐蚀</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刺激，类别1B</w:t>
            </w:r>
            <w:r>
              <w:rPr>
                <w:rFonts w:ascii="Times New Roman" w:hAnsi="Times New Roman" w:cs="Times New Roman"/>
                <w:color w:val="000000" w:themeColor="text1"/>
                <w:sz w:val="21"/>
                <w:szCs w:val="21"/>
                <w14:textFill>
                  <w14:solidFill>
                    <w14:schemeClr w14:val="tx1"/>
                  </w14:solidFill>
                </w14:textFill>
              </w:rPr>
              <w:br w:type="textWrapping"/>
            </w:r>
            <w:r>
              <w:rPr>
                <w:rFonts w:ascii="Times New Roman" w:hAnsi="Times New Roman" w:cs="Times New Roman"/>
                <w:color w:val="000000" w:themeColor="text1"/>
                <w:sz w:val="21"/>
                <w:szCs w:val="21"/>
                <w14:textFill>
                  <w14:solidFill>
                    <w14:schemeClr w14:val="tx1"/>
                  </w14:solidFill>
                </w14:textFill>
              </w:rPr>
              <w:t>严重眼损伤/眼刺激，类别1</w:t>
            </w:r>
            <w:r>
              <w:rPr>
                <w:rFonts w:ascii="Times New Roman" w:hAnsi="Times New Roman" w:cs="Times New Roman"/>
                <w:color w:val="000000" w:themeColor="text1"/>
                <w:sz w:val="21"/>
                <w:szCs w:val="21"/>
                <w14:textFill>
                  <w14:solidFill>
                    <w14:schemeClr w14:val="tx1"/>
                  </w14:solidFill>
                </w14:textFill>
              </w:rPr>
              <w:br w:type="textWrapping"/>
            </w:r>
            <w:r>
              <w:rPr>
                <w:rFonts w:ascii="Times New Roman" w:hAnsi="Times New Roman" w:cs="Times New Roman"/>
                <w:color w:val="000000" w:themeColor="text1"/>
                <w:sz w:val="21"/>
                <w:szCs w:val="21"/>
                <w14:textFill>
                  <w14:solidFill>
                    <w14:schemeClr w14:val="tx1"/>
                  </w14:solidFill>
                </w14:textFill>
              </w:rPr>
              <w:t>生殖细胞致突变性，类别2</w:t>
            </w:r>
            <w:r>
              <w:rPr>
                <w:rFonts w:ascii="Times New Roman" w:hAnsi="Times New Roman" w:cs="Times New Roman"/>
                <w:color w:val="000000" w:themeColor="text1"/>
                <w:sz w:val="21"/>
                <w:szCs w:val="21"/>
                <w14:textFill>
                  <w14:solidFill>
                    <w14:schemeClr w14:val="tx1"/>
                  </w14:solidFill>
                </w14:textFill>
              </w:rPr>
              <w:br w:type="textWrapping"/>
            </w:r>
            <w:r>
              <w:rPr>
                <w:rFonts w:ascii="Times New Roman" w:hAnsi="Times New Roman" w:cs="Times New Roman"/>
                <w:color w:val="000000" w:themeColor="text1"/>
                <w:sz w:val="21"/>
                <w:szCs w:val="21"/>
                <w14:textFill>
                  <w14:solidFill>
                    <w14:schemeClr w14:val="tx1"/>
                  </w14:solidFill>
                </w14:textFill>
              </w:rPr>
              <w:t>特异性靶器官毒性-反复接触，类别2*</w:t>
            </w:r>
          </w:p>
        </w:tc>
      </w:tr>
      <w:tr w14:paraId="400D79D1">
        <w:tblPrEx>
          <w:tblCellMar>
            <w:top w:w="0" w:type="dxa"/>
            <w:left w:w="11" w:type="dxa"/>
            <w:bottom w:w="0" w:type="dxa"/>
            <w:right w:w="11" w:type="dxa"/>
          </w:tblCellMar>
        </w:tblPrEx>
        <w:trPr>
          <w:trHeight w:val="363" w:hRule="atLeast"/>
          <w:jc w:val="center"/>
        </w:trPr>
        <w:tc>
          <w:tcPr>
            <w:tcW w:w="409" w:type="dxa"/>
            <w:tcBorders>
              <w:top w:val="single" w:color="000000" w:sz="4" w:space="0"/>
              <w:left w:val="single" w:color="000000" w:sz="4" w:space="0"/>
              <w:bottom w:val="single" w:color="000000" w:sz="4" w:space="0"/>
              <w:right w:val="single" w:color="000000" w:sz="4" w:space="0"/>
            </w:tcBorders>
            <w:vAlign w:val="center"/>
          </w:tcPr>
          <w:p w14:paraId="649D25DE">
            <w:pPr>
              <w:pStyle w:val="200"/>
              <w:numPr>
                <w:ilvl w:val="0"/>
                <w:numId w:val="37"/>
              </w:numPr>
              <w:ind w:firstLineChars="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1149" w:type="dxa"/>
            <w:tcBorders>
              <w:top w:val="single" w:color="000000" w:sz="4" w:space="0"/>
              <w:left w:val="single" w:color="000000" w:sz="4" w:space="0"/>
              <w:bottom w:val="single" w:color="000000" w:sz="4" w:space="0"/>
              <w:right w:val="single" w:color="000000" w:sz="4" w:space="0"/>
            </w:tcBorders>
            <w:vAlign w:val="center"/>
          </w:tcPr>
          <w:p w14:paraId="75FB57F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711" w:type="dxa"/>
            <w:tcBorders>
              <w:top w:val="single" w:color="000000" w:sz="4" w:space="0"/>
              <w:left w:val="single" w:color="000000" w:sz="4" w:space="0"/>
              <w:bottom w:val="single" w:color="000000" w:sz="4" w:space="0"/>
              <w:right w:val="single" w:color="000000" w:sz="4" w:space="0"/>
            </w:tcBorders>
            <w:vAlign w:val="center"/>
          </w:tcPr>
          <w:p w14:paraId="6062E919">
            <w:pPr>
              <w:jc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是</w:t>
            </w:r>
          </w:p>
        </w:tc>
        <w:tc>
          <w:tcPr>
            <w:tcW w:w="1160" w:type="dxa"/>
            <w:tcBorders>
              <w:top w:val="single" w:color="000000" w:sz="4" w:space="0"/>
              <w:left w:val="single" w:color="000000" w:sz="4" w:space="0"/>
              <w:bottom w:val="single" w:color="000000" w:sz="4" w:space="0"/>
              <w:right w:val="single" w:color="000000" w:sz="4" w:space="0"/>
            </w:tcBorders>
            <w:vAlign w:val="center"/>
          </w:tcPr>
          <w:p w14:paraId="54A9088C">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105-60-2</w:t>
            </w:r>
          </w:p>
        </w:tc>
        <w:tc>
          <w:tcPr>
            <w:tcW w:w="708" w:type="dxa"/>
            <w:tcBorders>
              <w:top w:val="single" w:color="000000" w:sz="4" w:space="0"/>
              <w:left w:val="single" w:color="000000" w:sz="4" w:space="0"/>
              <w:bottom w:val="single" w:color="000000" w:sz="4" w:space="0"/>
              <w:right w:val="single" w:color="000000" w:sz="4" w:space="0"/>
            </w:tcBorders>
            <w:vAlign w:val="center"/>
          </w:tcPr>
          <w:p w14:paraId="1C08E9E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152</w:t>
            </w:r>
          </w:p>
        </w:tc>
        <w:tc>
          <w:tcPr>
            <w:tcW w:w="708" w:type="dxa"/>
            <w:tcBorders>
              <w:top w:val="single" w:color="000000" w:sz="4" w:space="0"/>
              <w:left w:val="single" w:color="000000" w:sz="4" w:space="0"/>
              <w:bottom w:val="single" w:color="000000" w:sz="4" w:space="0"/>
              <w:right w:val="single" w:color="000000" w:sz="4" w:space="0"/>
            </w:tcBorders>
            <w:vAlign w:val="center"/>
          </w:tcPr>
          <w:p w14:paraId="43F7A384">
            <w:pPr>
              <w:jc w:val="center"/>
              <w:textAlignment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易溶于水</w:t>
            </w:r>
          </w:p>
        </w:tc>
        <w:tc>
          <w:tcPr>
            <w:tcW w:w="2111" w:type="dxa"/>
            <w:tcBorders>
              <w:top w:val="single" w:color="000000" w:sz="4" w:space="0"/>
              <w:left w:val="single" w:color="000000" w:sz="4" w:space="0"/>
              <w:bottom w:val="single" w:color="000000" w:sz="4" w:space="0"/>
              <w:right w:val="single" w:color="000000" w:sz="4" w:space="0"/>
            </w:tcBorders>
            <w:vAlign w:val="center"/>
          </w:tcPr>
          <w:p w14:paraId="5490D80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LD50：2.14g/kg（大鼠经口）；</w:t>
            </w:r>
          </w:p>
          <w:p w14:paraId="35A81E2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LD50：0.93g/kg（小鼠经口）；</w:t>
            </w:r>
          </w:p>
          <w:p w14:paraId="7B20B65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LC50：0.45g/kg（小鼠吸入）‌</w:t>
            </w:r>
          </w:p>
        </w:tc>
        <w:tc>
          <w:tcPr>
            <w:tcW w:w="603" w:type="dxa"/>
            <w:tcBorders>
              <w:top w:val="single" w:color="000000" w:sz="4" w:space="0"/>
              <w:left w:val="single" w:color="000000" w:sz="4" w:space="0"/>
              <w:bottom w:val="single" w:color="000000" w:sz="4" w:space="0"/>
              <w:right w:val="single" w:color="000000" w:sz="4" w:space="0"/>
            </w:tcBorders>
            <w:vAlign w:val="center"/>
          </w:tcPr>
          <w:p w14:paraId="7B4951A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丙A</w:t>
            </w:r>
          </w:p>
        </w:tc>
        <w:tc>
          <w:tcPr>
            <w:tcW w:w="2103" w:type="dxa"/>
            <w:tcBorders>
              <w:top w:val="single" w:color="000000" w:sz="4" w:space="0"/>
              <w:left w:val="single" w:color="000000" w:sz="4" w:space="0"/>
              <w:bottom w:val="single" w:color="000000" w:sz="4" w:space="0"/>
              <w:right w:val="single" w:color="000000" w:sz="4" w:space="0"/>
            </w:tcBorders>
            <w:vAlign w:val="center"/>
          </w:tcPr>
          <w:p w14:paraId="0F491D7E">
            <w:pPr>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遇明火、高热可燃</w:t>
            </w:r>
          </w:p>
        </w:tc>
        <w:tc>
          <w:tcPr>
            <w:tcW w:w="1565" w:type="dxa"/>
            <w:tcBorders>
              <w:top w:val="single" w:color="000000" w:sz="4" w:space="0"/>
              <w:left w:val="single" w:color="000000" w:sz="4" w:space="0"/>
              <w:bottom w:val="single" w:color="000000" w:sz="4" w:space="0"/>
              <w:right w:val="single" w:color="000000" w:sz="4" w:space="0"/>
            </w:tcBorders>
            <w:vAlign w:val="center"/>
          </w:tcPr>
          <w:p w14:paraId="77134D6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一氧化碳</w:t>
            </w:r>
          </w:p>
        </w:tc>
        <w:tc>
          <w:tcPr>
            <w:tcW w:w="3424" w:type="dxa"/>
            <w:tcBorders>
              <w:top w:val="single" w:color="000000" w:sz="4" w:space="0"/>
              <w:left w:val="single" w:color="000000" w:sz="4" w:space="0"/>
              <w:bottom w:val="single" w:color="000000" w:sz="4" w:space="0"/>
              <w:right w:val="single" w:color="000000" w:sz="4" w:space="0"/>
            </w:tcBorders>
            <w:vAlign w:val="center"/>
          </w:tcPr>
          <w:p w14:paraId="2970081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急性毒性-经口，类别 4</w:t>
            </w:r>
          </w:p>
          <w:p w14:paraId="733CF8B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皮肤腐蚀/刺激，类别 2</w:t>
            </w:r>
          </w:p>
          <w:p w14:paraId="594FD5A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严重眼损伤/眼刺激，类别 2</w:t>
            </w:r>
          </w:p>
          <w:p w14:paraId="6C63068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急性毒性-吸入，类别 4</w:t>
            </w:r>
          </w:p>
          <w:p w14:paraId="67A397C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特异性靶器官毒性-一次接触，类别 3</w:t>
            </w:r>
          </w:p>
        </w:tc>
      </w:tr>
    </w:tbl>
    <w:p w14:paraId="655C6C5C">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发生火灾爆炸事故，本项目涉及的火灾次生/伴生污染物主要为二氧化硫、</w:t>
      </w:r>
      <w:r>
        <w:rPr>
          <w:rFonts w:hint="eastAsia" w:ascii="Times New Roman" w:hAnsi="Times New Roman" w:cs="Times New Roman"/>
          <w:color w:val="000000" w:themeColor="text1"/>
          <w14:textFill>
            <w14:solidFill>
              <w14:schemeClr w14:val="tx1"/>
            </w14:solidFill>
          </w14:textFill>
        </w:rPr>
        <w:t>硫酸雾、一氧化碳</w:t>
      </w:r>
      <w:r>
        <w:rPr>
          <w:rFonts w:ascii="Times New Roman" w:hAnsi="Times New Roman" w:cs="Times New Roman"/>
          <w:color w:val="000000" w:themeColor="text1"/>
          <w14:textFill>
            <w14:solidFill>
              <w14:schemeClr w14:val="tx1"/>
            </w14:solidFill>
          </w14:textFill>
        </w:rPr>
        <w:t>等。</w:t>
      </w:r>
    </w:p>
    <w:p w14:paraId="6139C452">
      <w:pPr>
        <w:adjustRightInd w:val="0"/>
        <w:snapToGrid w:val="0"/>
        <w:spacing w:line="360" w:lineRule="auto"/>
        <w:ind w:firstLine="480" w:firstLineChars="200"/>
        <w:rPr>
          <w:rFonts w:ascii="Times New Roman" w:hAnsi="Times New Roman" w:cs="Times New Roman"/>
          <w:color w:val="FF0000"/>
        </w:rPr>
        <w:sectPr>
          <w:pgSz w:w="16840" w:h="11915" w:orient="landscape"/>
          <w:pgMar w:top="1418" w:right="1304" w:bottom="1304" w:left="1304" w:header="851" w:footer="992" w:gutter="0"/>
          <w:cols w:space="720" w:num="1"/>
          <w:titlePg/>
          <w:docGrid w:linePitch="326" w:charSpace="-4300"/>
        </w:sectPr>
      </w:pPr>
    </w:p>
    <w:p w14:paraId="1E037225">
      <w:pPr>
        <w:pStyle w:val="4003"/>
        <w:rPr>
          <w:color w:val="000000" w:themeColor="text1"/>
          <w14:textFill>
            <w14:solidFill>
              <w14:schemeClr w14:val="tx1"/>
            </w14:solidFill>
          </w14:textFill>
        </w:rPr>
      </w:pPr>
      <w:r>
        <w:rPr>
          <w:color w:val="000000" w:themeColor="text1"/>
          <w14:textFill>
            <w14:solidFill>
              <w14:schemeClr w14:val="tx1"/>
            </w14:solidFill>
          </w14:textFill>
        </w:rPr>
        <w:t>7.1.2 污染物危险性识别</w:t>
      </w:r>
    </w:p>
    <w:p w14:paraId="78D7DED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项目运营过程中产生的主要污染物包括废水、废气、噪声及固体废物。</w:t>
      </w:r>
    </w:p>
    <w:p w14:paraId="6D8136A9">
      <w:pPr>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表7-2 项目污染物风险性识别</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138"/>
        <w:gridCol w:w="6694"/>
      </w:tblGrid>
      <w:tr w14:paraId="2E2F5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9" w:type="dxa"/>
            <w:vAlign w:val="center"/>
          </w:tcPr>
          <w:p w14:paraId="039E2A3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类别</w:t>
            </w:r>
          </w:p>
        </w:tc>
        <w:tc>
          <w:tcPr>
            <w:tcW w:w="1138" w:type="dxa"/>
            <w:vAlign w:val="center"/>
          </w:tcPr>
          <w:p w14:paraId="20E3FB8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污染物</w:t>
            </w:r>
          </w:p>
        </w:tc>
        <w:tc>
          <w:tcPr>
            <w:tcW w:w="6694" w:type="dxa"/>
            <w:vAlign w:val="center"/>
          </w:tcPr>
          <w:p w14:paraId="40CDA9D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w:t>
            </w:r>
            <w:r>
              <w:rPr>
                <w:rFonts w:hint="eastAsia" w:ascii="Times New Roman" w:hAnsi="Times New Roman" w:cs="Times New Roman"/>
                <w:color w:val="000000" w:themeColor="text1"/>
                <w:sz w:val="21"/>
                <w:szCs w:val="21"/>
                <w14:textFill>
                  <w14:solidFill>
                    <w14:schemeClr w14:val="tx1"/>
                  </w14:solidFill>
                </w14:textFill>
              </w:rPr>
              <w:t>特</w:t>
            </w:r>
            <w:r>
              <w:rPr>
                <w:rFonts w:ascii="Times New Roman" w:hAnsi="Times New Roman" w:cs="Times New Roman"/>
                <w:color w:val="000000" w:themeColor="text1"/>
                <w:sz w:val="21"/>
                <w:szCs w:val="21"/>
                <w14:textFill>
                  <w14:solidFill>
                    <w14:schemeClr w14:val="tx1"/>
                  </w14:solidFill>
                </w14:textFill>
              </w:rPr>
              <w:t>性</w:t>
            </w:r>
          </w:p>
        </w:tc>
      </w:tr>
      <w:tr w14:paraId="710CE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9" w:type="dxa"/>
            <w:vAlign w:val="center"/>
          </w:tcPr>
          <w:p w14:paraId="7F81B64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废水</w:t>
            </w:r>
          </w:p>
        </w:tc>
        <w:tc>
          <w:tcPr>
            <w:tcW w:w="1138" w:type="dxa"/>
            <w:vAlign w:val="center"/>
          </w:tcPr>
          <w:p w14:paraId="0C26B30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氨氮</w:t>
            </w:r>
          </w:p>
        </w:tc>
        <w:tc>
          <w:tcPr>
            <w:tcW w:w="6694" w:type="dxa"/>
            <w:vAlign w:val="center"/>
          </w:tcPr>
          <w:p w14:paraId="6E1B0CA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会导致水体富营养化、蓝藻、绿藻、赤潮等现象</w:t>
            </w:r>
          </w:p>
        </w:tc>
      </w:tr>
      <w:tr w14:paraId="25924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699" w:type="dxa"/>
            <w:vMerge w:val="restart"/>
            <w:vAlign w:val="center"/>
          </w:tcPr>
          <w:p w14:paraId="0D4ED82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废气</w:t>
            </w:r>
          </w:p>
        </w:tc>
        <w:tc>
          <w:tcPr>
            <w:tcW w:w="1138" w:type="dxa"/>
            <w:vAlign w:val="center"/>
          </w:tcPr>
          <w:p w14:paraId="26001BB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硫蒸汽</w:t>
            </w:r>
          </w:p>
        </w:tc>
        <w:tc>
          <w:tcPr>
            <w:tcW w:w="6694" w:type="dxa"/>
            <w:vAlign w:val="center"/>
          </w:tcPr>
          <w:p w14:paraId="1C55279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对</w:t>
            </w:r>
            <w:r>
              <w:rPr>
                <w:rFonts w:hint="eastAsia" w:ascii="Times New Roman" w:hAnsi="Times New Roman" w:cs="Times New Roman"/>
                <w:color w:val="000000" w:themeColor="text1"/>
                <w:sz w:val="21"/>
                <w:szCs w:val="21"/>
                <w14:textFill>
                  <w14:solidFill>
                    <w14:schemeClr w14:val="tx1"/>
                  </w14:solidFill>
                </w14:textFill>
              </w:rPr>
              <w:t>眼睛</w:t>
            </w:r>
            <w:r>
              <w:rPr>
                <w:rFonts w:ascii="Times New Roman" w:hAnsi="Times New Roman" w:cs="Times New Roman"/>
                <w:color w:val="000000" w:themeColor="text1"/>
                <w:sz w:val="21"/>
                <w:szCs w:val="21"/>
                <w14:textFill>
                  <w14:solidFill>
                    <w14:schemeClr w14:val="tx1"/>
                  </w14:solidFill>
                </w14:textFill>
              </w:rPr>
              <w:t>及呼吸道粘膜有强烈的刺激作用</w:t>
            </w:r>
          </w:p>
        </w:tc>
      </w:tr>
      <w:tr w14:paraId="121C2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9" w:type="dxa"/>
            <w:vMerge w:val="continue"/>
            <w:vAlign w:val="center"/>
          </w:tcPr>
          <w:p w14:paraId="5541E503">
            <w:pPr>
              <w:jc w:val="center"/>
              <w:rPr>
                <w:rFonts w:ascii="Times New Roman" w:hAnsi="Times New Roman" w:cs="Times New Roman"/>
                <w:color w:val="000000" w:themeColor="text1"/>
                <w:sz w:val="21"/>
                <w:szCs w:val="21"/>
                <w14:textFill>
                  <w14:solidFill>
                    <w14:schemeClr w14:val="tx1"/>
                  </w14:solidFill>
                </w14:textFill>
              </w:rPr>
            </w:pPr>
          </w:p>
        </w:tc>
        <w:tc>
          <w:tcPr>
            <w:tcW w:w="1138" w:type="dxa"/>
            <w:vAlign w:val="center"/>
          </w:tcPr>
          <w:p w14:paraId="3942D81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硫酸雾</w:t>
            </w:r>
          </w:p>
        </w:tc>
        <w:tc>
          <w:tcPr>
            <w:tcW w:w="6694" w:type="dxa"/>
            <w:vAlign w:val="center"/>
          </w:tcPr>
          <w:p w14:paraId="7629CB3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具有腐蚀性和刺激性</w:t>
            </w:r>
            <w:r>
              <w:rPr>
                <w:rFonts w:hint="eastAsia" w:ascii="Times New Roman" w:hAnsi="Times New Roman" w:cs="Times New Roman"/>
                <w:color w:val="000000" w:themeColor="text1"/>
                <w:sz w:val="21"/>
                <w:szCs w:val="21"/>
                <w14:textFill>
                  <w14:solidFill>
                    <w14:schemeClr w14:val="tx1"/>
                  </w14:solidFill>
                </w14:textFill>
              </w:rPr>
              <w:t>，可对人体造成多系统危害，包括呼吸系统损伤、皮肤腐蚀、慢性疾病风险增加等</w:t>
            </w:r>
          </w:p>
        </w:tc>
      </w:tr>
      <w:tr w14:paraId="38B97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9" w:type="dxa"/>
            <w:vMerge w:val="continue"/>
            <w:vAlign w:val="center"/>
          </w:tcPr>
          <w:p w14:paraId="5812F5BF">
            <w:pPr>
              <w:jc w:val="center"/>
              <w:rPr>
                <w:rFonts w:ascii="Times New Roman" w:hAnsi="Times New Roman" w:cs="Times New Roman"/>
                <w:color w:val="000000" w:themeColor="text1"/>
                <w:sz w:val="21"/>
                <w:szCs w:val="21"/>
                <w14:textFill>
                  <w14:solidFill>
                    <w14:schemeClr w14:val="tx1"/>
                  </w14:solidFill>
                </w14:textFill>
              </w:rPr>
            </w:pPr>
          </w:p>
        </w:tc>
        <w:tc>
          <w:tcPr>
            <w:tcW w:w="1138" w:type="dxa"/>
            <w:vAlign w:val="center"/>
          </w:tcPr>
          <w:p w14:paraId="7812D9B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6694" w:type="dxa"/>
            <w:vAlign w:val="center"/>
          </w:tcPr>
          <w:p w14:paraId="45243C8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酚被吸入人体后，一部分酚会蓄积在各脏器组织中，造成慢性中毒，会出现不同程度的头昏、头痛、心神不安等神经症状，以及食欲不振等</w:t>
            </w:r>
          </w:p>
        </w:tc>
      </w:tr>
      <w:tr w14:paraId="3B0AF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9" w:type="dxa"/>
            <w:vMerge w:val="continue"/>
            <w:vAlign w:val="center"/>
          </w:tcPr>
          <w:p w14:paraId="2B5E247C">
            <w:pPr>
              <w:jc w:val="center"/>
              <w:rPr>
                <w:rFonts w:ascii="Times New Roman" w:hAnsi="Times New Roman" w:cs="Times New Roman"/>
                <w:color w:val="000000" w:themeColor="text1"/>
                <w:sz w:val="21"/>
                <w:szCs w:val="21"/>
                <w14:textFill>
                  <w14:solidFill>
                    <w14:schemeClr w14:val="tx1"/>
                  </w14:solidFill>
                </w14:textFill>
              </w:rPr>
            </w:pPr>
          </w:p>
        </w:tc>
        <w:tc>
          <w:tcPr>
            <w:tcW w:w="1138" w:type="dxa"/>
            <w:vAlign w:val="center"/>
          </w:tcPr>
          <w:p w14:paraId="3539A96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6694" w:type="dxa"/>
            <w:vAlign w:val="center"/>
          </w:tcPr>
          <w:p w14:paraId="1DD1F86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吞咽有害。造成皮肤刺激。造成严重眼刺激。吸入有害。可引起呼吸道刺激。</w:t>
            </w:r>
          </w:p>
        </w:tc>
      </w:tr>
    </w:tbl>
    <w:p w14:paraId="0B771717">
      <w:pPr>
        <w:pStyle w:val="4003"/>
        <w:rPr>
          <w:color w:val="000000" w:themeColor="text1"/>
          <w14:textFill>
            <w14:solidFill>
              <w14:schemeClr w14:val="tx1"/>
            </w14:solidFill>
          </w14:textFill>
        </w:rPr>
      </w:pPr>
      <w:r>
        <w:rPr>
          <w:color w:val="000000" w:themeColor="text1"/>
          <w14:textFill>
            <w14:solidFill>
              <w14:schemeClr w14:val="tx1"/>
            </w14:solidFill>
          </w14:textFill>
        </w:rPr>
        <w:t>7.1.3火灾和爆炸伴生/次生物危险性识别</w:t>
      </w:r>
    </w:p>
    <w:p w14:paraId="07867B7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根据表7-1分析可知，本项目储存的</w:t>
      </w:r>
      <w:r>
        <w:rPr>
          <w:rFonts w:hint="eastAsia" w:ascii="Times New Roman" w:hAnsi="Times New Roman" w:cs="Times New Roman"/>
          <w:color w:val="000000" w:themeColor="text1"/>
          <w14:textFill>
            <w14:solidFill>
              <w14:schemeClr w14:val="tx1"/>
            </w14:solidFill>
          </w14:textFill>
        </w:rPr>
        <w:t>液硫、苯酚、己内酰胺为</w:t>
      </w:r>
      <w:r>
        <w:rPr>
          <w:rFonts w:ascii="Times New Roman" w:hAnsi="Times New Roman" w:cs="Times New Roman"/>
          <w:color w:val="000000" w:themeColor="text1"/>
          <w14:textFill>
            <w14:solidFill>
              <w14:schemeClr w14:val="tx1"/>
            </w14:solidFill>
          </w14:textFill>
        </w:rPr>
        <w:t>易燃、可燃液体，在发生火灾的情况下，储存物料燃烧产生的伴生/次生污染物主要为</w:t>
      </w:r>
      <w:r>
        <w:rPr>
          <w:rFonts w:hint="eastAsia" w:ascii="Times New Roman" w:hAnsi="Times New Roman" w:cs="Times New Roman"/>
          <w:color w:val="000000" w:themeColor="text1"/>
          <w14:textFill>
            <w14:solidFill>
              <w14:schemeClr w14:val="tx1"/>
            </w14:solidFill>
          </w14:textFill>
        </w:rPr>
        <w:t>一氧化碳、</w:t>
      </w:r>
      <w:r>
        <w:rPr>
          <w:rFonts w:ascii="Times New Roman" w:hAnsi="Times New Roman" w:cs="Times New Roman"/>
          <w:color w:val="000000" w:themeColor="text1"/>
          <w14:textFill>
            <w14:solidFill>
              <w14:schemeClr w14:val="tx1"/>
            </w14:solidFill>
          </w14:textFill>
        </w:rPr>
        <w:t>二氧化硫</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以及消防废水，火灾事故下产生的污染物将对厂区及周边大气环境、地表水环境产生影响。</w:t>
      </w:r>
    </w:p>
    <w:p w14:paraId="5170621B">
      <w:pPr>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表7-</w:t>
      </w:r>
      <w:r>
        <w:rPr>
          <w:rFonts w:hint="eastAsia" w:ascii="Times New Roman" w:hAnsi="Times New Roman" w:cs="Times New Roman"/>
          <w:b/>
          <w:bCs/>
          <w:color w:val="000000" w:themeColor="text1"/>
          <w14:textFill>
            <w14:solidFill>
              <w14:schemeClr w14:val="tx1"/>
            </w14:solidFill>
          </w14:textFill>
        </w:rPr>
        <w:t>3</w:t>
      </w:r>
      <w:r>
        <w:rPr>
          <w:rFonts w:ascii="Times New Roman" w:hAnsi="Times New Roman" w:cs="Times New Roman"/>
          <w:b/>
          <w:bCs/>
          <w:color w:val="000000" w:themeColor="text1"/>
          <w14:textFill>
            <w14:solidFill>
              <w14:schemeClr w14:val="tx1"/>
            </w14:solidFill>
          </w14:textFill>
        </w:rPr>
        <w:t xml:space="preserve"> 火灾次生污染物危险性识别</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292"/>
        <w:gridCol w:w="1263"/>
        <w:gridCol w:w="842"/>
        <w:gridCol w:w="702"/>
        <w:gridCol w:w="1684"/>
        <w:gridCol w:w="3554"/>
      </w:tblGrid>
      <w:tr w14:paraId="09996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292" w:type="dxa"/>
            <w:vAlign w:val="center"/>
          </w:tcPr>
          <w:p w14:paraId="1CF4008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263" w:type="dxa"/>
            <w:vAlign w:val="center"/>
          </w:tcPr>
          <w:p w14:paraId="1050596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火灾次生污染物名称</w:t>
            </w:r>
          </w:p>
        </w:tc>
        <w:tc>
          <w:tcPr>
            <w:tcW w:w="842" w:type="dxa"/>
            <w:vAlign w:val="center"/>
          </w:tcPr>
          <w:p w14:paraId="7E72DBB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密度（kg/m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702" w:type="dxa"/>
            <w:vAlign w:val="center"/>
          </w:tcPr>
          <w:p w14:paraId="2269535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沸点（</w:t>
            </w:r>
            <w:r>
              <w:rPr>
                <w:rFonts w:hint="eastAsia"/>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w:t>
            </w:r>
          </w:p>
        </w:tc>
        <w:tc>
          <w:tcPr>
            <w:tcW w:w="1684" w:type="dxa"/>
            <w:vAlign w:val="center"/>
          </w:tcPr>
          <w:p w14:paraId="30BA494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毒性</w:t>
            </w:r>
          </w:p>
        </w:tc>
        <w:tc>
          <w:tcPr>
            <w:tcW w:w="3554" w:type="dxa"/>
            <w:vAlign w:val="center"/>
          </w:tcPr>
          <w:p w14:paraId="1EA5CA4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危险性</w:t>
            </w:r>
          </w:p>
        </w:tc>
      </w:tr>
      <w:tr w14:paraId="25145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292" w:type="dxa"/>
            <w:vAlign w:val="center"/>
          </w:tcPr>
          <w:p w14:paraId="7A9B958C">
            <w:pPr>
              <w:pStyle w:val="200"/>
              <w:numPr>
                <w:ilvl w:val="0"/>
                <w:numId w:val="38"/>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263" w:type="dxa"/>
            <w:vAlign w:val="center"/>
          </w:tcPr>
          <w:p w14:paraId="684E36D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二氧化硫（SO</w:t>
            </w:r>
            <w:r>
              <w:rPr>
                <w:rFonts w:ascii="Times New Roman" w:hAnsi="Times New Roman" w:cs="Times New Roman"/>
                <w:color w:val="000000" w:themeColor="text1"/>
                <w:sz w:val="21"/>
                <w:szCs w:val="21"/>
                <w:vertAlign w:val="subscript"/>
                <w14:textFill>
                  <w14:solidFill>
                    <w14:schemeClr w14:val="tx1"/>
                  </w14:solidFill>
                </w14:textFill>
              </w:rPr>
              <w:t>2</w:t>
            </w:r>
            <w:r>
              <w:rPr>
                <w:rFonts w:ascii="Times New Roman" w:hAnsi="Times New Roman" w:cs="Times New Roman"/>
                <w:color w:val="000000" w:themeColor="text1"/>
                <w:sz w:val="21"/>
                <w:szCs w:val="21"/>
                <w14:textFill>
                  <w14:solidFill>
                    <w14:schemeClr w14:val="tx1"/>
                  </w14:solidFill>
                </w14:textFill>
              </w:rPr>
              <w:t>）</w:t>
            </w:r>
          </w:p>
        </w:tc>
        <w:tc>
          <w:tcPr>
            <w:tcW w:w="842" w:type="dxa"/>
            <w:vAlign w:val="center"/>
          </w:tcPr>
          <w:p w14:paraId="5F6B88A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2.9275</w:t>
            </w:r>
          </w:p>
        </w:tc>
        <w:tc>
          <w:tcPr>
            <w:tcW w:w="702" w:type="dxa"/>
            <w:vAlign w:val="center"/>
          </w:tcPr>
          <w:p w14:paraId="2743DC9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684" w:type="dxa"/>
            <w:vAlign w:val="center"/>
          </w:tcPr>
          <w:p w14:paraId="49E7B355">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LC</w:t>
            </w:r>
            <w:r>
              <w:rPr>
                <w:rFonts w:ascii="Times New Roman" w:hAnsi="Times New Roman" w:cs="Times New Roman"/>
                <w:color w:val="000000" w:themeColor="text1"/>
                <w:sz w:val="21"/>
                <w:szCs w:val="21"/>
                <w:vertAlign w:val="subscript"/>
                <w14:textFill>
                  <w14:solidFill>
                    <w14:schemeClr w14:val="tx1"/>
                  </w14:solidFill>
                </w14:textFill>
              </w:rPr>
              <w:t>50</w:t>
            </w:r>
            <w:r>
              <w:rPr>
                <w:rFonts w:ascii="Times New Roman" w:hAnsi="Times New Roman" w:cs="Times New Roman"/>
                <w:color w:val="000000" w:themeColor="text1"/>
                <w:sz w:val="21"/>
                <w:szCs w:val="21"/>
                <w14:textFill>
                  <w14:solidFill>
                    <w14:schemeClr w14:val="tx1"/>
                  </w14:solidFill>
                </w14:textFill>
              </w:rPr>
              <w:t>：6600mg/m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3554" w:type="dxa"/>
            <w:vAlign w:val="center"/>
          </w:tcPr>
          <w:p w14:paraId="4134FFF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健康危害：对眼及呼吸道粘膜有强烈的刺激作用</w:t>
            </w:r>
          </w:p>
        </w:tc>
      </w:tr>
      <w:tr w14:paraId="1BFF3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292" w:type="dxa"/>
            <w:vAlign w:val="center"/>
          </w:tcPr>
          <w:p w14:paraId="28BBA837">
            <w:pPr>
              <w:pStyle w:val="200"/>
              <w:numPr>
                <w:ilvl w:val="0"/>
                <w:numId w:val="38"/>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263" w:type="dxa"/>
            <w:vAlign w:val="center"/>
          </w:tcPr>
          <w:p w14:paraId="3145511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一氧化碳（CO）</w:t>
            </w:r>
          </w:p>
        </w:tc>
        <w:tc>
          <w:tcPr>
            <w:tcW w:w="842" w:type="dxa"/>
            <w:vAlign w:val="center"/>
          </w:tcPr>
          <w:p w14:paraId="60C4634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w:t>
            </w:r>
          </w:p>
        </w:tc>
        <w:tc>
          <w:tcPr>
            <w:tcW w:w="702" w:type="dxa"/>
            <w:vAlign w:val="center"/>
          </w:tcPr>
          <w:p w14:paraId="7CE4FEA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-191.4</w:t>
            </w:r>
          </w:p>
        </w:tc>
        <w:tc>
          <w:tcPr>
            <w:tcW w:w="1684" w:type="dxa"/>
            <w:vAlign w:val="center"/>
          </w:tcPr>
          <w:p w14:paraId="5A99483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LC</w:t>
            </w:r>
            <w:r>
              <w:rPr>
                <w:rFonts w:ascii="Times New Roman" w:hAnsi="Times New Roman" w:cs="Times New Roman"/>
                <w:color w:val="000000" w:themeColor="text1"/>
                <w:sz w:val="21"/>
                <w:szCs w:val="21"/>
                <w:vertAlign w:val="subscript"/>
                <w14:textFill>
                  <w14:solidFill>
                    <w14:schemeClr w14:val="tx1"/>
                  </w14:solidFill>
                </w14:textFill>
              </w:rPr>
              <w:t>50</w:t>
            </w:r>
            <w:r>
              <w:rPr>
                <w:rFonts w:ascii="Times New Roman" w:hAnsi="Times New Roman" w:cs="Times New Roman"/>
                <w:color w:val="000000" w:themeColor="text1"/>
                <w:sz w:val="21"/>
                <w:szCs w:val="21"/>
                <w14:textFill>
                  <w14:solidFill>
                    <w14:schemeClr w14:val="tx1"/>
                  </w14:solidFill>
                </w14:textFill>
              </w:rPr>
              <w:t>：2069mg/m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3554" w:type="dxa"/>
            <w:vAlign w:val="center"/>
          </w:tcPr>
          <w:p w14:paraId="099E8D8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一氧化碳在血中与血红蛋白结合而造成组织缺氧。轻度中毒者出现头痛、头晕、耳鸣、心悸、恶心、呕吐、无力，血液碳氧血红蛋白浓度可高于10％</w:t>
            </w:r>
          </w:p>
        </w:tc>
      </w:tr>
    </w:tbl>
    <w:p w14:paraId="30095F08">
      <w:pPr>
        <w:pStyle w:val="346"/>
        <w:ind w:firstLine="482" w:firstLineChars="200"/>
        <w:rPr>
          <w:color w:val="000000" w:themeColor="text1"/>
          <w14:textFill>
            <w14:solidFill>
              <w14:schemeClr w14:val="tx1"/>
            </w14:solidFill>
          </w14:textFill>
        </w:rPr>
      </w:pPr>
      <w:bookmarkStart w:id="159" w:name="_Toc144375242"/>
      <w:r>
        <w:rPr>
          <w:color w:val="000000" w:themeColor="text1"/>
          <w14:textFill>
            <w14:solidFill>
              <w14:schemeClr w14:val="tx1"/>
            </w14:solidFill>
          </w14:textFill>
        </w:rPr>
        <w:t>7.2 生产系统危险性识别</w:t>
      </w:r>
      <w:bookmarkEnd w:id="159"/>
    </w:p>
    <w:p w14:paraId="7E250087">
      <w:pPr>
        <w:pStyle w:val="4003"/>
        <w:rPr>
          <w:color w:val="000000" w:themeColor="text1"/>
          <w14:textFill>
            <w14:solidFill>
              <w14:schemeClr w14:val="tx1"/>
            </w14:solidFill>
          </w14:textFill>
        </w:rPr>
      </w:pPr>
      <w:r>
        <w:rPr>
          <w:color w:val="000000" w:themeColor="text1"/>
          <w14:textFill>
            <w14:solidFill>
              <w14:schemeClr w14:val="tx1"/>
            </w14:solidFill>
          </w14:textFill>
        </w:rPr>
        <w:t>7.2.1风险单元划分</w:t>
      </w:r>
    </w:p>
    <w:p w14:paraId="6C9346C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本项目为化学品仓储项目，</w:t>
      </w:r>
      <w:r>
        <w:rPr>
          <w:rFonts w:hint="eastAsia" w:ascii="Times New Roman" w:hAnsi="Times New Roman" w:cs="Times New Roman"/>
          <w:color w:val="000000" w:themeColor="text1"/>
          <w14:textFill>
            <w14:solidFill>
              <w14:schemeClr w14:val="tx1"/>
            </w14:solidFill>
          </w14:textFill>
        </w:rPr>
        <w:t>液硫、发烟硫酸/98%硫酸、液碱、苯酚5个货种从码头船舶经</w:t>
      </w:r>
      <w:r>
        <w:rPr>
          <w:rFonts w:ascii="Times New Roman" w:hAnsi="Times New Roman" w:cs="Times New Roman"/>
          <w:color w:val="000000" w:themeColor="text1"/>
          <w14:textFill>
            <w14:solidFill>
              <w14:schemeClr w14:val="tx1"/>
            </w14:solidFill>
          </w14:textFill>
        </w:rPr>
        <w:t>管道输送储罐区，经管道输送至</w:t>
      </w:r>
      <w:r>
        <w:rPr>
          <w:rFonts w:hint="eastAsia" w:ascii="Times New Roman" w:hAnsi="Times New Roman" w:cs="Times New Roman"/>
          <w:color w:val="000000" w:themeColor="text1"/>
          <w14:textFill>
            <w14:solidFill>
              <w14:schemeClr w14:val="tx1"/>
            </w14:solidFill>
          </w14:textFill>
        </w:rPr>
        <w:t>装卸站，经槽罐车或管道运输</w:t>
      </w:r>
      <w:r>
        <w:rPr>
          <w:rFonts w:ascii="Times New Roman" w:hAnsi="Times New Roman" w:cs="Times New Roman"/>
          <w:color w:val="000000" w:themeColor="text1"/>
          <w14:textFill>
            <w14:solidFill>
              <w14:schemeClr w14:val="tx1"/>
            </w14:solidFill>
          </w14:textFill>
        </w:rPr>
        <w:t>出厂</w:t>
      </w:r>
      <w:r>
        <w:rPr>
          <w:rFonts w:hint="eastAsia" w:ascii="Times New Roman" w:hAnsi="Times New Roman" w:cs="Times New Roman"/>
          <w:color w:val="000000" w:themeColor="text1"/>
          <w14:textFill>
            <w14:solidFill>
              <w14:schemeClr w14:val="tx1"/>
            </w14:solidFill>
          </w14:textFill>
        </w:rPr>
        <w:t>；己内酰胺从后方陆域槽罐车运输至场区，经卸车管道输送至储罐储存，再通过管道输送至码头船舶。</w:t>
      </w:r>
      <w:r>
        <w:rPr>
          <w:rFonts w:ascii="Times New Roman" w:hAnsi="Times New Roman" w:cs="Times New Roman"/>
          <w:color w:val="000000" w:themeColor="text1"/>
          <w14:textFill>
            <w14:solidFill>
              <w14:schemeClr w14:val="tx1"/>
            </w14:solidFill>
          </w14:textFill>
        </w:rPr>
        <w:t>在物料储存和输送过程中均有可能发生风险事故，根据本项目的工艺特点，结合物质的特性，本项目的风险单元划分为：储罐区、装卸区。</w:t>
      </w:r>
    </w:p>
    <w:p w14:paraId="658BFDEE">
      <w:pPr>
        <w:pStyle w:val="4003"/>
        <w:rPr>
          <w:color w:val="000000" w:themeColor="text1"/>
          <w14:textFill>
            <w14:solidFill>
              <w14:schemeClr w14:val="tx1"/>
            </w14:solidFill>
          </w14:textFill>
        </w:rPr>
      </w:pPr>
      <w:r>
        <w:rPr>
          <w:color w:val="000000" w:themeColor="text1"/>
          <w14:textFill>
            <w14:solidFill>
              <w14:schemeClr w14:val="tx1"/>
            </w14:solidFill>
          </w14:textFill>
        </w:rPr>
        <w:t>7.2.2储运设施风险性识别</w:t>
      </w:r>
    </w:p>
    <w:p w14:paraId="1F209F9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根据本项目的工艺流程，本项目储存的</w:t>
      </w:r>
      <w:r>
        <w:rPr>
          <w:rFonts w:hint="eastAsia" w:ascii="Times New Roman" w:hAnsi="Times New Roman" w:cs="Times New Roman"/>
          <w:color w:val="000000" w:themeColor="text1"/>
          <w14:textFill>
            <w14:solidFill>
              <w14:schemeClr w14:val="tx1"/>
            </w14:solidFill>
          </w14:textFill>
        </w:rPr>
        <w:t>液硫、发烟硫酸/98%硫酸、液碱、苯酚5个货种从船舶</w:t>
      </w:r>
      <w:r>
        <w:rPr>
          <w:rFonts w:ascii="Times New Roman" w:hAnsi="Times New Roman" w:cs="Times New Roman"/>
          <w:color w:val="000000" w:themeColor="text1"/>
          <w14:textFill>
            <w14:solidFill>
              <w14:schemeClr w14:val="tx1"/>
            </w14:solidFill>
          </w14:textFill>
        </w:rPr>
        <w:t>经</w:t>
      </w:r>
      <w:r>
        <w:rPr>
          <w:rFonts w:hint="eastAsia" w:ascii="Times New Roman" w:hAnsi="Times New Roman" w:cs="Times New Roman"/>
          <w:color w:val="000000" w:themeColor="text1"/>
          <w14:textFill>
            <w14:solidFill>
              <w14:schemeClr w14:val="tx1"/>
            </w14:solidFill>
          </w14:textFill>
        </w:rPr>
        <w:t>输送泵及管道</w:t>
      </w:r>
      <w:r>
        <w:rPr>
          <w:rFonts w:ascii="Times New Roman" w:hAnsi="Times New Roman" w:cs="Times New Roman"/>
          <w:color w:val="000000" w:themeColor="text1"/>
          <w14:textFill>
            <w14:solidFill>
              <w14:schemeClr w14:val="tx1"/>
            </w14:solidFill>
          </w14:textFill>
        </w:rPr>
        <w:t>将物料送至储罐中储存</w:t>
      </w:r>
      <w:r>
        <w:rPr>
          <w:rFonts w:hint="eastAsia" w:ascii="Times New Roman" w:hAnsi="Times New Roman" w:cs="Times New Roman"/>
          <w:color w:val="000000" w:themeColor="text1"/>
          <w14:textFill>
            <w14:solidFill>
              <w14:schemeClr w14:val="tx1"/>
            </w14:solidFill>
          </w14:textFill>
        </w:rPr>
        <w:t>，在汽车装卸站通过装卸臂泵送至槽罐车；己内酰胺从后方陆域经槽罐车运至厂区，经卸车泵输送至储罐储存，再通过管道输送至码头船舶</w:t>
      </w:r>
      <w:r>
        <w:rPr>
          <w:rFonts w:ascii="Times New Roman" w:hAnsi="Times New Roman" w:cs="Times New Roman"/>
          <w:color w:val="000000" w:themeColor="text1"/>
          <w14:textFill>
            <w14:solidFill>
              <w14:schemeClr w14:val="tx1"/>
            </w14:solidFill>
          </w14:textFill>
        </w:rPr>
        <w:t>。输送过程为密闭</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装卸储存过程中风险因素为：</w:t>
      </w:r>
    </w:p>
    <w:p w14:paraId="44E1399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（1）储罐密封不严，造成挥发性物质泄漏，遇有明火、雷击、静电火花引起火灾、爆炸。</w:t>
      </w:r>
    </w:p>
    <w:p w14:paraId="48E6DE1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（2）储罐区底板、圈板腐蚀穿孔或焊接质量差，出现裂纹，进而引发物料泄漏，遇明火则可能发生火灾、爆炸事故。</w:t>
      </w:r>
    </w:p>
    <w:p w14:paraId="2BF8020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（3）储罐液位计等控制系统失灵或操作人员误操作引起物料冒罐，遇明火发生火灾、爆炸。储罐收发作业频次高，可能产生较多的人员误操作。</w:t>
      </w:r>
    </w:p>
    <w:p w14:paraId="14E706F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（4）储罐、连接管道、阀门等设备质量存在缺陷或因故障检修不及时等，致使物料泄漏，遇点火源则有发生火灾爆炸的可能。</w:t>
      </w:r>
    </w:p>
    <w:p w14:paraId="4B04838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（5）装卸作业危险性识别</w:t>
      </w:r>
    </w:p>
    <w:p w14:paraId="3A597CB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装卸作业过程中因人为操作不当造成装卸软管脱落，或软管、阀门等设备质量差、或设备故障、检修不及时等原因引起装卸过程中设备损坏、破裂等导致化学品泄漏，易燃液体遇点火源则发生火灾爆炸事故。</w:t>
      </w:r>
    </w:p>
    <w:p w14:paraId="1E95B050">
      <w:pPr>
        <w:pStyle w:val="4003"/>
        <w:rPr>
          <w:color w:val="000000" w:themeColor="text1"/>
          <w14:textFill>
            <w14:solidFill>
              <w14:schemeClr w14:val="tx1"/>
            </w14:solidFill>
          </w14:textFill>
        </w:rPr>
      </w:pPr>
      <w:r>
        <w:rPr>
          <w:color w:val="000000" w:themeColor="text1"/>
          <w14:textFill>
            <w14:solidFill>
              <w14:schemeClr w14:val="tx1"/>
            </w14:solidFill>
          </w14:textFill>
        </w:rPr>
        <w:t>7.2.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环保设施风险性识别</w:t>
      </w:r>
    </w:p>
    <w:p w14:paraId="1F051F7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本项目的环保设施风险主要为</w:t>
      </w:r>
      <w:r>
        <w:rPr>
          <w:rFonts w:hint="eastAsia" w:ascii="Times New Roman" w:hAnsi="Times New Roman" w:cs="Times New Roman"/>
          <w:color w:val="000000" w:themeColor="text1"/>
          <w14:textFill>
            <w14:solidFill>
              <w14:schemeClr w14:val="tx1"/>
            </w14:solidFill>
          </w14:textFill>
        </w:rPr>
        <w:t>液硫储罐的升华硫回收装置发生故障，发烟硫酸/98%硫酸储罐的“液封+二级三氧化硫吸收”</w:t>
      </w:r>
      <w:r>
        <w:rPr>
          <w:rFonts w:ascii="Times New Roman" w:hAnsi="Times New Roman" w:cs="Times New Roman"/>
          <w:color w:val="000000" w:themeColor="text1"/>
          <w14:textFill>
            <w14:solidFill>
              <w14:schemeClr w14:val="tx1"/>
            </w14:solidFill>
          </w14:textFill>
        </w:rPr>
        <w:t>废气治理设施由于故障、</w:t>
      </w:r>
      <w:r>
        <w:rPr>
          <w:rFonts w:hint="eastAsia" w:ascii="Times New Roman" w:hAnsi="Times New Roman" w:cs="Times New Roman"/>
          <w:color w:val="000000" w:themeColor="text1"/>
          <w14:textFill>
            <w14:solidFill>
              <w14:schemeClr w14:val="tx1"/>
            </w14:solidFill>
          </w14:textFill>
        </w:rPr>
        <w:t>苯酚储罐的废气活性炭吸附装置故障、己内酰胺储罐的废气水洗塔+活性炭吸附装置故障、</w:t>
      </w:r>
      <w:r>
        <w:rPr>
          <w:rFonts w:ascii="Times New Roman" w:hAnsi="Times New Roman" w:cs="Times New Roman"/>
          <w:color w:val="000000" w:themeColor="text1"/>
          <w14:textFill>
            <w14:solidFill>
              <w14:schemeClr w14:val="tx1"/>
            </w14:solidFill>
          </w14:textFill>
        </w:rPr>
        <w:t>停电等因素引起的废气事故排放，造成大气环境的污染；初期雨水池</w:t>
      </w:r>
      <w:r>
        <w:rPr>
          <w:rFonts w:hint="eastAsia" w:ascii="Times New Roman" w:hAnsi="Times New Roman" w:cs="Times New Roman"/>
          <w:color w:val="000000" w:themeColor="text1"/>
          <w14:textFill>
            <w14:solidFill>
              <w14:schemeClr w14:val="tx1"/>
            </w14:solidFill>
          </w14:textFill>
        </w:rPr>
        <w:t>、事故应急池</w:t>
      </w:r>
      <w:r>
        <w:rPr>
          <w:rFonts w:ascii="Times New Roman" w:hAnsi="Times New Roman" w:cs="Times New Roman"/>
          <w:color w:val="000000" w:themeColor="text1"/>
          <w14:textFill>
            <w14:solidFill>
              <w14:schemeClr w14:val="tx1"/>
            </w14:solidFill>
          </w14:textFill>
        </w:rPr>
        <w:t>等由于破裂等因素引起的废水泄漏，造成地表水、土壤等的污染；雨水阀门在事故情况下未能及时关闭，导致事故废水排至钦州湾海域，造成海水污染。厂内设有污水收集池、初期雨水池、事故应急池，厂区雨水阀门等有专门的人员进行管控，事故废水外排的可能性较小。各项环保设施环境风险在可控范围内。</w:t>
      </w:r>
    </w:p>
    <w:p w14:paraId="25CF1E6A">
      <w:pPr>
        <w:pStyle w:val="346"/>
        <w:ind w:firstLine="482" w:firstLineChars="200"/>
        <w:rPr>
          <w:color w:val="000000" w:themeColor="text1"/>
          <w14:textFill>
            <w14:solidFill>
              <w14:schemeClr w14:val="tx1"/>
            </w14:solidFill>
          </w14:textFill>
        </w:rPr>
      </w:pPr>
      <w:bookmarkStart w:id="160" w:name="_Toc144375243"/>
      <w:r>
        <w:rPr>
          <w:color w:val="000000" w:themeColor="text1"/>
          <w14:textFill>
            <w14:solidFill>
              <w14:schemeClr w14:val="tx1"/>
            </w14:solidFill>
          </w14:textFill>
        </w:rPr>
        <w:t>7.3 环境风险类型及危害分析</w:t>
      </w:r>
      <w:bookmarkEnd w:id="160"/>
    </w:p>
    <w:p w14:paraId="48F74E28">
      <w:pPr>
        <w:pStyle w:val="35"/>
        <w:spacing w:after="0" w:line="360" w:lineRule="auto"/>
        <w:ind w:left="0" w:leftChars="0" w:firstLine="480" w:firstLineChars="200"/>
        <w:contextualSpacing/>
        <w:rPr>
          <w:rFonts w:ascii="Times New Roman" w:hAnsi="Times New Roman" w:cs="Times New Roman"/>
          <w:color w:val="000000" w:themeColor="text1"/>
          <w:kern w:val="2"/>
          <w:szCs w:val="24"/>
          <w14:textFill>
            <w14:solidFill>
              <w14:schemeClr w14:val="tx1"/>
            </w14:solidFill>
          </w14:textFill>
        </w:rPr>
      </w:pPr>
      <w:r>
        <w:rPr>
          <w:rFonts w:ascii="Times New Roman" w:hAnsi="Times New Roman" w:cs="Times New Roman"/>
          <w:color w:val="000000" w:themeColor="text1"/>
          <w:kern w:val="2"/>
          <w:szCs w:val="24"/>
          <w14:textFill>
            <w14:solidFill>
              <w14:schemeClr w14:val="tx1"/>
            </w14:solidFill>
          </w14:textFill>
        </w:rPr>
        <w:t>根据对风险物质的分析、风险设施的识别，项目储存、装卸过程主要的风险类型为：</w:t>
      </w:r>
    </w:p>
    <w:p w14:paraId="423F7BB1">
      <w:pPr>
        <w:pStyle w:val="108"/>
        <w:spacing w:after="0" w:line="360" w:lineRule="auto"/>
        <w:ind w:left="0" w:leftChars="0"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（1）本项目在装卸过程中可能发生泄漏、火灾事故；</w:t>
      </w:r>
    </w:p>
    <w:p w14:paraId="05ABAEB6">
      <w:pPr>
        <w:pStyle w:val="108"/>
        <w:spacing w:after="0" w:line="360" w:lineRule="auto"/>
        <w:ind w:left="0" w:leftChars="0"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（2）项目罐区可能发生泄漏、火灾事故；</w:t>
      </w:r>
    </w:p>
    <w:p w14:paraId="4CC9E982">
      <w:pPr>
        <w:pStyle w:val="108"/>
        <w:spacing w:after="0" w:line="360" w:lineRule="auto"/>
        <w:ind w:left="0" w:leftChars="0"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（3）厂区环保设施故障，导致废气超标排放；</w:t>
      </w:r>
    </w:p>
    <w:p w14:paraId="78F55273">
      <w:pPr>
        <w:pStyle w:val="108"/>
        <w:spacing w:after="0" w:line="360" w:lineRule="auto"/>
        <w:ind w:left="0" w:leftChars="0"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（4）物料火灾、爆炸情况下产生的伴生/次生污染风险。</w:t>
      </w:r>
    </w:p>
    <w:p w14:paraId="27567F8D">
      <w:pPr>
        <w:pStyle w:val="35"/>
        <w:spacing w:after="0" w:line="360" w:lineRule="auto"/>
        <w:ind w:left="0" w:leftChars="0" w:firstLine="480" w:firstLineChars="200"/>
        <w:contextualSpacing/>
        <w:rPr>
          <w:rFonts w:ascii="Times New Roman" w:hAnsi="Times New Roman" w:cs="Times New Roman"/>
          <w:color w:val="000000" w:themeColor="text1"/>
          <w:kern w:val="2"/>
          <w:szCs w:val="24"/>
          <w14:textFill>
            <w14:solidFill>
              <w14:schemeClr w14:val="tx1"/>
            </w14:solidFill>
          </w14:textFill>
        </w:rPr>
      </w:pPr>
      <w:r>
        <w:rPr>
          <w:rFonts w:ascii="Times New Roman" w:hAnsi="Times New Roman" w:cs="Times New Roman"/>
          <w:color w:val="000000" w:themeColor="text1"/>
          <w:kern w:val="2"/>
          <w:szCs w:val="24"/>
          <w14:textFill>
            <w14:solidFill>
              <w14:schemeClr w14:val="tx1"/>
            </w14:solidFill>
          </w14:textFill>
        </w:rPr>
        <w:t>发生风险事故后产生的危害影响如下：</w:t>
      </w:r>
    </w:p>
    <w:p w14:paraId="41442376">
      <w:pPr>
        <w:pStyle w:val="1443"/>
        <w:spacing w:line="360" w:lineRule="auto"/>
        <w:ind w:firstLine="482" w:firstLineChars="200"/>
        <w:contextualSpacing/>
        <w:rPr>
          <w:color w:val="000000" w:themeColor="text1"/>
          <w14:textFill>
            <w14:solidFill>
              <w14:schemeClr w14:val="tx1"/>
            </w14:solidFill>
          </w14:textFill>
        </w:rPr>
      </w:pPr>
      <w:r>
        <w:rPr>
          <w:b/>
          <w:color w:val="000000" w:themeColor="text1"/>
          <w14:textFill>
            <w14:solidFill>
              <w14:schemeClr w14:val="tx1"/>
            </w14:solidFill>
          </w14:textFill>
        </w:rPr>
        <w:t>泄漏</w:t>
      </w:r>
      <w:r>
        <w:rPr>
          <w:color w:val="000000" w:themeColor="text1"/>
          <w14:textFill>
            <w14:solidFill>
              <w14:schemeClr w14:val="tx1"/>
            </w14:solidFill>
          </w14:textFill>
        </w:rPr>
        <w:t>：本项目储存的液硫、</w:t>
      </w:r>
      <w:r>
        <w:rPr>
          <w:rFonts w:hint="eastAsia"/>
          <w:color w:val="000000" w:themeColor="text1"/>
          <w14:textFill>
            <w14:solidFill>
              <w14:schemeClr w14:val="tx1"/>
            </w14:solidFill>
          </w14:textFill>
        </w:rPr>
        <w:t>发烟硫酸/98%</w:t>
      </w:r>
      <w:r>
        <w:rPr>
          <w:color w:val="000000" w:themeColor="text1"/>
          <w14:textFill>
            <w14:solidFill>
              <w14:schemeClr w14:val="tx1"/>
            </w14:solidFill>
          </w14:textFill>
        </w:rPr>
        <w:t>硫酸</w:t>
      </w:r>
      <w:r>
        <w:rPr>
          <w:rFonts w:hint="eastAsia"/>
          <w:color w:val="000000" w:themeColor="text1"/>
          <w14:textFill>
            <w14:solidFill>
              <w14:schemeClr w14:val="tx1"/>
            </w14:solidFill>
          </w14:textFill>
        </w:rPr>
        <w:t>、苯酚、己内酰胺</w:t>
      </w:r>
      <w:r>
        <w:rPr>
          <w:color w:val="000000" w:themeColor="text1"/>
          <w14:textFill>
            <w14:solidFill>
              <w14:schemeClr w14:val="tx1"/>
            </w14:solidFill>
          </w14:textFill>
        </w:rPr>
        <w:t>等液体物料，发生泄漏后会形成液池，</w:t>
      </w:r>
      <w:r>
        <w:rPr>
          <w:rFonts w:hint="eastAsia"/>
          <w:color w:val="000000" w:themeColor="text1"/>
          <w14:textFill>
            <w14:solidFill>
              <w14:schemeClr w14:val="tx1"/>
            </w14:solidFill>
          </w14:textFill>
        </w:rPr>
        <w:t>硫蒸汽、硫酸雾、酚类、己内酰胺</w:t>
      </w:r>
      <w:r>
        <w:rPr>
          <w:color w:val="000000" w:themeColor="text1"/>
          <w14:textFill>
            <w14:solidFill>
              <w14:schemeClr w14:val="tx1"/>
            </w14:solidFill>
          </w14:textFill>
        </w:rPr>
        <w:t>等有毒物质会挥发到空气中，可能对环境空气造成污染，浓度过大时可能还会造成人员中毒。</w:t>
      </w:r>
    </w:p>
    <w:p w14:paraId="63617996">
      <w:pPr>
        <w:pStyle w:val="1443"/>
        <w:spacing w:line="360" w:lineRule="auto"/>
        <w:ind w:firstLine="480" w:firstLineChars="200"/>
        <w:contextualSpacing/>
        <w:rPr>
          <w:color w:val="000000" w:themeColor="text1"/>
          <w14:textFill>
            <w14:solidFill>
              <w14:schemeClr w14:val="tx1"/>
            </w14:solidFill>
          </w14:textFill>
        </w:rPr>
      </w:pPr>
      <w:r>
        <w:rPr>
          <w:color w:val="000000" w:themeColor="text1"/>
          <w14:textFill>
            <w14:solidFill>
              <w14:schemeClr w14:val="tx1"/>
            </w14:solidFill>
          </w14:textFill>
        </w:rPr>
        <w:t>物料泄漏在未及时采取管控措施的情况下，可能会流向雨水管网，外排至钦州湾海域，污染海水。同时，泄漏的物料在厂区地面上，会通过地面的孔隙向地下漫渗，从而污染地下水及土壤。</w:t>
      </w:r>
    </w:p>
    <w:p w14:paraId="0A06109F">
      <w:pPr>
        <w:pStyle w:val="1443"/>
        <w:spacing w:line="360" w:lineRule="auto"/>
        <w:ind w:firstLine="482" w:firstLineChars="200"/>
        <w:contextualSpacing/>
        <w:rPr>
          <w:color w:val="000000" w:themeColor="text1"/>
          <w14:textFill>
            <w14:solidFill>
              <w14:schemeClr w14:val="tx1"/>
            </w14:solidFill>
          </w14:textFill>
        </w:rPr>
      </w:pPr>
      <w:r>
        <w:rPr>
          <w:b/>
          <w:color w:val="000000" w:themeColor="text1"/>
          <w14:textFill>
            <w14:solidFill>
              <w14:schemeClr w14:val="tx1"/>
            </w14:solidFill>
          </w14:textFill>
        </w:rPr>
        <w:t>火灾爆炸</w:t>
      </w:r>
      <w:r>
        <w:rPr>
          <w:color w:val="000000" w:themeColor="text1"/>
          <w14:textFill>
            <w14:solidFill>
              <w14:schemeClr w14:val="tx1"/>
            </w14:solidFill>
          </w14:textFill>
        </w:rPr>
        <w:t>：本项目易燃易爆物质泄漏物或检修时物料遇到明火、静电等可引起火灾甚至爆炸事故，除本身设备外，还可能导致</w:t>
      </w:r>
      <w:r>
        <w:rPr>
          <w:rFonts w:hint="eastAsia"/>
          <w:color w:val="000000" w:themeColor="text1"/>
          <w:lang w:eastAsia="zh-CN"/>
          <w14:textFill>
            <w14:solidFill>
              <w14:schemeClr w14:val="tx1"/>
            </w14:solidFill>
          </w14:textFill>
        </w:rPr>
        <w:t>其他设备</w:t>
      </w:r>
      <w:r>
        <w:rPr>
          <w:color w:val="000000" w:themeColor="text1"/>
          <w14:textFill>
            <w14:solidFill>
              <w14:schemeClr w14:val="tx1"/>
            </w14:solidFill>
          </w14:textFill>
        </w:rPr>
        <w:t>、管线等的破坏，引发事故重叠。</w:t>
      </w:r>
    </w:p>
    <w:p w14:paraId="697E3E6E">
      <w:pPr>
        <w:pStyle w:val="35"/>
        <w:spacing w:after="0" w:line="360" w:lineRule="auto"/>
        <w:ind w:left="0" w:leftChars="0" w:firstLine="482" w:firstLineChars="200"/>
        <w:contextualSpacing/>
        <w:rPr>
          <w:rFonts w:ascii="Times New Roman" w:hAnsi="Times New Roman" w:cs="Times New Roman"/>
          <w:color w:val="FF0000"/>
          <w:kern w:val="2"/>
          <w:szCs w:val="24"/>
        </w:rPr>
      </w:pPr>
      <w:r>
        <w:rPr>
          <w:rFonts w:ascii="Times New Roman" w:hAnsi="Times New Roman" w:cs="Times New Roman"/>
          <w:b/>
          <w:color w:val="000000" w:themeColor="text1"/>
          <w:kern w:val="2"/>
          <w:szCs w:val="24"/>
          <w14:textFill>
            <w14:solidFill>
              <w14:schemeClr w14:val="tx1"/>
            </w14:solidFill>
          </w14:textFill>
        </w:rPr>
        <w:t>次生/伴生事故</w:t>
      </w:r>
      <w:r>
        <w:rPr>
          <w:rFonts w:ascii="Times New Roman" w:hAnsi="Times New Roman" w:cs="Times New Roman"/>
          <w:color w:val="000000" w:themeColor="text1"/>
          <w:kern w:val="2"/>
          <w:szCs w:val="24"/>
          <w14:textFill>
            <w14:solidFill>
              <w14:schemeClr w14:val="tx1"/>
            </w14:solidFill>
          </w14:textFill>
        </w:rPr>
        <w:t>：当储罐发生火灾、爆炸事故时，将产生大量的浓烟会对环境造成污染，同时可燃液体燃烧时会生成</w:t>
      </w:r>
      <w:r>
        <w:rPr>
          <w:rFonts w:hint="eastAsia" w:ascii="Times New Roman" w:hAnsi="Times New Roman" w:cs="Times New Roman"/>
          <w:color w:val="000000" w:themeColor="text1"/>
          <w:kern w:val="2"/>
          <w:szCs w:val="24"/>
          <w14:textFill>
            <w14:solidFill>
              <w14:schemeClr w14:val="tx1"/>
            </w14:solidFill>
          </w14:textFill>
        </w:rPr>
        <w:t>一氧化碳、</w:t>
      </w:r>
      <w:r>
        <w:rPr>
          <w:rFonts w:ascii="Times New Roman" w:hAnsi="Times New Roman" w:cs="Times New Roman"/>
          <w:color w:val="000000" w:themeColor="text1"/>
          <w:kern w:val="2"/>
          <w:szCs w:val="24"/>
          <w14:textFill>
            <w14:solidFill>
              <w14:schemeClr w14:val="tx1"/>
            </w14:solidFill>
          </w14:textFill>
        </w:rPr>
        <w:t>二氧化硫</w:t>
      </w:r>
      <w:r>
        <w:rPr>
          <w:rFonts w:hint="eastAsia" w:ascii="Times New Roman" w:hAnsi="Times New Roman" w:cs="Times New Roman"/>
          <w:color w:val="000000" w:themeColor="text1"/>
          <w:kern w:val="2"/>
          <w:szCs w:val="24"/>
          <w14:textFill>
            <w14:solidFill>
              <w14:schemeClr w14:val="tx1"/>
            </w14:solidFill>
          </w14:textFill>
        </w:rPr>
        <w:t>、硫酸雾</w:t>
      </w:r>
      <w:r>
        <w:rPr>
          <w:rFonts w:ascii="Times New Roman" w:hAnsi="Times New Roman" w:cs="Times New Roman"/>
          <w:color w:val="000000" w:themeColor="text1"/>
          <w:kern w:val="2"/>
          <w:szCs w:val="24"/>
          <w14:textFill>
            <w14:solidFill>
              <w14:schemeClr w14:val="tx1"/>
            </w14:solidFill>
          </w14:textFill>
        </w:rPr>
        <w:t>和消防废水，</w:t>
      </w:r>
      <w:r>
        <w:rPr>
          <w:rFonts w:hint="eastAsia" w:ascii="Times New Roman" w:hAnsi="Times New Roman" w:cs="Times New Roman"/>
          <w:color w:val="000000" w:themeColor="text1"/>
          <w:kern w:val="2"/>
          <w:szCs w:val="24"/>
          <w14:textFill>
            <w14:solidFill>
              <w14:schemeClr w14:val="tx1"/>
            </w14:solidFill>
          </w14:textFill>
        </w:rPr>
        <w:t>一氧化碳、</w:t>
      </w:r>
      <w:r>
        <w:rPr>
          <w:rFonts w:ascii="Times New Roman" w:hAnsi="Times New Roman" w:cs="Times New Roman"/>
          <w:color w:val="000000" w:themeColor="text1"/>
          <w:kern w:val="2"/>
          <w:szCs w:val="24"/>
          <w14:textFill>
            <w14:solidFill>
              <w14:schemeClr w14:val="tx1"/>
            </w14:solidFill>
          </w14:textFill>
        </w:rPr>
        <w:t>二氧化硫</w:t>
      </w:r>
      <w:r>
        <w:rPr>
          <w:rFonts w:hint="eastAsia" w:ascii="Times New Roman" w:hAnsi="Times New Roman" w:cs="Times New Roman"/>
          <w:color w:val="000000" w:themeColor="text1"/>
          <w:kern w:val="2"/>
          <w:szCs w:val="24"/>
          <w14:textFill>
            <w14:solidFill>
              <w14:schemeClr w14:val="tx1"/>
            </w14:solidFill>
          </w14:textFill>
        </w:rPr>
        <w:t>、硫酸雾</w:t>
      </w:r>
      <w:r>
        <w:rPr>
          <w:rFonts w:ascii="Times New Roman" w:hAnsi="Times New Roman" w:cs="Times New Roman"/>
          <w:color w:val="000000" w:themeColor="text1"/>
          <w:kern w:val="2"/>
          <w:szCs w:val="24"/>
          <w14:textFill>
            <w14:solidFill>
              <w14:schemeClr w14:val="tx1"/>
            </w14:solidFill>
          </w14:textFill>
        </w:rPr>
        <w:t>等均会对人体健康造成伤害，甚至死亡。</w:t>
      </w:r>
    </w:p>
    <w:p w14:paraId="5652FC4D">
      <w:pPr>
        <w:pStyle w:val="35"/>
        <w:spacing w:after="0" w:line="360" w:lineRule="auto"/>
        <w:ind w:left="0" w:leftChars="0" w:firstLine="480" w:firstLineChars="200"/>
        <w:contextualSpacing/>
        <w:rPr>
          <w:rFonts w:ascii="Times New Roman" w:hAnsi="Times New Roman" w:cs="Times New Roman"/>
          <w:color w:val="000000" w:themeColor="text1"/>
          <w:kern w:val="2"/>
          <w:szCs w:val="24"/>
          <w14:textFill>
            <w14:solidFill>
              <w14:schemeClr w14:val="tx1"/>
            </w14:solidFill>
          </w14:textFill>
        </w:rPr>
      </w:pPr>
      <w:r>
        <w:rPr>
          <w:rFonts w:ascii="Times New Roman" w:hAnsi="Times New Roman" w:cs="Times New Roman"/>
          <w:color w:val="000000" w:themeColor="text1"/>
          <w:kern w:val="2"/>
          <w:szCs w:val="24"/>
          <w14:textFill>
            <w14:solidFill>
              <w14:schemeClr w14:val="tx1"/>
            </w14:solidFill>
          </w14:textFill>
        </w:rPr>
        <w:t>为防止火灾爆炸和环境空气污染事故的扩散，一般采用消防水、泡沫系统对泄漏区进行喷淋冷却，采用此法将直接导致泄漏的物料与消防水混合，若消防水从雨水排口外排，会对周围水环境造成污染。</w:t>
      </w:r>
    </w:p>
    <w:p w14:paraId="3220FDDF">
      <w:pPr>
        <w:pStyle w:val="346"/>
        <w:ind w:firstLine="482" w:firstLineChars="200"/>
        <w:rPr>
          <w:color w:val="000000" w:themeColor="text1"/>
          <w14:textFill>
            <w14:solidFill>
              <w14:schemeClr w14:val="tx1"/>
            </w14:solidFill>
          </w14:textFill>
        </w:rPr>
      </w:pPr>
      <w:bookmarkStart w:id="161" w:name="_Toc144375244"/>
      <w:r>
        <w:rPr>
          <w:color w:val="000000" w:themeColor="text1"/>
          <w14:textFill>
            <w14:solidFill>
              <w14:schemeClr w14:val="tx1"/>
            </w14:solidFill>
          </w14:textFill>
        </w:rPr>
        <w:t>7.4 风险识别结果</w:t>
      </w:r>
      <w:bookmarkEnd w:id="161"/>
    </w:p>
    <w:p w14:paraId="54431E08">
      <w:pPr>
        <w:adjustRightInd w:val="0"/>
        <w:snapToGrid w:val="0"/>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综上分析，各危险物质向环境转移的途径及可能受影响的环境敏感目标见下表。</w:t>
      </w:r>
    </w:p>
    <w:p w14:paraId="6733F0F7">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表7-</w:t>
      </w:r>
      <w:r>
        <w:rPr>
          <w:rFonts w:hint="eastAsia" w:ascii="Times New Roman" w:hAnsi="Times New Roman" w:cs="Times New Roman"/>
          <w:b/>
          <w:bCs/>
          <w:color w:val="000000" w:themeColor="text1"/>
          <w14:textFill>
            <w14:solidFill>
              <w14:schemeClr w14:val="tx1"/>
            </w14:solidFill>
          </w14:textFill>
        </w:rPr>
        <w:t>4</w:t>
      </w:r>
      <w:r>
        <w:rPr>
          <w:rFonts w:ascii="Times New Roman" w:hAnsi="Times New Roman" w:cs="Times New Roman"/>
          <w:b/>
          <w:bCs/>
          <w:color w:val="000000" w:themeColor="text1"/>
          <w14:textFill>
            <w14:solidFill>
              <w14:schemeClr w14:val="tx1"/>
            </w14:solidFill>
          </w14:textFill>
        </w:rPr>
        <w:t>项目环境风险识别一览表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81"/>
        <w:gridCol w:w="1243"/>
        <w:gridCol w:w="1299"/>
        <w:gridCol w:w="1616"/>
        <w:gridCol w:w="1616"/>
        <w:gridCol w:w="1616"/>
      </w:tblGrid>
      <w:tr w14:paraId="28BF8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tcBorders>
              <w:top w:val="single" w:color="auto" w:sz="4" w:space="0"/>
              <w:left w:val="single" w:color="auto" w:sz="4" w:space="0"/>
              <w:bottom w:val="single" w:color="auto" w:sz="4" w:space="0"/>
              <w:right w:val="single" w:color="auto" w:sz="4" w:space="0"/>
            </w:tcBorders>
            <w:vAlign w:val="center"/>
          </w:tcPr>
          <w:p w14:paraId="1D54804E">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危险单元</w:t>
            </w:r>
          </w:p>
        </w:tc>
        <w:tc>
          <w:tcPr>
            <w:tcW w:w="1243" w:type="dxa"/>
            <w:tcBorders>
              <w:top w:val="single" w:color="auto" w:sz="4" w:space="0"/>
              <w:left w:val="single" w:color="auto" w:sz="4" w:space="0"/>
              <w:bottom w:val="single" w:color="auto" w:sz="4" w:space="0"/>
              <w:right w:val="single" w:color="auto" w:sz="4" w:space="0"/>
            </w:tcBorders>
            <w:vAlign w:val="center"/>
          </w:tcPr>
          <w:p w14:paraId="5D806039">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风险源</w:t>
            </w:r>
          </w:p>
        </w:tc>
        <w:tc>
          <w:tcPr>
            <w:tcW w:w="1299" w:type="dxa"/>
            <w:tcBorders>
              <w:top w:val="single" w:color="auto" w:sz="4" w:space="0"/>
              <w:left w:val="single" w:color="auto" w:sz="4" w:space="0"/>
              <w:bottom w:val="single" w:color="auto" w:sz="4" w:space="0"/>
              <w:right w:val="single" w:color="auto" w:sz="4" w:space="0"/>
            </w:tcBorders>
            <w:vAlign w:val="center"/>
          </w:tcPr>
          <w:p w14:paraId="57D32688">
            <w:pPr>
              <w:jc w:val="center"/>
              <w:rPr>
                <w:rFonts w:ascii="Times New Roman" w:hAnsi="Times New Roman" w:cs="Times New Roman"/>
                <w:b/>
                <w:color w:val="000000" w:themeColor="text1"/>
                <w:spacing w:val="-4"/>
                <w:sz w:val="21"/>
                <w:szCs w:val="21"/>
                <w14:textFill>
                  <w14:solidFill>
                    <w14:schemeClr w14:val="tx1"/>
                  </w14:solidFill>
                </w14:textFill>
              </w:rPr>
            </w:pPr>
            <w:r>
              <w:rPr>
                <w:rFonts w:ascii="Times New Roman" w:hAnsi="Times New Roman" w:cs="Times New Roman"/>
                <w:b/>
                <w:color w:val="000000" w:themeColor="text1"/>
                <w:spacing w:val="-4"/>
                <w:sz w:val="21"/>
                <w:szCs w:val="21"/>
                <w14:textFill>
                  <w14:solidFill>
                    <w14:schemeClr w14:val="tx1"/>
                  </w14:solidFill>
                </w14:textFill>
              </w:rPr>
              <w:t>主要危险物质</w:t>
            </w:r>
          </w:p>
        </w:tc>
        <w:tc>
          <w:tcPr>
            <w:tcW w:w="1616" w:type="dxa"/>
            <w:tcBorders>
              <w:top w:val="single" w:color="auto" w:sz="4" w:space="0"/>
              <w:left w:val="single" w:color="auto" w:sz="4" w:space="0"/>
              <w:bottom w:val="single" w:color="auto" w:sz="4" w:space="0"/>
              <w:right w:val="single" w:color="auto" w:sz="4" w:space="0"/>
            </w:tcBorders>
            <w:vAlign w:val="center"/>
          </w:tcPr>
          <w:p w14:paraId="5181E8D5">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环境风险类型</w:t>
            </w:r>
          </w:p>
        </w:tc>
        <w:tc>
          <w:tcPr>
            <w:tcW w:w="1616" w:type="dxa"/>
            <w:tcBorders>
              <w:top w:val="single" w:color="auto" w:sz="4" w:space="0"/>
              <w:left w:val="single" w:color="auto" w:sz="4" w:space="0"/>
              <w:bottom w:val="single" w:color="auto" w:sz="4" w:space="0"/>
              <w:right w:val="single" w:color="auto" w:sz="4" w:space="0"/>
            </w:tcBorders>
            <w:vAlign w:val="center"/>
          </w:tcPr>
          <w:p w14:paraId="31EE7878">
            <w:pPr>
              <w:jc w:val="center"/>
              <w:rPr>
                <w:rFonts w:ascii="Times New Roman" w:hAnsi="Times New Roman" w:cs="Times New Roman"/>
                <w:b/>
                <w:color w:val="000000" w:themeColor="text1"/>
                <w:spacing w:val="-4"/>
                <w:sz w:val="21"/>
                <w:szCs w:val="21"/>
                <w14:textFill>
                  <w14:solidFill>
                    <w14:schemeClr w14:val="tx1"/>
                  </w14:solidFill>
                </w14:textFill>
              </w:rPr>
            </w:pPr>
            <w:r>
              <w:rPr>
                <w:rFonts w:ascii="Times New Roman" w:hAnsi="Times New Roman" w:cs="Times New Roman"/>
                <w:b/>
                <w:color w:val="000000" w:themeColor="text1"/>
                <w:spacing w:val="-4"/>
                <w:sz w:val="21"/>
                <w:szCs w:val="21"/>
                <w14:textFill>
                  <w14:solidFill>
                    <w14:schemeClr w14:val="tx1"/>
                  </w14:solidFill>
                </w14:textFill>
              </w:rPr>
              <w:t>环境影响途径</w:t>
            </w:r>
          </w:p>
        </w:tc>
        <w:tc>
          <w:tcPr>
            <w:tcW w:w="1616" w:type="dxa"/>
            <w:tcBorders>
              <w:top w:val="single" w:color="auto" w:sz="4" w:space="0"/>
              <w:left w:val="single" w:color="auto" w:sz="4" w:space="0"/>
              <w:bottom w:val="single" w:color="auto" w:sz="4" w:space="0"/>
              <w:right w:val="single" w:color="auto" w:sz="4" w:space="0"/>
            </w:tcBorders>
            <w:vAlign w:val="center"/>
          </w:tcPr>
          <w:p w14:paraId="21E0867C">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可能受影响的环境敏感目标</w:t>
            </w:r>
          </w:p>
        </w:tc>
      </w:tr>
      <w:tr w14:paraId="23A40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restart"/>
            <w:tcBorders>
              <w:top w:val="single" w:color="auto" w:sz="4" w:space="0"/>
              <w:left w:val="single" w:color="auto" w:sz="4" w:space="0"/>
              <w:right w:val="single" w:color="auto" w:sz="4" w:space="0"/>
            </w:tcBorders>
            <w:vAlign w:val="center"/>
          </w:tcPr>
          <w:p w14:paraId="0A0530A9">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4#储罐组</w:t>
            </w:r>
          </w:p>
        </w:tc>
        <w:tc>
          <w:tcPr>
            <w:tcW w:w="1243" w:type="dxa"/>
            <w:tcBorders>
              <w:top w:val="single" w:color="auto" w:sz="4" w:space="0"/>
              <w:left w:val="single" w:color="auto" w:sz="4" w:space="0"/>
              <w:bottom w:val="single" w:color="auto" w:sz="4" w:space="0"/>
              <w:right w:val="single" w:color="auto" w:sz="4" w:space="0"/>
            </w:tcBorders>
            <w:vAlign w:val="center"/>
          </w:tcPr>
          <w:p w14:paraId="08E2E618">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液硫储罐</w:t>
            </w:r>
          </w:p>
          <w:p w14:paraId="14ADE3F9">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（TK-407）</w:t>
            </w:r>
          </w:p>
        </w:tc>
        <w:tc>
          <w:tcPr>
            <w:tcW w:w="1299" w:type="dxa"/>
            <w:tcBorders>
              <w:top w:val="single" w:color="auto" w:sz="4" w:space="0"/>
              <w:left w:val="single" w:color="auto" w:sz="4" w:space="0"/>
              <w:right w:val="single" w:color="auto" w:sz="4" w:space="0"/>
            </w:tcBorders>
            <w:vAlign w:val="center"/>
          </w:tcPr>
          <w:p w14:paraId="47E8458C">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液硫</w:t>
            </w:r>
          </w:p>
        </w:tc>
        <w:tc>
          <w:tcPr>
            <w:tcW w:w="1616" w:type="dxa"/>
            <w:tcBorders>
              <w:top w:val="single" w:color="auto" w:sz="4" w:space="0"/>
              <w:left w:val="single" w:color="auto" w:sz="4" w:space="0"/>
              <w:bottom w:val="single" w:color="auto" w:sz="4" w:space="0"/>
              <w:right w:val="single" w:color="auto" w:sz="4" w:space="0"/>
            </w:tcBorders>
            <w:vAlign w:val="center"/>
          </w:tcPr>
          <w:p w14:paraId="04E9E302">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物料泄漏、火灾/爆炸</w:t>
            </w:r>
          </w:p>
        </w:tc>
        <w:tc>
          <w:tcPr>
            <w:tcW w:w="1616" w:type="dxa"/>
            <w:tcBorders>
              <w:top w:val="single" w:color="auto" w:sz="4" w:space="0"/>
              <w:left w:val="single" w:color="auto" w:sz="4" w:space="0"/>
              <w:bottom w:val="single" w:color="auto" w:sz="4" w:space="0"/>
              <w:right w:val="single" w:color="auto" w:sz="4" w:space="0"/>
            </w:tcBorders>
            <w:vAlign w:val="center"/>
          </w:tcPr>
          <w:p w14:paraId="3FA43904">
            <w:pPr>
              <w:jc w:val="center"/>
              <w:rPr>
                <w:rFonts w:ascii="Times New Roman" w:hAnsi="Times New Roman" w:cs="Times New Roman"/>
                <w:bCs/>
                <w:color w:val="000000" w:themeColor="text1"/>
                <w:spacing w:val="-10"/>
                <w:sz w:val="21"/>
                <w:szCs w:val="21"/>
                <w14:textFill>
                  <w14:solidFill>
                    <w14:schemeClr w14:val="tx1"/>
                  </w14:solidFill>
                </w14:textFill>
              </w:rPr>
            </w:pPr>
            <w:r>
              <w:rPr>
                <w:rFonts w:ascii="Times New Roman" w:hAnsi="Times New Roman" w:cs="Times New Roman"/>
                <w:bCs/>
                <w:color w:val="000000" w:themeColor="text1"/>
                <w:spacing w:val="-10"/>
                <w:sz w:val="21"/>
                <w:szCs w:val="21"/>
                <w14:textFill>
                  <w14:solidFill>
                    <w14:schemeClr w14:val="tx1"/>
                  </w14:solidFill>
                </w14:textFill>
              </w:rPr>
              <w:t>漫流、</w:t>
            </w:r>
            <w:r>
              <w:rPr>
                <w:rFonts w:ascii="Times New Roman" w:hAnsi="Times New Roman" w:cs="Times New Roman"/>
                <w:bCs/>
                <w:color w:val="000000" w:themeColor="text1"/>
                <w:sz w:val="21"/>
                <w:szCs w:val="21"/>
                <w14:textFill>
                  <w14:solidFill>
                    <w14:schemeClr w14:val="tx1"/>
                  </w14:solidFill>
                </w14:textFill>
              </w:rPr>
              <w:t>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6A786F4E">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周边大气</w:t>
            </w:r>
          </w:p>
        </w:tc>
      </w:tr>
      <w:tr w14:paraId="48B1F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continue"/>
            <w:tcBorders>
              <w:left w:val="single" w:color="auto" w:sz="4" w:space="0"/>
              <w:right w:val="single" w:color="auto" w:sz="4" w:space="0"/>
            </w:tcBorders>
            <w:vAlign w:val="center"/>
          </w:tcPr>
          <w:p w14:paraId="09E8CA60">
            <w:pPr>
              <w:jc w:val="center"/>
              <w:rPr>
                <w:rFonts w:ascii="Times New Roman" w:hAnsi="Times New Roman" w:cs="Times New Roman"/>
                <w:bCs/>
                <w:color w:val="000000" w:themeColor="text1"/>
                <w:sz w:val="21"/>
                <w:szCs w:val="21"/>
                <w14:textFill>
                  <w14:solidFill>
                    <w14:schemeClr w14:val="tx1"/>
                  </w14:solidFill>
                </w14:textFill>
              </w:rPr>
            </w:pPr>
          </w:p>
        </w:tc>
        <w:tc>
          <w:tcPr>
            <w:tcW w:w="1243" w:type="dxa"/>
            <w:tcBorders>
              <w:top w:val="single" w:color="auto" w:sz="4" w:space="0"/>
              <w:left w:val="single" w:color="auto" w:sz="4" w:space="0"/>
              <w:bottom w:val="single" w:color="auto" w:sz="4" w:space="0"/>
              <w:right w:val="single" w:color="auto" w:sz="4" w:space="0"/>
            </w:tcBorders>
            <w:vAlign w:val="center"/>
          </w:tcPr>
          <w:p w14:paraId="2094173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发烟硫酸/98%硫酸储罐（TK-408）</w:t>
            </w:r>
          </w:p>
        </w:tc>
        <w:tc>
          <w:tcPr>
            <w:tcW w:w="1299" w:type="dxa"/>
            <w:tcBorders>
              <w:left w:val="single" w:color="auto" w:sz="4" w:space="0"/>
              <w:right w:val="single" w:color="auto" w:sz="4" w:space="0"/>
            </w:tcBorders>
            <w:vAlign w:val="center"/>
          </w:tcPr>
          <w:p w14:paraId="5DF5DACE">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硫酸</w:t>
            </w:r>
          </w:p>
        </w:tc>
        <w:tc>
          <w:tcPr>
            <w:tcW w:w="1616" w:type="dxa"/>
            <w:tcBorders>
              <w:top w:val="single" w:color="auto" w:sz="4" w:space="0"/>
              <w:left w:val="single" w:color="auto" w:sz="4" w:space="0"/>
              <w:bottom w:val="single" w:color="auto" w:sz="4" w:space="0"/>
              <w:right w:val="single" w:color="auto" w:sz="4" w:space="0"/>
            </w:tcBorders>
            <w:vAlign w:val="center"/>
          </w:tcPr>
          <w:p w14:paraId="31B0A04F">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物料泄漏</w:t>
            </w:r>
          </w:p>
        </w:tc>
        <w:tc>
          <w:tcPr>
            <w:tcW w:w="1616" w:type="dxa"/>
            <w:tcBorders>
              <w:top w:val="single" w:color="auto" w:sz="4" w:space="0"/>
              <w:left w:val="single" w:color="auto" w:sz="4" w:space="0"/>
              <w:bottom w:val="single" w:color="auto" w:sz="4" w:space="0"/>
              <w:right w:val="single" w:color="auto" w:sz="4" w:space="0"/>
            </w:tcBorders>
            <w:vAlign w:val="center"/>
          </w:tcPr>
          <w:p w14:paraId="6DC47B37">
            <w:pPr>
              <w:jc w:val="center"/>
              <w:rPr>
                <w:rFonts w:ascii="Times New Roman" w:hAnsi="Times New Roman" w:cs="Times New Roman"/>
                <w:bCs/>
                <w:color w:val="000000" w:themeColor="text1"/>
                <w:spacing w:val="-10"/>
                <w:sz w:val="21"/>
                <w:szCs w:val="21"/>
                <w14:textFill>
                  <w14:solidFill>
                    <w14:schemeClr w14:val="tx1"/>
                  </w14:solidFill>
                </w14:textFill>
              </w:rPr>
            </w:pPr>
            <w:r>
              <w:rPr>
                <w:rFonts w:hint="eastAsia" w:ascii="Times New Roman" w:hAnsi="Times New Roman" w:cs="Times New Roman"/>
                <w:bCs/>
                <w:color w:val="000000" w:themeColor="text1"/>
                <w:spacing w:val="-10"/>
                <w:sz w:val="21"/>
                <w:szCs w:val="21"/>
                <w14:textFill>
                  <w14:solidFill>
                    <w14:schemeClr w14:val="tx1"/>
                  </w14:solidFill>
                </w14:textFill>
              </w:rPr>
              <w:t>漫流、大气扩散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299DEC78">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周边大气、海水和土壤</w:t>
            </w:r>
          </w:p>
        </w:tc>
      </w:tr>
      <w:tr w14:paraId="6E578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continue"/>
            <w:tcBorders>
              <w:left w:val="single" w:color="auto" w:sz="4" w:space="0"/>
              <w:bottom w:val="single" w:color="auto" w:sz="4" w:space="0"/>
              <w:right w:val="single" w:color="auto" w:sz="4" w:space="0"/>
            </w:tcBorders>
            <w:vAlign w:val="center"/>
          </w:tcPr>
          <w:p w14:paraId="31EEC680">
            <w:pPr>
              <w:jc w:val="center"/>
              <w:rPr>
                <w:rFonts w:ascii="Times New Roman" w:hAnsi="Times New Roman" w:cs="Times New Roman"/>
                <w:bCs/>
                <w:color w:val="000000" w:themeColor="text1"/>
                <w:sz w:val="21"/>
                <w:szCs w:val="21"/>
                <w14:textFill>
                  <w14:solidFill>
                    <w14:schemeClr w14:val="tx1"/>
                  </w14:solidFill>
                </w14:textFill>
              </w:rPr>
            </w:pPr>
          </w:p>
        </w:tc>
        <w:tc>
          <w:tcPr>
            <w:tcW w:w="1243" w:type="dxa"/>
            <w:tcBorders>
              <w:top w:val="single" w:color="auto" w:sz="4" w:space="0"/>
              <w:left w:val="single" w:color="auto" w:sz="4" w:space="0"/>
              <w:bottom w:val="single" w:color="auto" w:sz="4" w:space="0"/>
              <w:right w:val="single" w:color="auto" w:sz="4" w:space="0"/>
            </w:tcBorders>
            <w:vAlign w:val="center"/>
          </w:tcPr>
          <w:p w14:paraId="0F3EF66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液碱储罐</w:t>
            </w:r>
          </w:p>
          <w:p w14:paraId="6FB5E05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（TK-409）</w:t>
            </w:r>
          </w:p>
        </w:tc>
        <w:tc>
          <w:tcPr>
            <w:tcW w:w="1299" w:type="dxa"/>
            <w:tcBorders>
              <w:left w:val="single" w:color="auto" w:sz="4" w:space="0"/>
              <w:right w:val="single" w:color="auto" w:sz="4" w:space="0"/>
            </w:tcBorders>
            <w:vAlign w:val="center"/>
          </w:tcPr>
          <w:p w14:paraId="29C525CF">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液碱</w:t>
            </w:r>
          </w:p>
        </w:tc>
        <w:tc>
          <w:tcPr>
            <w:tcW w:w="1616" w:type="dxa"/>
            <w:tcBorders>
              <w:top w:val="single" w:color="auto" w:sz="4" w:space="0"/>
              <w:left w:val="single" w:color="auto" w:sz="4" w:space="0"/>
              <w:bottom w:val="single" w:color="auto" w:sz="4" w:space="0"/>
              <w:right w:val="single" w:color="auto" w:sz="4" w:space="0"/>
            </w:tcBorders>
            <w:vAlign w:val="center"/>
          </w:tcPr>
          <w:p w14:paraId="689212E8">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物料泄漏</w:t>
            </w:r>
          </w:p>
        </w:tc>
        <w:tc>
          <w:tcPr>
            <w:tcW w:w="1616" w:type="dxa"/>
            <w:tcBorders>
              <w:top w:val="single" w:color="auto" w:sz="4" w:space="0"/>
              <w:left w:val="single" w:color="auto" w:sz="4" w:space="0"/>
              <w:bottom w:val="single" w:color="auto" w:sz="4" w:space="0"/>
              <w:right w:val="single" w:color="auto" w:sz="4" w:space="0"/>
            </w:tcBorders>
            <w:vAlign w:val="center"/>
          </w:tcPr>
          <w:p w14:paraId="72439F82">
            <w:pPr>
              <w:jc w:val="center"/>
              <w:rPr>
                <w:rFonts w:ascii="Times New Roman" w:hAnsi="Times New Roman" w:cs="Times New Roman"/>
                <w:bCs/>
                <w:color w:val="000000" w:themeColor="text1"/>
                <w:spacing w:val="-10"/>
                <w:sz w:val="21"/>
                <w:szCs w:val="21"/>
                <w14:textFill>
                  <w14:solidFill>
                    <w14:schemeClr w14:val="tx1"/>
                  </w14:solidFill>
                </w14:textFill>
              </w:rPr>
            </w:pPr>
            <w:r>
              <w:rPr>
                <w:rFonts w:hint="eastAsia" w:ascii="Times New Roman" w:hAnsi="Times New Roman" w:cs="Times New Roman"/>
                <w:bCs/>
                <w:color w:val="000000" w:themeColor="text1"/>
                <w:spacing w:val="-10"/>
                <w:sz w:val="21"/>
                <w:szCs w:val="21"/>
                <w14:textFill>
                  <w14:solidFill>
                    <w14:schemeClr w14:val="tx1"/>
                  </w14:solidFill>
                </w14:textFill>
              </w:rPr>
              <w:t>漫流</w:t>
            </w:r>
          </w:p>
        </w:tc>
        <w:tc>
          <w:tcPr>
            <w:tcW w:w="1616" w:type="dxa"/>
            <w:tcBorders>
              <w:top w:val="single" w:color="auto" w:sz="4" w:space="0"/>
              <w:left w:val="single" w:color="auto" w:sz="4" w:space="0"/>
              <w:bottom w:val="single" w:color="auto" w:sz="4" w:space="0"/>
              <w:right w:val="single" w:color="auto" w:sz="4" w:space="0"/>
            </w:tcBorders>
            <w:vAlign w:val="center"/>
          </w:tcPr>
          <w:p w14:paraId="78CEEAE6">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周边海水和土壤</w:t>
            </w:r>
          </w:p>
        </w:tc>
      </w:tr>
      <w:tr w14:paraId="08792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tcBorders>
              <w:left w:val="single" w:color="auto" w:sz="4" w:space="0"/>
              <w:bottom w:val="single" w:color="auto" w:sz="4" w:space="0"/>
              <w:right w:val="single" w:color="auto" w:sz="4" w:space="0"/>
            </w:tcBorders>
            <w:vAlign w:val="center"/>
          </w:tcPr>
          <w:p w14:paraId="67E861EC">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苯酚储罐区</w:t>
            </w:r>
          </w:p>
        </w:tc>
        <w:tc>
          <w:tcPr>
            <w:tcW w:w="1243" w:type="dxa"/>
            <w:tcBorders>
              <w:top w:val="single" w:color="auto" w:sz="4" w:space="0"/>
              <w:left w:val="single" w:color="auto" w:sz="4" w:space="0"/>
              <w:bottom w:val="single" w:color="auto" w:sz="4" w:space="0"/>
              <w:right w:val="single" w:color="auto" w:sz="4" w:space="0"/>
            </w:tcBorders>
            <w:vAlign w:val="center"/>
          </w:tcPr>
          <w:p w14:paraId="591DECD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w:t>
            </w:r>
          </w:p>
          <w:p w14:paraId="476BC3F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（TK-410、TK-411）</w:t>
            </w:r>
          </w:p>
        </w:tc>
        <w:tc>
          <w:tcPr>
            <w:tcW w:w="1299" w:type="dxa"/>
            <w:tcBorders>
              <w:left w:val="single" w:color="auto" w:sz="4" w:space="0"/>
              <w:right w:val="single" w:color="auto" w:sz="4" w:space="0"/>
            </w:tcBorders>
            <w:vAlign w:val="center"/>
          </w:tcPr>
          <w:p w14:paraId="3E8DB0F4">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苯酚</w:t>
            </w:r>
          </w:p>
        </w:tc>
        <w:tc>
          <w:tcPr>
            <w:tcW w:w="1616" w:type="dxa"/>
            <w:tcBorders>
              <w:top w:val="single" w:color="auto" w:sz="4" w:space="0"/>
              <w:left w:val="single" w:color="auto" w:sz="4" w:space="0"/>
              <w:bottom w:val="single" w:color="auto" w:sz="4" w:space="0"/>
              <w:right w:val="single" w:color="auto" w:sz="4" w:space="0"/>
            </w:tcBorders>
            <w:vAlign w:val="center"/>
          </w:tcPr>
          <w:p w14:paraId="7DAA92E2">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物料泄漏</w:t>
            </w:r>
          </w:p>
        </w:tc>
        <w:tc>
          <w:tcPr>
            <w:tcW w:w="1616" w:type="dxa"/>
            <w:tcBorders>
              <w:top w:val="single" w:color="auto" w:sz="4" w:space="0"/>
              <w:left w:val="single" w:color="auto" w:sz="4" w:space="0"/>
              <w:bottom w:val="single" w:color="auto" w:sz="4" w:space="0"/>
              <w:right w:val="single" w:color="auto" w:sz="4" w:space="0"/>
            </w:tcBorders>
            <w:vAlign w:val="center"/>
          </w:tcPr>
          <w:p w14:paraId="360661B0">
            <w:pPr>
              <w:jc w:val="center"/>
              <w:rPr>
                <w:rFonts w:ascii="Times New Roman" w:hAnsi="Times New Roman" w:cs="Times New Roman"/>
                <w:bCs/>
                <w:color w:val="000000" w:themeColor="text1"/>
                <w:spacing w:val="-10"/>
                <w:sz w:val="21"/>
                <w:szCs w:val="21"/>
                <w14:textFill>
                  <w14:solidFill>
                    <w14:schemeClr w14:val="tx1"/>
                  </w14:solidFill>
                </w14:textFill>
              </w:rPr>
            </w:pPr>
            <w:r>
              <w:rPr>
                <w:rFonts w:hint="eastAsia" w:ascii="Times New Roman" w:hAnsi="Times New Roman" w:cs="Times New Roman"/>
                <w:bCs/>
                <w:color w:val="000000" w:themeColor="text1"/>
                <w:spacing w:val="-10"/>
                <w:sz w:val="21"/>
                <w:szCs w:val="21"/>
                <w14:textFill>
                  <w14:solidFill>
                    <w14:schemeClr w14:val="tx1"/>
                  </w14:solidFill>
                </w14:textFill>
              </w:rPr>
              <w:t>漫流、大气扩散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45B800C4">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周边大气、海水和土壤</w:t>
            </w:r>
          </w:p>
        </w:tc>
      </w:tr>
      <w:tr w14:paraId="2440B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tcBorders>
              <w:left w:val="single" w:color="auto" w:sz="4" w:space="0"/>
              <w:bottom w:val="single" w:color="auto" w:sz="4" w:space="0"/>
              <w:right w:val="single" w:color="auto" w:sz="4" w:space="0"/>
            </w:tcBorders>
            <w:vAlign w:val="center"/>
          </w:tcPr>
          <w:p w14:paraId="45EB1BA1">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己内酰胺储罐区</w:t>
            </w:r>
          </w:p>
        </w:tc>
        <w:tc>
          <w:tcPr>
            <w:tcW w:w="1243" w:type="dxa"/>
            <w:tcBorders>
              <w:top w:val="single" w:color="auto" w:sz="4" w:space="0"/>
              <w:left w:val="single" w:color="auto" w:sz="4" w:space="0"/>
              <w:bottom w:val="single" w:color="auto" w:sz="4" w:space="0"/>
              <w:right w:val="single" w:color="auto" w:sz="4" w:space="0"/>
            </w:tcBorders>
            <w:vAlign w:val="center"/>
          </w:tcPr>
          <w:p w14:paraId="3C9DA13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己内酰胺储罐（TK-412）</w:t>
            </w:r>
          </w:p>
        </w:tc>
        <w:tc>
          <w:tcPr>
            <w:tcW w:w="1299" w:type="dxa"/>
            <w:tcBorders>
              <w:left w:val="single" w:color="auto" w:sz="4" w:space="0"/>
              <w:right w:val="single" w:color="auto" w:sz="4" w:space="0"/>
            </w:tcBorders>
            <w:vAlign w:val="center"/>
          </w:tcPr>
          <w:p w14:paraId="7B0D97ED">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己内酰胺</w:t>
            </w:r>
          </w:p>
        </w:tc>
        <w:tc>
          <w:tcPr>
            <w:tcW w:w="1616" w:type="dxa"/>
            <w:tcBorders>
              <w:top w:val="single" w:color="auto" w:sz="4" w:space="0"/>
              <w:left w:val="single" w:color="auto" w:sz="4" w:space="0"/>
              <w:bottom w:val="single" w:color="auto" w:sz="4" w:space="0"/>
              <w:right w:val="single" w:color="auto" w:sz="4" w:space="0"/>
            </w:tcBorders>
            <w:vAlign w:val="center"/>
          </w:tcPr>
          <w:p w14:paraId="726B8297">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物料泄漏</w:t>
            </w:r>
          </w:p>
        </w:tc>
        <w:tc>
          <w:tcPr>
            <w:tcW w:w="1616" w:type="dxa"/>
            <w:tcBorders>
              <w:top w:val="single" w:color="auto" w:sz="4" w:space="0"/>
              <w:left w:val="single" w:color="auto" w:sz="4" w:space="0"/>
              <w:bottom w:val="single" w:color="auto" w:sz="4" w:space="0"/>
              <w:right w:val="single" w:color="auto" w:sz="4" w:space="0"/>
            </w:tcBorders>
            <w:vAlign w:val="center"/>
          </w:tcPr>
          <w:p w14:paraId="1DF85BB5">
            <w:pPr>
              <w:jc w:val="center"/>
              <w:rPr>
                <w:rFonts w:ascii="Times New Roman" w:hAnsi="Times New Roman" w:cs="Times New Roman"/>
                <w:bCs/>
                <w:color w:val="000000" w:themeColor="text1"/>
                <w:spacing w:val="-10"/>
                <w:sz w:val="21"/>
                <w:szCs w:val="21"/>
                <w14:textFill>
                  <w14:solidFill>
                    <w14:schemeClr w14:val="tx1"/>
                  </w14:solidFill>
                </w14:textFill>
              </w:rPr>
            </w:pPr>
            <w:r>
              <w:rPr>
                <w:rFonts w:hint="eastAsia" w:ascii="Times New Roman" w:hAnsi="Times New Roman" w:cs="Times New Roman"/>
                <w:bCs/>
                <w:color w:val="000000" w:themeColor="text1"/>
                <w:spacing w:val="-10"/>
                <w:sz w:val="21"/>
                <w:szCs w:val="21"/>
                <w14:textFill>
                  <w14:solidFill>
                    <w14:schemeClr w14:val="tx1"/>
                  </w14:solidFill>
                </w14:textFill>
              </w:rPr>
              <w:t>漫流、大气扩散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6CFBF380">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周边大气、海水和土壤</w:t>
            </w:r>
          </w:p>
        </w:tc>
      </w:tr>
      <w:tr w14:paraId="7D603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restart"/>
            <w:tcBorders>
              <w:top w:val="single" w:color="auto" w:sz="4" w:space="0"/>
              <w:left w:val="single" w:color="auto" w:sz="4" w:space="0"/>
              <w:right w:val="single" w:color="auto" w:sz="4" w:space="0"/>
            </w:tcBorders>
            <w:vAlign w:val="center"/>
          </w:tcPr>
          <w:p w14:paraId="69E3046D">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汽车</w:t>
            </w:r>
            <w:r>
              <w:rPr>
                <w:rFonts w:ascii="Times New Roman" w:hAnsi="Times New Roman" w:cs="Times New Roman"/>
                <w:bCs/>
                <w:color w:val="000000" w:themeColor="text1"/>
                <w:sz w:val="21"/>
                <w:szCs w:val="21"/>
                <w14:textFill>
                  <w14:solidFill>
                    <w14:schemeClr w14:val="tx1"/>
                  </w14:solidFill>
                </w14:textFill>
              </w:rPr>
              <w:t>装卸区</w:t>
            </w:r>
          </w:p>
        </w:tc>
        <w:tc>
          <w:tcPr>
            <w:tcW w:w="1243" w:type="dxa"/>
            <w:tcBorders>
              <w:top w:val="single" w:color="auto" w:sz="4" w:space="0"/>
              <w:left w:val="single" w:color="auto" w:sz="4" w:space="0"/>
              <w:bottom w:val="single" w:color="auto" w:sz="4" w:space="0"/>
              <w:right w:val="single" w:color="auto" w:sz="4" w:space="0"/>
            </w:tcBorders>
            <w:vAlign w:val="center"/>
          </w:tcPr>
          <w:p w14:paraId="3669A35C">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液硫装卸臂</w:t>
            </w:r>
          </w:p>
          <w:p w14:paraId="1DC53676">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L-601A/B</w:t>
            </w:r>
          </w:p>
        </w:tc>
        <w:tc>
          <w:tcPr>
            <w:tcW w:w="1299" w:type="dxa"/>
            <w:tcBorders>
              <w:left w:val="single" w:color="auto" w:sz="4" w:space="0"/>
              <w:bottom w:val="single" w:color="auto" w:sz="4" w:space="0"/>
              <w:right w:val="single" w:color="auto" w:sz="4" w:space="0"/>
            </w:tcBorders>
            <w:vAlign w:val="center"/>
          </w:tcPr>
          <w:p w14:paraId="0228B4DB">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液硫</w:t>
            </w:r>
          </w:p>
        </w:tc>
        <w:tc>
          <w:tcPr>
            <w:tcW w:w="1616" w:type="dxa"/>
            <w:tcBorders>
              <w:top w:val="single" w:color="auto" w:sz="4" w:space="0"/>
              <w:left w:val="single" w:color="auto" w:sz="4" w:space="0"/>
              <w:bottom w:val="single" w:color="auto" w:sz="4" w:space="0"/>
              <w:right w:val="single" w:color="auto" w:sz="4" w:space="0"/>
            </w:tcBorders>
            <w:vAlign w:val="center"/>
          </w:tcPr>
          <w:p w14:paraId="6E92F8B2">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物料泄漏、火灾/爆炸</w:t>
            </w:r>
          </w:p>
        </w:tc>
        <w:tc>
          <w:tcPr>
            <w:tcW w:w="1616" w:type="dxa"/>
            <w:tcBorders>
              <w:top w:val="single" w:color="auto" w:sz="4" w:space="0"/>
              <w:left w:val="single" w:color="auto" w:sz="4" w:space="0"/>
              <w:bottom w:val="single" w:color="auto" w:sz="4" w:space="0"/>
              <w:right w:val="single" w:color="auto" w:sz="4" w:space="0"/>
            </w:tcBorders>
            <w:vAlign w:val="center"/>
          </w:tcPr>
          <w:p w14:paraId="4D3E8A82">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漫流、</w:t>
            </w:r>
            <w:r>
              <w:rPr>
                <w:rFonts w:ascii="Times New Roman" w:hAnsi="Times New Roman" w:cs="Times New Roman"/>
                <w:bCs/>
                <w:color w:val="000000" w:themeColor="text1"/>
                <w:sz w:val="21"/>
                <w:szCs w:val="21"/>
                <w14:textFill>
                  <w14:solidFill>
                    <w14:schemeClr w14:val="tx1"/>
                  </w14:solidFill>
                </w14:textFill>
              </w:rPr>
              <w:t>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0A3F7DED">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周边大气</w:t>
            </w:r>
          </w:p>
        </w:tc>
      </w:tr>
      <w:tr w14:paraId="46964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continue"/>
            <w:tcBorders>
              <w:left w:val="single" w:color="auto" w:sz="4" w:space="0"/>
              <w:right w:val="single" w:color="auto" w:sz="4" w:space="0"/>
            </w:tcBorders>
            <w:vAlign w:val="center"/>
          </w:tcPr>
          <w:p w14:paraId="3EDE9635">
            <w:pPr>
              <w:jc w:val="center"/>
              <w:rPr>
                <w:rFonts w:ascii="Times New Roman" w:hAnsi="Times New Roman" w:cs="Times New Roman"/>
                <w:bCs/>
                <w:color w:val="000000" w:themeColor="text1"/>
                <w:sz w:val="21"/>
                <w:szCs w:val="21"/>
                <w14:textFill>
                  <w14:solidFill>
                    <w14:schemeClr w14:val="tx1"/>
                  </w14:solidFill>
                </w14:textFill>
              </w:rPr>
            </w:pPr>
          </w:p>
        </w:tc>
        <w:tc>
          <w:tcPr>
            <w:tcW w:w="1243" w:type="dxa"/>
            <w:tcBorders>
              <w:top w:val="single" w:color="auto" w:sz="4" w:space="0"/>
              <w:left w:val="single" w:color="auto" w:sz="4" w:space="0"/>
              <w:bottom w:val="single" w:color="auto" w:sz="4" w:space="0"/>
              <w:right w:val="single" w:color="auto" w:sz="4" w:space="0"/>
            </w:tcBorders>
            <w:vAlign w:val="center"/>
          </w:tcPr>
          <w:p w14:paraId="544C78BE">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硫酸装卸臂L-602</w:t>
            </w:r>
          </w:p>
        </w:tc>
        <w:tc>
          <w:tcPr>
            <w:tcW w:w="1299" w:type="dxa"/>
            <w:tcBorders>
              <w:left w:val="single" w:color="auto" w:sz="4" w:space="0"/>
              <w:bottom w:val="single" w:color="auto" w:sz="4" w:space="0"/>
              <w:right w:val="single" w:color="auto" w:sz="4" w:space="0"/>
            </w:tcBorders>
            <w:vAlign w:val="center"/>
          </w:tcPr>
          <w:p w14:paraId="0EB4AFF3">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硫酸</w:t>
            </w:r>
          </w:p>
        </w:tc>
        <w:tc>
          <w:tcPr>
            <w:tcW w:w="1616" w:type="dxa"/>
            <w:tcBorders>
              <w:top w:val="single" w:color="auto" w:sz="4" w:space="0"/>
              <w:left w:val="single" w:color="auto" w:sz="4" w:space="0"/>
              <w:bottom w:val="single" w:color="auto" w:sz="4" w:space="0"/>
              <w:right w:val="single" w:color="auto" w:sz="4" w:space="0"/>
            </w:tcBorders>
            <w:vAlign w:val="center"/>
          </w:tcPr>
          <w:p w14:paraId="3A419F7D">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物料泄漏</w:t>
            </w:r>
          </w:p>
        </w:tc>
        <w:tc>
          <w:tcPr>
            <w:tcW w:w="1616" w:type="dxa"/>
            <w:tcBorders>
              <w:top w:val="single" w:color="auto" w:sz="4" w:space="0"/>
              <w:left w:val="single" w:color="auto" w:sz="4" w:space="0"/>
              <w:bottom w:val="single" w:color="auto" w:sz="4" w:space="0"/>
              <w:right w:val="single" w:color="auto" w:sz="4" w:space="0"/>
            </w:tcBorders>
            <w:vAlign w:val="center"/>
          </w:tcPr>
          <w:p w14:paraId="3FE6704F">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pacing w:val="-10"/>
                <w:sz w:val="21"/>
                <w:szCs w:val="21"/>
                <w14:textFill>
                  <w14:solidFill>
                    <w14:schemeClr w14:val="tx1"/>
                  </w14:solidFill>
                </w14:textFill>
              </w:rPr>
              <w:t>漫流、大气扩散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5C6EB6A0">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周边大气、海水和土壤</w:t>
            </w:r>
          </w:p>
        </w:tc>
      </w:tr>
      <w:tr w14:paraId="43FAE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continue"/>
            <w:tcBorders>
              <w:left w:val="single" w:color="auto" w:sz="4" w:space="0"/>
              <w:right w:val="single" w:color="auto" w:sz="4" w:space="0"/>
            </w:tcBorders>
            <w:vAlign w:val="center"/>
          </w:tcPr>
          <w:p w14:paraId="6A6AFA4D">
            <w:pPr>
              <w:jc w:val="center"/>
              <w:rPr>
                <w:rFonts w:ascii="Times New Roman" w:hAnsi="Times New Roman" w:cs="Times New Roman"/>
                <w:bCs/>
                <w:color w:val="000000" w:themeColor="text1"/>
                <w:sz w:val="21"/>
                <w:szCs w:val="21"/>
                <w14:textFill>
                  <w14:solidFill>
                    <w14:schemeClr w14:val="tx1"/>
                  </w14:solidFill>
                </w14:textFill>
              </w:rPr>
            </w:pPr>
          </w:p>
        </w:tc>
        <w:tc>
          <w:tcPr>
            <w:tcW w:w="1243" w:type="dxa"/>
            <w:tcBorders>
              <w:top w:val="single" w:color="auto" w:sz="4" w:space="0"/>
              <w:left w:val="single" w:color="auto" w:sz="4" w:space="0"/>
              <w:bottom w:val="single" w:color="auto" w:sz="4" w:space="0"/>
              <w:right w:val="single" w:color="auto" w:sz="4" w:space="0"/>
            </w:tcBorders>
            <w:vAlign w:val="center"/>
          </w:tcPr>
          <w:p w14:paraId="54463B43">
            <w:pPr>
              <w:suppressAutoHyphens/>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液碱装卸臂L-603</w:t>
            </w:r>
          </w:p>
        </w:tc>
        <w:tc>
          <w:tcPr>
            <w:tcW w:w="1299" w:type="dxa"/>
            <w:tcBorders>
              <w:left w:val="single" w:color="auto" w:sz="4" w:space="0"/>
              <w:bottom w:val="single" w:color="auto" w:sz="4" w:space="0"/>
              <w:right w:val="single" w:color="auto" w:sz="4" w:space="0"/>
            </w:tcBorders>
            <w:vAlign w:val="center"/>
          </w:tcPr>
          <w:p w14:paraId="6CFA6743">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液碱</w:t>
            </w:r>
          </w:p>
        </w:tc>
        <w:tc>
          <w:tcPr>
            <w:tcW w:w="1616" w:type="dxa"/>
            <w:tcBorders>
              <w:top w:val="single" w:color="auto" w:sz="4" w:space="0"/>
              <w:left w:val="single" w:color="auto" w:sz="4" w:space="0"/>
              <w:bottom w:val="single" w:color="auto" w:sz="4" w:space="0"/>
              <w:right w:val="single" w:color="auto" w:sz="4" w:space="0"/>
            </w:tcBorders>
            <w:vAlign w:val="center"/>
          </w:tcPr>
          <w:p w14:paraId="576AFDEC">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物料泄漏</w:t>
            </w:r>
          </w:p>
        </w:tc>
        <w:tc>
          <w:tcPr>
            <w:tcW w:w="1616" w:type="dxa"/>
            <w:tcBorders>
              <w:top w:val="single" w:color="auto" w:sz="4" w:space="0"/>
              <w:left w:val="single" w:color="auto" w:sz="4" w:space="0"/>
              <w:bottom w:val="single" w:color="auto" w:sz="4" w:space="0"/>
              <w:right w:val="single" w:color="auto" w:sz="4" w:space="0"/>
            </w:tcBorders>
            <w:vAlign w:val="center"/>
          </w:tcPr>
          <w:p w14:paraId="48119251">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pacing w:val="-10"/>
                <w:sz w:val="21"/>
                <w:szCs w:val="21"/>
                <w14:textFill>
                  <w14:solidFill>
                    <w14:schemeClr w14:val="tx1"/>
                  </w14:solidFill>
                </w14:textFill>
              </w:rPr>
              <w:t>漫流</w:t>
            </w:r>
          </w:p>
        </w:tc>
        <w:tc>
          <w:tcPr>
            <w:tcW w:w="1616" w:type="dxa"/>
            <w:tcBorders>
              <w:top w:val="single" w:color="auto" w:sz="4" w:space="0"/>
              <w:left w:val="single" w:color="auto" w:sz="4" w:space="0"/>
              <w:bottom w:val="single" w:color="auto" w:sz="4" w:space="0"/>
              <w:right w:val="single" w:color="auto" w:sz="4" w:space="0"/>
            </w:tcBorders>
            <w:vAlign w:val="center"/>
          </w:tcPr>
          <w:p w14:paraId="71FDDF34">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周边海水和土壤</w:t>
            </w:r>
          </w:p>
        </w:tc>
      </w:tr>
      <w:tr w14:paraId="640A9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continue"/>
            <w:tcBorders>
              <w:left w:val="single" w:color="auto" w:sz="4" w:space="0"/>
              <w:bottom w:val="single" w:color="auto" w:sz="4" w:space="0"/>
              <w:right w:val="single" w:color="auto" w:sz="4" w:space="0"/>
            </w:tcBorders>
            <w:vAlign w:val="center"/>
          </w:tcPr>
          <w:p w14:paraId="4F325775">
            <w:pPr>
              <w:jc w:val="center"/>
              <w:rPr>
                <w:rFonts w:ascii="Times New Roman" w:hAnsi="Times New Roman" w:cs="Times New Roman"/>
                <w:bCs/>
                <w:color w:val="000000" w:themeColor="text1"/>
                <w:sz w:val="21"/>
                <w:szCs w:val="21"/>
                <w14:textFill>
                  <w14:solidFill>
                    <w14:schemeClr w14:val="tx1"/>
                  </w14:solidFill>
                </w14:textFill>
              </w:rPr>
            </w:pPr>
          </w:p>
        </w:tc>
        <w:tc>
          <w:tcPr>
            <w:tcW w:w="1243" w:type="dxa"/>
            <w:tcBorders>
              <w:top w:val="single" w:color="auto" w:sz="4" w:space="0"/>
              <w:left w:val="single" w:color="auto" w:sz="4" w:space="0"/>
              <w:bottom w:val="single" w:color="auto" w:sz="4" w:space="0"/>
              <w:right w:val="single" w:color="auto" w:sz="4" w:space="0"/>
            </w:tcBorders>
            <w:vAlign w:val="center"/>
          </w:tcPr>
          <w:p w14:paraId="2FAF7B28">
            <w:pPr>
              <w:suppressAutoHyphens/>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己内酰胺卸车泵P-409A/B</w:t>
            </w:r>
          </w:p>
        </w:tc>
        <w:tc>
          <w:tcPr>
            <w:tcW w:w="1299" w:type="dxa"/>
            <w:tcBorders>
              <w:left w:val="single" w:color="auto" w:sz="4" w:space="0"/>
              <w:bottom w:val="single" w:color="auto" w:sz="4" w:space="0"/>
              <w:right w:val="single" w:color="auto" w:sz="4" w:space="0"/>
            </w:tcBorders>
            <w:vAlign w:val="center"/>
          </w:tcPr>
          <w:p w14:paraId="6E2B1E73">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苯酚</w:t>
            </w:r>
          </w:p>
        </w:tc>
        <w:tc>
          <w:tcPr>
            <w:tcW w:w="1616" w:type="dxa"/>
            <w:tcBorders>
              <w:top w:val="single" w:color="auto" w:sz="4" w:space="0"/>
              <w:left w:val="single" w:color="auto" w:sz="4" w:space="0"/>
              <w:bottom w:val="single" w:color="auto" w:sz="4" w:space="0"/>
              <w:right w:val="single" w:color="auto" w:sz="4" w:space="0"/>
            </w:tcBorders>
            <w:vAlign w:val="center"/>
          </w:tcPr>
          <w:p w14:paraId="34E8B79E">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物料泄漏</w:t>
            </w:r>
          </w:p>
        </w:tc>
        <w:tc>
          <w:tcPr>
            <w:tcW w:w="1616" w:type="dxa"/>
            <w:tcBorders>
              <w:top w:val="single" w:color="auto" w:sz="4" w:space="0"/>
              <w:left w:val="single" w:color="auto" w:sz="4" w:space="0"/>
              <w:bottom w:val="single" w:color="auto" w:sz="4" w:space="0"/>
              <w:right w:val="single" w:color="auto" w:sz="4" w:space="0"/>
            </w:tcBorders>
            <w:vAlign w:val="center"/>
          </w:tcPr>
          <w:p w14:paraId="20CB5E5E">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pacing w:val="-10"/>
                <w:sz w:val="21"/>
                <w:szCs w:val="21"/>
                <w14:textFill>
                  <w14:solidFill>
                    <w14:schemeClr w14:val="tx1"/>
                  </w14:solidFill>
                </w14:textFill>
              </w:rPr>
              <w:t>漫流、大气扩散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56B33ECB">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周边大气、海水和土壤</w:t>
            </w:r>
          </w:p>
        </w:tc>
      </w:tr>
      <w:tr w14:paraId="211CC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restart"/>
            <w:tcBorders>
              <w:top w:val="single" w:color="auto" w:sz="4" w:space="0"/>
              <w:left w:val="single" w:color="auto" w:sz="4" w:space="0"/>
              <w:right w:val="single" w:color="auto" w:sz="4" w:space="0"/>
            </w:tcBorders>
            <w:vAlign w:val="center"/>
          </w:tcPr>
          <w:p w14:paraId="2FB2A70A">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环保设施</w:t>
            </w:r>
          </w:p>
        </w:tc>
        <w:tc>
          <w:tcPr>
            <w:tcW w:w="1243" w:type="dxa"/>
            <w:tcBorders>
              <w:top w:val="single" w:color="auto" w:sz="4" w:space="0"/>
              <w:left w:val="single" w:color="auto" w:sz="4" w:space="0"/>
              <w:bottom w:val="single" w:color="auto" w:sz="4" w:space="0"/>
              <w:right w:val="single" w:color="auto" w:sz="4" w:space="0"/>
            </w:tcBorders>
            <w:vAlign w:val="center"/>
          </w:tcPr>
          <w:p w14:paraId="2715FB07">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升华硫回收器</w:t>
            </w:r>
          </w:p>
        </w:tc>
        <w:tc>
          <w:tcPr>
            <w:tcW w:w="1299" w:type="dxa"/>
            <w:tcBorders>
              <w:top w:val="single" w:color="auto" w:sz="4" w:space="0"/>
              <w:left w:val="single" w:color="auto" w:sz="4" w:space="0"/>
              <w:bottom w:val="single" w:color="auto" w:sz="4" w:space="0"/>
              <w:right w:val="single" w:color="auto" w:sz="4" w:space="0"/>
            </w:tcBorders>
            <w:vAlign w:val="center"/>
          </w:tcPr>
          <w:p w14:paraId="7E2E5BEB">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液硫</w:t>
            </w:r>
          </w:p>
        </w:tc>
        <w:tc>
          <w:tcPr>
            <w:tcW w:w="1616" w:type="dxa"/>
            <w:tcBorders>
              <w:top w:val="single" w:color="auto" w:sz="4" w:space="0"/>
              <w:left w:val="single" w:color="auto" w:sz="4" w:space="0"/>
              <w:bottom w:val="single" w:color="auto" w:sz="4" w:space="0"/>
              <w:right w:val="single" w:color="auto" w:sz="4" w:space="0"/>
            </w:tcBorders>
            <w:vAlign w:val="center"/>
          </w:tcPr>
          <w:p w14:paraId="775260D8">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储罐呼吸</w:t>
            </w:r>
            <w:r>
              <w:rPr>
                <w:rFonts w:ascii="Times New Roman" w:hAnsi="Times New Roman" w:cs="Times New Roman"/>
                <w:bCs/>
                <w:color w:val="000000" w:themeColor="text1"/>
                <w:sz w:val="21"/>
                <w:szCs w:val="21"/>
                <w14:textFill>
                  <w14:solidFill>
                    <w14:schemeClr w14:val="tx1"/>
                  </w14:solidFill>
                </w14:textFill>
              </w:rPr>
              <w:t>废气非正常排放</w:t>
            </w:r>
          </w:p>
        </w:tc>
        <w:tc>
          <w:tcPr>
            <w:tcW w:w="1616" w:type="dxa"/>
            <w:tcBorders>
              <w:top w:val="single" w:color="auto" w:sz="4" w:space="0"/>
              <w:left w:val="single" w:color="auto" w:sz="4" w:space="0"/>
              <w:bottom w:val="single" w:color="auto" w:sz="4" w:space="0"/>
              <w:right w:val="single" w:color="auto" w:sz="4" w:space="0"/>
            </w:tcBorders>
            <w:vAlign w:val="center"/>
          </w:tcPr>
          <w:p w14:paraId="236162BC">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1B0CEE0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周边大气</w:t>
            </w:r>
          </w:p>
        </w:tc>
      </w:tr>
      <w:tr w14:paraId="0D2D6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continue"/>
            <w:tcBorders>
              <w:left w:val="single" w:color="auto" w:sz="4" w:space="0"/>
              <w:right w:val="single" w:color="auto" w:sz="4" w:space="0"/>
            </w:tcBorders>
            <w:vAlign w:val="center"/>
          </w:tcPr>
          <w:p w14:paraId="12AA6D8A">
            <w:pPr>
              <w:jc w:val="center"/>
              <w:rPr>
                <w:rFonts w:ascii="Times New Roman" w:hAnsi="Times New Roman" w:cs="Times New Roman"/>
                <w:bCs/>
                <w:color w:val="000000" w:themeColor="text1"/>
                <w:sz w:val="21"/>
                <w:szCs w:val="21"/>
                <w14:textFill>
                  <w14:solidFill>
                    <w14:schemeClr w14:val="tx1"/>
                  </w14:solidFill>
                </w14:textFill>
              </w:rPr>
            </w:pPr>
          </w:p>
        </w:tc>
        <w:tc>
          <w:tcPr>
            <w:tcW w:w="1243" w:type="dxa"/>
            <w:tcBorders>
              <w:top w:val="single" w:color="auto" w:sz="4" w:space="0"/>
              <w:left w:val="single" w:color="auto" w:sz="4" w:space="0"/>
              <w:bottom w:val="single" w:color="auto" w:sz="4" w:space="0"/>
              <w:right w:val="single" w:color="auto" w:sz="4" w:space="0"/>
            </w:tcBorders>
            <w:vAlign w:val="center"/>
          </w:tcPr>
          <w:p w14:paraId="6B575F5A">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二级三氧化硫吸收塔（C-401、C-402）</w:t>
            </w:r>
          </w:p>
        </w:tc>
        <w:tc>
          <w:tcPr>
            <w:tcW w:w="1299" w:type="dxa"/>
            <w:tcBorders>
              <w:top w:val="single" w:color="auto" w:sz="4" w:space="0"/>
              <w:left w:val="single" w:color="auto" w:sz="4" w:space="0"/>
              <w:bottom w:val="single" w:color="auto" w:sz="4" w:space="0"/>
              <w:right w:val="single" w:color="auto" w:sz="4" w:space="0"/>
            </w:tcBorders>
            <w:vAlign w:val="center"/>
          </w:tcPr>
          <w:p w14:paraId="692FCF05">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硫酸</w:t>
            </w:r>
          </w:p>
        </w:tc>
        <w:tc>
          <w:tcPr>
            <w:tcW w:w="1616" w:type="dxa"/>
            <w:tcBorders>
              <w:top w:val="single" w:color="auto" w:sz="4" w:space="0"/>
              <w:left w:val="single" w:color="auto" w:sz="4" w:space="0"/>
              <w:bottom w:val="single" w:color="auto" w:sz="4" w:space="0"/>
              <w:right w:val="single" w:color="auto" w:sz="4" w:space="0"/>
            </w:tcBorders>
            <w:vAlign w:val="center"/>
          </w:tcPr>
          <w:p w14:paraId="0A115381">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储罐呼吸</w:t>
            </w:r>
            <w:r>
              <w:rPr>
                <w:rFonts w:ascii="Times New Roman" w:hAnsi="Times New Roman" w:cs="Times New Roman"/>
                <w:bCs/>
                <w:color w:val="000000" w:themeColor="text1"/>
                <w:sz w:val="21"/>
                <w:szCs w:val="21"/>
                <w14:textFill>
                  <w14:solidFill>
                    <w14:schemeClr w14:val="tx1"/>
                  </w14:solidFill>
                </w14:textFill>
              </w:rPr>
              <w:t>废气非正常排放</w:t>
            </w:r>
          </w:p>
        </w:tc>
        <w:tc>
          <w:tcPr>
            <w:tcW w:w="1616" w:type="dxa"/>
            <w:tcBorders>
              <w:top w:val="single" w:color="auto" w:sz="4" w:space="0"/>
              <w:left w:val="single" w:color="auto" w:sz="4" w:space="0"/>
              <w:bottom w:val="single" w:color="auto" w:sz="4" w:space="0"/>
              <w:right w:val="single" w:color="auto" w:sz="4" w:space="0"/>
            </w:tcBorders>
            <w:vAlign w:val="center"/>
          </w:tcPr>
          <w:p w14:paraId="068432CF">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664021F0">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周边大气</w:t>
            </w:r>
          </w:p>
        </w:tc>
      </w:tr>
      <w:tr w14:paraId="0B5FC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continue"/>
            <w:tcBorders>
              <w:left w:val="single" w:color="auto" w:sz="4" w:space="0"/>
              <w:right w:val="single" w:color="auto" w:sz="4" w:space="0"/>
            </w:tcBorders>
            <w:vAlign w:val="center"/>
          </w:tcPr>
          <w:p w14:paraId="1320EAC6">
            <w:pPr>
              <w:jc w:val="center"/>
              <w:rPr>
                <w:rFonts w:ascii="Times New Roman" w:hAnsi="Times New Roman" w:cs="Times New Roman"/>
                <w:bCs/>
                <w:color w:val="000000" w:themeColor="text1"/>
                <w:sz w:val="21"/>
                <w:szCs w:val="21"/>
                <w14:textFill>
                  <w14:solidFill>
                    <w14:schemeClr w14:val="tx1"/>
                  </w14:solidFill>
                </w14:textFill>
              </w:rPr>
            </w:pPr>
          </w:p>
        </w:tc>
        <w:tc>
          <w:tcPr>
            <w:tcW w:w="1243" w:type="dxa"/>
            <w:tcBorders>
              <w:top w:val="single" w:color="auto" w:sz="4" w:space="0"/>
              <w:left w:val="single" w:color="auto" w:sz="4" w:space="0"/>
              <w:bottom w:val="single" w:color="auto" w:sz="4" w:space="0"/>
              <w:right w:val="single" w:color="auto" w:sz="4" w:space="0"/>
            </w:tcBorders>
            <w:vAlign w:val="center"/>
          </w:tcPr>
          <w:p w14:paraId="7A8E4270">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油气回收装置+活性炭吸附装置</w:t>
            </w:r>
          </w:p>
        </w:tc>
        <w:tc>
          <w:tcPr>
            <w:tcW w:w="1299" w:type="dxa"/>
            <w:tcBorders>
              <w:top w:val="single" w:color="auto" w:sz="4" w:space="0"/>
              <w:left w:val="single" w:color="auto" w:sz="4" w:space="0"/>
              <w:bottom w:val="single" w:color="auto" w:sz="4" w:space="0"/>
              <w:right w:val="single" w:color="auto" w:sz="4" w:space="0"/>
            </w:tcBorders>
            <w:vAlign w:val="center"/>
          </w:tcPr>
          <w:p w14:paraId="79B50508">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苯酚</w:t>
            </w:r>
          </w:p>
        </w:tc>
        <w:tc>
          <w:tcPr>
            <w:tcW w:w="1616" w:type="dxa"/>
            <w:tcBorders>
              <w:top w:val="single" w:color="auto" w:sz="4" w:space="0"/>
              <w:left w:val="single" w:color="auto" w:sz="4" w:space="0"/>
              <w:bottom w:val="single" w:color="auto" w:sz="4" w:space="0"/>
              <w:right w:val="single" w:color="auto" w:sz="4" w:space="0"/>
            </w:tcBorders>
            <w:vAlign w:val="center"/>
          </w:tcPr>
          <w:p w14:paraId="4CB50285">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储罐呼吸</w:t>
            </w:r>
            <w:r>
              <w:rPr>
                <w:rFonts w:ascii="Times New Roman" w:hAnsi="Times New Roman" w:cs="Times New Roman"/>
                <w:bCs/>
                <w:color w:val="000000" w:themeColor="text1"/>
                <w:sz w:val="21"/>
                <w:szCs w:val="21"/>
                <w14:textFill>
                  <w14:solidFill>
                    <w14:schemeClr w14:val="tx1"/>
                  </w14:solidFill>
                </w14:textFill>
              </w:rPr>
              <w:t>废气非正常排放</w:t>
            </w:r>
          </w:p>
        </w:tc>
        <w:tc>
          <w:tcPr>
            <w:tcW w:w="1616" w:type="dxa"/>
            <w:tcBorders>
              <w:top w:val="single" w:color="auto" w:sz="4" w:space="0"/>
              <w:left w:val="single" w:color="auto" w:sz="4" w:space="0"/>
              <w:bottom w:val="single" w:color="auto" w:sz="4" w:space="0"/>
              <w:right w:val="single" w:color="auto" w:sz="4" w:space="0"/>
            </w:tcBorders>
            <w:vAlign w:val="center"/>
          </w:tcPr>
          <w:p w14:paraId="051DFC2F">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0FF2A5EE">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周边大气</w:t>
            </w:r>
          </w:p>
        </w:tc>
      </w:tr>
      <w:tr w14:paraId="6BE43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81" w:type="dxa"/>
            <w:vMerge w:val="continue"/>
            <w:tcBorders>
              <w:left w:val="single" w:color="auto" w:sz="4" w:space="0"/>
              <w:bottom w:val="single" w:color="auto" w:sz="4" w:space="0"/>
              <w:right w:val="single" w:color="auto" w:sz="4" w:space="0"/>
            </w:tcBorders>
            <w:vAlign w:val="center"/>
          </w:tcPr>
          <w:p w14:paraId="63C84811">
            <w:pPr>
              <w:jc w:val="center"/>
              <w:rPr>
                <w:rFonts w:ascii="Times New Roman" w:hAnsi="Times New Roman" w:cs="Times New Roman"/>
                <w:bCs/>
                <w:color w:val="000000" w:themeColor="text1"/>
                <w:sz w:val="21"/>
                <w:szCs w:val="21"/>
                <w14:textFill>
                  <w14:solidFill>
                    <w14:schemeClr w14:val="tx1"/>
                  </w14:solidFill>
                </w14:textFill>
              </w:rPr>
            </w:pPr>
          </w:p>
        </w:tc>
        <w:tc>
          <w:tcPr>
            <w:tcW w:w="1243" w:type="dxa"/>
            <w:tcBorders>
              <w:top w:val="single" w:color="auto" w:sz="4" w:space="0"/>
              <w:left w:val="single" w:color="auto" w:sz="4" w:space="0"/>
              <w:bottom w:val="single" w:color="auto" w:sz="4" w:space="0"/>
              <w:right w:val="single" w:color="auto" w:sz="4" w:space="0"/>
            </w:tcBorders>
            <w:vAlign w:val="center"/>
          </w:tcPr>
          <w:p w14:paraId="384C9857">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水洗塔+活性炭吸附</w:t>
            </w:r>
          </w:p>
        </w:tc>
        <w:tc>
          <w:tcPr>
            <w:tcW w:w="1299" w:type="dxa"/>
            <w:tcBorders>
              <w:top w:val="single" w:color="auto" w:sz="4" w:space="0"/>
              <w:left w:val="single" w:color="auto" w:sz="4" w:space="0"/>
              <w:bottom w:val="single" w:color="auto" w:sz="4" w:space="0"/>
              <w:right w:val="single" w:color="auto" w:sz="4" w:space="0"/>
            </w:tcBorders>
            <w:vAlign w:val="center"/>
          </w:tcPr>
          <w:p w14:paraId="011B79E0">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己内酰胺</w:t>
            </w:r>
          </w:p>
        </w:tc>
        <w:tc>
          <w:tcPr>
            <w:tcW w:w="1616" w:type="dxa"/>
            <w:tcBorders>
              <w:top w:val="single" w:color="auto" w:sz="4" w:space="0"/>
              <w:left w:val="single" w:color="auto" w:sz="4" w:space="0"/>
              <w:bottom w:val="single" w:color="auto" w:sz="4" w:space="0"/>
              <w:right w:val="single" w:color="auto" w:sz="4" w:space="0"/>
            </w:tcBorders>
            <w:vAlign w:val="center"/>
          </w:tcPr>
          <w:p w14:paraId="6AF94F63">
            <w:pPr>
              <w:jc w:val="center"/>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储罐呼吸</w:t>
            </w:r>
            <w:r>
              <w:rPr>
                <w:rFonts w:ascii="Times New Roman" w:hAnsi="Times New Roman" w:cs="Times New Roman"/>
                <w:bCs/>
                <w:color w:val="000000" w:themeColor="text1"/>
                <w:sz w:val="21"/>
                <w:szCs w:val="21"/>
                <w14:textFill>
                  <w14:solidFill>
                    <w14:schemeClr w14:val="tx1"/>
                  </w14:solidFill>
                </w14:textFill>
              </w:rPr>
              <w:t>废气非正常排放</w:t>
            </w:r>
          </w:p>
        </w:tc>
        <w:tc>
          <w:tcPr>
            <w:tcW w:w="1616" w:type="dxa"/>
            <w:tcBorders>
              <w:top w:val="single" w:color="auto" w:sz="4" w:space="0"/>
              <w:left w:val="single" w:color="auto" w:sz="4" w:space="0"/>
              <w:bottom w:val="single" w:color="auto" w:sz="4" w:space="0"/>
              <w:right w:val="single" w:color="auto" w:sz="4" w:space="0"/>
            </w:tcBorders>
            <w:vAlign w:val="center"/>
          </w:tcPr>
          <w:p w14:paraId="068AFAB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大气扩散</w:t>
            </w:r>
          </w:p>
        </w:tc>
        <w:tc>
          <w:tcPr>
            <w:tcW w:w="1616" w:type="dxa"/>
            <w:tcBorders>
              <w:top w:val="single" w:color="auto" w:sz="4" w:space="0"/>
              <w:left w:val="single" w:color="auto" w:sz="4" w:space="0"/>
              <w:bottom w:val="single" w:color="auto" w:sz="4" w:space="0"/>
              <w:right w:val="single" w:color="auto" w:sz="4" w:space="0"/>
            </w:tcBorders>
            <w:vAlign w:val="center"/>
          </w:tcPr>
          <w:p w14:paraId="7F21FC8A">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周边大气</w:t>
            </w:r>
          </w:p>
        </w:tc>
      </w:tr>
    </w:tbl>
    <w:p w14:paraId="5335562F">
      <w:pPr>
        <w:jc w:val="center"/>
        <w:rPr>
          <w:rFonts w:ascii="Times New Roman" w:hAnsi="Times New Roman" w:cs="Times New Roman"/>
          <w:color w:val="000000" w:themeColor="text1"/>
          <w14:textFill>
            <w14:solidFill>
              <w14:schemeClr w14:val="tx1"/>
            </w14:solidFill>
          </w14:textFill>
        </w:rPr>
      </w:pPr>
    </w:p>
    <w:p w14:paraId="00566DD8">
      <w:pPr>
        <w:jc w:val="center"/>
        <w:rPr>
          <w:rFonts w:ascii="Times New Roman" w:hAnsi="Times New Roman" w:cs="Times New Roman"/>
          <w:color w:val="000000" w:themeColor="text1"/>
          <w14:textFill>
            <w14:solidFill>
              <w14:schemeClr w14:val="tx1"/>
            </w14:solidFill>
          </w14:textFill>
        </w:rPr>
      </w:pPr>
    </w:p>
    <w:p w14:paraId="1652512F">
      <w:pPr>
        <w:jc w:val="center"/>
        <w:rPr>
          <w:rFonts w:ascii="Times New Roman" w:hAnsi="Times New Roman" w:cs="Times New Roman"/>
          <w:color w:val="000000" w:themeColor="text1"/>
          <w14:textFill>
            <w14:solidFill>
              <w14:schemeClr w14:val="tx1"/>
            </w14:solidFill>
          </w14:textFill>
        </w:rPr>
      </w:pPr>
    </w:p>
    <w:p w14:paraId="0FE430FF">
      <w:pPr>
        <w:jc w:val="center"/>
        <w:rPr>
          <w:rFonts w:ascii="Times New Roman" w:hAnsi="Times New Roman" w:cs="Times New Roman"/>
          <w:color w:val="000000" w:themeColor="text1"/>
          <w14:textFill>
            <w14:solidFill>
              <w14:schemeClr w14:val="tx1"/>
            </w14:solidFill>
          </w14:textFill>
        </w:rPr>
      </w:pPr>
    </w:p>
    <w:p w14:paraId="5AA6D986">
      <w:pPr>
        <w:jc w:val="center"/>
        <w:rPr>
          <w:rFonts w:ascii="Times New Roman" w:hAnsi="Times New Roman" w:cs="Times New Roman"/>
          <w:color w:val="000000" w:themeColor="text1"/>
          <w14:textFill>
            <w14:solidFill>
              <w14:schemeClr w14:val="tx1"/>
            </w14:solidFill>
          </w14:textFill>
        </w:rPr>
      </w:pPr>
    </w:p>
    <w:p w14:paraId="5758430F">
      <w:pPr>
        <w:rPr>
          <w:rFonts w:ascii="Times New Roman" w:hAnsi="Times New Roman" w:cs="Times New Roman"/>
          <w:color w:val="FF0000"/>
          <w:szCs w:val="20"/>
          <w:lang w:bidi="ar"/>
        </w:rPr>
      </w:pPr>
    </w:p>
    <w:p w14:paraId="1436F5DF">
      <w:pPr>
        <w:rPr>
          <w:rFonts w:ascii="Times New Roman" w:hAnsi="Times New Roman" w:cs="Times New Roman"/>
          <w:color w:val="FF0000"/>
          <w:szCs w:val="20"/>
          <w:lang w:bidi="ar"/>
        </w:rPr>
        <w:sectPr>
          <w:pgSz w:w="11915" w:h="16840"/>
          <w:pgMar w:top="1440" w:right="1800" w:bottom="1440" w:left="1800" w:header="851" w:footer="709" w:gutter="0"/>
          <w:cols w:space="720" w:num="1"/>
          <w:titlePg/>
          <w:docGrid w:linePitch="326" w:charSpace="-4300"/>
        </w:sectPr>
      </w:pPr>
    </w:p>
    <w:p w14:paraId="2B9ACB54">
      <w:pPr>
        <w:jc w:val="center"/>
        <w:rPr>
          <w:rFonts w:ascii="Times New Roman" w:hAnsi="Times New Roman" w:cs="Times New Roman"/>
          <w:color w:val="FF0000"/>
          <w:szCs w:val="20"/>
          <w:lang w:bidi="ar"/>
        </w:rPr>
      </w:pPr>
    </w:p>
    <w:p w14:paraId="2ADE52F4">
      <w:pPr>
        <w:jc w:val="center"/>
        <w:rPr>
          <w:rFonts w:ascii="Times New Roman" w:hAnsi="Times New Roman" w:cs="Times New Roman"/>
          <w:color w:val="FF0000"/>
          <w:szCs w:val="20"/>
          <w:lang w:bidi="ar"/>
        </w:rPr>
      </w:pPr>
      <w:r>
        <mc:AlternateContent>
          <mc:Choice Requires="wps">
            <w:drawing>
              <wp:anchor distT="0" distB="0" distL="114300" distR="114300" simplePos="0" relativeHeight="251776000" behindDoc="0" locked="0" layoutInCell="1" allowOverlap="1">
                <wp:simplePos x="0" y="0"/>
                <wp:positionH relativeFrom="column">
                  <wp:posOffset>1017270</wp:posOffset>
                </wp:positionH>
                <wp:positionV relativeFrom="paragraph">
                  <wp:posOffset>431165</wp:posOffset>
                </wp:positionV>
                <wp:extent cx="7072630" cy="5022850"/>
                <wp:effectExtent l="12700" t="12700" r="20320" b="12700"/>
                <wp:wrapNone/>
                <wp:docPr id="8" name="任意多边形 8"/>
                <wp:cNvGraphicFramePr/>
                <a:graphic xmlns:a="http://schemas.openxmlformats.org/drawingml/2006/main">
                  <a:graphicData uri="http://schemas.microsoft.com/office/word/2010/wordprocessingShape">
                    <wps:wsp>
                      <wps:cNvSpPr/>
                      <wps:spPr>
                        <a:xfrm>
                          <a:off x="1474470" y="1062990"/>
                          <a:ext cx="7072630" cy="5022850"/>
                        </a:xfrm>
                        <a:custGeom>
                          <a:avLst/>
                          <a:gdLst>
                            <a:gd name="connisteX0" fmla="*/ 0 w 7072630"/>
                            <a:gd name="connsiteY0" fmla="*/ 4378325 h 5022850"/>
                            <a:gd name="connisteX1" fmla="*/ 6611620 w 7072630"/>
                            <a:gd name="connsiteY1" fmla="*/ 5022850 h 5022850"/>
                            <a:gd name="connisteX2" fmla="*/ 7072630 w 7072630"/>
                            <a:gd name="connsiteY2" fmla="*/ 647700 h 5022850"/>
                            <a:gd name="connisteX3" fmla="*/ 424180 w 7072630"/>
                            <a:gd name="connsiteY3" fmla="*/ 0 h 5022850"/>
                            <a:gd name="connisteX4" fmla="*/ 0 w 7072630"/>
                            <a:gd name="connsiteY4" fmla="*/ 4378325 h 50228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072630" h="5022850">
                              <a:moveTo>
                                <a:pt x="0" y="4378325"/>
                              </a:moveTo>
                              <a:lnTo>
                                <a:pt x="6611620" y="5022850"/>
                              </a:lnTo>
                              <a:lnTo>
                                <a:pt x="7072630" y="647700"/>
                              </a:lnTo>
                              <a:lnTo>
                                <a:pt x="424180" y="0"/>
                              </a:lnTo>
                              <a:lnTo>
                                <a:pt x="0" y="4378325"/>
                              </a:lnTo>
                              <a:close/>
                            </a:path>
                          </a:pathLst>
                        </a:custGeom>
                        <a:noFill/>
                        <a:ln w="254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vertOverflow="overflow" horzOverflow="overflow" vert="horz" wrap="square" lIns="91440" tIns="45720" rIns="91440" bIns="45720" numCol="1" spcCol="0" rtlCol="0" fromWordArt="0" anchor="ctr" anchorCtr="0" compatLnSpc="1">
                        <a:noAutofit/>
                      </wps:bodyPr>
                    </wps:wsp>
                  </a:graphicData>
                </a:graphic>
              </wp:anchor>
            </w:drawing>
          </mc:Choice>
          <mc:Fallback>
            <w:pict>
              <v:shape id="_x0000_s1026" o:spid="_x0000_s1026" o:spt="100" style="position:absolute;left:0pt;margin-left:80.1pt;margin-top:33.95pt;height:395.5pt;width:556.9pt;z-index:251776000;v-text-anchor:middle;mso-width-relative:page;mso-height-relative:page;" filled="f" stroked="t" coordsize="7072630,5022850" o:gfxdata="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" path="m0,4378325l6611620,5022850,7072630,647700,424180,0,0,4378325xe">
                <v:path o:connectlocs="0,4378325;6611620,5022850;7072630,647700;424180,0;0,4378325" o:connectangles="0,0,0,0,0"/>
                <v:fill on="f" focussize="0,0"/>
                <v:stroke weight="2pt" color="#FF0000 [2404]" joinstyle="round"/>
                <v:imagedata o:title=""/>
                <o:lock v:ext="edit" aspectratio="f"/>
              </v:shape>
            </w:pict>
          </mc:Fallback>
        </mc:AlternateContent>
      </w:r>
      <w:r>
        <w:drawing>
          <wp:anchor distT="0" distB="0" distL="114300" distR="114300" simplePos="0" relativeHeight="251737088" behindDoc="0" locked="0" layoutInCell="1" allowOverlap="1">
            <wp:simplePos x="0" y="0"/>
            <wp:positionH relativeFrom="column">
              <wp:posOffset>8411210</wp:posOffset>
            </wp:positionH>
            <wp:positionV relativeFrom="paragraph">
              <wp:posOffset>45720</wp:posOffset>
            </wp:positionV>
            <wp:extent cx="1353820" cy="902970"/>
            <wp:effectExtent l="9525" t="9525" r="27305" b="20955"/>
            <wp:wrapNone/>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60"/>
                    <a:stretch>
                      <a:fillRect/>
                    </a:stretch>
                  </pic:blipFill>
                  <pic:spPr>
                    <a:xfrm>
                      <a:off x="0" y="0"/>
                      <a:ext cx="1353820" cy="902970"/>
                    </a:xfrm>
                    <a:prstGeom prst="rect">
                      <a:avLst/>
                    </a:prstGeom>
                    <a:noFill/>
                    <a:ln>
                      <a:solidFill>
                        <a:schemeClr val="tx1"/>
                      </a:solidFill>
                    </a:ln>
                  </pic:spPr>
                </pic:pic>
              </a:graphicData>
            </a:graphic>
          </wp:anchor>
        </w:drawing>
      </w:r>
      <w:r>
        <w:rPr>
          <w:rFonts w:hint="eastAsia" w:ascii="Times New Roman" w:hAnsi="Times New Roman" w:cs="Times New Roman"/>
          <w:color w:val="FF0000"/>
          <w:szCs w:val="20"/>
        </w:rPr>
        <w:drawing>
          <wp:inline distT="0" distB="0" distL="114300" distR="114300">
            <wp:extent cx="9787255" cy="5760085"/>
            <wp:effectExtent l="9525" t="9525" r="13970" b="21590"/>
            <wp:docPr id="155" name="图片 155" descr="罐区区域总图1215-危险单元分布图2026.3.15-模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罐区区域总图1215-危险单元分布图2026.3.15-模型_01"/>
                    <pic:cNvPicPr>
                      <a:picLocks noChangeAspect="1"/>
                    </pic:cNvPicPr>
                  </pic:nvPicPr>
                  <pic:blipFill>
                    <a:blip r:embed="rId61"/>
                    <a:srcRect t="8454" b="8264"/>
                    <a:stretch>
                      <a:fillRect/>
                    </a:stretch>
                  </pic:blipFill>
                  <pic:spPr>
                    <a:xfrm>
                      <a:off x="0" y="0"/>
                      <a:ext cx="9787255" cy="5760085"/>
                    </a:xfrm>
                    <a:prstGeom prst="rect">
                      <a:avLst/>
                    </a:prstGeom>
                    <a:ln>
                      <a:solidFill>
                        <a:schemeClr val="tx1"/>
                      </a:solidFill>
                    </a:ln>
                  </pic:spPr>
                </pic:pic>
              </a:graphicData>
            </a:graphic>
          </wp:inline>
        </w:drawing>
      </w:r>
    </w:p>
    <w:p w14:paraId="6007D9C4">
      <w:pPr>
        <w:jc w:val="center"/>
        <w:rPr>
          <w:rFonts w:ascii="Times New Roman" w:hAnsi="Times New Roman" w:cs="Times New Roman"/>
          <w:color w:val="FF0000"/>
          <w:szCs w:val="20"/>
          <w:lang w:bidi="ar"/>
        </w:rPr>
      </w:pPr>
    </w:p>
    <w:p w14:paraId="785B0894">
      <w:pPr>
        <w:jc w:val="center"/>
        <w:rPr>
          <w:rFonts w:ascii="Times New Roman" w:hAnsi="Times New Roman" w:cs="Times New Roman"/>
          <w:b/>
          <w:bCs/>
          <w:color w:val="000000" w:themeColor="text1"/>
          <w:szCs w:val="20"/>
          <w:lang w:bidi="ar"/>
          <w14:textFill>
            <w14:solidFill>
              <w14:schemeClr w14:val="tx1"/>
            </w14:solidFill>
          </w14:textFill>
        </w:rPr>
      </w:pPr>
      <w:r>
        <w:rPr>
          <w:rFonts w:ascii="Times New Roman" w:hAnsi="Times New Roman" w:cs="Times New Roman"/>
          <w:b/>
          <w:bCs/>
          <w:color w:val="000000" w:themeColor="text1"/>
          <w:szCs w:val="20"/>
          <w:lang w:bidi="ar"/>
          <w14:textFill>
            <w14:solidFill>
              <w14:schemeClr w14:val="tx1"/>
            </w14:solidFill>
          </w14:textFill>
        </w:rPr>
        <w:t>图7-1 危险单元分布图</w:t>
      </w:r>
    </w:p>
    <w:p w14:paraId="095EA83C">
      <w:pPr>
        <w:jc w:val="center"/>
        <w:rPr>
          <w:rFonts w:ascii="Times New Roman" w:hAnsi="Times New Roman" w:cs="Times New Roman"/>
          <w:color w:val="FF0000"/>
          <w:szCs w:val="20"/>
          <w:lang w:bidi="ar"/>
        </w:rPr>
        <w:sectPr>
          <w:pgSz w:w="16840" w:h="11915" w:orient="landscape"/>
          <w:pgMar w:top="720" w:right="720" w:bottom="720" w:left="720" w:header="851" w:footer="709" w:gutter="0"/>
          <w:cols w:space="720" w:num="1"/>
          <w:titlePg/>
          <w:docGrid w:linePitch="326" w:charSpace="-4300"/>
        </w:sectPr>
      </w:pPr>
    </w:p>
    <w:p w14:paraId="6C2F357F">
      <w:pPr>
        <w:pStyle w:val="3"/>
        <w:keepNext w:val="0"/>
        <w:keepLines/>
        <w:tabs>
          <w:tab w:val="left" w:pos="284"/>
          <w:tab w:val="left" w:pos="709"/>
        </w:tabs>
        <w:overflowPunct/>
        <w:adjustRightInd w:val="0"/>
        <w:spacing w:before="0" w:after="0" w:line="360" w:lineRule="auto"/>
        <w:ind w:left="0" w:firstLine="0"/>
        <w:jc w:val="both"/>
        <w:textAlignment w:val="baseline"/>
        <w:rPr>
          <w:rFonts w:ascii="Times New Roman" w:hAnsi="Times New Roman" w:cs="Times New Roman"/>
          <w:color w:val="000000" w:themeColor="text1"/>
          <w14:textFill>
            <w14:solidFill>
              <w14:schemeClr w14:val="tx1"/>
            </w14:solidFill>
          </w14:textFill>
        </w:rPr>
      </w:pPr>
      <w:bookmarkStart w:id="162" w:name="_Toc144374989"/>
      <w:bookmarkStart w:id="163" w:name="_Toc146041500"/>
      <w:bookmarkStart w:id="164" w:name="_Toc144375245"/>
      <w:bookmarkStart w:id="165" w:name="_Toc84835292"/>
      <w:bookmarkStart w:id="166" w:name="_Toc95759369"/>
      <w:bookmarkStart w:id="167" w:name="_Toc95759783"/>
      <w:r>
        <w:rPr>
          <w:rFonts w:ascii="Times New Roman" w:hAnsi="Times New Roman" w:cs="Times New Roman"/>
          <w:color w:val="000000" w:themeColor="text1"/>
          <w14:textFill>
            <w14:solidFill>
              <w14:schemeClr w14:val="tx1"/>
            </w14:solidFill>
          </w14:textFill>
        </w:rPr>
        <w:t>8、风险事故情形分析</w:t>
      </w:r>
      <w:bookmarkEnd w:id="162"/>
      <w:bookmarkEnd w:id="163"/>
      <w:bookmarkEnd w:id="164"/>
    </w:p>
    <w:bookmarkEnd w:id="165"/>
    <w:bookmarkEnd w:id="166"/>
    <w:bookmarkEnd w:id="167"/>
    <w:p w14:paraId="75C12654">
      <w:pPr>
        <w:pStyle w:val="346"/>
        <w:ind w:firstLine="482" w:firstLineChars="200"/>
        <w:rPr>
          <w:color w:val="000000" w:themeColor="text1"/>
          <w14:textFill>
            <w14:solidFill>
              <w14:schemeClr w14:val="tx1"/>
            </w14:solidFill>
          </w14:textFill>
        </w:rPr>
      </w:pPr>
      <w:bookmarkStart w:id="168" w:name="_Toc144375246"/>
      <w:r>
        <w:rPr>
          <w:color w:val="000000" w:themeColor="text1"/>
          <w14:textFill>
            <w14:solidFill>
              <w14:schemeClr w14:val="tx1"/>
            </w14:solidFill>
          </w14:textFill>
        </w:rPr>
        <w:t>8.1风险事故情形设定</w:t>
      </w:r>
      <w:bookmarkEnd w:id="168"/>
    </w:p>
    <w:p w14:paraId="02CBEAEC">
      <w:pPr>
        <w:pStyle w:val="4003"/>
        <w:rPr>
          <w:color w:val="000000" w:themeColor="text1"/>
          <w14:textFill>
            <w14:solidFill>
              <w14:schemeClr w14:val="tx1"/>
            </w14:solidFill>
          </w14:textFill>
        </w:rPr>
      </w:pPr>
      <w:r>
        <w:rPr>
          <w:color w:val="000000" w:themeColor="text1"/>
          <w14:textFill>
            <w14:solidFill>
              <w14:schemeClr w14:val="tx1"/>
            </w14:solidFill>
          </w14:textFill>
        </w:rPr>
        <w:t>8.1.1事故资料统计</w:t>
      </w:r>
    </w:p>
    <w:p w14:paraId="0E57211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根据《我国危险化学品事故统计分析及对策研究》，2005</w:t>
      </w:r>
      <w:r>
        <w:rPr>
          <w:rFonts w:hint="eastAsia" w:ascii="Times New Roman" w:hAnsi="Times New Roman" w:cs="Times New Roman"/>
          <w:color w:val="000000" w:themeColor="text1"/>
          <w14:textFill>
            <w14:solidFill>
              <w14:schemeClr w14:val="tx1"/>
            </w14:solidFill>
          </w14:textFill>
        </w:rPr>
        <w:t>年</w:t>
      </w:r>
      <w:r>
        <w:rPr>
          <w:rFonts w:ascii="Times New Roman" w:hAnsi="Times New Roman" w:cs="Times New Roman"/>
          <w:color w:val="000000" w:themeColor="text1"/>
          <w14:textFill>
            <w14:solidFill>
              <w14:schemeClr w14:val="tx1"/>
            </w14:solidFill>
          </w14:textFill>
        </w:rPr>
        <w:t>8月—2008年7月，我国危险化学品在生产、存储、使用、运输、销售及废弃处置六大环节。危险化学品事故生产环节事故为332起，所占比例为22.2%，共造成6025人受伤，是各环节中事故死亡人数最多、受伤人数最多的环节。生产环节事故原因主要集中在设备问题和违规操作两个方面。由于设备问题导致的生产设备没按工艺条件进行设计和制造、设备选型不合理、选材不当、强度不够、密封不严、设备陈旧老化、疏于检修、超期服役等。由于违规操作导致生产事故110起，占生产环节事故总数33%。违章指挥、违章操作、违反劳动纪律的“三违”现象是违规操作的主要表现。</w:t>
      </w:r>
    </w:p>
    <w:p w14:paraId="4806C8F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近8年我国化工事故统计与分析》，2001—2008年我国化工企业共发生较大及其以上级别事故119起。在生产环节事故中，工艺34.45%，施工作业18.49%，检修12.61%，储存8.40%，清理7.56%，试生产或调试4.20%，运输装卸1.68%，气体充装1.68%，未知10.92%。</w:t>
      </w:r>
    </w:p>
    <w:p w14:paraId="1B7B92B4">
      <w:pPr>
        <w:pStyle w:val="4003"/>
        <w:rPr>
          <w:color w:val="000000" w:themeColor="text1"/>
          <w14:textFill>
            <w14:solidFill>
              <w14:schemeClr w14:val="tx1"/>
            </w14:solidFill>
          </w14:textFill>
        </w:rPr>
      </w:pPr>
      <w:r>
        <w:rPr>
          <w:color w:val="000000" w:themeColor="text1"/>
          <w14:textFill>
            <w14:solidFill>
              <w14:schemeClr w14:val="tx1"/>
            </w14:solidFill>
          </w14:textFill>
        </w:rPr>
        <w:t>8.1.2事故情形设定</w:t>
      </w:r>
    </w:p>
    <w:p w14:paraId="02F107C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本项目为危险化学品储存，根据本项目的工艺流程，本项目储存的</w:t>
      </w:r>
      <w:r>
        <w:rPr>
          <w:rFonts w:hint="eastAsia" w:ascii="Times New Roman" w:hAnsi="Times New Roman" w:cs="Times New Roman"/>
          <w:color w:val="000000" w:themeColor="text1"/>
          <w14:textFill>
            <w14:solidFill>
              <w14:schemeClr w14:val="tx1"/>
            </w14:solidFill>
          </w14:textFill>
        </w:rPr>
        <w:t>物料（液硫、硫酸、液碱、苯酚）从船舶</w:t>
      </w:r>
      <w:r>
        <w:rPr>
          <w:rFonts w:ascii="Times New Roman" w:hAnsi="Times New Roman" w:cs="Times New Roman"/>
          <w:color w:val="000000" w:themeColor="text1"/>
          <w14:textFill>
            <w14:solidFill>
              <w14:schemeClr w14:val="tx1"/>
            </w14:solidFill>
          </w14:textFill>
        </w:rPr>
        <w:t>经过输送管道及输送泵，将物料送至储罐中储存</w:t>
      </w:r>
      <w:r>
        <w:rPr>
          <w:rFonts w:hint="eastAsia" w:ascii="Times New Roman" w:hAnsi="Times New Roman" w:cs="Times New Roman"/>
          <w:color w:val="000000" w:themeColor="text1"/>
          <w14:textFill>
            <w14:solidFill>
              <w14:schemeClr w14:val="tx1"/>
            </w14:solidFill>
          </w14:textFill>
        </w:rPr>
        <w:t>；己内酰胺从后方陆域经槽罐车送至厂区，再通过卸车泵进入储罐储存，再经输送泵泵至码头泊位装船</w:t>
      </w:r>
      <w:r>
        <w:rPr>
          <w:rFonts w:ascii="Times New Roman" w:hAnsi="Times New Roman" w:cs="Times New Roman"/>
          <w:color w:val="000000" w:themeColor="text1"/>
          <w14:textFill>
            <w14:solidFill>
              <w14:schemeClr w14:val="tx1"/>
            </w14:solidFill>
          </w14:textFill>
        </w:rPr>
        <w:t>。项目只负责装卸、储存作业。</w:t>
      </w:r>
    </w:p>
    <w:p w14:paraId="588736C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风险事故情形设定内容应包括环境风险类型、风险源、危险单元、危险物质和影响途径等。根据《建设项目环境风险评价技术导则》（HJ169-2018）8.1.2风险事故情形的设定原则，本项目风险源项：物料装卸、储存发生的泄漏事故；物料泄漏事故遇火源引发火灾爆炸；废气事故排放。本项目选择对环境影响较大的，且具有代表性的事故类型设定风险事故情形。根据事故统计资料及本项目的特点，本项目风险事故情形设定如下：</w:t>
      </w:r>
    </w:p>
    <w:p w14:paraId="67096DCC">
      <w:pPr>
        <w:pStyle w:val="86"/>
        <w:ind w:firstLine="240"/>
        <w:rPr>
          <w:rFonts w:ascii="Times New Roman" w:hAnsi="Times New Roman" w:cs="Times New Roman"/>
          <w:color w:val="000000" w:themeColor="text1"/>
          <w14:textFill>
            <w14:solidFill>
              <w14:schemeClr w14:val="tx1"/>
            </w14:solidFill>
          </w14:textFill>
        </w:rPr>
      </w:pPr>
    </w:p>
    <w:p w14:paraId="0D0C759D">
      <w:pPr>
        <w:rPr>
          <w:rFonts w:ascii="Times New Roman" w:hAnsi="Times New Roman" w:cs="Times New Roman"/>
          <w:color w:val="000000" w:themeColor="text1"/>
          <w14:textFill>
            <w14:solidFill>
              <w14:schemeClr w14:val="tx1"/>
            </w14:solidFill>
          </w14:textFill>
        </w:rPr>
      </w:pPr>
    </w:p>
    <w:p w14:paraId="1DA9300A">
      <w:pPr>
        <w:pStyle w:val="86"/>
        <w:ind w:firstLine="240"/>
        <w:rPr>
          <w:rFonts w:ascii="Times New Roman" w:hAnsi="Times New Roman" w:cs="Times New Roman"/>
          <w:color w:val="000000" w:themeColor="text1"/>
          <w14:textFill>
            <w14:solidFill>
              <w14:schemeClr w14:val="tx1"/>
            </w14:solidFill>
          </w14:textFill>
        </w:rPr>
      </w:pPr>
    </w:p>
    <w:p w14:paraId="0FEF0BB6">
      <w:pPr>
        <w:rPr>
          <w:rFonts w:ascii="Times New Roman" w:hAnsi="Times New Roman" w:cs="Times New Roman"/>
          <w:color w:val="000000" w:themeColor="text1"/>
          <w14:textFill>
            <w14:solidFill>
              <w14:schemeClr w14:val="tx1"/>
            </w14:solidFill>
          </w14:textFill>
        </w:rPr>
      </w:pPr>
    </w:p>
    <w:p w14:paraId="3DC330D9">
      <w:pPr>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表8-1 风险事故情形设定</w:t>
      </w:r>
    </w:p>
    <w:tbl>
      <w:tblPr>
        <w:tblStyle w:val="89"/>
        <w:tblpPr w:leftFromText="180" w:rightFromText="180" w:vertAnchor="text" w:horzAnchor="page" w:tblpX="1803" w:tblpY="328"/>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486"/>
        <w:gridCol w:w="1009"/>
        <w:gridCol w:w="1275"/>
        <w:gridCol w:w="2385"/>
        <w:gridCol w:w="1415"/>
        <w:gridCol w:w="1759"/>
      </w:tblGrid>
      <w:tr w14:paraId="21579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6" w:type="dxa"/>
            <w:vAlign w:val="center"/>
          </w:tcPr>
          <w:p w14:paraId="51CBBF7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1009" w:type="dxa"/>
            <w:vAlign w:val="center"/>
          </w:tcPr>
          <w:p w14:paraId="13E5D9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风险单元</w:t>
            </w:r>
          </w:p>
        </w:tc>
        <w:tc>
          <w:tcPr>
            <w:tcW w:w="1275" w:type="dxa"/>
            <w:vAlign w:val="center"/>
          </w:tcPr>
          <w:p w14:paraId="58CD023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风险源</w:t>
            </w:r>
          </w:p>
        </w:tc>
        <w:tc>
          <w:tcPr>
            <w:tcW w:w="2385" w:type="dxa"/>
            <w:vAlign w:val="center"/>
          </w:tcPr>
          <w:p w14:paraId="0930FC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危险物质</w:t>
            </w:r>
          </w:p>
        </w:tc>
        <w:tc>
          <w:tcPr>
            <w:tcW w:w="1415" w:type="dxa"/>
            <w:vAlign w:val="center"/>
          </w:tcPr>
          <w:p w14:paraId="20B73A0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环境风险类型</w:t>
            </w:r>
          </w:p>
        </w:tc>
        <w:tc>
          <w:tcPr>
            <w:tcW w:w="1759" w:type="dxa"/>
            <w:vAlign w:val="center"/>
          </w:tcPr>
          <w:p w14:paraId="061A6F4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环境影响途径</w:t>
            </w:r>
          </w:p>
        </w:tc>
      </w:tr>
      <w:tr w14:paraId="24DE0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6" w:type="dxa"/>
            <w:vAlign w:val="center"/>
          </w:tcPr>
          <w:p w14:paraId="33ADB2C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1009" w:type="dxa"/>
            <w:vAlign w:val="center"/>
          </w:tcPr>
          <w:p w14:paraId="2C4182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储罐区</w:t>
            </w:r>
          </w:p>
        </w:tc>
        <w:tc>
          <w:tcPr>
            <w:tcW w:w="1275" w:type="dxa"/>
            <w:vMerge w:val="restart"/>
            <w:vAlign w:val="center"/>
          </w:tcPr>
          <w:p w14:paraId="245E746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储罐、管道、阀门等</w:t>
            </w:r>
          </w:p>
        </w:tc>
        <w:tc>
          <w:tcPr>
            <w:tcW w:w="2385" w:type="dxa"/>
            <w:vAlign w:val="center"/>
          </w:tcPr>
          <w:p w14:paraId="515E814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w:t>
            </w:r>
            <w:r>
              <w:rPr>
                <w:rFonts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14:textFill>
                  <w14:solidFill>
                    <w14:schemeClr w14:val="tx1"/>
                  </w14:solidFill>
                </w14:textFill>
              </w:rPr>
              <w:t>发烟硫酸/98%硫酸、液碱、苯酚、己内酰胺等6</w:t>
            </w:r>
            <w:r>
              <w:rPr>
                <w:rFonts w:ascii="Times New Roman" w:hAnsi="Times New Roman" w:cs="Times New Roman"/>
                <w:color w:val="000000" w:themeColor="text1"/>
                <w:sz w:val="21"/>
                <w:szCs w:val="21"/>
                <w14:textFill>
                  <w14:solidFill>
                    <w14:schemeClr w14:val="tx1"/>
                  </w14:solidFill>
                </w14:textFill>
              </w:rPr>
              <w:t>种货种</w:t>
            </w:r>
          </w:p>
        </w:tc>
        <w:tc>
          <w:tcPr>
            <w:tcW w:w="1415" w:type="dxa"/>
            <w:vAlign w:val="center"/>
          </w:tcPr>
          <w:p w14:paraId="696C84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w:t>
            </w:r>
          </w:p>
        </w:tc>
        <w:tc>
          <w:tcPr>
            <w:tcW w:w="1759" w:type="dxa"/>
            <w:vAlign w:val="center"/>
          </w:tcPr>
          <w:p w14:paraId="57ED2B0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海洋、大气、土壤</w:t>
            </w:r>
          </w:p>
        </w:tc>
      </w:tr>
      <w:tr w14:paraId="29837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c>
          <w:tcPr>
            <w:tcW w:w="486" w:type="dxa"/>
            <w:vAlign w:val="center"/>
          </w:tcPr>
          <w:p w14:paraId="1F28023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1009" w:type="dxa"/>
            <w:vAlign w:val="center"/>
          </w:tcPr>
          <w:p w14:paraId="602FA14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储罐区、装卸区</w:t>
            </w:r>
          </w:p>
        </w:tc>
        <w:tc>
          <w:tcPr>
            <w:tcW w:w="1275" w:type="dxa"/>
            <w:vMerge w:val="continue"/>
            <w:vAlign w:val="center"/>
          </w:tcPr>
          <w:p w14:paraId="778DD926">
            <w:pPr>
              <w:jc w:val="center"/>
              <w:rPr>
                <w:rFonts w:ascii="Times New Roman" w:hAnsi="Times New Roman" w:cs="Times New Roman"/>
                <w:color w:val="000000" w:themeColor="text1"/>
                <w:sz w:val="21"/>
                <w:szCs w:val="21"/>
                <w14:textFill>
                  <w14:solidFill>
                    <w14:schemeClr w14:val="tx1"/>
                  </w14:solidFill>
                </w14:textFill>
              </w:rPr>
            </w:pPr>
          </w:p>
        </w:tc>
        <w:tc>
          <w:tcPr>
            <w:tcW w:w="2385" w:type="dxa"/>
            <w:vAlign w:val="center"/>
          </w:tcPr>
          <w:p w14:paraId="47D4981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一氧化碳、二氧化硫、硫</w:t>
            </w:r>
            <w:r>
              <w:rPr>
                <w:rFonts w:ascii="Times New Roman" w:hAnsi="Times New Roman" w:cs="Times New Roman"/>
                <w:color w:val="000000" w:themeColor="text1"/>
                <w:sz w:val="21"/>
                <w:szCs w:val="21"/>
                <w14:textFill>
                  <w14:solidFill>
                    <w14:schemeClr w14:val="tx1"/>
                  </w14:solidFill>
                </w14:textFill>
              </w:rPr>
              <w:t>酸雾、消防废水等</w:t>
            </w:r>
          </w:p>
        </w:tc>
        <w:tc>
          <w:tcPr>
            <w:tcW w:w="1415" w:type="dxa"/>
            <w:vAlign w:val="center"/>
          </w:tcPr>
          <w:p w14:paraId="722213A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火灾</w:t>
            </w:r>
          </w:p>
        </w:tc>
        <w:tc>
          <w:tcPr>
            <w:tcW w:w="1759" w:type="dxa"/>
            <w:vAlign w:val="center"/>
          </w:tcPr>
          <w:p w14:paraId="4656CD1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大气、海洋、土壤</w:t>
            </w:r>
          </w:p>
        </w:tc>
      </w:tr>
    </w:tbl>
    <w:p w14:paraId="45D4D82F">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对大气环境影响</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在发生事故的情况下，对大气环境影响主要考虑泄漏后伴生的有毒气体对环境空气、环境敏感目标及人群的影响。综合考虑物料的最大储存量、毒性、挥发性等因素，选取</w:t>
      </w:r>
      <w:r>
        <w:rPr>
          <w:rFonts w:hint="eastAsia" w:ascii="Times New Roman" w:hAnsi="Times New Roman" w:cs="Times New Roman"/>
          <w:color w:val="000000" w:themeColor="text1"/>
          <w14:textFill>
            <w14:solidFill>
              <w14:schemeClr w14:val="tx1"/>
            </w14:solidFill>
          </w14:textFill>
        </w:rPr>
        <w:t>液硫、发烟硫酸/98%硫酸、苯酚、己内酰胺等</w:t>
      </w:r>
      <w:r>
        <w:rPr>
          <w:rFonts w:ascii="Times New Roman" w:hAnsi="Times New Roman" w:cs="Times New Roman"/>
          <w:color w:val="000000" w:themeColor="text1"/>
          <w14:textFill>
            <w14:solidFill>
              <w14:schemeClr w14:val="tx1"/>
            </w14:solidFill>
          </w14:textFill>
        </w:rPr>
        <w:t>泄漏及火灾事故进行大气风险影响分析。本次评价主要考虑储罐或管道破裂，在罐区围堰内形成液池蒸发，及产生的次生</w:t>
      </w:r>
      <w:r>
        <w:rPr>
          <w:rFonts w:hint="eastAsia" w:ascii="Times New Roman" w:hAnsi="Times New Roman" w:cs="Times New Roman"/>
          <w:color w:val="000000" w:themeColor="text1"/>
          <w14:textFill>
            <w14:solidFill>
              <w14:schemeClr w14:val="tx1"/>
            </w14:solidFill>
          </w14:textFill>
        </w:rPr>
        <w:t>硫蒸汽、苯酚、己内酰胺蒸汽及粉尘</w:t>
      </w:r>
      <w:r>
        <w:rPr>
          <w:rFonts w:ascii="Times New Roman" w:hAnsi="Times New Roman" w:cs="Times New Roman"/>
          <w:color w:val="000000" w:themeColor="text1"/>
          <w14:textFill>
            <w14:solidFill>
              <w14:schemeClr w14:val="tx1"/>
            </w14:solidFill>
          </w14:textFill>
        </w:rPr>
        <w:t>等遇明火发生火灾事故产生的次生污染物对环境空气、敏感目标及人群的影响。</w:t>
      </w:r>
    </w:p>
    <w:p w14:paraId="2A67776A">
      <w:pPr>
        <w:spacing w:line="360" w:lineRule="auto"/>
        <w:ind w:firstLine="480" w:firstLineChars="200"/>
        <w:rPr>
          <w:rFonts w:ascii="Times New Roman" w:hAnsi="Times New Roman" w:cs="Times New Roman"/>
          <w:color w:val="000000" w:themeColor="text1"/>
          <w:highlight w:val="yellow"/>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对水环境影响</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本项目位于钦州港</w:t>
      </w:r>
      <w:r>
        <w:rPr>
          <w:rFonts w:hint="eastAsia" w:ascii="Times New Roman" w:hAnsi="Times New Roman" w:cs="Times New Roman"/>
          <w:color w:val="000000" w:themeColor="text1"/>
          <w14:textFill>
            <w14:solidFill>
              <w14:schemeClr w14:val="tx1"/>
            </w14:solidFill>
          </w14:textFill>
        </w:rPr>
        <w:t>金谷港区金鼓江作业区，位于14号码头泊位后方陆域。储罐区设置围堰，并设置有初期雨水池和事故应急池。事故状态下，储罐泄漏的物料可利用围堰进行收集暂存；装卸区及管道泄漏的危险化学品及消防事故废水可进入事故应急池收集，不会直接排入周边海洋环境造成污染影响。</w:t>
      </w:r>
    </w:p>
    <w:p w14:paraId="140DBE2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对土壤环境影响</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本项目对土壤环境的影响主要考虑物料泄漏至厂外环境或厂区内地面出现裂纹，从而导致土壤的污染。</w:t>
      </w:r>
    </w:p>
    <w:p w14:paraId="0277A31D">
      <w:pPr>
        <w:pStyle w:val="4003"/>
        <w:rPr>
          <w:color w:val="000000" w:themeColor="text1"/>
          <w14:textFill>
            <w14:solidFill>
              <w14:schemeClr w14:val="tx1"/>
            </w14:solidFill>
          </w14:textFill>
        </w:rPr>
      </w:pPr>
      <w:r>
        <w:rPr>
          <w:color w:val="000000" w:themeColor="text1"/>
          <w14:textFill>
            <w14:solidFill>
              <w14:schemeClr w14:val="tx1"/>
            </w14:solidFill>
          </w14:textFill>
        </w:rPr>
        <w:t>8.1.3最大可信事故</w:t>
      </w:r>
    </w:p>
    <w:p w14:paraId="3DCB4AB0">
      <w:pPr>
        <w:pStyle w:val="4008"/>
        <w:spacing w:line="360" w:lineRule="auto"/>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根据《建设项目环境风险评价技术导则》（HJ/T169-2018）附录E推荐的泄漏频率表，生产过程中发生泄漏事故时有关部件的泄漏频率见表8-2。</w:t>
      </w:r>
    </w:p>
    <w:p w14:paraId="4F746DFE">
      <w:pPr>
        <w:pStyle w:val="4008"/>
        <w:spacing w:line="240" w:lineRule="auto"/>
        <w:ind w:firstLine="482"/>
        <w:jc w:val="center"/>
        <w:rPr>
          <w:b/>
          <w:bCs/>
          <w:color w:val="000000" w:themeColor="text1"/>
          <w14:textFill>
            <w14:solidFill>
              <w14:schemeClr w14:val="tx1"/>
            </w14:solidFill>
          </w14:textFill>
        </w:rPr>
      </w:pPr>
      <w:r>
        <w:rPr>
          <w:b/>
          <w:bCs/>
          <w:color w:val="000000" w:themeColor="text1"/>
          <w14:textFill>
            <w14:solidFill>
              <w14:schemeClr w14:val="tx1"/>
            </w14:solidFill>
          </w14:textFill>
        </w:rPr>
        <w:t>表8-2危险物质可能存在泄漏形式及泄漏频率</w:t>
      </w:r>
    </w:p>
    <w:tbl>
      <w:tblPr>
        <w:tblStyle w:val="88"/>
        <w:tblW w:w="501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723"/>
        <w:gridCol w:w="4724"/>
        <w:gridCol w:w="1890"/>
      </w:tblGrid>
      <w:tr w14:paraId="0B27F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Align w:val="center"/>
          </w:tcPr>
          <w:p w14:paraId="4BE2D092">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部件类型</w:t>
            </w:r>
          </w:p>
        </w:tc>
        <w:tc>
          <w:tcPr>
            <w:tcW w:w="4718" w:type="dxa"/>
            <w:vAlign w:val="center"/>
          </w:tcPr>
          <w:p w14:paraId="11B805AE">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泄漏模式</w:t>
            </w:r>
          </w:p>
        </w:tc>
        <w:tc>
          <w:tcPr>
            <w:tcW w:w="1888" w:type="dxa"/>
            <w:vAlign w:val="center"/>
          </w:tcPr>
          <w:p w14:paraId="77A49B02">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泄漏频率</w:t>
            </w:r>
          </w:p>
        </w:tc>
      </w:tr>
      <w:tr w14:paraId="07F92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71872134">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反应器/工艺储罐/气体储罐/塔器</w:t>
            </w:r>
          </w:p>
        </w:tc>
        <w:tc>
          <w:tcPr>
            <w:tcW w:w="4718" w:type="dxa"/>
            <w:vAlign w:val="center"/>
          </w:tcPr>
          <w:p w14:paraId="2B2CAD8C">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泄漏孔径为 10 mm 孔径</w:t>
            </w:r>
          </w:p>
        </w:tc>
        <w:tc>
          <w:tcPr>
            <w:tcW w:w="1888" w:type="dxa"/>
            <w:vAlign w:val="center"/>
          </w:tcPr>
          <w:p w14:paraId="5A403EF4">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1.00×10</w:t>
            </w:r>
            <w:r>
              <w:rPr>
                <w:rFonts w:ascii="Times New Roman" w:hAnsi="Times New Roman" w:cs="Times New Roman"/>
                <w:color w:val="000000" w:themeColor="text1"/>
                <w:position w:val="7"/>
                <w:sz w:val="13"/>
                <w14:textFill>
                  <w14:solidFill>
                    <w14:schemeClr w14:val="tx1"/>
                  </w14:solidFill>
                </w14:textFill>
              </w:rPr>
              <w:t>-4</w:t>
            </w:r>
            <w:r>
              <w:rPr>
                <w:rFonts w:ascii="Times New Roman" w:hAnsi="Times New Roman" w:cs="Times New Roman"/>
                <w:color w:val="000000" w:themeColor="text1"/>
                <w:sz w:val="21"/>
                <w14:textFill>
                  <w14:solidFill>
                    <w14:schemeClr w14:val="tx1"/>
                  </w14:solidFill>
                </w14:textFill>
              </w:rPr>
              <w:t>/a</w:t>
            </w:r>
          </w:p>
        </w:tc>
      </w:tr>
      <w:tr w14:paraId="7D344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147CB4CA">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753F6AC5">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 min 内储罐泄漏完</w:t>
            </w:r>
          </w:p>
        </w:tc>
        <w:tc>
          <w:tcPr>
            <w:tcW w:w="1888" w:type="dxa"/>
            <w:vAlign w:val="center"/>
          </w:tcPr>
          <w:p w14:paraId="57C0EB5E">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5.00×10</w:t>
            </w:r>
            <w:r>
              <w:rPr>
                <w:rFonts w:ascii="Times New Roman" w:hAnsi="Times New Roman" w:cs="Times New Roman"/>
                <w:color w:val="000000" w:themeColor="text1"/>
                <w:position w:val="7"/>
                <w:sz w:val="13"/>
                <w14:textFill>
                  <w14:solidFill>
                    <w14:schemeClr w14:val="tx1"/>
                  </w14:solidFill>
                </w14:textFill>
              </w:rPr>
              <w:t>-6</w:t>
            </w:r>
            <w:r>
              <w:rPr>
                <w:rFonts w:ascii="Times New Roman" w:hAnsi="Times New Roman" w:cs="Times New Roman"/>
                <w:color w:val="000000" w:themeColor="text1"/>
                <w:sz w:val="21"/>
                <w14:textFill>
                  <w14:solidFill>
                    <w14:schemeClr w14:val="tx1"/>
                  </w14:solidFill>
                </w14:textFill>
              </w:rPr>
              <w:t>/a</w:t>
            </w:r>
          </w:p>
        </w:tc>
      </w:tr>
      <w:tr w14:paraId="3422F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709B58E6">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24F17DC5">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储罐全破裂</w:t>
            </w:r>
          </w:p>
        </w:tc>
        <w:tc>
          <w:tcPr>
            <w:tcW w:w="1888" w:type="dxa"/>
            <w:vAlign w:val="center"/>
          </w:tcPr>
          <w:p w14:paraId="33E24E73">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5.00×10</w:t>
            </w:r>
            <w:r>
              <w:rPr>
                <w:rFonts w:ascii="Times New Roman" w:hAnsi="Times New Roman" w:cs="Times New Roman"/>
                <w:color w:val="000000" w:themeColor="text1"/>
                <w:position w:val="7"/>
                <w:sz w:val="13"/>
                <w14:textFill>
                  <w14:solidFill>
                    <w14:schemeClr w14:val="tx1"/>
                  </w14:solidFill>
                </w14:textFill>
              </w:rPr>
              <w:t xml:space="preserve">-6 </w:t>
            </w:r>
            <w:r>
              <w:rPr>
                <w:rFonts w:ascii="Times New Roman" w:hAnsi="Times New Roman" w:cs="Times New Roman"/>
                <w:color w:val="000000" w:themeColor="text1"/>
                <w:sz w:val="21"/>
                <w14:textFill>
                  <w14:solidFill>
                    <w14:schemeClr w14:val="tx1"/>
                  </w14:solidFill>
                </w14:textFill>
              </w:rPr>
              <w:t>/a</w:t>
            </w:r>
          </w:p>
        </w:tc>
      </w:tr>
      <w:tr w14:paraId="2ADA8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2A729528">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常压单包容储罐</w:t>
            </w:r>
          </w:p>
        </w:tc>
        <w:tc>
          <w:tcPr>
            <w:tcW w:w="4718" w:type="dxa"/>
            <w:vAlign w:val="center"/>
          </w:tcPr>
          <w:p w14:paraId="178CC1B7">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泄漏孔径为 10 mm 孔径</w:t>
            </w:r>
          </w:p>
        </w:tc>
        <w:tc>
          <w:tcPr>
            <w:tcW w:w="1888" w:type="dxa"/>
            <w:vAlign w:val="center"/>
          </w:tcPr>
          <w:p w14:paraId="573F772E">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1.00×10</w:t>
            </w:r>
            <w:r>
              <w:rPr>
                <w:rFonts w:ascii="Times New Roman" w:hAnsi="Times New Roman" w:cs="Times New Roman"/>
                <w:color w:val="000000" w:themeColor="text1"/>
                <w:position w:val="7"/>
                <w:sz w:val="13"/>
                <w14:textFill>
                  <w14:solidFill>
                    <w14:schemeClr w14:val="tx1"/>
                  </w14:solidFill>
                </w14:textFill>
              </w:rPr>
              <w:t xml:space="preserve">-4 </w:t>
            </w:r>
            <w:r>
              <w:rPr>
                <w:rFonts w:ascii="Times New Roman" w:hAnsi="Times New Roman" w:cs="Times New Roman"/>
                <w:color w:val="000000" w:themeColor="text1"/>
                <w:sz w:val="21"/>
                <w14:textFill>
                  <w14:solidFill>
                    <w14:schemeClr w14:val="tx1"/>
                  </w14:solidFill>
                </w14:textFill>
              </w:rPr>
              <w:t>/a</w:t>
            </w:r>
          </w:p>
        </w:tc>
      </w:tr>
      <w:tr w14:paraId="35E4C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326E7E16">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6B8D0EE6">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 min 内储罐泄漏完</w:t>
            </w:r>
          </w:p>
        </w:tc>
        <w:tc>
          <w:tcPr>
            <w:tcW w:w="1888" w:type="dxa"/>
            <w:vAlign w:val="center"/>
          </w:tcPr>
          <w:p w14:paraId="32EB48CB">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5.00×10</w:t>
            </w:r>
            <w:r>
              <w:rPr>
                <w:rFonts w:ascii="Times New Roman" w:hAnsi="Times New Roman" w:cs="Times New Roman"/>
                <w:color w:val="000000" w:themeColor="text1"/>
                <w:position w:val="7"/>
                <w:sz w:val="13"/>
                <w14:textFill>
                  <w14:solidFill>
                    <w14:schemeClr w14:val="tx1"/>
                  </w14:solidFill>
                </w14:textFill>
              </w:rPr>
              <w:t>-6</w:t>
            </w:r>
            <w:r>
              <w:rPr>
                <w:rFonts w:ascii="Times New Roman" w:hAnsi="Times New Roman" w:cs="Times New Roman"/>
                <w:color w:val="000000" w:themeColor="text1"/>
                <w:sz w:val="21"/>
                <w14:textFill>
                  <w14:solidFill>
                    <w14:schemeClr w14:val="tx1"/>
                  </w14:solidFill>
                </w14:textFill>
              </w:rPr>
              <w:t>/a</w:t>
            </w:r>
          </w:p>
        </w:tc>
      </w:tr>
      <w:tr w14:paraId="79249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46314A99">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19514C6A">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储罐全破裂</w:t>
            </w:r>
          </w:p>
        </w:tc>
        <w:tc>
          <w:tcPr>
            <w:tcW w:w="1888" w:type="dxa"/>
            <w:vAlign w:val="center"/>
          </w:tcPr>
          <w:p w14:paraId="186E4F2E">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5.00×10</w:t>
            </w:r>
            <w:r>
              <w:rPr>
                <w:rFonts w:ascii="Times New Roman" w:hAnsi="Times New Roman" w:cs="Times New Roman"/>
                <w:color w:val="000000" w:themeColor="text1"/>
                <w:position w:val="7"/>
                <w:sz w:val="13"/>
                <w14:textFill>
                  <w14:solidFill>
                    <w14:schemeClr w14:val="tx1"/>
                  </w14:solidFill>
                </w14:textFill>
              </w:rPr>
              <w:t>-6</w:t>
            </w:r>
            <w:r>
              <w:rPr>
                <w:rFonts w:ascii="Times New Roman" w:hAnsi="Times New Roman" w:cs="Times New Roman"/>
                <w:color w:val="000000" w:themeColor="text1"/>
                <w:sz w:val="21"/>
                <w14:textFill>
                  <w14:solidFill>
                    <w14:schemeClr w14:val="tx1"/>
                  </w14:solidFill>
                </w14:textFill>
              </w:rPr>
              <w:t>/ a</w:t>
            </w:r>
          </w:p>
        </w:tc>
      </w:tr>
      <w:tr w14:paraId="66B54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601DF5C1">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常压双包容储罐</w:t>
            </w:r>
          </w:p>
        </w:tc>
        <w:tc>
          <w:tcPr>
            <w:tcW w:w="4718" w:type="dxa"/>
            <w:vAlign w:val="center"/>
          </w:tcPr>
          <w:p w14:paraId="7DA275F3">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泄漏孔径为 10 mm 孔径</w:t>
            </w:r>
          </w:p>
        </w:tc>
        <w:tc>
          <w:tcPr>
            <w:tcW w:w="1888" w:type="dxa"/>
            <w:vAlign w:val="center"/>
          </w:tcPr>
          <w:p w14:paraId="78D96A11">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1.00×10</w:t>
            </w:r>
            <w:r>
              <w:rPr>
                <w:rFonts w:ascii="Times New Roman" w:hAnsi="Times New Roman" w:cs="Times New Roman"/>
                <w:color w:val="000000" w:themeColor="text1"/>
                <w:position w:val="7"/>
                <w:sz w:val="13"/>
                <w14:textFill>
                  <w14:solidFill>
                    <w14:schemeClr w14:val="tx1"/>
                  </w14:solidFill>
                </w14:textFill>
              </w:rPr>
              <w:t xml:space="preserve">-4 </w:t>
            </w:r>
            <w:r>
              <w:rPr>
                <w:rFonts w:ascii="Times New Roman" w:hAnsi="Times New Roman" w:cs="Times New Roman"/>
                <w:color w:val="000000" w:themeColor="text1"/>
                <w:sz w:val="21"/>
                <w14:textFill>
                  <w14:solidFill>
                    <w14:schemeClr w14:val="tx1"/>
                  </w14:solidFill>
                </w14:textFill>
              </w:rPr>
              <w:t>/a</w:t>
            </w:r>
          </w:p>
        </w:tc>
      </w:tr>
      <w:tr w14:paraId="770AE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36182860">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47E0A438">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 min 内储罐泄漏完</w:t>
            </w:r>
          </w:p>
        </w:tc>
        <w:tc>
          <w:tcPr>
            <w:tcW w:w="1888" w:type="dxa"/>
            <w:vAlign w:val="center"/>
          </w:tcPr>
          <w:p w14:paraId="34299479">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1.25×10</w:t>
            </w:r>
            <w:r>
              <w:rPr>
                <w:rFonts w:ascii="Times New Roman" w:hAnsi="Times New Roman" w:cs="Times New Roman"/>
                <w:color w:val="000000" w:themeColor="text1"/>
                <w:position w:val="7"/>
                <w:sz w:val="13"/>
                <w14:textFill>
                  <w14:solidFill>
                    <w14:schemeClr w14:val="tx1"/>
                  </w14:solidFill>
                </w14:textFill>
              </w:rPr>
              <w:t xml:space="preserve">-8 </w:t>
            </w:r>
            <w:r>
              <w:rPr>
                <w:rFonts w:ascii="Times New Roman" w:hAnsi="Times New Roman" w:cs="Times New Roman"/>
                <w:color w:val="000000" w:themeColor="text1"/>
                <w:sz w:val="21"/>
                <w14:textFill>
                  <w14:solidFill>
                    <w14:schemeClr w14:val="tx1"/>
                  </w14:solidFill>
                </w14:textFill>
              </w:rPr>
              <w:t>/a</w:t>
            </w:r>
          </w:p>
        </w:tc>
      </w:tr>
      <w:tr w14:paraId="04229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6F43AAA6">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5F53C239">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储罐全破裂</w:t>
            </w:r>
          </w:p>
        </w:tc>
        <w:tc>
          <w:tcPr>
            <w:tcW w:w="1888" w:type="dxa"/>
            <w:vAlign w:val="center"/>
          </w:tcPr>
          <w:p w14:paraId="69A0CAF0">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1.25×10</w:t>
            </w:r>
            <w:r>
              <w:rPr>
                <w:rFonts w:ascii="Times New Roman" w:hAnsi="Times New Roman" w:cs="Times New Roman"/>
                <w:color w:val="000000" w:themeColor="text1"/>
                <w:position w:val="7"/>
                <w:sz w:val="13"/>
                <w14:textFill>
                  <w14:solidFill>
                    <w14:schemeClr w14:val="tx1"/>
                  </w14:solidFill>
                </w14:textFill>
              </w:rPr>
              <w:t xml:space="preserve">-8 </w:t>
            </w:r>
            <w:r>
              <w:rPr>
                <w:rFonts w:ascii="Times New Roman" w:hAnsi="Times New Roman" w:cs="Times New Roman"/>
                <w:color w:val="000000" w:themeColor="text1"/>
                <w:sz w:val="21"/>
                <w14:textFill>
                  <w14:solidFill>
                    <w14:schemeClr w14:val="tx1"/>
                  </w14:solidFill>
                </w14:textFill>
              </w:rPr>
              <w:t>/a</w:t>
            </w:r>
          </w:p>
        </w:tc>
      </w:tr>
      <w:tr w14:paraId="15DB9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Align w:val="center"/>
          </w:tcPr>
          <w:p w14:paraId="147D5C7F">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常压全包容储罐</w:t>
            </w:r>
          </w:p>
        </w:tc>
        <w:tc>
          <w:tcPr>
            <w:tcW w:w="4718" w:type="dxa"/>
            <w:vAlign w:val="center"/>
          </w:tcPr>
          <w:p w14:paraId="5002EACA">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储罐全破裂</w:t>
            </w:r>
          </w:p>
        </w:tc>
        <w:tc>
          <w:tcPr>
            <w:tcW w:w="1888" w:type="dxa"/>
            <w:vAlign w:val="center"/>
          </w:tcPr>
          <w:p w14:paraId="4A644A24">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1.00×10</w:t>
            </w:r>
            <w:r>
              <w:rPr>
                <w:rFonts w:ascii="Times New Roman" w:hAnsi="Times New Roman" w:cs="Times New Roman"/>
                <w:color w:val="000000" w:themeColor="text1"/>
                <w:position w:val="7"/>
                <w:sz w:val="13"/>
                <w14:textFill>
                  <w14:solidFill>
                    <w14:schemeClr w14:val="tx1"/>
                  </w14:solidFill>
                </w14:textFill>
              </w:rPr>
              <w:t xml:space="preserve">-8 </w:t>
            </w:r>
            <w:r>
              <w:rPr>
                <w:rFonts w:ascii="Times New Roman" w:hAnsi="Times New Roman" w:cs="Times New Roman"/>
                <w:color w:val="000000" w:themeColor="text1"/>
                <w:sz w:val="21"/>
                <w14:textFill>
                  <w14:solidFill>
                    <w14:schemeClr w14:val="tx1"/>
                  </w14:solidFill>
                </w14:textFill>
              </w:rPr>
              <w:t>/a</w:t>
            </w:r>
          </w:p>
        </w:tc>
      </w:tr>
      <w:tr w14:paraId="4EB6A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5BFEF4AA">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内径≤75mm</w:t>
            </w:r>
            <w:r>
              <w:rPr>
                <w:rFonts w:ascii="Times New Roman" w:hAnsi="Times New Roman" w:cs="Times New Roman"/>
                <w:color w:val="000000" w:themeColor="text1"/>
                <w:spacing w:val="51"/>
                <w:sz w:val="21"/>
                <w14:textFill>
                  <w14:solidFill>
                    <w14:schemeClr w14:val="tx1"/>
                  </w14:solidFill>
                </w14:textFill>
              </w:rPr>
              <w:t xml:space="preserve"> </w:t>
            </w:r>
            <w:r>
              <w:rPr>
                <w:rFonts w:ascii="Times New Roman" w:hAnsi="Times New Roman" w:cs="Times New Roman"/>
                <w:color w:val="000000" w:themeColor="text1"/>
                <w:sz w:val="21"/>
                <w14:textFill>
                  <w14:solidFill>
                    <w14:schemeClr w14:val="tx1"/>
                  </w14:solidFill>
                </w14:textFill>
              </w:rPr>
              <w:t>的管道</w:t>
            </w:r>
          </w:p>
        </w:tc>
        <w:tc>
          <w:tcPr>
            <w:tcW w:w="4718" w:type="dxa"/>
            <w:vAlign w:val="center"/>
          </w:tcPr>
          <w:p w14:paraId="613F00ED">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泄漏孔径为 10%孔径</w:t>
            </w:r>
          </w:p>
        </w:tc>
        <w:tc>
          <w:tcPr>
            <w:tcW w:w="1888" w:type="dxa"/>
            <w:vAlign w:val="center"/>
          </w:tcPr>
          <w:p w14:paraId="5B4014EF">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5.00×10</w:t>
            </w:r>
            <w:r>
              <w:rPr>
                <w:rFonts w:ascii="Times New Roman" w:hAnsi="Times New Roman" w:cs="Times New Roman"/>
                <w:color w:val="000000" w:themeColor="text1"/>
                <w:position w:val="7"/>
                <w:sz w:val="13"/>
                <w14:textFill>
                  <w14:solidFill>
                    <w14:schemeClr w14:val="tx1"/>
                  </w14:solidFill>
                </w14:textFill>
              </w:rPr>
              <w:t xml:space="preserve">-6 </w:t>
            </w:r>
            <w:r>
              <w:rPr>
                <w:rFonts w:ascii="Times New Roman" w:hAnsi="Times New Roman" w:cs="Times New Roman"/>
                <w:color w:val="000000" w:themeColor="text1"/>
                <w:sz w:val="21"/>
                <w14:textFill>
                  <w14:solidFill>
                    <w14:schemeClr w14:val="tx1"/>
                  </w14:solidFill>
                </w14:textFill>
              </w:rPr>
              <w:t>/（m·a）</w:t>
            </w:r>
          </w:p>
        </w:tc>
      </w:tr>
      <w:tr w14:paraId="57286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669D78E4">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19F3AF9F">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全管径泄漏</w:t>
            </w:r>
          </w:p>
        </w:tc>
        <w:tc>
          <w:tcPr>
            <w:tcW w:w="1888" w:type="dxa"/>
            <w:vAlign w:val="center"/>
          </w:tcPr>
          <w:p w14:paraId="174A75FC">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1.00×10</w:t>
            </w:r>
            <w:r>
              <w:rPr>
                <w:rFonts w:ascii="Times New Roman" w:hAnsi="Times New Roman" w:cs="Times New Roman"/>
                <w:color w:val="000000" w:themeColor="text1"/>
                <w:position w:val="7"/>
                <w:sz w:val="13"/>
                <w14:textFill>
                  <w14:solidFill>
                    <w14:schemeClr w14:val="tx1"/>
                  </w14:solidFill>
                </w14:textFill>
              </w:rPr>
              <w:t>-6</w:t>
            </w:r>
            <w:r>
              <w:rPr>
                <w:rFonts w:ascii="Times New Roman" w:hAnsi="Times New Roman" w:cs="Times New Roman"/>
                <w:color w:val="000000" w:themeColor="text1"/>
                <w:sz w:val="21"/>
                <w14:textFill>
                  <w14:solidFill>
                    <w14:schemeClr w14:val="tx1"/>
                  </w14:solidFill>
                </w14:textFill>
              </w:rPr>
              <w:t>/（m·a）</w:t>
            </w:r>
          </w:p>
        </w:tc>
      </w:tr>
      <w:tr w14:paraId="18CFE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2EA22E68">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 xml:space="preserve">75mm＜内径≤150mm </w:t>
            </w:r>
            <w:r>
              <w:rPr>
                <w:rFonts w:ascii="Times New Roman" w:hAnsi="Times New Roman" w:cs="Times New Roman"/>
                <w:color w:val="000000" w:themeColor="text1"/>
                <w:spacing w:val="-14"/>
                <w:sz w:val="21"/>
                <w14:textFill>
                  <w14:solidFill>
                    <w14:schemeClr w14:val="tx1"/>
                  </w14:solidFill>
                </w14:textFill>
              </w:rPr>
              <w:t>的</w:t>
            </w:r>
            <w:r>
              <w:rPr>
                <w:rFonts w:ascii="Times New Roman" w:hAnsi="Times New Roman" w:cs="Times New Roman"/>
                <w:color w:val="000000" w:themeColor="text1"/>
                <w:sz w:val="21"/>
                <w14:textFill>
                  <w14:solidFill>
                    <w14:schemeClr w14:val="tx1"/>
                  </w14:solidFill>
                </w14:textFill>
              </w:rPr>
              <w:t>管道</w:t>
            </w:r>
          </w:p>
        </w:tc>
        <w:tc>
          <w:tcPr>
            <w:tcW w:w="4718" w:type="dxa"/>
            <w:vAlign w:val="center"/>
          </w:tcPr>
          <w:p w14:paraId="34918C1C">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泄漏孔径为 10%孔径</w:t>
            </w:r>
          </w:p>
        </w:tc>
        <w:tc>
          <w:tcPr>
            <w:tcW w:w="1888" w:type="dxa"/>
            <w:vAlign w:val="center"/>
          </w:tcPr>
          <w:p w14:paraId="740A520A">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2.00×10</w:t>
            </w:r>
            <w:r>
              <w:rPr>
                <w:rFonts w:ascii="Times New Roman" w:hAnsi="Times New Roman" w:cs="Times New Roman"/>
                <w:color w:val="000000" w:themeColor="text1"/>
                <w:position w:val="7"/>
                <w:sz w:val="13"/>
                <w14:textFill>
                  <w14:solidFill>
                    <w14:schemeClr w14:val="tx1"/>
                  </w14:solidFill>
                </w14:textFill>
              </w:rPr>
              <w:t xml:space="preserve">-6 </w:t>
            </w:r>
            <w:r>
              <w:rPr>
                <w:rFonts w:ascii="Times New Roman" w:hAnsi="Times New Roman" w:cs="Times New Roman"/>
                <w:color w:val="000000" w:themeColor="text1"/>
                <w:sz w:val="21"/>
                <w14:textFill>
                  <w14:solidFill>
                    <w14:schemeClr w14:val="tx1"/>
                  </w14:solidFill>
                </w14:textFill>
              </w:rPr>
              <w:t>/（m·a）</w:t>
            </w:r>
          </w:p>
        </w:tc>
      </w:tr>
      <w:tr w14:paraId="0061D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22A1CFEE">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7B759C89">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全管径泄漏</w:t>
            </w:r>
          </w:p>
        </w:tc>
        <w:tc>
          <w:tcPr>
            <w:tcW w:w="1888" w:type="dxa"/>
            <w:vAlign w:val="center"/>
          </w:tcPr>
          <w:p w14:paraId="07188A91">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3.00×10</w:t>
            </w:r>
            <w:r>
              <w:rPr>
                <w:rFonts w:ascii="Times New Roman" w:hAnsi="Times New Roman" w:cs="Times New Roman"/>
                <w:color w:val="000000" w:themeColor="text1"/>
                <w:position w:val="7"/>
                <w:sz w:val="13"/>
                <w14:textFill>
                  <w14:solidFill>
                    <w14:schemeClr w14:val="tx1"/>
                  </w14:solidFill>
                </w14:textFill>
              </w:rPr>
              <w:t xml:space="preserve">-7 </w:t>
            </w:r>
            <w:r>
              <w:rPr>
                <w:rFonts w:ascii="Times New Roman" w:hAnsi="Times New Roman" w:cs="Times New Roman"/>
                <w:color w:val="000000" w:themeColor="text1"/>
                <w:sz w:val="21"/>
                <w14:textFill>
                  <w14:solidFill>
                    <w14:schemeClr w14:val="tx1"/>
                  </w14:solidFill>
                </w14:textFill>
              </w:rPr>
              <w:t>/（m·a）</w:t>
            </w:r>
          </w:p>
        </w:tc>
      </w:tr>
      <w:tr w14:paraId="66F9A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1455966C">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内径＞150mm 的管道</w:t>
            </w:r>
          </w:p>
        </w:tc>
        <w:tc>
          <w:tcPr>
            <w:tcW w:w="4718" w:type="dxa"/>
            <w:vAlign w:val="center"/>
          </w:tcPr>
          <w:p w14:paraId="47E3A98F">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泄漏孔径为 10%孔径（最大0 mm）</w:t>
            </w:r>
          </w:p>
        </w:tc>
        <w:tc>
          <w:tcPr>
            <w:tcW w:w="1888" w:type="dxa"/>
            <w:vAlign w:val="center"/>
          </w:tcPr>
          <w:p w14:paraId="4AECEA10">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2.40×10</w:t>
            </w:r>
            <w:r>
              <w:rPr>
                <w:rFonts w:ascii="Times New Roman" w:hAnsi="Times New Roman" w:cs="Times New Roman"/>
                <w:color w:val="000000" w:themeColor="text1"/>
                <w:position w:val="7"/>
                <w:sz w:val="13"/>
                <w14:textFill>
                  <w14:solidFill>
                    <w14:schemeClr w14:val="tx1"/>
                  </w14:solidFill>
                </w14:textFill>
              </w:rPr>
              <w:t xml:space="preserve">-6 </w:t>
            </w:r>
            <w:r>
              <w:rPr>
                <w:rFonts w:ascii="Times New Roman" w:hAnsi="Times New Roman" w:cs="Times New Roman"/>
                <w:color w:val="000000" w:themeColor="text1"/>
                <w:sz w:val="21"/>
                <w14:textFill>
                  <w14:solidFill>
                    <w14:schemeClr w14:val="tx1"/>
                  </w14:solidFill>
                </w14:textFill>
              </w:rPr>
              <w:t>/（m·a）*</w:t>
            </w:r>
          </w:p>
        </w:tc>
      </w:tr>
      <w:tr w14:paraId="3806B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4943D6C1">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6DE10F35">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全管径泄漏</w:t>
            </w:r>
          </w:p>
        </w:tc>
        <w:tc>
          <w:tcPr>
            <w:tcW w:w="1888" w:type="dxa"/>
            <w:vAlign w:val="center"/>
          </w:tcPr>
          <w:p w14:paraId="43FD8DD6">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1.00×10</w:t>
            </w:r>
            <w:r>
              <w:rPr>
                <w:rFonts w:ascii="Times New Roman" w:hAnsi="Times New Roman" w:cs="Times New Roman"/>
                <w:color w:val="000000" w:themeColor="text1"/>
                <w:position w:val="7"/>
                <w:sz w:val="13"/>
                <w14:textFill>
                  <w14:solidFill>
                    <w14:schemeClr w14:val="tx1"/>
                  </w14:solidFill>
                </w14:textFill>
              </w:rPr>
              <w:t>-7</w:t>
            </w:r>
            <w:r>
              <w:rPr>
                <w:rFonts w:ascii="Times New Roman" w:hAnsi="Times New Roman" w:cs="Times New Roman"/>
                <w:color w:val="000000" w:themeColor="text1"/>
                <w:sz w:val="21"/>
                <w14:textFill>
                  <w14:solidFill>
                    <w14:schemeClr w14:val="tx1"/>
                  </w14:solidFill>
                </w14:textFill>
              </w:rPr>
              <w:t>/（m·a）</w:t>
            </w:r>
          </w:p>
        </w:tc>
      </w:tr>
      <w:tr w14:paraId="7637F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7D046C4D">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泵体和压缩机</w:t>
            </w:r>
          </w:p>
        </w:tc>
        <w:tc>
          <w:tcPr>
            <w:tcW w:w="4718" w:type="dxa"/>
            <w:vAlign w:val="center"/>
          </w:tcPr>
          <w:p w14:paraId="22F9800E">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泵体和压缩机最大连接管泄漏孔径为10%孔径（最大50 mm）</w:t>
            </w:r>
          </w:p>
        </w:tc>
        <w:tc>
          <w:tcPr>
            <w:tcW w:w="1888" w:type="dxa"/>
            <w:vAlign w:val="center"/>
          </w:tcPr>
          <w:p w14:paraId="04CA867D">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5.00×10</w:t>
            </w:r>
            <w:r>
              <w:rPr>
                <w:rFonts w:ascii="Times New Roman" w:hAnsi="Times New Roman" w:cs="Times New Roman"/>
                <w:color w:val="000000" w:themeColor="text1"/>
                <w:position w:val="7"/>
                <w:sz w:val="13"/>
                <w14:textFill>
                  <w14:solidFill>
                    <w14:schemeClr w14:val="tx1"/>
                  </w14:solidFill>
                </w14:textFill>
              </w:rPr>
              <w:t xml:space="preserve">-4 </w:t>
            </w:r>
            <w:r>
              <w:rPr>
                <w:rFonts w:ascii="Times New Roman" w:hAnsi="Times New Roman" w:cs="Times New Roman"/>
                <w:color w:val="000000" w:themeColor="text1"/>
                <w:sz w:val="21"/>
                <w14:textFill>
                  <w14:solidFill>
                    <w14:schemeClr w14:val="tx1"/>
                  </w14:solidFill>
                </w14:textFill>
              </w:rPr>
              <w:t>/a</w:t>
            </w:r>
          </w:p>
        </w:tc>
      </w:tr>
      <w:tr w14:paraId="39B93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5174250A">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14DF3E64">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泵体和压缩机最大连接管全管径泄漏</w:t>
            </w:r>
          </w:p>
        </w:tc>
        <w:tc>
          <w:tcPr>
            <w:tcW w:w="1888" w:type="dxa"/>
            <w:vAlign w:val="center"/>
          </w:tcPr>
          <w:p w14:paraId="259B284E">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1.00×10</w:t>
            </w:r>
            <w:r>
              <w:rPr>
                <w:rFonts w:ascii="Times New Roman" w:hAnsi="Times New Roman" w:cs="Times New Roman"/>
                <w:color w:val="000000" w:themeColor="text1"/>
                <w:position w:val="7"/>
                <w:sz w:val="13"/>
                <w14:textFill>
                  <w14:solidFill>
                    <w14:schemeClr w14:val="tx1"/>
                  </w14:solidFill>
                </w14:textFill>
              </w:rPr>
              <w:t xml:space="preserve">-4 </w:t>
            </w:r>
            <w:r>
              <w:rPr>
                <w:rFonts w:ascii="Times New Roman" w:hAnsi="Times New Roman" w:cs="Times New Roman"/>
                <w:color w:val="000000" w:themeColor="text1"/>
                <w:sz w:val="21"/>
                <w14:textFill>
                  <w14:solidFill>
                    <w14:schemeClr w14:val="tx1"/>
                  </w14:solidFill>
                </w14:textFill>
              </w:rPr>
              <w:t>/a</w:t>
            </w:r>
          </w:p>
        </w:tc>
      </w:tr>
      <w:tr w14:paraId="360D8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7EA22C5F">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装卸臂</w:t>
            </w:r>
          </w:p>
        </w:tc>
        <w:tc>
          <w:tcPr>
            <w:tcW w:w="4718" w:type="dxa"/>
            <w:vAlign w:val="center"/>
          </w:tcPr>
          <w:p w14:paraId="3C57394F">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装卸臂连接管泄漏孔径为 10%孔径（最大50 mm）</w:t>
            </w:r>
          </w:p>
        </w:tc>
        <w:tc>
          <w:tcPr>
            <w:tcW w:w="1888" w:type="dxa"/>
            <w:vAlign w:val="center"/>
          </w:tcPr>
          <w:p w14:paraId="39701C62">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3.00×10</w:t>
            </w:r>
            <w:r>
              <w:rPr>
                <w:rFonts w:ascii="Times New Roman" w:hAnsi="Times New Roman" w:cs="Times New Roman"/>
                <w:color w:val="000000" w:themeColor="text1"/>
                <w:position w:val="7"/>
                <w:sz w:val="13"/>
                <w14:textFill>
                  <w14:solidFill>
                    <w14:schemeClr w14:val="tx1"/>
                  </w14:solidFill>
                </w14:textFill>
              </w:rPr>
              <w:t xml:space="preserve">-7 </w:t>
            </w:r>
            <w:r>
              <w:rPr>
                <w:rFonts w:ascii="Times New Roman" w:hAnsi="Times New Roman" w:cs="Times New Roman"/>
                <w:color w:val="000000" w:themeColor="text1"/>
                <w:sz w:val="21"/>
                <w14:textFill>
                  <w14:solidFill>
                    <w14:schemeClr w14:val="tx1"/>
                  </w14:solidFill>
                </w14:textFill>
              </w:rPr>
              <w:t>/h</w:t>
            </w:r>
          </w:p>
        </w:tc>
      </w:tr>
      <w:tr w14:paraId="58D70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54D8D120">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309D05B8">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装卸臂全管径泄漏</w:t>
            </w:r>
          </w:p>
        </w:tc>
        <w:tc>
          <w:tcPr>
            <w:tcW w:w="1888" w:type="dxa"/>
            <w:vAlign w:val="center"/>
          </w:tcPr>
          <w:p w14:paraId="180E2B53">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3.00×10</w:t>
            </w:r>
            <w:r>
              <w:rPr>
                <w:rFonts w:ascii="Times New Roman" w:hAnsi="Times New Roman" w:cs="Times New Roman"/>
                <w:color w:val="000000" w:themeColor="text1"/>
                <w:position w:val="7"/>
                <w:sz w:val="13"/>
                <w14:textFill>
                  <w14:solidFill>
                    <w14:schemeClr w14:val="tx1"/>
                  </w14:solidFill>
                </w14:textFill>
              </w:rPr>
              <w:t>-8</w:t>
            </w:r>
            <w:r>
              <w:rPr>
                <w:rFonts w:ascii="Times New Roman" w:hAnsi="Times New Roman" w:cs="Times New Roman"/>
                <w:color w:val="000000" w:themeColor="text1"/>
                <w:sz w:val="21"/>
                <w14:textFill>
                  <w14:solidFill>
                    <w14:schemeClr w14:val="tx1"/>
                  </w14:solidFill>
                </w14:textFill>
              </w:rPr>
              <w:t>/h</w:t>
            </w:r>
          </w:p>
        </w:tc>
      </w:tr>
      <w:tr w14:paraId="52C72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restart"/>
            <w:vAlign w:val="center"/>
          </w:tcPr>
          <w:p w14:paraId="19FDC3D9">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装卸软管</w:t>
            </w:r>
          </w:p>
        </w:tc>
        <w:tc>
          <w:tcPr>
            <w:tcW w:w="4718" w:type="dxa"/>
            <w:vAlign w:val="center"/>
          </w:tcPr>
          <w:p w14:paraId="7C75C78A">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装卸软管连接管泄漏孔径为10%孔径（最大50mm）</w:t>
            </w:r>
          </w:p>
        </w:tc>
        <w:tc>
          <w:tcPr>
            <w:tcW w:w="1888" w:type="dxa"/>
            <w:vAlign w:val="center"/>
          </w:tcPr>
          <w:p w14:paraId="1E24CA07">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4.00×10</w:t>
            </w:r>
            <w:r>
              <w:rPr>
                <w:rFonts w:ascii="Times New Roman" w:hAnsi="Times New Roman" w:cs="Times New Roman"/>
                <w:color w:val="000000" w:themeColor="text1"/>
                <w:position w:val="7"/>
                <w:sz w:val="13"/>
                <w14:textFill>
                  <w14:solidFill>
                    <w14:schemeClr w14:val="tx1"/>
                  </w14:solidFill>
                </w14:textFill>
              </w:rPr>
              <w:t xml:space="preserve">-5 </w:t>
            </w:r>
            <w:r>
              <w:rPr>
                <w:rFonts w:ascii="Times New Roman" w:hAnsi="Times New Roman" w:cs="Times New Roman"/>
                <w:color w:val="000000" w:themeColor="text1"/>
                <w:sz w:val="21"/>
                <w14:textFill>
                  <w14:solidFill>
                    <w14:schemeClr w14:val="tx1"/>
                  </w14:solidFill>
                </w14:textFill>
              </w:rPr>
              <w:t>/h</w:t>
            </w:r>
          </w:p>
        </w:tc>
      </w:tr>
      <w:tr w14:paraId="13312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721" w:type="dxa"/>
            <w:vMerge w:val="continue"/>
            <w:vAlign w:val="center"/>
          </w:tcPr>
          <w:p w14:paraId="66ABEDAB">
            <w:pPr>
              <w:jc w:val="center"/>
              <w:rPr>
                <w:rFonts w:ascii="Times New Roman" w:hAnsi="Times New Roman" w:cs="Times New Roman"/>
                <w:color w:val="000000" w:themeColor="text1"/>
                <w:sz w:val="2"/>
                <w:szCs w:val="2"/>
                <w14:textFill>
                  <w14:solidFill>
                    <w14:schemeClr w14:val="tx1"/>
                  </w14:solidFill>
                </w14:textFill>
              </w:rPr>
            </w:pPr>
          </w:p>
        </w:tc>
        <w:tc>
          <w:tcPr>
            <w:tcW w:w="4718" w:type="dxa"/>
            <w:vAlign w:val="center"/>
          </w:tcPr>
          <w:p w14:paraId="21034144">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装卸软管全管径泄漏</w:t>
            </w:r>
          </w:p>
        </w:tc>
        <w:tc>
          <w:tcPr>
            <w:tcW w:w="1888" w:type="dxa"/>
            <w:vAlign w:val="center"/>
          </w:tcPr>
          <w:p w14:paraId="256FBB3C">
            <w:pPr>
              <w:pStyle w:val="146"/>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4.00×10</w:t>
            </w:r>
            <w:r>
              <w:rPr>
                <w:rFonts w:ascii="Times New Roman" w:hAnsi="Times New Roman" w:cs="Times New Roman"/>
                <w:color w:val="000000" w:themeColor="text1"/>
                <w:position w:val="7"/>
                <w:sz w:val="13"/>
                <w14:textFill>
                  <w14:solidFill>
                    <w14:schemeClr w14:val="tx1"/>
                  </w14:solidFill>
                </w14:textFill>
              </w:rPr>
              <w:t>-6</w:t>
            </w:r>
            <w:r>
              <w:rPr>
                <w:rFonts w:ascii="Times New Roman" w:hAnsi="Times New Roman" w:cs="Times New Roman"/>
                <w:color w:val="000000" w:themeColor="text1"/>
                <w:sz w:val="21"/>
                <w14:textFill>
                  <w14:solidFill>
                    <w14:schemeClr w14:val="tx1"/>
                  </w14:solidFill>
                </w14:textFill>
              </w:rPr>
              <w:t>/h</w:t>
            </w:r>
          </w:p>
        </w:tc>
      </w:tr>
    </w:tbl>
    <w:p w14:paraId="6AA6D2B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本项目主要危险单元为储罐</w:t>
      </w:r>
      <w:r>
        <w:rPr>
          <w:rFonts w:hint="eastAsia" w:ascii="Times New Roman" w:hAnsi="Times New Roman" w:cs="Times New Roman"/>
          <w:color w:val="000000" w:themeColor="text1"/>
          <w14:textFill>
            <w14:solidFill>
              <w14:schemeClr w14:val="tx1"/>
            </w14:solidFill>
          </w14:textFill>
        </w:rPr>
        <w:t>区</w:t>
      </w:r>
      <w:r>
        <w:rPr>
          <w:rFonts w:ascii="Times New Roman" w:hAnsi="Times New Roman" w:cs="Times New Roman"/>
          <w:color w:val="000000" w:themeColor="text1"/>
          <w14:textFill>
            <w14:solidFill>
              <w14:schemeClr w14:val="tx1"/>
            </w14:solidFill>
          </w14:textFill>
        </w:rPr>
        <w:t>，储罐区因地质条件或罐底和边坡防渗设施破损，根据风险专题表7-1项目涉及的货种的</w:t>
      </w:r>
      <w:r>
        <w:rPr>
          <w:rFonts w:hint="eastAsia" w:ascii="Times New Roman" w:hAnsi="Times New Roman" w:cs="Times New Roman"/>
          <w:color w:val="000000" w:themeColor="text1"/>
          <w14:textFill>
            <w14:solidFill>
              <w14:schemeClr w14:val="tx1"/>
            </w14:solidFill>
          </w14:textFill>
        </w:rPr>
        <w:t>理化性质</w:t>
      </w:r>
      <w:r>
        <w:rPr>
          <w:rFonts w:ascii="Times New Roman" w:hAnsi="Times New Roman" w:cs="Times New Roman"/>
          <w:color w:val="000000" w:themeColor="text1"/>
          <w14:textFill>
            <w14:solidFill>
              <w14:schemeClr w14:val="tx1"/>
            </w14:solidFill>
          </w14:textFill>
        </w:rPr>
        <w:t>，综合考虑物料的最大储存量、毒性、挥发性等因素</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按最不利影响考虑，</w:t>
      </w:r>
      <w:r>
        <w:rPr>
          <w:rFonts w:hint="eastAsia" w:ascii="Times New Roman" w:hAnsi="Times New Roman" w:cs="Times New Roman"/>
          <w:color w:val="000000" w:themeColor="text1"/>
          <w14:textFill>
            <w14:solidFill>
              <w14:schemeClr w14:val="tx1"/>
            </w14:solidFill>
          </w14:textFill>
        </w:rPr>
        <w:t>本项目选取液硫、发烟硫酸、苯酚、己内酰胺</w:t>
      </w:r>
      <w:r>
        <w:rPr>
          <w:rFonts w:ascii="Times New Roman" w:hAnsi="Times New Roman" w:cs="Times New Roman"/>
          <w:color w:val="000000" w:themeColor="text1"/>
          <w14:textFill>
            <w14:solidFill>
              <w14:schemeClr w14:val="tx1"/>
            </w14:solidFill>
          </w14:textFill>
        </w:rPr>
        <w:t>发生泄漏事故作为最大可信事故进行定量预测</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本项目最大可信事故发生概率为1.00×</w:t>
      </w:r>
      <w:r>
        <w:rPr>
          <w:rFonts w:hint="eastAsia" w:ascii="Times New Roman" w:hAnsi="Times New Roman" w:cs="Times New Roman"/>
          <w:color w:val="000000" w:themeColor="text1"/>
          <w14:textFill>
            <w14:solidFill>
              <w14:schemeClr w14:val="tx1"/>
            </w14:solidFill>
          </w14:textFill>
        </w:rPr>
        <w:t>10</w:t>
      </w:r>
      <w:r>
        <w:rPr>
          <w:rFonts w:hint="eastAsia" w:ascii="Times New Roman" w:hAnsi="Times New Roman" w:cs="Times New Roman"/>
          <w:color w:val="000000" w:themeColor="text1"/>
          <w:vertAlign w:val="superscript"/>
          <w14:textFill>
            <w14:solidFill>
              <w14:schemeClr w14:val="tx1"/>
            </w14:solidFill>
          </w14:textFill>
        </w:rPr>
        <w:t>-4</w:t>
      </w:r>
      <w:r>
        <w:rPr>
          <w:rFonts w:ascii="Times New Roman" w:hAnsi="Times New Roman" w:cs="Times New Roman"/>
          <w:color w:val="000000" w:themeColor="text1"/>
          <w:position w:val="7"/>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/a。</w:t>
      </w:r>
    </w:p>
    <w:p w14:paraId="25B4338F">
      <w:pPr>
        <w:pStyle w:val="346"/>
        <w:rPr>
          <w:color w:val="000000" w:themeColor="text1"/>
          <w14:textFill>
            <w14:solidFill>
              <w14:schemeClr w14:val="tx1"/>
            </w14:solidFill>
          </w14:textFill>
        </w:rPr>
      </w:pPr>
      <w:bookmarkStart w:id="169" w:name="_Toc144375247"/>
      <w:r>
        <w:rPr>
          <w:color w:val="000000" w:themeColor="text1"/>
          <w14:textFill>
            <w14:solidFill>
              <w14:schemeClr w14:val="tx1"/>
            </w14:solidFill>
          </w14:textFill>
        </w:rPr>
        <w:t>8.2 源项分析</w:t>
      </w:r>
      <w:bookmarkEnd w:id="169"/>
    </w:p>
    <w:p w14:paraId="4D1AFFF1">
      <w:pPr>
        <w:pStyle w:val="4003"/>
        <w:rPr>
          <w:color w:val="000000" w:themeColor="text1"/>
          <w14:textFill>
            <w14:solidFill>
              <w14:schemeClr w14:val="tx1"/>
            </w14:solidFill>
          </w14:textFill>
        </w:rPr>
      </w:pPr>
      <w:r>
        <w:rPr>
          <w:color w:val="000000" w:themeColor="text1"/>
          <w14:textFill>
            <w14:solidFill>
              <w14:schemeClr w14:val="tx1"/>
            </w14:solidFill>
          </w14:textFill>
        </w:rPr>
        <w:t>8.2.1泄漏事故源强</w:t>
      </w:r>
    </w:p>
    <w:p w14:paraId="64983E7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根据最大可信事故，本项目选取</w:t>
      </w:r>
      <w:r>
        <w:rPr>
          <w:rFonts w:hint="eastAsia" w:ascii="Times New Roman" w:hAnsi="Times New Roman" w:cs="Times New Roman"/>
          <w:color w:val="000000" w:themeColor="text1"/>
          <w14:textFill>
            <w14:solidFill>
              <w14:schemeClr w14:val="tx1"/>
            </w14:solidFill>
          </w14:textFill>
        </w:rPr>
        <w:t>液硫、发烟硫酸、苯酚、己内酰胺</w:t>
      </w:r>
      <w:r>
        <w:rPr>
          <w:rFonts w:ascii="Times New Roman" w:hAnsi="Times New Roman" w:cs="Times New Roman"/>
          <w:color w:val="000000" w:themeColor="text1"/>
          <w14:textFill>
            <w14:solidFill>
              <w14:schemeClr w14:val="tx1"/>
            </w14:solidFill>
          </w14:textFill>
        </w:rPr>
        <w:t>作为泄漏液体进行预测。</w:t>
      </w:r>
    </w:p>
    <w:p w14:paraId="4818F746">
      <w:pPr>
        <w:spacing w:line="360" w:lineRule="auto"/>
        <w:ind w:firstLine="480" w:firstLineChars="200"/>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（1）泄漏量确定</w:t>
      </w:r>
    </w:p>
    <w:p w14:paraId="6E9B29F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t>本项目厂区均设有可燃和有毒气体报警装置、分散型控制系统（DCS）、安全联锁系统（SIS）等监控系统，常备应急物资和抢救装置，并有工作人员定期巡查。</w:t>
      </w:r>
      <w:r>
        <w:rPr>
          <w:rFonts w:ascii="Times New Roman" w:hAnsi="Times New Roman" w:cs="Times New Roman"/>
          <w:color w:val="000000" w:themeColor="text1"/>
          <w14:textFill>
            <w14:solidFill>
              <w14:schemeClr w14:val="tx1"/>
            </w14:solidFill>
          </w14:textFill>
        </w:rPr>
        <w:t>根据《建设项目环境风险评价技术导则》（HJ169-2018）的规定：“泄漏时间应结合建设项目探测和隔离系统的设计原则确定。一般情况下，设置紧急隔离系统的单元，泄漏时间可设定为10min；未设置紧急隔离系统的单元，泄漏时间可设定为30min。”。本评价以</w:t>
      </w:r>
      <w:r>
        <w:rPr>
          <w:rFonts w:ascii="Times New Roman" w:hAnsi="Times New Roman" w:cs="Times New Roman"/>
          <w:snapToGrid w:val="0"/>
          <w:color w:val="000000" w:themeColor="text1"/>
          <w14:textFill>
            <w14:solidFill>
              <w14:schemeClr w14:val="tx1"/>
            </w14:solidFill>
          </w14:textFill>
        </w:rPr>
        <w:t>泄漏物质处理完成时间为10min计，</w:t>
      </w:r>
      <w:r>
        <w:rPr>
          <w:rFonts w:ascii="Times New Roman" w:hAnsi="Times New Roman" w:cs="Times New Roman"/>
          <w:color w:val="000000" w:themeColor="text1"/>
          <w14:textFill>
            <w14:solidFill>
              <w14:schemeClr w14:val="tx1"/>
            </w14:solidFill>
          </w14:textFill>
        </w:rPr>
        <w:t>泄漏液体蒸发时间保守按30min考虑。</w:t>
      </w:r>
    </w:p>
    <w:p w14:paraId="6E06E93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泄漏孔径设为直径 10mm 的圆形，事故发生后，立即采取措施切断泄漏源，在10min内泄漏得到完全控制。</w:t>
      </w:r>
    </w:p>
    <w:p w14:paraId="29AD077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泄漏量采用《建设项目环境风险评价技术导则》（HJT169-2018）附录F.1推荐的方法进行计算，液体泄漏速度Q</w:t>
      </w:r>
      <w:r>
        <w:rPr>
          <w:rFonts w:ascii="Times New Roman" w:hAnsi="Times New Roman" w:cs="Times New Roman"/>
          <w:color w:val="000000" w:themeColor="text1"/>
          <w:vertAlign w:val="subscript"/>
          <w14:textFill>
            <w14:solidFill>
              <w14:schemeClr w14:val="tx1"/>
            </w14:solidFill>
          </w14:textFill>
        </w:rPr>
        <w:t>L</w:t>
      </w:r>
      <w:r>
        <w:rPr>
          <w:rFonts w:ascii="Times New Roman" w:hAnsi="Times New Roman" w:cs="Times New Roman"/>
          <w:color w:val="000000" w:themeColor="text1"/>
          <w14:textFill>
            <w14:solidFill>
              <w14:schemeClr w14:val="tx1"/>
            </w14:solidFill>
          </w14:textFill>
        </w:rPr>
        <w:t>用伯努利方程计算：</w:t>
      </w:r>
    </w:p>
    <w:p w14:paraId="1098F055">
      <w:pPr>
        <w:spacing w:line="360" w:lineRule="auto"/>
        <w:jc w:val="center"/>
        <w:rPr>
          <w:rFonts w:ascii="Times New Roman" w:hAnsi="Times New Roman" w:cs="Times New Roman"/>
          <w:i/>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2838450" cy="67500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2"/>
                    <a:stretch>
                      <a:fillRect/>
                    </a:stretch>
                  </pic:blipFill>
                  <pic:spPr>
                    <a:xfrm>
                      <a:off x="0" y="0"/>
                      <a:ext cx="2854359" cy="679231"/>
                    </a:xfrm>
                    <a:prstGeom prst="rect">
                      <a:avLst/>
                    </a:prstGeom>
                  </pic:spPr>
                </pic:pic>
              </a:graphicData>
            </a:graphic>
          </wp:inline>
        </w:drawing>
      </w:r>
    </w:p>
    <w:p w14:paraId="700067E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式中：QL—液体泄漏速度，kg/s；</w:t>
      </w:r>
    </w:p>
    <w:p w14:paraId="2BF463D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C</w:t>
      </w:r>
      <w:r>
        <w:rPr>
          <w:rFonts w:ascii="Times New Roman" w:hAnsi="Times New Roman" w:cs="Times New Roman"/>
          <w:i/>
          <w:color w:val="000000" w:themeColor="text1"/>
          <w:vertAlign w:val="subscript"/>
          <w14:textFill>
            <w14:solidFill>
              <w14:schemeClr w14:val="tx1"/>
            </w14:solidFill>
          </w14:textFill>
        </w:rPr>
        <w:t>d</w:t>
      </w:r>
      <w:r>
        <w:rPr>
          <w:rFonts w:ascii="Times New Roman" w:hAnsi="Times New Roman" w:cs="Times New Roman"/>
          <w:color w:val="000000" w:themeColor="text1"/>
          <w14:textFill>
            <w14:solidFill>
              <w14:schemeClr w14:val="tx1"/>
            </w14:solidFill>
          </w14:textFill>
        </w:rPr>
        <w:t>——液体泄漏系数，圆形或多边形为0.65，三角形为0.60，长方形为0.55，本次取0.65；</w:t>
      </w:r>
    </w:p>
    <w:p w14:paraId="22A6340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A</w:t>
      </w:r>
      <w:r>
        <w:rPr>
          <w:rFonts w:ascii="Times New Roman" w:hAnsi="Times New Roman" w:cs="Times New Roman"/>
          <w:color w:val="000000" w:themeColor="text1"/>
          <w14:textFill>
            <w14:solidFill>
              <w14:schemeClr w14:val="tx1"/>
            </w14:solidFill>
          </w14:textFill>
        </w:rPr>
        <w:t>——裂口面积，m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，泄漏点设为直径10mm 的圆形，裂口面积为7.85×10</w:t>
      </w:r>
      <w:r>
        <w:rPr>
          <w:rFonts w:ascii="Times New Roman" w:hAnsi="Times New Roman" w:cs="Times New Roman"/>
          <w:color w:val="000000" w:themeColor="text1"/>
          <w:vertAlign w:val="superscript"/>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632EBB3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ρ</w:t>
      </w:r>
      <w:r>
        <w:rPr>
          <w:rFonts w:ascii="Times New Roman" w:hAnsi="Times New Roman" w:cs="Times New Roman"/>
          <w:color w:val="000000" w:themeColor="text1"/>
          <w14:textFill>
            <w14:solidFill>
              <w14:schemeClr w14:val="tx1"/>
            </w14:solidFill>
          </w14:textFill>
        </w:rPr>
        <w:t>——泄漏液体密度，kg/m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16D0B58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P</w:t>
      </w:r>
      <w:r>
        <w:rPr>
          <w:rFonts w:ascii="Times New Roman" w:hAnsi="Times New Roman" w:cs="Times New Roman"/>
          <w:color w:val="000000" w:themeColor="text1"/>
          <w14:textFill>
            <w14:solidFill>
              <w14:schemeClr w14:val="tx1"/>
            </w14:solidFill>
          </w14:textFill>
        </w:rPr>
        <w:t>——容器内介质压力，Pa，本项目为常压容器；</w:t>
      </w:r>
    </w:p>
    <w:p w14:paraId="53968A2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P</w:t>
      </w:r>
      <w:r>
        <w:rPr>
          <w:rFonts w:ascii="Times New Roman" w:hAnsi="Times New Roman" w:cs="Times New Roman"/>
          <w:i/>
          <w:color w:val="000000" w:themeColor="text1"/>
          <w:vertAlign w:val="subscript"/>
          <w14:textFill>
            <w14:solidFill>
              <w14:schemeClr w14:val="tx1"/>
            </w14:solidFill>
          </w14:textFill>
        </w:rPr>
        <w:t>o</w:t>
      </w:r>
      <w:r>
        <w:rPr>
          <w:rFonts w:ascii="Times New Roman" w:hAnsi="Times New Roman" w:cs="Times New Roman"/>
          <w:color w:val="000000" w:themeColor="text1"/>
          <w14:textFill>
            <w14:solidFill>
              <w14:schemeClr w14:val="tx1"/>
            </w14:solidFill>
          </w14:textFill>
        </w:rPr>
        <w:t>——环境压力，Pa，101325Pa；</w:t>
      </w:r>
    </w:p>
    <w:p w14:paraId="7065799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g</w:t>
      </w:r>
      <w:r>
        <w:rPr>
          <w:rFonts w:ascii="Times New Roman" w:hAnsi="Times New Roman" w:cs="Times New Roman"/>
          <w:color w:val="000000" w:themeColor="text1"/>
          <w14:textFill>
            <w14:solidFill>
              <w14:schemeClr w14:val="tx1"/>
            </w14:solidFill>
          </w14:textFill>
        </w:rPr>
        <w:t>——重力加速度，g=9.81m/s</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p>
    <w:p w14:paraId="3929210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h</w:t>
      </w:r>
      <w:r>
        <w:rPr>
          <w:rFonts w:ascii="Times New Roman" w:hAnsi="Times New Roman" w:cs="Times New Roman"/>
          <w:color w:val="000000" w:themeColor="text1"/>
          <w14:textFill>
            <w14:solidFill>
              <w14:schemeClr w14:val="tx1"/>
            </w14:solidFill>
          </w14:textFill>
        </w:rPr>
        <w:t>——裂口之上液位高度，m，按储罐高度的1/3。</w:t>
      </w:r>
    </w:p>
    <w:p w14:paraId="30D3A421">
      <w:pPr>
        <w:pStyle w:val="174"/>
        <w:spacing w:before="48" w:after="48"/>
        <w:ind w:firstLine="420"/>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表8-3</w:t>
      </w:r>
      <w:r>
        <w:rPr>
          <w:rFonts w:ascii="Times New Roman" w:hAnsi="Times New Roman" w:cs="Times New Roman" w:eastAsiaTheme="minorEastAsia"/>
          <w:bCs/>
          <w:color w:val="000000" w:themeColor="text1"/>
          <w:szCs w:val="21"/>
          <w14:textFill>
            <w14:solidFill>
              <w14:schemeClr w14:val="tx1"/>
            </w14:solidFill>
          </w14:textFill>
        </w:rPr>
        <w:t>物质</w:t>
      </w:r>
      <w:r>
        <w:rPr>
          <w:rFonts w:ascii="Times New Roman" w:hAnsi="Times New Roman" w:cs="Times New Roman"/>
          <w:bCs/>
          <w:color w:val="000000" w:themeColor="text1"/>
          <w:szCs w:val="21"/>
          <w14:textFill>
            <w14:solidFill>
              <w14:schemeClr w14:val="tx1"/>
            </w14:solidFill>
          </w14:textFill>
        </w:rPr>
        <w:t>泄漏事故时的泄漏速率计算一览表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 w:type="dxa"/>
          <w:bottom w:w="0" w:type="dxa"/>
          <w:right w:w="6" w:type="dxa"/>
        </w:tblCellMar>
      </w:tblPr>
      <w:tblGrid>
        <w:gridCol w:w="879"/>
        <w:gridCol w:w="754"/>
        <w:gridCol w:w="923"/>
        <w:gridCol w:w="767"/>
        <w:gridCol w:w="874"/>
        <w:gridCol w:w="1103"/>
        <w:gridCol w:w="1102"/>
        <w:gridCol w:w="1008"/>
        <w:gridCol w:w="909"/>
      </w:tblGrid>
      <w:tr w14:paraId="0161C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879" w:type="dxa"/>
            <w:tcBorders>
              <w:top w:val="single" w:color="auto" w:sz="4" w:space="0"/>
              <w:left w:val="single" w:color="auto" w:sz="4" w:space="0"/>
              <w:bottom w:val="single" w:color="auto" w:sz="4" w:space="0"/>
              <w:right w:val="single" w:color="auto" w:sz="4" w:space="0"/>
            </w:tcBorders>
            <w:vAlign w:val="center"/>
          </w:tcPr>
          <w:p w14:paraId="2FEE674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泄漏物</w:t>
            </w:r>
          </w:p>
        </w:tc>
        <w:tc>
          <w:tcPr>
            <w:tcW w:w="754" w:type="dxa"/>
            <w:tcBorders>
              <w:top w:val="single" w:color="auto" w:sz="4" w:space="0"/>
              <w:left w:val="single" w:color="auto" w:sz="4" w:space="0"/>
              <w:bottom w:val="single" w:color="auto" w:sz="4" w:space="0"/>
              <w:right w:val="single" w:color="auto" w:sz="4" w:space="0"/>
            </w:tcBorders>
            <w:vAlign w:val="center"/>
          </w:tcPr>
          <w:p w14:paraId="51EFA9D8">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储存</w:t>
            </w:r>
          </w:p>
          <w:p w14:paraId="6CFD8B85">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方式</w:t>
            </w:r>
          </w:p>
        </w:tc>
        <w:tc>
          <w:tcPr>
            <w:tcW w:w="923" w:type="dxa"/>
            <w:tcBorders>
              <w:top w:val="single" w:color="auto" w:sz="4" w:space="0"/>
              <w:left w:val="single" w:color="auto" w:sz="4" w:space="0"/>
              <w:bottom w:val="single" w:color="auto" w:sz="4" w:space="0"/>
              <w:right w:val="single" w:color="auto" w:sz="4" w:space="0"/>
            </w:tcBorders>
            <w:vAlign w:val="center"/>
          </w:tcPr>
          <w:p w14:paraId="081D553F">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裂口面积</w:t>
            </w:r>
            <w:r>
              <w:rPr>
                <w:rFonts w:ascii="Times New Roman" w:hAnsi="Times New Roman" w:cs="Times New Roman"/>
                <w:color w:val="000000" w:themeColor="text1"/>
                <w:sz w:val="21"/>
                <w:szCs w:val="21"/>
                <w14:textFill>
                  <w14:solidFill>
                    <w14:schemeClr w14:val="tx1"/>
                  </w14:solidFill>
                </w14:textFill>
              </w:rPr>
              <w:t>m</w:t>
            </w:r>
            <w:r>
              <w:rPr>
                <w:rFonts w:ascii="Times New Roman" w:hAnsi="Times New Roman" w:cs="Times New Roman"/>
                <w:color w:val="000000" w:themeColor="text1"/>
                <w:sz w:val="21"/>
                <w:szCs w:val="21"/>
                <w:vertAlign w:val="superscript"/>
                <w14:textFill>
                  <w14:solidFill>
                    <w14:schemeClr w14:val="tx1"/>
                  </w14:solidFill>
                </w14:textFill>
              </w:rPr>
              <w:t>2</w:t>
            </w:r>
          </w:p>
        </w:tc>
        <w:tc>
          <w:tcPr>
            <w:tcW w:w="767" w:type="dxa"/>
            <w:tcBorders>
              <w:top w:val="single" w:color="auto" w:sz="4" w:space="0"/>
              <w:left w:val="single" w:color="auto" w:sz="4" w:space="0"/>
              <w:bottom w:val="single" w:color="auto" w:sz="4" w:space="0"/>
              <w:right w:val="single" w:color="auto" w:sz="4" w:space="0"/>
            </w:tcBorders>
            <w:vAlign w:val="center"/>
          </w:tcPr>
          <w:p w14:paraId="09F6F924">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液体密度</w:t>
            </w:r>
            <w:r>
              <w:rPr>
                <w:rFonts w:ascii="Times New Roman" w:hAnsi="Times New Roman" w:cs="Times New Roman"/>
                <w:color w:val="000000" w:themeColor="text1"/>
                <w:sz w:val="21"/>
                <w:szCs w:val="21"/>
                <w14:textFill>
                  <w14:solidFill>
                    <w14:schemeClr w14:val="tx1"/>
                  </w14:solidFill>
                </w14:textFill>
              </w:rPr>
              <w:t>kg/m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874" w:type="dxa"/>
            <w:tcBorders>
              <w:top w:val="single" w:color="auto" w:sz="4" w:space="0"/>
              <w:left w:val="single" w:color="auto" w:sz="4" w:space="0"/>
              <w:bottom w:val="single" w:color="auto" w:sz="4" w:space="0"/>
              <w:right w:val="single" w:color="auto" w:sz="4" w:space="0"/>
            </w:tcBorders>
            <w:vAlign w:val="center"/>
          </w:tcPr>
          <w:p w14:paraId="30A92AFB">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容器内压力</w:t>
            </w:r>
            <w:r>
              <w:rPr>
                <w:rFonts w:ascii="Times New Roman" w:hAnsi="Times New Roman" w:cs="Times New Roman"/>
                <w:color w:val="000000" w:themeColor="text1"/>
                <w:sz w:val="21"/>
                <w:szCs w:val="21"/>
                <w14:textFill>
                  <w14:solidFill>
                    <w14:schemeClr w14:val="tx1"/>
                  </w14:solidFill>
                </w14:textFill>
              </w:rPr>
              <w:t>Pa</w:t>
            </w:r>
          </w:p>
        </w:tc>
        <w:tc>
          <w:tcPr>
            <w:tcW w:w="1103" w:type="dxa"/>
            <w:tcBorders>
              <w:top w:val="single" w:color="auto" w:sz="4" w:space="0"/>
              <w:left w:val="single" w:color="auto" w:sz="4" w:space="0"/>
              <w:bottom w:val="single" w:color="auto" w:sz="4" w:space="0"/>
              <w:right w:val="single" w:color="auto" w:sz="4" w:space="0"/>
            </w:tcBorders>
            <w:vAlign w:val="center"/>
          </w:tcPr>
          <w:p w14:paraId="2A536105">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环境压力</w:t>
            </w:r>
          </w:p>
          <w:p w14:paraId="4318A85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Pa</w:t>
            </w:r>
          </w:p>
        </w:tc>
        <w:tc>
          <w:tcPr>
            <w:tcW w:w="1102" w:type="dxa"/>
            <w:tcBorders>
              <w:top w:val="single" w:color="auto" w:sz="4" w:space="0"/>
              <w:left w:val="single" w:color="auto" w:sz="4" w:space="0"/>
              <w:bottom w:val="single" w:color="auto" w:sz="4" w:space="0"/>
              <w:right w:val="single" w:color="auto" w:sz="4" w:space="0"/>
            </w:tcBorders>
            <w:vAlign w:val="center"/>
          </w:tcPr>
          <w:p w14:paraId="2F02FCBF">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裂口之上液位高度</w:t>
            </w:r>
            <w:r>
              <w:rPr>
                <w:rFonts w:ascii="Times New Roman" w:hAnsi="Times New Roman" w:cs="Times New Roman"/>
                <w:color w:val="000000" w:themeColor="text1"/>
                <w:sz w:val="21"/>
                <w:szCs w:val="21"/>
                <w14:textFill>
                  <w14:solidFill>
                    <w14:schemeClr w14:val="tx1"/>
                  </w14:solidFill>
                </w14:textFill>
              </w:rPr>
              <w:t>m</w:t>
            </w:r>
          </w:p>
        </w:tc>
        <w:tc>
          <w:tcPr>
            <w:tcW w:w="1008" w:type="dxa"/>
            <w:tcBorders>
              <w:top w:val="single" w:color="auto" w:sz="4" w:space="0"/>
              <w:left w:val="single" w:color="auto" w:sz="4" w:space="0"/>
              <w:bottom w:val="single" w:color="auto" w:sz="4" w:space="0"/>
              <w:right w:val="single" w:color="auto" w:sz="4" w:space="0"/>
            </w:tcBorders>
            <w:vAlign w:val="center"/>
          </w:tcPr>
          <w:p w14:paraId="37D87718">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液体泄漏速度</w:t>
            </w:r>
            <w:r>
              <w:rPr>
                <w:rFonts w:ascii="Times New Roman" w:hAnsi="Times New Roman" w:cs="Times New Roman"/>
                <w:color w:val="000000" w:themeColor="text1"/>
                <w:sz w:val="21"/>
                <w:szCs w:val="21"/>
                <w14:textFill>
                  <w14:solidFill>
                    <w14:schemeClr w14:val="tx1"/>
                  </w14:solidFill>
                </w14:textFill>
              </w:rPr>
              <w:t>kg/s</w:t>
            </w:r>
          </w:p>
        </w:tc>
        <w:tc>
          <w:tcPr>
            <w:tcW w:w="909" w:type="dxa"/>
            <w:tcBorders>
              <w:top w:val="single" w:color="auto" w:sz="4" w:space="0"/>
              <w:left w:val="single" w:color="auto" w:sz="4" w:space="0"/>
              <w:bottom w:val="single" w:color="auto" w:sz="4" w:space="0"/>
              <w:right w:val="single" w:color="auto" w:sz="4" w:space="0"/>
            </w:tcBorders>
            <w:vAlign w:val="center"/>
          </w:tcPr>
          <w:p w14:paraId="0CADB5EB">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泄漏量</w:t>
            </w:r>
          </w:p>
          <w:p w14:paraId="560F1844">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kg</w:t>
            </w:r>
          </w:p>
        </w:tc>
      </w:tr>
      <w:tr w14:paraId="423BF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879" w:type="dxa"/>
            <w:tcBorders>
              <w:top w:val="single" w:color="auto" w:sz="4" w:space="0"/>
              <w:left w:val="single" w:color="auto" w:sz="4" w:space="0"/>
              <w:bottom w:val="single" w:color="auto" w:sz="4" w:space="0"/>
              <w:right w:val="single" w:color="auto" w:sz="4" w:space="0"/>
            </w:tcBorders>
            <w:vAlign w:val="center"/>
          </w:tcPr>
          <w:p w14:paraId="70A71D6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w:t>
            </w:r>
          </w:p>
        </w:tc>
        <w:tc>
          <w:tcPr>
            <w:tcW w:w="754" w:type="dxa"/>
            <w:tcBorders>
              <w:top w:val="single" w:color="auto" w:sz="4" w:space="0"/>
              <w:left w:val="single" w:color="auto" w:sz="4" w:space="0"/>
              <w:bottom w:val="single" w:color="auto" w:sz="4" w:space="0"/>
              <w:right w:val="single" w:color="auto" w:sz="4" w:space="0"/>
            </w:tcBorders>
            <w:vAlign w:val="center"/>
          </w:tcPr>
          <w:p w14:paraId="4E7DCE8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拱顶罐</w:t>
            </w:r>
          </w:p>
        </w:tc>
        <w:tc>
          <w:tcPr>
            <w:tcW w:w="923" w:type="dxa"/>
            <w:tcBorders>
              <w:top w:val="single" w:color="auto" w:sz="4" w:space="0"/>
              <w:left w:val="single" w:color="auto" w:sz="4" w:space="0"/>
              <w:bottom w:val="single" w:color="auto" w:sz="4" w:space="0"/>
              <w:right w:val="single" w:color="auto" w:sz="4" w:space="0"/>
            </w:tcBorders>
            <w:vAlign w:val="center"/>
          </w:tcPr>
          <w:p w14:paraId="13B8E4AE">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7.85×10</w:t>
            </w:r>
            <w:r>
              <w:rPr>
                <w:rFonts w:ascii="Times New Roman" w:hAnsi="Times New Roman" w:cs="Times New Roman"/>
                <w:color w:val="000000" w:themeColor="text1"/>
                <w:sz w:val="21"/>
                <w:vertAlign w:val="superscript"/>
                <w14:textFill>
                  <w14:solidFill>
                    <w14:schemeClr w14:val="tx1"/>
                  </w14:solidFill>
                </w14:textFill>
              </w:rPr>
              <w:t>-5</w:t>
            </w:r>
          </w:p>
        </w:tc>
        <w:tc>
          <w:tcPr>
            <w:tcW w:w="767" w:type="dxa"/>
            <w:tcBorders>
              <w:top w:val="single" w:color="auto" w:sz="4" w:space="0"/>
              <w:left w:val="single" w:color="auto" w:sz="4" w:space="0"/>
              <w:bottom w:val="single" w:color="auto" w:sz="4" w:space="0"/>
              <w:right w:val="single" w:color="auto" w:sz="4" w:space="0"/>
            </w:tcBorders>
            <w:vAlign w:val="center"/>
          </w:tcPr>
          <w:p w14:paraId="6F705A6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1920</w:t>
            </w:r>
          </w:p>
        </w:tc>
        <w:tc>
          <w:tcPr>
            <w:tcW w:w="874" w:type="dxa"/>
            <w:tcBorders>
              <w:top w:val="single" w:color="auto" w:sz="4" w:space="0"/>
              <w:left w:val="single" w:color="auto" w:sz="4" w:space="0"/>
              <w:bottom w:val="single" w:color="auto" w:sz="4" w:space="0"/>
              <w:right w:val="single" w:color="auto" w:sz="4" w:space="0"/>
            </w:tcBorders>
            <w:vAlign w:val="center"/>
          </w:tcPr>
          <w:p w14:paraId="1CDB932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3" w:type="dxa"/>
            <w:tcBorders>
              <w:top w:val="single" w:color="auto" w:sz="4" w:space="0"/>
              <w:left w:val="single" w:color="auto" w:sz="4" w:space="0"/>
              <w:bottom w:val="single" w:color="auto" w:sz="4" w:space="0"/>
              <w:right w:val="single" w:color="auto" w:sz="4" w:space="0"/>
            </w:tcBorders>
            <w:vAlign w:val="center"/>
          </w:tcPr>
          <w:p w14:paraId="75CA7D6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2" w:type="dxa"/>
            <w:tcBorders>
              <w:top w:val="single" w:color="auto" w:sz="4" w:space="0"/>
              <w:left w:val="single" w:color="auto" w:sz="4" w:space="0"/>
              <w:bottom w:val="single" w:color="auto" w:sz="4" w:space="0"/>
              <w:right w:val="single" w:color="auto" w:sz="4" w:space="0"/>
            </w:tcBorders>
            <w:vAlign w:val="center"/>
          </w:tcPr>
          <w:p w14:paraId="2736084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4.8</w:t>
            </w:r>
          </w:p>
        </w:tc>
        <w:tc>
          <w:tcPr>
            <w:tcW w:w="1008" w:type="dxa"/>
            <w:tcBorders>
              <w:top w:val="single" w:color="auto" w:sz="4" w:space="0"/>
              <w:left w:val="single" w:color="auto" w:sz="4" w:space="0"/>
              <w:bottom w:val="single" w:color="auto" w:sz="4" w:space="0"/>
              <w:right w:val="single" w:color="auto" w:sz="4" w:space="0"/>
            </w:tcBorders>
            <w:vAlign w:val="center"/>
          </w:tcPr>
          <w:p w14:paraId="00B75B06">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0.951</w:t>
            </w:r>
          </w:p>
        </w:tc>
        <w:tc>
          <w:tcPr>
            <w:tcW w:w="909" w:type="dxa"/>
            <w:tcBorders>
              <w:top w:val="single" w:color="auto" w:sz="4" w:space="0"/>
              <w:left w:val="single" w:color="auto" w:sz="4" w:space="0"/>
              <w:bottom w:val="single" w:color="auto" w:sz="4" w:space="0"/>
              <w:right w:val="single" w:color="auto" w:sz="4" w:space="0"/>
            </w:tcBorders>
            <w:vAlign w:val="center"/>
          </w:tcPr>
          <w:p w14:paraId="1BD9FB8C">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570.4</w:t>
            </w:r>
          </w:p>
        </w:tc>
      </w:tr>
      <w:tr w14:paraId="6CA82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879" w:type="dxa"/>
            <w:tcBorders>
              <w:top w:val="single" w:color="auto" w:sz="4" w:space="0"/>
              <w:left w:val="single" w:color="auto" w:sz="4" w:space="0"/>
              <w:bottom w:val="single" w:color="auto" w:sz="4" w:space="0"/>
              <w:right w:val="single" w:color="auto" w:sz="4" w:space="0"/>
            </w:tcBorders>
            <w:vAlign w:val="center"/>
          </w:tcPr>
          <w:p w14:paraId="0ED857A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w:t>
            </w:r>
          </w:p>
        </w:tc>
        <w:tc>
          <w:tcPr>
            <w:tcW w:w="754" w:type="dxa"/>
            <w:tcBorders>
              <w:top w:val="single" w:color="auto" w:sz="4" w:space="0"/>
              <w:left w:val="single" w:color="auto" w:sz="4" w:space="0"/>
              <w:bottom w:val="single" w:color="auto" w:sz="4" w:space="0"/>
              <w:right w:val="single" w:color="auto" w:sz="4" w:space="0"/>
            </w:tcBorders>
            <w:vAlign w:val="center"/>
          </w:tcPr>
          <w:p w14:paraId="3D9EB9C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拱顶罐</w:t>
            </w:r>
          </w:p>
        </w:tc>
        <w:tc>
          <w:tcPr>
            <w:tcW w:w="923" w:type="dxa"/>
            <w:tcBorders>
              <w:top w:val="single" w:color="auto" w:sz="4" w:space="0"/>
              <w:left w:val="single" w:color="auto" w:sz="4" w:space="0"/>
              <w:bottom w:val="single" w:color="auto" w:sz="4" w:space="0"/>
              <w:right w:val="single" w:color="auto" w:sz="4" w:space="0"/>
            </w:tcBorders>
            <w:vAlign w:val="center"/>
          </w:tcPr>
          <w:p w14:paraId="60182DB0">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7.85×10</w:t>
            </w:r>
            <w:r>
              <w:rPr>
                <w:rFonts w:ascii="Times New Roman" w:hAnsi="Times New Roman" w:cs="Times New Roman"/>
                <w:color w:val="000000" w:themeColor="text1"/>
                <w:sz w:val="21"/>
                <w:vertAlign w:val="superscript"/>
                <w14:textFill>
                  <w14:solidFill>
                    <w14:schemeClr w14:val="tx1"/>
                  </w14:solidFill>
                </w14:textFill>
              </w:rPr>
              <w:t>-5</w:t>
            </w:r>
          </w:p>
        </w:tc>
        <w:tc>
          <w:tcPr>
            <w:tcW w:w="767" w:type="dxa"/>
            <w:tcBorders>
              <w:top w:val="single" w:color="auto" w:sz="4" w:space="0"/>
              <w:left w:val="single" w:color="auto" w:sz="4" w:space="0"/>
              <w:bottom w:val="single" w:color="auto" w:sz="4" w:space="0"/>
              <w:right w:val="single" w:color="auto" w:sz="4" w:space="0"/>
            </w:tcBorders>
            <w:vAlign w:val="center"/>
          </w:tcPr>
          <w:p w14:paraId="7C3F76C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1840</w:t>
            </w:r>
          </w:p>
        </w:tc>
        <w:tc>
          <w:tcPr>
            <w:tcW w:w="874" w:type="dxa"/>
            <w:tcBorders>
              <w:top w:val="single" w:color="auto" w:sz="4" w:space="0"/>
              <w:left w:val="single" w:color="auto" w:sz="4" w:space="0"/>
              <w:bottom w:val="single" w:color="auto" w:sz="4" w:space="0"/>
              <w:right w:val="single" w:color="auto" w:sz="4" w:space="0"/>
            </w:tcBorders>
            <w:vAlign w:val="center"/>
          </w:tcPr>
          <w:p w14:paraId="31B8F93B">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3" w:type="dxa"/>
            <w:tcBorders>
              <w:top w:val="single" w:color="auto" w:sz="4" w:space="0"/>
              <w:left w:val="single" w:color="auto" w:sz="4" w:space="0"/>
              <w:bottom w:val="single" w:color="auto" w:sz="4" w:space="0"/>
              <w:right w:val="single" w:color="auto" w:sz="4" w:space="0"/>
            </w:tcBorders>
            <w:vAlign w:val="center"/>
          </w:tcPr>
          <w:p w14:paraId="3A59422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2" w:type="dxa"/>
            <w:tcBorders>
              <w:top w:val="single" w:color="auto" w:sz="4" w:space="0"/>
              <w:left w:val="single" w:color="auto" w:sz="4" w:space="0"/>
              <w:bottom w:val="single" w:color="auto" w:sz="4" w:space="0"/>
              <w:right w:val="single" w:color="auto" w:sz="4" w:space="0"/>
            </w:tcBorders>
            <w:vAlign w:val="center"/>
          </w:tcPr>
          <w:p w14:paraId="689B00F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4.8</w:t>
            </w:r>
          </w:p>
        </w:tc>
        <w:tc>
          <w:tcPr>
            <w:tcW w:w="1008" w:type="dxa"/>
            <w:tcBorders>
              <w:top w:val="single" w:color="auto" w:sz="4" w:space="0"/>
              <w:left w:val="single" w:color="auto" w:sz="4" w:space="0"/>
              <w:bottom w:val="single" w:color="auto" w:sz="4" w:space="0"/>
              <w:right w:val="single" w:color="auto" w:sz="4" w:space="0"/>
            </w:tcBorders>
            <w:vAlign w:val="center"/>
          </w:tcPr>
          <w:p w14:paraId="47CE0294">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0.911</w:t>
            </w:r>
          </w:p>
        </w:tc>
        <w:tc>
          <w:tcPr>
            <w:tcW w:w="909" w:type="dxa"/>
            <w:tcBorders>
              <w:top w:val="single" w:color="auto" w:sz="4" w:space="0"/>
              <w:left w:val="single" w:color="auto" w:sz="4" w:space="0"/>
              <w:bottom w:val="single" w:color="auto" w:sz="4" w:space="0"/>
              <w:right w:val="single" w:color="auto" w:sz="4" w:space="0"/>
            </w:tcBorders>
            <w:vAlign w:val="center"/>
          </w:tcPr>
          <w:p w14:paraId="09657BF0">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546.7</w:t>
            </w:r>
          </w:p>
        </w:tc>
      </w:tr>
      <w:tr w14:paraId="63C7E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879" w:type="dxa"/>
            <w:tcBorders>
              <w:top w:val="single" w:color="auto" w:sz="4" w:space="0"/>
              <w:left w:val="single" w:color="auto" w:sz="4" w:space="0"/>
              <w:bottom w:val="single" w:color="auto" w:sz="4" w:space="0"/>
              <w:right w:val="single" w:color="auto" w:sz="4" w:space="0"/>
            </w:tcBorders>
            <w:vAlign w:val="center"/>
          </w:tcPr>
          <w:p w14:paraId="2256CB5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液碱</w:t>
            </w:r>
          </w:p>
        </w:tc>
        <w:tc>
          <w:tcPr>
            <w:tcW w:w="754" w:type="dxa"/>
            <w:tcBorders>
              <w:top w:val="single" w:color="auto" w:sz="4" w:space="0"/>
              <w:left w:val="single" w:color="auto" w:sz="4" w:space="0"/>
              <w:bottom w:val="single" w:color="auto" w:sz="4" w:space="0"/>
              <w:right w:val="single" w:color="auto" w:sz="4" w:space="0"/>
            </w:tcBorders>
            <w:vAlign w:val="center"/>
          </w:tcPr>
          <w:p w14:paraId="4013A0C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拱顶罐</w:t>
            </w:r>
          </w:p>
        </w:tc>
        <w:tc>
          <w:tcPr>
            <w:tcW w:w="923" w:type="dxa"/>
            <w:tcBorders>
              <w:top w:val="single" w:color="auto" w:sz="4" w:space="0"/>
              <w:left w:val="single" w:color="auto" w:sz="4" w:space="0"/>
              <w:bottom w:val="single" w:color="auto" w:sz="4" w:space="0"/>
              <w:right w:val="single" w:color="auto" w:sz="4" w:space="0"/>
            </w:tcBorders>
            <w:shd w:val="clear" w:color="auto" w:fill="auto"/>
            <w:vAlign w:val="center"/>
          </w:tcPr>
          <w:p w14:paraId="5FC8422F">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7.85×10</w:t>
            </w:r>
            <w:r>
              <w:rPr>
                <w:rFonts w:ascii="Times New Roman" w:hAnsi="Times New Roman" w:cs="Times New Roman"/>
                <w:color w:val="000000" w:themeColor="text1"/>
                <w:sz w:val="21"/>
                <w:vertAlign w:val="superscript"/>
                <w14:textFill>
                  <w14:solidFill>
                    <w14:schemeClr w14:val="tx1"/>
                  </w14:solidFill>
                </w14:textFill>
              </w:rPr>
              <w:t>-5</w:t>
            </w:r>
          </w:p>
        </w:tc>
        <w:tc>
          <w:tcPr>
            <w:tcW w:w="767" w:type="dxa"/>
            <w:tcBorders>
              <w:top w:val="single" w:color="auto" w:sz="4" w:space="0"/>
              <w:left w:val="single" w:color="auto" w:sz="4" w:space="0"/>
              <w:bottom w:val="single" w:color="auto" w:sz="4" w:space="0"/>
              <w:right w:val="single" w:color="auto" w:sz="4" w:space="0"/>
            </w:tcBorders>
            <w:shd w:val="clear" w:color="auto" w:fill="auto"/>
            <w:vAlign w:val="center"/>
          </w:tcPr>
          <w:p w14:paraId="609E6E9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1300</w:t>
            </w:r>
          </w:p>
        </w:tc>
        <w:tc>
          <w:tcPr>
            <w:tcW w:w="874" w:type="dxa"/>
            <w:tcBorders>
              <w:top w:val="single" w:color="auto" w:sz="4" w:space="0"/>
              <w:left w:val="single" w:color="auto" w:sz="4" w:space="0"/>
              <w:bottom w:val="single" w:color="auto" w:sz="4" w:space="0"/>
              <w:right w:val="single" w:color="auto" w:sz="4" w:space="0"/>
            </w:tcBorders>
            <w:shd w:val="clear" w:color="auto" w:fill="auto"/>
            <w:vAlign w:val="center"/>
          </w:tcPr>
          <w:p w14:paraId="62B7557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3" w:type="dxa"/>
            <w:tcBorders>
              <w:top w:val="single" w:color="auto" w:sz="4" w:space="0"/>
              <w:left w:val="single" w:color="auto" w:sz="4" w:space="0"/>
              <w:bottom w:val="single" w:color="auto" w:sz="4" w:space="0"/>
              <w:right w:val="single" w:color="auto" w:sz="4" w:space="0"/>
            </w:tcBorders>
            <w:shd w:val="clear" w:color="auto" w:fill="auto"/>
            <w:vAlign w:val="center"/>
          </w:tcPr>
          <w:p w14:paraId="2886BA1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2" w:type="dxa"/>
            <w:tcBorders>
              <w:top w:val="single" w:color="auto" w:sz="4" w:space="0"/>
              <w:left w:val="single" w:color="auto" w:sz="4" w:space="0"/>
              <w:bottom w:val="single" w:color="auto" w:sz="4" w:space="0"/>
              <w:right w:val="single" w:color="auto" w:sz="4" w:space="0"/>
            </w:tcBorders>
            <w:shd w:val="clear" w:color="auto" w:fill="auto"/>
            <w:vAlign w:val="center"/>
          </w:tcPr>
          <w:p w14:paraId="010F840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4.8</w:t>
            </w:r>
          </w:p>
        </w:tc>
        <w:tc>
          <w:tcPr>
            <w:tcW w:w="1008" w:type="dxa"/>
            <w:tcBorders>
              <w:top w:val="single" w:color="auto" w:sz="4" w:space="0"/>
              <w:left w:val="single" w:color="auto" w:sz="4" w:space="0"/>
              <w:bottom w:val="single" w:color="auto" w:sz="4" w:space="0"/>
              <w:right w:val="single" w:color="auto" w:sz="4" w:space="0"/>
            </w:tcBorders>
            <w:vAlign w:val="center"/>
          </w:tcPr>
          <w:p w14:paraId="1C48D59D">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0.644</w:t>
            </w:r>
          </w:p>
        </w:tc>
        <w:tc>
          <w:tcPr>
            <w:tcW w:w="909" w:type="dxa"/>
            <w:tcBorders>
              <w:top w:val="single" w:color="auto" w:sz="4" w:space="0"/>
              <w:left w:val="single" w:color="auto" w:sz="4" w:space="0"/>
              <w:bottom w:val="single" w:color="auto" w:sz="4" w:space="0"/>
              <w:right w:val="single" w:color="auto" w:sz="4" w:space="0"/>
            </w:tcBorders>
            <w:vAlign w:val="center"/>
          </w:tcPr>
          <w:p w14:paraId="121B040C">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386.2</w:t>
            </w:r>
          </w:p>
        </w:tc>
      </w:tr>
      <w:tr w14:paraId="29019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879" w:type="dxa"/>
            <w:tcBorders>
              <w:top w:val="single" w:color="auto" w:sz="4" w:space="0"/>
              <w:left w:val="single" w:color="auto" w:sz="4" w:space="0"/>
              <w:bottom w:val="single" w:color="auto" w:sz="4" w:space="0"/>
              <w:right w:val="single" w:color="auto" w:sz="4" w:space="0"/>
            </w:tcBorders>
            <w:vAlign w:val="center"/>
          </w:tcPr>
          <w:p w14:paraId="29762DE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754" w:type="dxa"/>
            <w:tcBorders>
              <w:top w:val="single" w:color="auto" w:sz="4" w:space="0"/>
              <w:left w:val="single" w:color="auto" w:sz="4" w:space="0"/>
              <w:bottom w:val="single" w:color="auto" w:sz="4" w:space="0"/>
              <w:right w:val="single" w:color="auto" w:sz="4" w:space="0"/>
            </w:tcBorders>
            <w:vAlign w:val="center"/>
          </w:tcPr>
          <w:p w14:paraId="41403C8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拱顶罐</w:t>
            </w:r>
          </w:p>
        </w:tc>
        <w:tc>
          <w:tcPr>
            <w:tcW w:w="923" w:type="dxa"/>
            <w:tcBorders>
              <w:top w:val="single" w:color="auto" w:sz="4" w:space="0"/>
              <w:left w:val="single" w:color="auto" w:sz="4" w:space="0"/>
              <w:bottom w:val="single" w:color="auto" w:sz="4" w:space="0"/>
              <w:right w:val="single" w:color="auto" w:sz="4" w:space="0"/>
            </w:tcBorders>
            <w:vAlign w:val="center"/>
          </w:tcPr>
          <w:p w14:paraId="3D37015B">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7.85×10</w:t>
            </w:r>
            <w:r>
              <w:rPr>
                <w:rFonts w:ascii="Times New Roman" w:hAnsi="Times New Roman" w:cs="Times New Roman"/>
                <w:color w:val="000000" w:themeColor="text1"/>
                <w:sz w:val="21"/>
                <w:vertAlign w:val="superscript"/>
                <w14:textFill>
                  <w14:solidFill>
                    <w14:schemeClr w14:val="tx1"/>
                  </w14:solidFill>
                </w14:textFill>
              </w:rPr>
              <w:t>-5</w:t>
            </w:r>
          </w:p>
        </w:tc>
        <w:tc>
          <w:tcPr>
            <w:tcW w:w="767" w:type="dxa"/>
            <w:tcBorders>
              <w:top w:val="single" w:color="auto" w:sz="4" w:space="0"/>
              <w:left w:val="single" w:color="auto" w:sz="4" w:space="0"/>
              <w:bottom w:val="single" w:color="auto" w:sz="4" w:space="0"/>
              <w:right w:val="single" w:color="auto" w:sz="4" w:space="0"/>
            </w:tcBorders>
            <w:vAlign w:val="center"/>
          </w:tcPr>
          <w:p w14:paraId="14C0456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1071</w:t>
            </w:r>
          </w:p>
        </w:tc>
        <w:tc>
          <w:tcPr>
            <w:tcW w:w="874" w:type="dxa"/>
            <w:tcBorders>
              <w:top w:val="single" w:color="auto" w:sz="4" w:space="0"/>
              <w:left w:val="single" w:color="auto" w:sz="4" w:space="0"/>
              <w:bottom w:val="single" w:color="auto" w:sz="4" w:space="0"/>
              <w:right w:val="single" w:color="auto" w:sz="4" w:space="0"/>
            </w:tcBorders>
            <w:vAlign w:val="center"/>
          </w:tcPr>
          <w:p w14:paraId="21449F6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3" w:type="dxa"/>
            <w:tcBorders>
              <w:top w:val="single" w:color="auto" w:sz="4" w:space="0"/>
              <w:left w:val="single" w:color="auto" w:sz="4" w:space="0"/>
              <w:bottom w:val="single" w:color="auto" w:sz="4" w:space="0"/>
              <w:right w:val="single" w:color="auto" w:sz="4" w:space="0"/>
            </w:tcBorders>
            <w:vAlign w:val="center"/>
          </w:tcPr>
          <w:p w14:paraId="2180AAC0">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2" w:type="dxa"/>
            <w:tcBorders>
              <w:top w:val="single" w:color="auto" w:sz="4" w:space="0"/>
              <w:left w:val="single" w:color="auto" w:sz="4" w:space="0"/>
              <w:bottom w:val="single" w:color="auto" w:sz="4" w:space="0"/>
              <w:right w:val="single" w:color="auto" w:sz="4" w:space="0"/>
            </w:tcBorders>
            <w:vAlign w:val="center"/>
          </w:tcPr>
          <w:p w14:paraId="1598DBD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5.3</w:t>
            </w:r>
          </w:p>
        </w:tc>
        <w:tc>
          <w:tcPr>
            <w:tcW w:w="1008" w:type="dxa"/>
            <w:tcBorders>
              <w:top w:val="single" w:color="auto" w:sz="4" w:space="0"/>
              <w:left w:val="single" w:color="auto" w:sz="4" w:space="0"/>
              <w:bottom w:val="single" w:color="auto" w:sz="4" w:space="0"/>
              <w:right w:val="single" w:color="auto" w:sz="4" w:space="0"/>
            </w:tcBorders>
            <w:vAlign w:val="center"/>
          </w:tcPr>
          <w:p w14:paraId="3367B4EF">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0.557</w:t>
            </w:r>
          </w:p>
        </w:tc>
        <w:tc>
          <w:tcPr>
            <w:tcW w:w="909" w:type="dxa"/>
            <w:tcBorders>
              <w:top w:val="single" w:color="auto" w:sz="4" w:space="0"/>
              <w:left w:val="single" w:color="auto" w:sz="4" w:space="0"/>
              <w:bottom w:val="single" w:color="auto" w:sz="4" w:space="0"/>
              <w:right w:val="single" w:color="auto" w:sz="4" w:space="0"/>
            </w:tcBorders>
            <w:vAlign w:val="center"/>
          </w:tcPr>
          <w:p w14:paraId="074A1999">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334.4</w:t>
            </w:r>
          </w:p>
        </w:tc>
      </w:tr>
      <w:tr w14:paraId="016E5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97" w:hRule="atLeast"/>
          <w:jc w:val="center"/>
        </w:trPr>
        <w:tc>
          <w:tcPr>
            <w:tcW w:w="879" w:type="dxa"/>
            <w:tcBorders>
              <w:top w:val="single" w:color="auto" w:sz="4" w:space="0"/>
              <w:left w:val="single" w:color="auto" w:sz="4" w:space="0"/>
              <w:bottom w:val="single" w:color="auto" w:sz="4" w:space="0"/>
              <w:right w:val="single" w:color="auto" w:sz="4" w:space="0"/>
            </w:tcBorders>
            <w:vAlign w:val="center"/>
          </w:tcPr>
          <w:p w14:paraId="71E620E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754" w:type="dxa"/>
            <w:tcBorders>
              <w:top w:val="single" w:color="auto" w:sz="4" w:space="0"/>
              <w:left w:val="single" w:color="auto" w:sz="4" w:space="0"/>
              <w:bottom w:val="single" w:color="auto" w:sz="4" w:space="0"/>
              <w:right w:val="single" w:color="auto" w:sz="4" w:space="0"/>
            </w:tcBorders>
            <w:vAlign w:val="center"/>
          </w:tcPr>
          <w:p w14:paraId="25952AF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拱顶罐</w:t>
            </w:r>
          </w:p>
        </w:tc>
        <w:tc>
          <w:tcPr>
            <w:tcW w:w="923" w:type="dxa"/>
            <w:tcBorders>
              <w:top w:val="single" w:color="auto" w:sz="4" w:space="0"/>
              <w:left w:val="single" w:color="auto" w:sz="4" w:space="0"/>
              <w:bottom w:val="single" w:color="auto" w:sz="4" w:space="0"/>
              <w:right w:val="single" w:color="auto" w:sz="4" w:space="0"/>
            </w:tcBorders>
            <w:vAlign w:val="center"/>
          </w:tcPr>
          <w:p w14:paraId="236097C8">
            <w:pPr>
              <w:jc w:val="center"/>
              <w:rPr>
                <w:rFonts w:ascii="Times New Roman" w:hAnsi="Times New Roman" w:cs="Times New Roman"/>
                <w:color w:val="000000" w:themeColor="text1"/>
                <w:sz w:val="21"/>
                <w14:textFill>
                  <w14:solidFill>
                    <w14:schemeClr w14:val="tx1"/>
                  </w14:solidFill>
                </w14:textFill>
              </w:rPr>
            </w:pPr>
            <w:r>
              <w:rPr>
                <w:rFonts w:ascii="Times New Roman" w:hAnsi="Times New Roman" w:cs="Times New Roman"/>
                <w:color w:val="000000" w:themeColor="text1"/>
                <w:sz w:val="21"/>
                <w14:textFill>
                  <w14:solidFill>
                    <w14:schemeClr w14:val="tx1"/>
                  </w14:solidFill>
                </w14:textFill>
              </w:rPr>
              <w:t>7.85×10</w:t>
            </w:r>
            <w:r>
              <w:rPr>
                <w:rFonts w:ascii="Times New Roman" w:hAnsi="Times New Roman" w:cs="Times New Roman"/>
                <w:color w:val="000000" w:themeColor="text1"/>
                <w:sz w:val="21"/>
                <w:vertAlign w:val="superscript"/>
                <w14:textFill>
                  <w14:solidFill>
                    <w14:schemeClr w14:val="tx1"/>
                  </w14:solidFill>
                </w14:textFill>
              </w:rPr>
              <w:t>-5</w:t>
            </w:r>
          </w:p>
        </w:tc>
        <w:tc>
          <w:tcPr>
            <w:tcW w:w="767" w:type="dxa"/>
            <w:tcBorders>
              <w:top w:val="single" w:color="auto" w:sz="4" w:space="0"/>
              <w:left w:val="single" w:color="auto" w:sz="4" w:space="0"/>
              <w:bottom w:val="single" w:color="auto" w:sz="4" w:space="0"/>
              <w:right w:val="single" w:color="auto" w:sz="4" w:space="0"/>
            </w:tcBorders>
            <w:vAlign w:val="center"/>
          </w:tcPr>
          <w:p w14:paraId="74F4891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1023</w:t>
            </w:r>
          </w:p>
        </w:tc>
        <w:tc>
          <w:tcPr>
            <w:tcW w:w="874" w:type="dxa"/>
            <w:tcBorders>
              <w:top w:val="single" w:color="auto" w:sz="4" w:space="0"/>
              <w:left w:val="single" w:color="auto" w:sz="4" w:space="0"/>
              <w:bottom w:val="single" w:color="auto" w:sz="4" w:space="0"/>
              <w:right w:val="single" w:color="auto" w:sz="4" w:space="0"/>
            </w:tcBorders>
            <w:vAlign w:val="center"/>
          </w:tcPr>
          <w:p w14:paraId="6FE168D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3" w:type="dxa"/>
            <w:tcBorders>
              <w:top w:val="single" w:color="auto" w:sz="4" w:space="0"/>
              <w:left w:val="single" w:color="auto" w:sz="4" w:space="0"/>
              <w:bottom w:val="single" w:color="auto" w:sz="4" w:space="0"/>
              <w:right w:val="single" w:color="auto" w:sz="4" w:space="0"/>
            </w:tcBorders>
            <w:vAlign w:val="center"/>
          </w:tcPr>
          <w:p w14:paraId="5EF2920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101325</w:t>
            </w:r>
          </w:p>
        </w:tc>
        <w:tc>
          <w:tcPr>
            <w:tcW w:w="1102" w:type="dxa"/>
            <w:tcBorders>
              <w:top w:val="single" w:color="auto" w:sz="4" w:space="0"/>
              <w:left w:val="single" w:color="auto" w:sz="4" w:space="0"/>
              <w:bottom w:val="single" w:color="auto" w:sz="4" w:space="0"/>
              <w:right w:val="single" w:color="auto" w:sz="4" w:space="0"/>
            </w:tcBorders>
            <w:vAlign w:val="center"/>
          </w:tcPr>
          <w:p w14:paraId="4554CDB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w:t>
            </w:r>
          </w:p>
        </w:tc>
        <w:tc>
          <w:tcPr>
            <w:tcW w:w="1008" w:type="dxa"/>
            <w:tcBorders>
              <w:top w:val="single" w:color="auto" w:sz="4" w:space="0"/>
              <w:left w:val="single" w:color="auto" w:sz="4" w:space="0"/>
              <w:bottom w:val="single" w:color="auto" w:sz="4" w:space="0"/>
              <w:right w:val="single" w:color="auto" w:sz="4" w:space="0"/>
            </w:tcBorders>
            <w:vAlign w:val="center"/>
          </w:tcPr>
          <w:p w14:paraId="2FE37867">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0.625</w:t>
            </w:r>
          </w:p>
        </w:tc>
        <w:tc>
          <w:tcPr>
            <w:tcW w:w="909" w:type="dxa"/>
            <w:tcBorders>
              <w:top w:val="single" w:color="auto" w:sz="4" w:space="0"/>
              <w:left w:val="single" w:color="auto" w:sz="4" w:space="0"/>
              <w:bottom w:val="single" w:color="auto" w:sz="4" w:space="0"/>
              <w:right w:val="single" w:color="auto" w:sz="4" w:space="0"/>
            </w:tcBorders>
            <w:vAlign w:val="center"/>
          </w:tcPr>
          <w:p w14:paraId="68700838">
            <w:pPr>
              <w:jc w:val="center"/>
              <w:rPr>
                <w:rFonts w:ascii="Times New Roman" w:hAnsi="Times New Roman" w:cs="Times New Roman"/>
                <w:color w:val="000000" w:themeColor="text1"/>
                <w:sz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374.8</w:t>
            </w:r>
          </w:p>
        </w:tc>
      </w:tr>
    </w:tbl>
    <w:p w14:paraId="2055FC70">
      <w:pPr>
        <w:spacing w:before="120" w:beforeLines="50"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（2）泄漏液体蒸发量</w:t>
      </w:r>
    </w:p>
    <w:p w14:paraId="49B0719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泄漏液体的蒸发分为闪蒸蒸发、热量蒸发和质量蒸发三种，其蒸发总量为这三种蒸发之和。因</w:t>
      </w:r>
      <w:r>
        <w:rPr>
          <w:rFonts w:hint="eastAsia" w:ascii="Times New Roman" w:hAnsi="Times New Roman" w:cs="Times New Roman"/>
          <w:color w:val="000000" w:themeColor="text1"/>
          <w14:textFill>
            <w14:solidFill>
              <w14:schemeClr w14:val="tx1"/>
            </w14:solidFill>
          </w14:textFill>
        </w:rPr>
        <w:t>液硫、发烟硫酸/98%硫酸、苯酚、己内酰胺</w:t>
      </w:r>
      <w:r>
        <w:rPr>
          <w:rFonts w:ascii="Times New Roman" w:hAnsi="Times New Roman" w:cs="Times New Roman"/>
          <w:color w:val="000000" w:themeColor="text1"/>
          <w14:textFill>
            <w14:solidFill>
              <w14:schemeClr w14:val="tx1"/>
            </w14:solidFill>
          </w14:textFill>
        </w:rPr>
        <w:t>的储罐</w:t>
      </w:r>
      <w:r>
        <w:rPr>
          <w:rFonts w:hint="eastAsia" w:ascii="Times New Roman" w:hAnsi="Times New Roman" w:cs="Times New Roman"/>
          <w:color w:val="000000" w:themeColor="text1"/>
          <w14:textFill>
            <w14:solidFill>
              <w14:schemeClr w14:val="tx1"/>
            </w14:solidFill>
          </w14:textFill>
        </w:rPr>
        <w:t>温度均远低于其沸点，</w:t>
      </w:r>
      <w:r>
        <w:rPr>
          <w:rFonts w:ascii="Times New Roman" w:hAnsi="Times New Roman" w:cs="Times New Roman"/>
          <w:color w:val="000000" w:themeColor="text1"/>
          <w14:textFill>
            <w14:solidFill>
              <w14:schemeClr w14:val="tx1"/>
            </w14:solidFill>
          </w14:textFill>
        </w:rPr>
        <w:t>通常不会发生闪蒸和热量蒸发，泄漏后在其周围形成液池，仅考虑液池内液体的质量蒸发：</w:t>
      </w:r>
    </w:p>
    <w:p w14:paraId="6D1B4F47">
      <w:pPr>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14E4AE34">
      <w:pPr>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1CE1AF2A">
      <w:pPr>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0D7A555B">
      <w:pPr>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7916997B">
      <w:pPr>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22426776">
      <w:pPr>
        <w:spacing w:line="360" w:lineRule="auto"/>
        <w:ind w:firstLine="480" w:firstLineChars="200"/>
        <w:jc w:val="center"/>
        <w:rPr>
          <w:rFonts w:ascii="Times New Roman" w:hAnsi="Times New Roman" w:cs="Times New Roman"/>
          <w:color w:val="FF0000"/>
        </w:rPr>
      </w:pPr>
      <w:r>
        <w:rPr>
          <w:rFonts w:ascii="Times New Roman" w:hAnsi="Times New Roman" w:cs="Times New Roman"/>
          <w:color w:val="FF0000"/>
        </w:rPr>
        <w:drawing>
          <wp:inline distT="0" distB="0" distL="0" distR="0">
            <wp:extent cx="2266950" cy="662940"/>
            <wp:effectExtent l="0" t="0" r="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3"/>
                    <a:stretch>
                      <a:fillRect/>
                    </a:stretch>
                  </pic:blipFill>
                  <pic:spPr>
                    <a:xfrm>
                      <a:off x="0" y="0"/>
                      <a:ext cx="2264443" cy="662560"/>
                    </a:xfrm>
                    <a:prstGeom prst="rect">
                      <a:avLst/>
                    </a:prstGeom>
                  </pic:spPr>
                </pic:pic>
              </a:graphicData>
            </a:graphic>
          </wp:inline>
        </w:drawing>
      </w:r>
    </w:p>
    <w:p w14:paraId="29CD49C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式中：Q</w:t>
      </w:r>
      <w:r>
        <w:rPr>
          <w:rFonts w:ascii="Times New Roman" w:hAnsi="Times New Roman" w:cs="Times New Roman"/>
          <w:color w:val="000000" w:themeColor="text1"/>
          <w:vertAlign w:val="sub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—质量蒸发速率，kg/s；</w:t>
      </w:r>
    </w:p>
    <w:p w14:paraId="2C4B2B6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p—液体表面蒸汽压，Pa；</w:t>
      </w:r>
    </w:p>
    <w:p w14:paraId="4F1C6C2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R——气体常数，J/（mol·K）；</w:t>
      </w:r>
    </w:p>
    <w:p w14:paraId="743A937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T</w:t>
      </w:r>
      <w:r>
        <w:rPr>
          <w:rFonts w:ascii="Times New Roman" w:hAnsi="Times New Roman" w:cs="Times New Roman"/>
          <w:color w:val="000000" w:themeColor="text1"/>
          <w:vertAlign w:val="subscript"/>
          <w14:textFill>
            <w14:solidFill>
              <w14:schemeClr w14:val="tx1"/>
            </w14:solidFill>
          </w14:textFill>
        </w:rPr>
        <w:t>0</w:t>
      </w:r>
      <w:r>
        <w:rPr>
          <w:rFonts w:ascii="Times New Roman" w:hAnsi="Times New Roman" w:cs="Times New Roman"/>
          <w:color w:val="000000" w:themeColor="text1"/>
          <w14:textFill>
            <w14:solidFill>
              <w14:schemeClr w14:val="tx1"/>
            </w14:solidFill>
          </w14:textFill>
        </w:rPr>
        <w:t>——环境温度，K；</w:t>
      </w:r>
    </w:p>
    <w:p w14:paraId="1C40DFC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M——物质的摩尔质量，kg/mol；</w:t>
      </w:r>
    </w:p>
    <w:p w14:paraId="2D16E7B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u——风速，m/s；</w:t>
      </w:r>
    </w:p>
    <w:p w14:paraId="4D177F2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r——液池半径，m；有围堰时，以围堰最大等效半径为液池半径；</w:t>
      </w:r>
    </w:p>
    <w:p w14:paraId="5444C58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α，n——大气稳定度系数，项目以稳定（E，F）取值，见表5-3。</w:t>
      </w:r>
    </w:p>
    <w:p w14:paraId="19DAB652">
      <w:pPr>
        <w:ind w:firstLine="482" w:firstLineChars="200"/>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表8-4液池蒸发模式参数</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1"/>
        <w:gridCol w:w="2841"/>
      </w:tblGrid>
      <w:tr w14:paraId="6FE61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1" w:type="dxa"/>
            <w:vAlign w:val="center"/>
          </w:tcPr>
          <w:p w14:paraId="5724615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大气稳定度</w:t>
            </w:r>
          </w:p>
        </w:tc>
        <w:tc>
          <w:tcPr>
            <w:tcW w:w="2841" w:type="dxa"/>
            <w:vAlign w:val="center"/>
          </w:tcPr>
          <w:p w14:paraId="67428FB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n</w:t>
            </w:r>
          </w:p>
        </w:tc>
        <w:tc>
          <w:tcPr>
            <w:tcW w:w="2841" w:type="dxa"/>
            <w:vAlign w:val="center"/>
          </w:tcPr>
          <w:p w14:paraId="2EE01925">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α</w:t>
            </w:r>
          </w:p>
        </w:tc>
      </w:tr>
      <w:tr w14:paraId="4620D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1" w:type="dxa"/>
            <w:vAlign w:val="center"/>
          </w:tcPr>
          <w:p w14:paraId="590D662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不稳定（A,B）</w:t>
            </w:r>
          </w:p>
        </w:tc>
        <w:tc>
          <w:tcPr>
            <w:tcW w:w="2841" w:type="dxa"/>
            <w:vAlign w:val="center"/>
          </w:tcPr>
          <w:p w14:paraId="664F2FB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c>
          <w:tcPr>
            <w:tcW w:w="2841" w:type="dxa"/>
            <w:vAlign w:val="center"/>
          </w:tcPr>
          <w:p w14:paraId="0F47B4A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3.846×10</w:t>
            </w:r>
            <w:r>
              <w:rPr>
                <w:rFonts w:hint="eastAsia" w:ascii="Times New Roman" w:hAnsi="Times New Roman" w:cs="Times New Roman"/>
                <w:color w:val="000000" w:themeColor="text1"/>
                <w:sz w:val="21"/>
                <w:szCs w:val="21"/>
                <w:vertAlign w:val="superscript"/>
                <w14:textFill>
                  <w14:solidFill>
                    <w14:schemeClr w14:val="tx1"/>
                  </w14:solidFill>
                </w14:textFill>
              </w:rPr>
              <w:t>-3</w:t>
            </w:r>
          </w:p>
        </w:tc>
      </w:tr>
      <w:tr w14:paraId="7758C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1" w:type="dxa"/>
            <w:vAlign w:val="center"/>
          </w:tcPr>
          <w:p w14:paraId="57A2B11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中性（D）</w:t>
            </w:r>
          </w:p>
        </w:tc>
        <w:tc>
          <w:tcPr>
            <w:tcW w:w="2841" w:type="dxa"/>
            <w:vAlign w:val="center"/>
          </w:tcPr>
          <w:p w14:paraId="1573EC0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0.25</w:t>
            </w:r>
          </w:p>
        </w:tc>
        <w:tc>
          <w:tcPr>
            <w:tcW w:w="2841" w:type="dxa"/>
            <w:vAlign w:val="center"/>
          </w:tcPr>
          <w:p w14:paraId="2B6B14D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4.685×10</w:t>
            </w:r>
            <w:r>
              <w:rPr>
                <w:rFonts w:hint="eastAsia" w:ascii="Times New Roman" w:hAnsi="Times New Roman" w:cs="Times New Roman"/>
                <w:color w:val="000000" w:themeColor="text1"/>
                <w:sz w:val="21"/>
                <w:szCs w:val="21"/>
                <w:vertAlign w:val="superscript"/>
                <w14:textFill>
                  <w14:solidFill>
                    <w14:schemeClr w14:val="tx1"/>
                  </w14:solidFill>
                </w14:textFill>
              </w:rPr>
              <w:t>-3</w:t>
            </w:r>
          </w:p>
        </w:tc>
      </w:tr>
      <w:tr w14:paraId="7B735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1" w:type="dxa"/>
            <w:vAlign w:val="center"/>
          </w:tcPr>
          <w:p w14:paraId="32C3F36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稳定（E,F）</w:t>
            </w:r>
          </w:p>
        </w:tc>
        <w:tc>
          <w:tcPr>
            <w:tcW w:w="2841" w:type="dxa"/>
            <w:vAlign w:val="center"/>
          </w:tcPr>
          <w:p w14:paraId="0F7C515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0.3</w:t>
            </w:r>
          </w:p>
        </w:tc>
        <w:tc>
          <w:tcPr>
            <w:tcW w:w="2841" w:type="dxa"/>
            <w:vAlign w:val="center"/>
          </w:tcPr>
          <w:p w14:paraId="1FD6392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5.285×10</w:t>
            </w:r>
            <w:r>
              <w:rPr>
                <w:rFonts w:hint="eastAsia" w:ascii="Times New Roman" w:hAnsi="Times New Roman" w:cs="Times New Roman"/>
                <w:color w:val="000000" w:themeColor="text1"/>
                <w:sz w:val="21"/>
                <w:szCs w:val="21"/>
                <w:vertAlign w:val="superscript"/>
                <w14:textFill>
                  <w14:solidFill>
                    <w14:schemeClr w14:val="tx1"/>
                  </w14:solidFill>
                </w14:textFill>
              </w:rPr>
              <w:t>-3</w:t>
            </w:r>
          </w:p>
        </w:tc>
      </w:tr>
    </w:tbl>
    <w:p w14:paraId="18DFE03B">
      <w:pPr>
        <w:spacing w:line="360" w:lineRule="auto"/>
        <w:jc w:val="center"/>
        <w:rPr>
          <w:rFonts w:ascii="Times New Roman" w:hAnsi="Times New Roman" w:cs="Times New Roman"/>
          <w:color w:val="FF0000"/>
        </w:rPr>
      </w:pPr>
    </w:p>
    <w:p w14:paraId="34CE5E52">
      <w:pPr>
        <w:pStyle w:val="118"/>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本项目大气环境风险评价工作等级为二级，根据HJ169-2018，二级评价，需选取最不利气象条件进行后果预测。最不利气象条件取F 类稳定度，1.5 m/s风速，温度25</w:t>
      </w:r>
      <w:r>
        <w:rPr>
          <w:rFonts w:hint="eastAsia"/>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，相对湿度50%。因此，本项目取最不利条件稳定(E,F)的系数。</w:t>
      </w:r>
    </w:p>
    <w:p w14:paraId="1E3770CC">
      <w:pPr>
        <w:pStyle w:val="118"/>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根据液体厚度确定液池半径：</w:t>
      </w:r>
    </w:p>
    <w:p w14:paraId="734C6772">
      <w:pPr>
        <w:adjustRightInd w:val="0"/>
        <w:spacing w:line="312" w:lineRule="auto"/>
        <w:ind w:firstLine="482"/>
        <w:jc w:val="center"/>
        <w:textAlignment w:val="baseline"/>
        <w:rPr>
          <w:rFonts w:ascii="Times New Roman" w:hAnsi="Times New Roman" w:cs="Times New Roman"/>
          <w:color w:val="000000" w:themeColor="text1"/>
          <w:szCs w:val="20"/>
          <w14:textFill>
            <w14:solidFill>
              <w14:schemeClr w14:val="tx1"/>
            </w14:solidFill>
          </w14:textFill>
        </w:rPr>
      </w:pPr>
      <w:r>
        <w:rPr>
          <w:rFonts w:ascii="Times New Roman" w:hAnsi="Times New Roman" w:cs="Times New Roman"/>
          <w:color w:val="000000" w:themeColor="text1"/>
          <w:szCs w:val="20"/>
          <w14:textFill>
            <w14:solidFill>
              <w14:schemeClr w14:val="tx1"/>
            </w14:solidFill>
          </w14:textFill>
        </w:rPr>
        <w:t>S=W/（Hmin*ρ）</w:t>
      </w:r>
    </w:p>
    <w:p w14:paraId="7147A539">
      <w:pPr>
        <w:adjustRightInd w:val="0"/>
        <w:spacing w:line="312" w:lineRule="auto"/>
        <w:ind w:firstLine="482"/>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式中：S—为液池面积，㎡</w:t>
      </w:r>
    </w:p>
    <w:p w14:paraId="05789077">
      <w:pPr>
        <w:adjustRightInd w:val="0"/>
        <w:spacing w:line="312" w:lineRule="auto"/>
        <w:ind w:firstLine="482"/>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W—为质量，kg</w:t>
      </w:r>
    </w:p>
    <w:p w14:paraId="13AF4750">
      <w:pPr>
        <w:adjustRightInd w:val="0"/>
        <w:spacing w:line="312" w:lineRule="auto"/>
        <w:ind w:firstLine="482"/>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Hmin—为最小液池厚度，m</w:t>
      </w:r>
    </w:p>
    <w:p w14:paraId="085E351A">
      <w:pPr>
        <w:adjustRightInd w:val="0"/>
        <w:spacing w:line="312" w:lineRule="auto"/>
        <w:ind w:firstLine="482"/>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ρ—为密度，kg/m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，混凝土地面取0.005。</w:t>
      </w:r>
    </w:p>
    <w:p w14:paraId="1C658385">
      <w:pPr>
        <w:ind w:firstLine="482" w:firstLineChars="200"/>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表8-5</w:t>
      </w:r>
      <w:r>
        <w:rPr>
          <w:rFonts w:hint="eastAsia" w:ascii="Times New Roman" w:hAnsi="Times New Roman" w:cs="Times New Roman"/>
          <w:b/>
          <w:bCs/>
          <w:color w:val="000000" w:themeColor="text1"/>
          <w:szCs w:val="21"/>
          <w14:textFill>
            <w14:solidFill>
              <w14:schemeClr w14:val="tx1"/>
            </w14:solidFill>
          </w14:textFill>
        </w:rPr>
        <w:t xml:space="preserve">  </w:t>
      </w:r>
      <w:r>
        <w:rPr>
          <w:rFonts w:ascii="Times New Roman" w:hAnsi="Times New Roman" w:cs="Times New Roman"/>
          <w:b/>
          <w:bCs/>
          <w:color w:val="000000" w:themeColor="text1"/>
          <w:szCs w:val="21"/>
          <w14:textFill>
            <w14:solidFill>
              <w14:schemeClr w14:val="tx1"/>
            </w14:solidFill>
          </w14:textFill>
        </w:rPr>
        <w:t>最不利气象条件下Q</w:t>
      </w:r>
      <w:r>
        <w:rPr>
          <w:rFonts w:ascii="Times New Roman" w:hAnsi="Times New Roman" w:cs="Times New Roman"/>
          <w:b/>
          <w:bCs/>
          <w:color w:val="000000" w:themeColor="text1"/>
          <w:szCs w:val="21"/>
          <w:vertAlign w:val="subscript"/>
          <w14:textFill>
            <w14:solidFill>
              <w14:schemeClr w14:val="tx1"/>
            </w14:solidFill>
          </w14:textFill>
        </w:rPr>
        <w:t>3</w:t>
      </w:r>
      <w:r>
        <w:rPr>
          <w:rFonts w:ascii="Times New Roman" w:hAnsi="Times New Roman" w:cs="Times New Roman"/>
          <w:b/>
          <w:bCs/>
          <w:color w:val="000000" w:themeColor="text1"/>
          <w:szCs w:val="21"/>
          <w14:textFill>
            <w14:solidFill>
              <w14:schemeClr w14:val="tx1"/>
            </w14:solidFill>
          </w14:textFill>
        </w:rPr>
        <w:t>计算参数表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132"/>
        <w:gridCol w:w="703"/>
        <w:gridCol w:w="782"/>
        <w:gridCol w:w="782"/>
        <w:gridCol w:w="952"/>
        <w:gridCol w:w="697"/>
        <w:gridCol w:w="653"/>
        <w:gridCol w:w="1160"/>
        <w:gridCol w:w="647"/>
        <w:gridCol w:w="821"/>
      </w:tblGrid>
      <w:tr w14:paraId="08288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1132" w:type="dxa"/>
            <w:vAlign w:val="center"/>
          </w:tcPr>
          <w:p w14:paraId="26454A5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物质</w:t>
            </w:r>
          </w:p>
        </w:tc>
        <w:tc>
          <w:tcPr>
            <w:tcW w:w="703" w:type="dxa"/>
            <w:vAlign w:val="center"/>
          </w:tcPr>
          <w:p w14:paraId="2D9FBF0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w:t>
            </w:r>
          </w:p>
          <w:p w14:paraId="2F12FBE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（Pa）</w:t>
            </w:r>
          </w:p>
        </w:tc>
        <w:tc>
          <w:tcPr>
            <w:tcW w:w="782" w:type="dxa"/>
            <w:vAlign w:val="center"/>
          </w:tcPr>
          <w:p w14:paraId="306B813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R</w:t>
            </w:r>
          </w:p>
        </w:tc>
        <w:tc>
          <w:tcPr>
            <w:tcW w:w="782" w:type="dxa"/>
            <w:vAlign w:val="center"/>
          </w:tcPr>
          <w:p w14:paraId="5349B1A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T0</w:t>
            </w:r>
          </w:p>
          <w:p w14:paraId="32065B0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w:t>
            </w:r>
          </w:p>
        </w:tc>
        <w:tc>
          <w:tcPr>
            <w:tcW w:w="952" w:type="dxa"/>
            <w:vAlign w:val="center"/>
          </w:tcPr>
          <w:p w14:paraId="7DB9364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M（kg/mol）</w:t>
            </w:r>
          </w:p>
        </w:tc>
        <w:tc>
          <w:tcPr>
            <w:tcW w:w="697" w:type="dxa"/>
            <w:vAlign w:val="center"/>
          </w:tcPr>
          <w:p w14:paraId="7FA4F848">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U</w:t>
            </w:r>
          </w:p>
          <w:p w14:paraId="65BAB08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（m/s）</w:t>
            </w:r>
          </w:p>
        </w:tc>
        <w:tc>
          <w:tcPr>
            <w:tcW w:w="653" w:type="dxa"/>
            <w:vAlign w:val="center"/>
          </w:tcPr>
          <w:p w14:paraId="316EFBC5">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r</w:t>
            </w:r>
          </w:p>
          <w:p w14:paraId="0791CE0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w:t>
            </w:r>
          </w:p>
        </w:tc>
        <w:tc>
          <w:tcPr>
            <w:tcW w:w="1160" w:type="dxa"/>
            <w:vAlign w:val="center"/>
          </w:tcPr>
          <w:p w14:paraId="3409ECBA">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α</w:t>
            </w:r>
          </w:p>
        </w:tc>
        <w:tc>
          <w:tcPr>
            <w:tcW w:w="647" w:type="dxa"/>
            <w:vAlign w:val="center"/>
          </w:tcPr>
          <w:p w14:paraId="6200DEB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n</w:t>
            </w:r>
          </w:p>
        </w:tc>
        <w:tc>
          <w:tcPr>
            <w:tcW w:w="821" w:type="dxa"/>
            <w:vAlign w:val="center"/>
          </w:tcPr>
          <w:p w14:paraId="3A200B21">
            <w:pPr>
              <w:adjustRightInd w:val="0"/>
              <w:snapToGrid w:val="0"/>
              <w:jc w:val="center"/>
              <w:rPr>
                <w:rFonts w:ascii="Times New Roman" w:hAnsi="Times New Roman" w:cs="Times New Roman"/>
                <w:color w:val="000000" w:themeColor="text1"/>
                <w:sz w:val="21"/>
                <w:szCs w:val="21"/>
                <w:vertAlign w:val="subscript"/>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vertAlign w:val="subscript"/>
                <w14:textFill>
                  <w14:solidFill>
                    <w14:schemeClr w14:val="tx1"/>
                  </w14:solidFill>
                </w14:textFill>
              </w:rPr>
              <w:t>3</w:t>
            </w:r>
          </w:p>
          <w:p w14:paraId="04F8BCF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（kg/s）</w:t>
            </w:r>
          </w:p>
        </w:tc>
      </w:tr>
      <w:tr w14:paraId="6A41F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1132" w:type="dxa"/>
            <w:vAlign w:val="center"/>
          </w:tcPr>
          <w:p w14:paraId="5C54558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w:t>
            </w:r>
          </w:p>
        </w:tc>
        <w:tc>
          <w:tcPr>
            <w:tcW w:w="703" w:type="dxa"/>
            <w:vAlign w:val="center"/>
          </w:tcPr>
          <w:p w14:paraId="4B1607E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133</w:t>
            </w:r>
          </w:p>
        </w:tc>
        <w:tc>
          <w:tcPr>
            <w:tcW w:w="782" w:type="dxa"/>
            <w:vAlign w:val="center"/>
          </w:tcPr>
          <w:p w14:paraId="2ABD962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8.3145</w:t>
            </w:r>
          </w:p>
        </w:tc>
        <w:tc>
          <w:tcPr>
            <w:tcW w:w="782" w:type="dxa"/>
            <w:vAlign w:val="center"/>
          </w:tcPr>
          <w:p w14:paraId="4495F0F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298</w:t>
            </w:r>
          </w:p>
        </w:tc>
        <w:tc>
          <w:tcPr>
            <w:tcW w:w="952" w:type="dxa"/>
            <w:vAlign w:val="center"/>
          </w:tcPr>
          <w:p w14:paraId="49A8DC9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0.032</w:t>
            </w:r>
          </w:p>
        </w:tc>
        <w:tc>
          <w:tcPr>
            <w:tcW w:w="697" w:type="dxa"/>
            <w:vAlign w:val="center"/>
          </w:tcPr>
          <w:p w14:paraId="44C09EE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653" w:type="dxa"/>
            <w:vAlign w:val="center"/>
          </w:tcPr>
          <w:p w14:paraId="36DAC8C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21.0</w:t>
            </w:r>
          </w:p>
        </w:tc>
        <w:tc>
          <w:tcPr>
            <w:tcW w:w="1160" w:type="dxa"/>
            <w:vAlign w:val="center"/>
          </w:tcPr>
          <w:p w14:paraId="01EAB803">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0.005285</w:t>
            </w:r>
          </w:p>
        </w:tc>
        <w:tc>
          <w:tcPr>
            <w:tcW w:w="647" w:type="dxa"/>
            <w:vAlign w:val="center"/>
          </w:tcPr>
          <w:p w14:paraId="278E1AE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c>
          <w:tcPr>
            <w:tcW w:w="821" w:type="dxa"/>
            <w:vAlign w:val="center"/>
          </w:tcPr>
          <w:p w14:paraId="17FFE4F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0.0036</w:t>
            </w:r>
          </w:p>
        </w:tc>
      </w:tr>
      <w:tr w14:paraId="281CD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1132" w:type="dxa"/>
            <w:vAlign w:val="center"/>
          </w:tcPr>
          <w:p w14:paraId="470AE41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703" w:type="dxa"/>
            <w:vAlign w:val="center"/>
          </w:tcPr>
          <w:p w14:paraId="71E41981">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130</w:t>
            </w:r>
          </w:p>
        </w:tc>
        <w:tc>
          <w:tcPr>
            <w:tcW w:w="782" w:type="dxa"/>
            <w:vAlign w:val="center"/>
          </w:tcPr>
          <w:p w14:paraId="6E67C51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8.3145</w:t>
            </w:r>
          </w:p>
        </w:tc>
        <w:tc>
          <w:tcPr>
            <w:tcW w:w="782" w:type="dxa"/>
            <w:vAlign w:val="center"/>
          </w:tcPr>
          <w:p w14:paraId="486F8F2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298</w:t>
            </w:r>
          </w:p>
        </w:tc>
        <w:tc>
          <w:tcPr>
            <w:tcW w:w="952" w:type="dxa"/>
            <w:vAlign w:val="center"/>
          </w:tcPr>
          <w:p w14:paraId="42E5AB6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0.098</w:t>
            </w:r>
          </w:p>
        </w:tc>
        <w:tc>
          <w:tcPr>
            <w:tcW w:w="697" w:type="dxa"/>
            <w:vAlign w:val="center"/>
          </w:tcPr>
          <w:p w14:paraId="21AD77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653" w:type="dxa"/>
            <w:vAlign w:val="center"/>
          </w:tcPr>
          <w:p w14:paraId="34763A0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21.0</w:t>
            </w:r>
          </w:p>
        </w:tc>
        <w:tc>
          <w:tcPr>
            <w:tcW w:w="1160" w:type="dxa"/>
            <w:vAlign w:val="center"/>
          </w:tcPr>
          <w:p w14:paraId="6A10F5D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0.005285</w:t>
            </w:r>
          </w:p>
        </w:tc>
        <w:tc>
          <w:tcPr>
            <w:tcW w:w="647" w:type="dxa"/>
            <w:vAlign w:val="center"/>
          </w:tcPr>
          <w:p w14:paraId="7D71E074">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w:t>
            </w:r>
          </w:p>
        </w:tc>
        <w:tc>
          <w:tcPr>
            <w:tcW w:w="821" w:type="dxa"/>
            <w:vAlign w:val="center"/>
          </w:tcPr>
          <w:p w14:paraId="0F99BD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w:t>
            </w:r>
            <w:r>
              <w:rPr>
                <w:rFonts w:hint="eastAsia" w:ascii="Times New Roman" w:hAnsi="Times New Roman" w:cs="Times New Roman"/>
                <w:color w:val="000000" w:themeColor="text1"/>
                <w:sz w:val="21"/>
                <w:szCs w:val="21"/>
                <w14:textFill>
                  <w14:solidFill>
                    <w14:schemeClr w14:val="tx1"/>
                  </w14:solidFill>
                </w14:textFill>
              </w:rPr>
              <w:t>109</w:t>
            </w:r>
          </w:p>
        </w:tc>
      </w:tr>
      <w:tr w14:paraId="70B1F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1132" w:type="dxa"/>
            <w:vAlign w:val="center"/>
          </w:tcPr>
          <w:p w14:paraId="1CD6E98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703" w:type="dxa"/>
            <w:vAlign w:val="center"/>
          </w:tcPr>
          <w:p w14:paraId="1E9DCAB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130</w:t>
            </w:r>
          </w:p>
        </w:tc>
        <w:tc>
          <w:tcPr>
            <w:tcW w:w="782" w:type="dxa"/>
            <w:vAlign w:val="center"/>
          </w:tcPr>
          <w:p w14:paraId="5BCA860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8.3145</w:t>
            </w:r>
          </w:p>
        </w:tc>
        <w:tc>
          <w:tcPr>
            <w:tcW w:w="782" w:type="dxa"/>
            <w:vAlign w:val="center"/>
          </w:tcPr>
          <w:p w14:paraId="5596653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298</w:t>
            </w:r>
          </w:p>
        </w:tc>
        <w:tc>
          <w:tcPr>
            <w:tcW w:w="952" w:type="dxa"/>
            <w:vAlign w:val="center"/>
          </w:tcPr>
          <w:p w14:paraId="1AD0D4C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0.094</w:t>
            </w:r>
          </w:p>
        </w:tc>
        <w:tc>
          <w:tcPr>
            <w:tcW w:w="697" w:type="dxa"/>
            <w:vAlign w:val="center"/>
          </w:tcPr>
          <w:p w14:paraId="76B55E4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653" w:type="dxa"/>
            <w:vAlign w:val="center"/>
          </w:tcPr>
          <w:p w14:paraId="27F1786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36.7</w:t>
            </w:r>
          </w:p>
        </w:tc>
        <w:tc>
          <w:tcPr>
            <w:tcW w:w="1160" w:type="dxa"/>
            <w:vAlign w:val="center"/>
          </w:tcPr>
          <w:p w14:paraId="5677FFE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0.005285</w:t>
            </w:r>
          </w:p>
        </w:tc>
        <w:tc>
          <w:tcPr>
            <w:tcW w:w="647" w:type="dxa"/>
            <w:vAlign w:val="center"/>
          </w:tcPr>
          <w:p w14:paraId="3642765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w:t>
            </w:r>
          </w:p>
        </w:tc>
        <w:tc>
          <w:tcPr>
            <w:tcW w:w="821" w:type="dxa"/>
            <w:vAlign w:val="center"/>
          </w:tcPr>
          <w:p w14:paraId="678C397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0.0296</w:t>
            </w:r>
          </w:p>
        </w:tc>
      </w:tr>
      <w:tr w14:paraId="08A34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1132" w:type="dxa"/>
            <w:vAlign w:val="center"/>
          </w:tcPr>
          <w:p w14:paraId="43155C4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703" w:type="dxa"/>
            <w:vAlign w:val="center"/>
          </w:tcPr>
          <w:p w14:paraId="56345E3D">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224</w:t>
            </w:r>
          </w:p>
        </w:tc>
        <w:tc>
          <w:tcPr>
            <w:tcW w:w="782" w:type="dxa"/>
            <w:vAlign w:val="center"/>
          </w:tcPr>
          <w:p w14:paraId="06EA6CC9">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8.3145</w:t>
            </w:r>
          </w:p>
        </w:tc>
        <w:tc>
          <w:tcPr>
            <w:tcW w:w="782" w:type="dxa"/>
            <w:vAlign w:val="center"/>
          </w:tcPr>
          <w:p w14:paraId="49ABD9A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298</w:t>
            </w:r>
          </w:p>
        </w:tc>
        <w:tc>
          <w:tcPr>
            <w:tcW w:w="952" w:type="dxa"/>
            <w:vAlign w:val="center"/>
          </w:tcPr>
          <w:p w14:paraId="0AA790F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0.113</w:t>
            </w:r>
          </w:p>
        </w:tc>
        <w:tc>
          <w:tcPr>
            <w:tcW w:w="697" w:type="dxa"/>
            <w:vAlign w:val="center"/>
          </w:tcPr>
          <w:p w14:paraId="59B174D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653" w:type="dxa"/>
            <w:vAlign w:val="center"/>
          </w:tcPr>
          <w:p w14:paraId="05A73FC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71.5</w:t>
            </w:r>
          </w:p>
        </w:tc>
        <w:tc>
          <w:tcPr>
            <w:tcW w:w="1160" w:type="dxa"/>
            <w:vAlign w:val="center"/>
          </w:tcPr>
          <w:p w14:paraId="6887EA47">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0.005285</w:t>
            </w:r>
          </w:p>
        </w:tc>
        <w:tc>
          <w:tcPr>
            <w:tcW w:w="647" w:type="dxa"/>
            <w:vAlign w:val="center"/>
          </w:tcPr>
          <w:p w14:paraId="6B95C32F">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0.2</w:t>
            </w:r>
          </w:p>
        </w:tc>
        <w:tc>
          <w:tcPr>
            <w:tcW w:w="821" w:type="dxa"/>
            <w:vAlign w:val="center"/>
          </w:tcPr>
          <w:p w14:paraId="2DC0AD8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0.2134</w:t>
            </w:r>
          </w:p>
        </w:tc>
      </w:tr>
    </w:tbl>
    <w:p w14:paraId="50EAEAE2">
      <w:pPr>
        <w:spacing w:line="360" w:lineRule="auto"/>
        <w:ind w:firstLine="480" w:firstLineChars="200"/>
        <w:rPr>
          <w:rFonts w:ascii="Times New Roman" w:hAnsi="Times New Roman" w:cs="Times New Roman"/>
          <w:color w:val="000000" w:themeColor="text1"/>
          <w14:textFill>
            <w14:solidFill>
              <w14:schemeClr w14:val="tx1"/>
            </w14:solidFill>
          </w14:textFill>
        </w:rPr>
      </w:pPr>
    </w:p>
    <w:p w14:paraId="1B25715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rPr>
        <w:t>在最不利气象条件下，本项目</w:t>
      </w:r>
      <w:r>
        <w:rPr>
          <w:rFonts w:hint="eastAsia" w:ascii="Times New Roman" w:hAnsi="Times New Roman" w:cs="Times New Roman"/>
          <w:color w:val="000000"/>
        </w:rPr>
        <w:t>液硫储罐、</w:t>
      </w:r>
      <w:r>
        <w:rPr>
          <w:rFonts w:hint="eastAsia" w:ascii="Times New Roman" w:hAnsi="Times New Roman" w:cs="Times New Roman"/>
          <w:color w:val="000000" w:themeColor="text1"/>
          <w14:textFill>
            <w14:solidFill>
              <w14:schemeClr w14:val="tx1"/>
            </w14:solidFill>
          </w14:textFill>
        </w:rPr>
        <w:t>发烟硫酸、苯酚、己内酰胺储罐</w:t>
      </w:r>
      <w:r>
        <w:rPr>
          <w:rFonts w:ascii="Times New Roman" w:hAnsi="Times New Roman" w:cs="Times New Roman"/>
          <w:color w:val="000000" w:themeColor="text1"/>
          <w14:textFill>
            <w14:solidFill>
              <w14:schemeClr w14:val="tx1"/>
            </w14:solidFill>
          </w14:textFill>
        </w:rPr>
        <w:t>的泄漏事故源强如下表所示：</w:t>
      </w:r>
    </w:p>
    <w:p w14:paraId="15333BF6">
      <w:pPr>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表8-6事故源强一览表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765"/>
        <w:gridCol w:w="1076"/>
        <w:gridCol w:w="645"/>
        <w:gridCol w:w="623"/>
        <w:gridCol w:w="1093"/>
        <w:gridCol w:w="1089"/>
        <w:gridCol w:w="1069"/>
        <w:gridCol w:w="847"/>
        <w:gridCol w:w="1122"/>
      </w:tblGrid>
      <w:tr w14:paraId="267FB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765" w:type="dxa"/>
            <w:vAlign w:val="center"/>
          </w:tcPr>
          <w:p w14:paraId="04FF1C2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风险事故情形描述</w:t>
            </w:r>
          </w:p>
        </w:tc>
        <w:tc>
          <w:tcPr>
            <w:tcW w:w="1076" w:type="dxa"/>
            <w:vAlign w:val="center"/>
          </w:tcPr>
          <w:p w14:paraId="1464F44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w:t>
            </w:r>
          </w:p>
          <w:p w14:paraId="7A53F1D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单元</w:t>
            </w:r>
          </w:p>
        </w:tc>
        <w:tc>
          <w:tcPr>
            <w:tcW w:w="645" w:type="dxa"/>
            <w:vAlign w:val="center"/>
          </w:tcPr>
          <w:p w14:paraId="31FFDD9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w:t>
            </w:r>
          </w:p>
          <w:p w14:paraId="0A217B3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物质</w:t>
            </w:r>
          </w:p>
        </w:tc>
        <w:tc>
          <w:tcPr>
            <w:tcW w:w="623" w:type="dxa"/>
            <w:vAlign w:val="center"/>
          </w:tcPr>
          <w:p w14:paraId="57202BD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影响途径</w:t>
            </w:r>
          </w:p>
        </w:tc>
        <w:tc>
          <w:tcPr>
            <w:tcW w:w="1093" w:type="dxa"/>
            <w:vAlign w:val="center"/>
          </w:tcPr>
          <w:p w14:paraId="609618E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释放或泄露速率（kg/s）</w:t>
            </w:r>
          </w:p>
        </w:tc>
        <w:tc>
          <w:tcPr>
            <w:tcW w:w="1089" w:type="dxa"/>
            <w:vAlign w:val="center"/>
          </w:tcPr>
          <w:p w14:paraId="3299269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释放或泄露时间（min）</w:t>
            </w:r>
          </w:p>
        </w:tc>
        <w:tc>
          <w:tcPr>
            <w:tcW w:w="1069" w:type="dxa"/>
            <w:vAlign w:val="center"/>
          </w:tcPr>
          <w:p w14:paraId="2E3A710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最大释放或泄露量（kg）</w:t>
            </w:r>
          </w:p>
        </w:tc>
        <w:tc>
          <w:tcPr>
            <w:tcW w:w="847" w:type="dxa"/>
            <w:vAlign w:val="center"/>
          </w:tcPr>
          <w:p w14:paraId="73C0DDB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蒸发速率kg/s</w:t>
            </w:r>
          </w:p>
        </w:tc>
        <w:tc>
          <w:tcPr>
            <w:tcW w:w="1122" w:type="dxa"/>
            <w:vAlign w:val="center"/>
          </w:tcPr>
          <w:p w14:paraId="24B792D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泄漏</w:t>
            </w:r>
            <w:r>
              <w:rPr>
                <w:rFonts w:ascii="Times New Roman" w:hAnsi="Times New Roman" w:cs="Times New Roman"/>
                <w:color w:val="000000" w:themeColor="text1"/>
                <w:sz w:val="21"/>
                <w:szCs w:val="21"/>
                <w14:textFill>
                  <w14:solidFill>
                    <w14:schemeClr w14:val="tx1"/>
                  </w14:solidFill>
                </w14:textFill>
              </w:rPr>
              <w:t>液体蒸发量（kg）</w:t>
            </w:r>
          </w:p>
        </w:tc>
      </w:tr>
      <w:tr w14:paraId="00BE3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765" w:type="dxa"/>
            <w:vMerge w:val="restart"/>
            <w:vAlign w:val="center"/>
          </w:tcPr>
          <w:p w14:paraId="0ED9EED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w:t>
            </w:r>
          </w:p>
        </w:tc>
        <w:tc>
          <w:tcPr>
            <w:tcW w:w="1076" w:type="dxa"/>
          </w:tcPr>
          <w:p w14:paraId="507CA18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液硫储罐</w:t>
            </w:r>
          </w:p>
          <w:p w14:paraId="5649CB7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（TK-407）</w:t>
            </w:r>
          </w:p>
        </w:tc>
        <w:tc>
          <w:tcPr>
            <w:tcW w:w="645" w:type="dxa"/>
            <w:vAlign w:val="center"/>
          </w:tcPr>
          <w:p w14:paraId="46BCE06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液硫</w:t>
            </w:r>
          </w:p>
        </w:tc>
        <w:tc>
          <w:tcPr>
            <w:tcW w:w="623" w:type="dxa"/>
            <w:vMerge w:val="restart"/>
            <w:vAlign w:val="center"/>
          </w:tcPr>
          <w:p w14:paraId="7D71C06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大气、地表水</w:t>
            </w:r>
          </w:p>
        </w:tc>
        <w:tc>
          <w:tcPr>
            <w:tcW w:w="1093" w:type="dxa"/>
            <w:vAlign w:val="center"/>
          </w:tcPr>
          <w:p w14:paraId="3F66D98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0.951</w:t>
            </w:r>
          </w:p>
        </w:tc>
        <w:tc>
          <w:tcPr>
            <w:tcW w:w="1089" w:type="dxa"/>
            <w:vAlign w:val="center"/>
          </w:tcPr>
          <w:p w14:paraId="3D0DC4E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069" w:type="dxa"/>
            <w:vAlign w:val="center"/>
          </w:tcPr>
          <w:p w14:paraId="102CA27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570.4</w:t>
            </w:r>
          </w:p>
        </w:tc>
        <w:tc>
          <w:tcPr>
            <w:tcW w:w="847" w:type="dxa"/>
            <w:vAlign w:val="center"/>
          </w:tcPr>
          <w:p w14:paraId="100F229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0.0036</w:t>
            </w:r>
          </w:p>
        </w:tc>
        <w:tc>
          <w:tcPr>
            <w:tcW w:w="1122" w:type="dxa"/>
            <w:vAlign w:val="center"/>
          </w:tcPr>
          <w:p w14:paraId="6D82E67C">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6.5</w:t>
            </w:r>
          </w:p>
        </w:tc>
      </w:tr>
      <w:tr w14:paraId="246E1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765" w:type="dxa"/>
            <w:vMerge w:val="continue"/>
            <w:vAlign w:val="center"/>
          </w:tcPr>
          <w:p w14:paraId="268EF431">
            <w:pPr>
              <w:jc w:val="center"/>
              <w:rPr>
                <w:rFonts w:ascii="Times New Roman" w:hAnsi="Times New Roman" w:cs="Times New Roman"/>
                <w:color w:val="000000" w:themeColor="text1"/>
                <w:sz w:val="21"/>
                <w:szCs w:val="21"/>
                <w14:textFill>
                  <w14:solidFill>
                    <w14:schemeClr w14:val="tx1"/>
                  </w14:solidFill>
                </w14:textFill>
              </w:rPr>
            </w:pPr>
          </w:p>
        </w:tc>
        <w:tc>
          <w:tcPr>
            <w:tcW w:w="1076" w:type="dxa"/>
          </w:tcPr>
          <w:p w14:paraId="4991CAB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硫酸储罐</w:t>
            </w:r>
          </w:p>
          <w:p w14:paraId="3E44B5A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（TK-408）</w:t>
            </w:r>
          </w:p>
        </w:tc>
        <w:tc>
          <w:tcPr>
            <w:tcW w:w="645" w:type="dxa"/>
            <w:vAlign w:val="center"/>
          </w:tcPr>
          <w:p w14:paraId="099B7F6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w:t>
            </w:r>
          </w:p>
        </w:tc>
        <w:tc>
          <w:tcPr>
            <w:tcW w:w="623" w:type="dxa"/>
            <w:vMerge w:val="continue"/>
            <w:vAlign w:val="center"/>
          </w:tcPr>
          <w:p w14:paraId="5BD64B0E">
            <w:pPr>
              <w:jc w:val="center"/>
              <w:rPr>
                <w:rFonts w:ascii="Times New Roman" w:hAnsi="Times New Roman" w:cs="Times New Roman"/>
                <w:color w:val="000000" w:themeColor="text1"/>
                <w:sz w:val="21"/>
                <w:szCs w:val="21"/>
                <w14:textFill>
                  <w14:solidFill>
                    <w14:schemeClr w14:val="tx1"/>
                  </w14:solidFill>
                </w14:textFill>
              </w:rPr>
            </w:pPr>
          </w:p>
        </w:tc>
        <w:tc>
          <w:tcPr>
            <w:tcW w:w="1093" w:type="dxa"/>
            <w:vAlign w:val="center"/>
          </w:tcPr>
          <w:p w14:paraId="162A2A6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0.911</w:t>
            </w:r>
          </w:p>
        </w:tc>
        <w:tc>
          <w:tcPr>
            <w:tcW w:w="1089" w:type="dxa"/>
            <w:vAlign w:val="center"/>
          </w:tcPr>
          <w:p w14:paraId="7BE6DE9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069" w:type="dxa"/>
            <w:vAlign w:val="center"/>
          </w:tcPr>
          <w:p w14:paraId="03A7DBD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546.7</w:t>
            </w:r>
          </w:p>
        </w:tc>
        <w:tc>
          <w:tcPr>
            <w:tcW w:w="847" w:type="dxa"/>
            <w:vAlign w:val="center"/>
          </w:tcPr>
          <w:p w14:paraId="3A7CD5F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w:t>
            </w:r>
            <w:r>
              <w:rPr>
                <w:rFonts w:hint="eastAsia" w:ascii="Times New Roman" w:hAnsi="Times New Roman" w:cs="Times New Roman"/>
                <w:color w:val="000000" w:themeColor="text1"/>
                <w:sz w:val="21"/>
                <w:szCs w:val="21"/>
                <w14:textFill>
                  <w14:solidFill>
                    <w14:schemeClr w14:val="tx1"/>
                  </w14:solidFill>
                </w14:textFill>
              </w:rPr>
              <w:t>109</w:t>
            </w:r>
          </w:p>
        </w:tc>
        <w:tc>
          <w:tcPr>
            <w:tcW w:w="1122" w:type="dxa"/>
            <w:vAlign w:val="center"/>
          </w:tcPr>
          <w:p w14:paraId="5DD9CF28">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19.6</w:t>
            </w:r>
          </w:p>
        </w:tc>
      </w:tr>
      <w:tr w14:paraId="4CDA9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765" w:type="dxa"/>
            <w:vMerge w:val="continue"/>
            <w:vAlign w:val="center"/>
          </w:tcPr>
          <w:p w14:paraId="7732B5D5">
            <w:pPr>
              <w:jc w:val="center"/>
              <w:rPr>
                <w:rFonts w:ascii="Times New Roman" w:hAnsi="Times New Roman" w:cs="Times New Roman"/>
                <w:color w:val="000000" w:themeColor="text1"/>
                <w:sz w:val="21"/>
                <w:szCs w:val="21"/>
                <w14:textFill>
                  <w14:solidFill>
                    <w14:schemeClr w14:val="tx1"/>
                  </w14:solidFill>
                </w14:textFill>
              </w:rPr>
            </w:pPr>
          </w:p>
        </w:tc>
        <w:tc>
          <w:tcPr>
            <w:tcW w:w="1076" w:type="dxa"/>
          </w:tcPr>
          <w:p w14:paraId="7D48FF9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苯酚储罐</w:t>
            </w:r>
          </w:p>
          <w:p w14:paraId="491948A6">
            <w:pPr>
              <w:pStyle w:val="86"/>
              <w:ind w:firstLine="210"/>
              <w:rPr>
                <w:color w:val="000000" w:themeColor="text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（TK-410、TK-411）</w:t>
            </w:r>
          </w:p>
        </w:tc>
        <w:tc>
          <w:tcPr>
            <w:tcW w:w="645" w:type="dxa"/>
            <w:vAlign w:val="center"/>
          </w:tcPr>
          <w:p w14:paraId="05FDEC1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623" w:type="dxa"/>
            <w:vMerge w:val="continue"/>
            <w:vAlign w:val="center"/>
          </w:tcPr>
          <w:p w14:paraId="001CA8F6">
            <w:pPr>
              <w:jc w:val="center"/>
              <w:rPr>
                <w:rFonts w:ascii="Times New Roman" w:hAnsi="Times New Roman" w:cs="Times New Roman"/>
                <w:color w:val="000000" w:themeColor="text1"/>
                <w:sz w:val="21"/>
                <w:szCs w:val="21"/>
                <w14:textFill>
                  <w14:solidFill>
                    <w14:schemeClr w14:val="tx1"/>
                  </w14:solidFill>
                </w14:textFill>
              </w:rPr>
            </w:pPr>
          </w:p>
        </w:tc>
        <w:tc>
          <w:tcPr>
            <w:tcW w:w="1093" w:type="dxa"/>
            <w:vAlign w:val="center"/>
          </w:tcPr>
          <w:p w14:paraId="4B8BFF6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0.557</w:t>
            </w:r>
          </w:p>
        </w:tc>
        <w:tc>
          <w:tcPr>
            <w:tcW w:w="1089" w:type="dxa"/>
            <w:vAlign w:val="center"/>
          </w:tcPr>
          <w:p w14:paraId="4DC3C43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1069" w:type="dxa"/>
            <w:vAlign w:val="center"/>
          </w:tcPr>
          <w:p w14:paraId="7F1E38F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334.4</w:t>
            </w:r>
          </w:p>
        </w:tc>
        <w:tc>
          <w:tcPr>
            <w:tcW w:w="847" w:type="dxa"/>
            <w:vAlign w:val="center"/>
          </w:tcPr>
          <w:p w14:paraId="4CE3D77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0.0296</w:t>
            </w:r>
          </w:p>
        </w:tc>
        <w:tc>
          <w:tcPr>
            <w:tcW w:w="1122" w:type="dxa"/>
            <w:vAlign w:val="center"/>
          </w:tcPr>
          <w:p w14:paraId="53EB19F4">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53.3</w:t>
            </w:r>
          </w:p>
        </w:tc>
      </w:tr>
      <w:tr w14:paraId="5230C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765" w:type="dxa"/>
            <w:vMerge w:val="continue"/>
            <w:vAlign w:val="center"/>
          </w:tcPr>
          <w:p w14:paraId="2D693178">
            <w:pPr>
              <w:jc w:val="center"/>
              <w:rPr>
                <w:rFonts w:ascii="Times New Roman" w:hAnsi="Times New Roman" w:cs="Times New Roman"/>
                <w:color w:val="000000" w:themeColor="text1"/>
                <w:sz w:val="21"/>
                <w:szCs w:val="21"/>
                <w14:textFill>
                  <w14:solidFill>
                    <w14:schemeClr w14:val="tx1"/>
                  </w14:solidFill>
                </w14:textFill>
              </w:rPr>
            </w:pPr>
          </w:p>
        </w:tc>
        <w:tc>
          <w:tcPr>
            <w:tcW w:w="1076" w:type="dxa"/>
          </w:tcPr>
          <w:p w14:paraId="7C8146D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己内酰胺储罐（TK-412）</w:t>
            </w:r>
          </w:p>
        </w:tc>
        <w:tc>
          <w:tcPr>
            <w:tcW w:w="645" w:type="dxa"/>
            <w:vAlign w:val="center"/>
          </w:tcPr>
          <w:p w14:paraId="03B5C42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623" w:type="dxa"/>
            <w:vMerge w:val="continue"/>
            <w:vAlign w:val="center"/>
          </w:tcPr>
          <w:p w14:paraId="09C94648">
            <w:pPr>
              <w:jc w:val="center"/>
              <w:rPr>
                <w:rFonts w:ascii="Times New Roman" w:hAnsi="Times New Roman" w:cs="Times New Roman"/>
                <w:color w:val="000000" w:themeColor="text1"/>
                <w:sz w:val="21"/>
                <w:szCs w:val="21"/>
                <w14:textFill>
                  <w14:solidFill>
                    <w14:schemeClr w14:val="tx1"/>
                  </w14:solidFill>
                </w14:textFill>
              </w:rPr>
            </w:pPr>
          </w:p>
        </w:tc>
        <w:tc>
          <w:tcPr>
            <w:tcW w:w="1093" w:type="dxa"/>
            <w:vAlign w:val="center"/>
          </w:tcPr>
          <w:p w14:paraId="1EAEFA5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0.625</w:t>
            </w:r>
          </w:p>
        </w:tc>
        <w:tc>
          <w:tcPr>
            <w:tcW w:w="1089" w:type="dxa"/>
            <w:vAlign w:val="center"/>
          </w:tcPr>
          <w:p w14:paraId="0172169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1069" w:type="dxa"/>
            <w:vAlign w:val="center"/>
          </w:tcPr>
          <w:p w14:paraId="5974B19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374.8</w:t>
            </w:r>
          </w:p>
        </w:tc>
        <w:tc>
          <w:tcPr>
            <w:tcW w:w="847" w:type="dxa"/>
            <w:vAlign w:val="center"/>
          </w:tcPr>
          <w:p w14:paraId="35FFC2C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0.2134</w:t>
            </w:r>
          </w:p>
        </w:tc>
        <w:tc>
          <w:tcPr>
            <w:tcW w:w="1122" w:type="dxa"/>
            <w:vAlign w:val="center"/>
          </w:tcPr>
          <w:p w14:paraId="7AAF5FCC">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384.2</w:t>
            </w:r>
          </w:p>
        </w:tc>
      </w:tr>
    </w:tbl>
    <w:p w14:paraId="21FE0B3C">
      <w:pPr>
        <w:spacing w:line="360" w:lineRule="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注：蒸发量按蒸发时间30min计算。</w:t>
      </w:r>
    </w:p>
    <w:p w14:paraId="5C9DE4E5">
      <w:pPr>
        <w:pStyle w:val="4003"/>
        <w:rPr>
          <w:color w:val="000000" w:themeColor="text1"/>
          <w14:textFill>
            <w14:solidFill>
              <w14:schemeClr w14:val="tx1"/>
            </w14:solidFill>
          </w14:textFill>
        </w:rPr>
      </w:pPr>
      <w:r>
        <w:rPr>
          <w:color w:val="000000" w:themeColor="text1"/>
          <w14:textFill>
            <w14:solidFill>
              <w14:schemeClr w14:val="tx1"/>
            </w14:solidFill>
          </w14:textFill>
        </w:rPr>
        <w:t>8.2.2火灾事故次生污染</w:t>
      </w:r>
    </w:p>
    <w:p w14:paraId="36ADD9D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根据经验数据、建设单位运行情况及表7-2次生污染物的危险性分析，</w:t>
      </w:r>
      <w:r>
        <w:rPr>
          <w:rFonts w:hint="eastAsia" w:ascii="Times New Roman" w:hAnsi="Times New Roman" w:cs="Times New Roman"/>
        </w:rPr>
        <w:t>本项目硫酸不燃，但泄漏后会挥发硫酸雾，苯酚、己内酰胺</w:t>
      </w:r>
      <w:r>
        <w:rPr>
          <w:rFonts w:ascii="Times New Roman" w:hAnsi="Times New Roman" w:cs="Times New Roman"/>
        </w:rPr>
        <w:t>燃烧会产生一氧化碳等污染物</w:t>
      </w:r>
      <w:r>
        <w:rPr>
          <w:rFonts w:ascii="Times New Roman" w:hAnsi="Times New Roman" w:cs="Times New Roman"/>
          <w:color w:val="000000" w:themeColor="text1"/>
          <w14:textFill>
            <w14:solidFill>
              <w14:schemeClr w14:val="tx1"/>
            </w14:solidFill>
          </w14:textFill>
        </w:rPr>
        <w:t>。本次火灾事故源强主要考虑</w:t>
      </w:r>
      <w:r>
        <w:rPr>
          <w:rFonts w:hint="eastAsia" w:ascii="Times New Roman" w:hAnsi="Times New Roman" w:cs="Times New Roman"/>
          <w:color w:val="000000" w:themeColor="text1"/>
          <w14:textFill>
            <w14:solidFill>
              <w14:schemeClr w14:val="tx1"/>
            </w14:solidFill>
          </w14:textFill>
        </w:rPr>
        <w:t>液硫、苯酚、己内酰胺</w:t>
      </w:r>
      <w:r>
        <w:rPr>
          <w:rFonts w:ascii="Times New Roman" w:hAnsi="Times New Roman" w:cs="Times New Roman"/>
          <w:color w:val="000000" w:themeColor="text1"/>
          <w14:textFill>
            <w14:solidFill>
              <w14:schemeClr w14:val="tx1"/>
            </w14:solidFill>
          </w14:textFill>
        </w:rPr>
        <w:t>泄漏到地面形成液池，遇到火源燃烧而形成池火。</w:t>
      </w:r>
    </w:p>
    <w:p w14:paraId="25D48ED7">
      <w:pPr>
        <w:pStyle w:val="86"/>
        <w:spacing w:line="360" w:lineRule="auto"/>
        <w:ind w:firstLine="240"/>
        <w:rPr>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火灾伴生/次生</w:t>
      </w:r>
      <w:r>
        <w:rPr>
          <w:rFonts w:hint="eastAsia" w:ascii="Times New Roman" w:hAnsi="Times New Roman" w:cs="Times New Roman"/>
          <w:color w:val="000000" w:themeColor="text1"/>
          <w14:textFill>
            <w14:solidFill>
              <w14:schemeClr w14:val="tx1"/>
            </w14:solidFill>
          </w14:textFill>
        </w:rPr>
        <w:t>一氧化碳</w:t>
      </w:r>
    </w:p>
    <w:p w14:paraId="788DAE2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参照《建设项目环境风险评价技术导则》（HJ169-2018）附录 F，火灾伴生/次生污染物产生量估算方法如下。</w:t>
      </w:r>
    </w:p>
    <w:p w14:paraId="3BC4FD2F">
      <w:pPr>
        <w:spacing w:line="360" w:lineRule="auto"/>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inline distT="0" distB="0" distL="0" distR="0">
            <wp:extent cx="1666240" cy="330200"/>
            <wp:effectExtent l="0" t="0" r="10160" b="1270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64"/>
                    <a:stretch>
                      <a:fillRect/>
                    </a:stretch>
                  </pic:blipFill>
                  <pic:spPr>
                    <a:xfrm>
                      <a:off x="0" y="0"/>
                      <a:ext cx="1666240" cy="330200"/>
                    </a:xfrm>
                    <a:prstGeom prst="rect">
                      <a:avLst/>
                    </a:prstGeom>
                  </pic:spPr>
                </pic:pic>
              </a:graphicData>
            </a:graphic>
          </wp:inline>
        </w:drawing>
      </w:r>
    </w:p>
    <w:p w14:paraId="5EA39EA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式中：G</w:t>
      </w:r>
      <w:r>
        <w:rPr>
          <w:rFonts w:ascii="Times New Roman" w:hAnsi="Times New Roman" w:cs="Times New Roman"/>
          <w:color w:val="000000" w:themeColor="text1"/>
          <w:vertAlign w:val="subscript"/>
          <w14:textFill>
            <w14:solidFill>
              <w14:schemeClr w14:val="tx1"/>
            </w14:solidFill>
          </w14:textFill>
        </w:rPr>
        <w:t>一氧化碳</w:t>
      </w:r>
      <w:r>
        <w:rPr>
          <w:rFonts w:ascii="Times New Roman" w:hAnsi="Times New Roman" w:cs="Times New Roman"/>
          <w:color w:val="000000" w:themeColor="text1"/>
          <w14:textFill>
            <w14:solidFill>
              <w14:schemeClr w14:val="tx1"/>
            </w14:solidFill>
          </w14:textFill>
        </w:rPr>
        <w:t xml:space="preserve"> ——CO的产生量，kg/s；</w:t>
      </w:r>
    </w:p>
    <w:p w14:paraId="29DD5CA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C——物质中碳的含量；</w:t>
      </w:r>
    </w:p>
    <w:p w14:paraId="24A4A30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q——化学不完全燃烧值，取 1.5%~6.0%，根据HJ169-2018表F.4，取3%；</w:t>
      </w:r>
    </w:p>
    <w:p w14:paraId="6F31C04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Q——参与燃烧的物质量，t/s，按泄漏量进行计算。</w:t>
      </w:r>
    </w:p>
    <w:p w14:paraId="5B9079A3">
      <w:pPr>
        <w:pStyle w:val="118"/>
        <w:spacing w:line="240" w:lineRule="auto"/>
        <w:ind w:firstLine="0" w:firstLineChars="0"/>
        <w:jc w:val="center"/>
        <w:rPr>
          <w:rFonts w:ascii="Times New Roman" w:hAnsi="Times New Roman" w:cs="Times New Roman"/>
          <w:b/>
          <w:bCs/>
        </w:rPr>
      </w:pPr>
      <w:r>
        <w:rPr>
          <w:rFonts w:ascii="Times New Roman" w:hAnsi="Times New Roman" w:cs="Times New Roman"/>
          <w:b/>
          <w:bCs/>
        </w:rPr>
        <w:t>表8-7火灾伴生/次生CO</w:t>
      </w:r>
    </w:p>
    <w:tbl>
      <w:tblPr>
        <w:tblStyle w:val="2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2"/>
        <w:gridCol w:w="1772"/>
        <w:gridCol w:w="1772"/>
        <w:gridCol w:w="1772"/>
        <w:gridCol w:w="1775"/>
      </w:tblGrid>
      <w:tr w14:paraId="20F2E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2" w:type="dxa"/>
            <w:vAlign w:val="center"/>
          </w:tcPr>
          <w:p w14:paraId="39E40ED3">
            <w:pPr>
              <w:pStyle w:val="118"/>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货种名称</w:t>
            </w:r>
          </w:p>
        </w:tc>
        <w:tc>
          <w:tcPr>
            <w:tcW w:w="1772" w:type="dxa"/>
            <w:vAlign w:val="center"/>
          </w:tcPr>
          <w:p w14:paraId="3BEADA47">
            <w:pPr>
              <w:pStyle w:val="118"/>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C</w:t>
            </w:r>
          </w:p>
        </w:tc>
        <w:tc>
          <w:tcPr>
            <w:tcW w:w="1772" w:type="dxa"/>
            <w:vAlign w:val="center"/>
          </w:tcPr>
          <w:p w14:paraId="7A7F49E3">
            <w:pPr>
              <w:pStyle w:val="118"/>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q</w:t>
            </w:r>
          </w:p>
        </w:tc>
        <w:tc>
          <w:tcPr>
            <w:tcW w:w="1772" w:type="dxa"/>
            <w:vAlign w:val="center"/>
          </w:tcPr>
          <w:p w14:paraId="657E186A">
            <w:pPr>
              <w:pStyle w:val="118"/>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泄露速率（kg/s）</w:t>
            </w:r>
          </w:p>
        </w:tc>
        <w:tc>
          <w:tcPr>
            <w:tcW w:w="1775" w:type="dxa"/>
            <w:vAlign w:val="center"/>
          </w:tcPr>
          <w:p w14:paraId="24D8E967">
            <w:pPr>
              <w:pStyle w:val="118"/>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G</w:t>
            </w:r>
            <w:r>
              <w:rPr>
                <w:rFonts w:ascii="Times New Roman" w:hAnsi="Times New Roman" w:cs="Times New Roman"/>
                <w:sz w:val="21"/>
                <w:szCs w:val="21"/>
                <w:vertAlign w:val="subscript"/>
              </w:rPr>
              <w:t>一氧化碳</w:t>
            </w:r>
            <w:r>
              <w:rPr>
                <w:rFonts w:ascii="Times New Roman" w:hAnsi="Times New Roman" w:cs="Times New Roman"/>
                <w:sz w:val="21"/>
                <w:szCs w:val="21"/>
              </w:rPr>
              <w:t>（kg/s）</w:t>
            </w:r>
          </w:p>
        </w:tc>
      </w:tr>
      <w:tr w14:paraId="1DEFA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2" w:type="dxa"/>
            <w:vAlign w:val="center"/>
          </w:tcPr>
          <w:p w14:paraId="1FE347F6">
            <w:pPr>
              <w:jc w:val="center"/>
              <w:rPr>
                <w:rFonts w:ascii="Times New Roman" w:hAnsi="Times New Roman" w:cs="Times New Roman"/>
                <w:sz w:val="21"/>
                <w:szCs w:val="21"/>
              </w:rPr>
            </w:pPr>
            <w:r>
              <w:rPr>
                <w:rFonts w:hint="eastAsia" w:ascii="Times New Roman" w:hAnsi="Times New Roman" w:cs="Times New Roman"/>
                <w:sz w:val="21"/>
                <w:szCs w:val="21"/>
              </w:rPr>
              <w:t>苯酚</w:t>
            </w:r>
          </w:p>
        </w:tc>
        <w:tc>
          <w:tcPr>
            <w:tcW w:w="1772" w:type="dxa"/>
            <w:vAlign w:val="center"/>
          </w:tcPr>
          <w:p w14:paraId="467A654C">
            <w:pPr>
              <w:jc w:val="center"/>
              <w:rPr>
                <w:rFonts w:ascii="Times New Roman" w:hAnsi="Times New Roman" w:cs="Times New Roman"/>
                <w:sz w:val="21"/>
                <w:szCs w:val="21"/>
              </w:rPr>
            </w:pPr>
            <w:r>
              <w:rPr>
                <w:rFonts w:hint="eastAsia" w:ascii="Times New Roman" w:hAnsi="Times New Roman" w:cs="Times New Roman"/>
                <w:sz w:val="21"/>
                <w:szCs w:val="21"/>
              </w:rPr>
              <w:t>76.5%</w:t>
            </w:r>
          </w:p>
        </w:tc>
        <w:tc>
          <w:tcPr>
            <w:tcW w:w="1772" w:type="dxa"/>
            <w:vAlign w:val="center"/>
          </w:tcPr>
          <w:p w14:paraId="43B29541">
            <w:pPr>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1772" w:type="dxa"/>
            <w:vAlign w:val="center"/>
          </w:tcPr>
          <w:p w14:paraId="21AAF782">
            <w:pPr>
              <w:jc w:val="center"/>
              <w:rPr>
                <w:rFonts w:ascii="Times New Roman" w:hAnsi="Times New Roman" w:cs="Times New Roman"/>
                <w:color w:val="000000" w:themeColor="text1"/>
                <w:sz w:val="21"/>
                <w:szCs w:val="22"/>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0.557</w:t>
            </w:r>
          </w:p>
        </w:tc>
        <w:tc>
          <w:tcPr>
            <w:tcW w:w="1775" w:type="dxa"/>
            <w:vAlign w:val="bottom"/>
          </w:tcPr>
          <w:p w14:paraId="46F554E8">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等线" w:cs="Times New Roman"/>
                <w:color w:val="000000" w:themeColor="text1"/>
                <w:sz w:val="21"/>
                <w:szCs w:val="21"/>
                <w:lang w:bidi="ar"/>
                <w14:textFill>
                  <w14:solidFill>
                    <w14:schemeClr w14:val="tx1"/>
                  </w14:solidFill>
                </w14:textFill>
              </w:rPr>
              <w:t xml:space="preserve">0.0298 </w:t>
            </w:r>
          </w:p>
        </w:tc>
      </w:tr>
      <w:tr w14:paraId="08BCB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2" w:type="dxa"/>
            <w:vAlign w:val="center"/>
          </w:tcPr>
          <w:p w14:paraId="4B4A5B36">
            <w:pPr>
              <w:jc w:val="center"/>
              <w:rPr>
                <w:rFonts w:ascii="Times New Roman" w:hAnsi="Times New Roman" w:cs="Times New Roman"/>
                <w:sz w:val="21"/>
                <w:szCs w:val="21"/>
              </w:rPr>
            </w:pPr>
            <w:r>
              <w:rPr>
                <w:rFonts w:hint="eastAsia" w:ascii="Times New Roman" w:hAnsi="Times New Roman" w:cs="Times New Roman"/>
                <w:sz w:val="21"/>
                <w:szCs w:val="21"/>
              </w:rPr>
              <w:t>己内酰胺</w:t>
            </w:r>
          </w:p>
        </w:tc>
        <w:tc>
          <w:tcPr>
            <w:tcW w:w="1772" w:type="dxa"/>
            <w:vAlign w:val="center"/>
          </w:tcPr>
          <w:p w14:paraId="10B0B89A">
            <w:pPr>
              <w:jc w:val="center"/>
              <w:rPr>
                <w:rFonts w:ascii="Times New Roman" w:hAnsi="Times New Roman" w:cs="Times New Roman"/>
                <w:sz w:val="21"/>
                <w:szCs w:val="21"/>
              </w:rPr>
            </w:pPr>
            <w:r>
              <w:rPr>
                <w:rFonts w:hint="eastAsia" w:ascii="Times New Roman" w:hAnsi="Times New Roman" w:cs="Times New Roman"/>
                <w:sz w:val="21"/>
                <w:szCs w:val="21"/>
              </w:rPr>
              <w:t>63.6</w:t>
            </w:r>
          </w:p>
        </w:tc>
        <w:tc>
          <w:tcPr>
            <w:tcW w:w="1772" w:type="dxa"/>
            <w:vAlign w:val="center"/>
          </w:tcPr>
          <w:p w14:paraId="4D66A5D6">
            <w:pPr>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1772" w:type="dxa"/>
            <w:vAlign w:val="center"/>
          </w:tcPr>
          <w:p w14:paraId="028FEDC5">
            <w:pPr>
              <w:jc w:val="center"/>
              <w:rPr>
                <w:rFonts w:ascii="Times New Roman" w:hAnsi="Times New Roman" w:cs="Times New Roman"/>
                <w:color w:val="000000" w:themeColor="text1"/>
                <w:sz w:val="21"/>
                <w:szCs w:val="22"/>
                <w14:textFill>
                  <w14:solidFill>
                    <w14:schemeClr w14:val="tx1"/>
                  </w14:solidFill>
                </w14:textFill>
              </w:rPr>
            </w:pPr>
            <w:r>
              <w:rPr>
                <w:rFonts w:hint="eastAsia" w:ascii="Times New Roman" w:hAnsi="Times New Roman" w:cs="Times New Roman"/>
                <w:color w:val="000000" w:themeColor="text1"/>
                <w:sz w:val="21"/>
                <w14:textFill>
                  <w14:solidFill>
                    <w14:schemeClr w14:val="tx1"/>
                  </w14:solidFill>
                </w14:textFill>
              </w:rPr>
              <w:t>0.625</w:t>
            </w:r>
          </w:p>
        </w:tc>
        <w:tc>
          <w:tcPr>
            <w:tcW w:w="1775" w:type="dxa"/>
            <w:vAlign w:val="bottom"/>
          </w:tcPr>
          <w:p w14:paraId="36A39E79">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eastAsia="等线" w:cs="Times New Roman"/>
                <w:color w:val="000000" w:themeColor="text1"/>
                <w:sz w:val="21"/>
                <w:szCs w:val="21"/>
                <w:lang w:bidi="ar"/>
                <w14:textFill>
                  <w14:solidFill>
                    <w14:schemeClr w14:val="tx1"/>
                  </w14:solidFill>
                </w14:textFill>
              </w:rPr>
              <w:t xml:space="preserve">0.0278 </w:t>
            </w:r>
          </w:p>
        </w:tc>
      </w:tr>
    </w:tbl>
    <w:p w14:paraId="674277B3">
      <w:pPr>
        <w:spacing w:line="360" w:lineRule="auto"/>
        <w:ind w:firstLine="480" w:firstLineChars="200"/>
        <w:rPr>
          <w:rFonts w:ascii="Times New Roman" w:hAnsi="Times New Roman" w:cs="Times New Roman"/>
        </w:rPr>
      </w:pPr>
    </w:p>
    <w:p w14:paraId="17C186D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根据上表可知，</w:t>
      </w:r>
      <w:r>
        <w:rPr>
          <w:rFonts w:hint="eastAsia" w:ascii="Times New Roman" w:hAnsi="Times New Roman" w:cs="Times New Roman"/>
          <w:color w:val="000000" w:themeColor="text1"/>
          <w14:textFill>
            <w14:solidFill>
              <w14:schemeClr w14:val="tx1"/>
            </w14:solidFill>
          </w14:textFill>
        </w:rPr>
        <w:t>苯酚</w:t>
      </w:r>
      <w:r>
        <w:rPr>
          <w:rFonts w:ascii="Times New Roman" w:hAnsi="Times New Roman" w:cs="Times New Roman"/>
          <w:color w:val="000000" w:themeColor="text1"/>
          <w14:textFill>
            <w14:solidFill>
              <w14:schemeClr w14:val="tx1"/>
            </w14:solidFill>
          </w14:textFill>
        </w:rPr>
        <w:t>燃烧产生的CO量较大，因此，本次货种事故伴生/次生CO产生量选0.0</w:t>
      </w:r>
      <w:r>
        <w:rPr>
          <w:rFonts w:hint="eastAsia" w:ascii="Times New Roman" w:hAnsi="Times New Roman" w:cs="Times New Roman"/>
          <w:color w:val="000000" w:themeColor="text1"/>
          <w14:textFill>
            <w14:solidFill>
              <w14:schemeClr w14:val="tx1"/>
            </w14:solidFill>
          </w14:textFill>
        </w:rPr>
        <w:t>298</w:t>
      </w:r>
      <w:r>
        <w:rPr>
          <w:rFonts w:ascii="Times New Roman" w:hAnsi="Times New Roman" w:cs="Times New Roman"/>
          <w:color w:val="000000" w:themeColor="text1"/>
          <w14:textFill>
            <w14:solidFill>
              <w14:schemeClr w14:val="tx1"/>
            </w14:solidFill>
          </w14:textFill>
        </w:rPr>
        <w:t>kg/s作为源强。</w:t>
      </w:r>
    </w:p>
    <w:p w14:paraId="148E3264">
      <w:pPr>
        <w:pStyle w:val="86"/>
        <w:spacing w:line="360" w:lineRule="auto"/>
        <w:ind w:firstLine="240"/>
      </w:pPr>
      <w:r>
        <w:rPr>
          <w:rFonts w:hint="eastAsia"/>
        </w:rPr>
        <w:t>（2）火灾伴生/次生二氧化硫</w:t>
      </w:r>
    </w:p>
    <w:p w14:paraId="1C882F7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参照《建设项目环境风险评价技术导则》（HJ169-2018）附录 F，火灾伴生/次生</w:t>
      </w:r>
      <w:r>
        <w:rPr>
          <w:rFonts w:hint="eastAsia" w:ascii="Times New Roman" w:hAnsi="Times New Roman" w:cs="Times New Roman"/>
          <w:color w:val="000000" w:themeColor="text1"/>
          <w14:textFill>
            <w14:solidFill>
              <w14:schemeClr w14:val="tx1"/>
            </w14:solidFill>
          </w14:textFill>
        </w:rPr>
        <w:t>二氧化硫</w:t>
      </w:r>
      <w:r>
        <w:rPr>
          <w:rFonts w:ascii="Times New Roman" w:hAnsi="Times New Roman" w:cs="Times New Roman"/>
          <w:color w:val="000000" w:themeColor="text1"/>
          <w14:textFill>
            <w14:solidFill>
              <w14:schemeClr w14:val="tx1"/>
            </w14:solidFill>
          </w14:textFill>
        </w:rPr>
        <w:t>产生量估算方法如下</w:t>
      </w:r>
      <w:r>
        <w:rPr>
          <w:rFonts w:hint="eastAsia" w:ascii="Times New Roman" w:hAnsi="Times New Roman" w:cs="Times New Roman"/>
          <w:color w:val="000000" w:themeColor="text1"/>
          <w14:textFill>
            <w14:solidFill>
              <w14:schemeClr w14:val="tx1"/>
            </w14:solidFill>
          </w14:textFill>
        </w:rPr>
        <w:t>：</w:t>
      </w:r>
    </w:p>
    <w:p w14:paraId="715F0AA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G</w:t>
      </w:r>
      <w:r>
        <w:rPr>
          <w:rFonts w:hint="eastAsia" w:ascii="Times New Roman" w:hAnsi="Times New Roman" w:cs="Times New Roman"/>
          <w:color w:val="000000" w:themeColor="text1"/>
          <w:vertAlign w:val="subscript"/>
          <w14:textFill>
            <w14:solidFill>
              <w14:schemeClr w14:val="tx1"/>
            </w14:solidFill>
          </w14:textFill>
        </w:rPr>
        <w:t>二氧化硫</w:t>
      </w:r>
      <w:r>
        <w:rPr>
          <w:rFonts w:hint="eastAsia" w:ascii="Times New Roman" w:hAnsi="Times New Roman" w:cs="Times New Roman"/>
          <w:color w:val="000000" w:themeColor="text1"/>
          <w14:textFill>
            <w14:solidFill>
              <w14:schemeClr w14:val="tx1"/>
            </w14:solidFill>
          </w14:textFill>
        </w:rPr>
        <w:t>=2BS</w:t>
      </w:r>
    </w:p>
    <w:p w14:paraId="6012738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式中：G</w:t>
      </w:r>
      <w:r>
        <w:rPr>
          <w:rFonts w:hint="eastAsia" w:ascii="Times New Roman" w:hAnsi="Times New Roman" w:cs="Times New Roman"/>
          <w:color w:val="000000" w:themeColor="text1"/>
          <w:vertAlign w:val="subscript"/>
          <w14:textFill>
            <w14:solidFill>
              <w14:schemeClr w14:val="tx1"/>
            </w14:solidFill>
          </w14:textFill>
        </w:rPr>
        <w:t>二氧化硫</w:t>
      </w:r>
      <w:r>
        <w:rPr>
          <w:rFonts w:hint="eastAsia" w:ascii="Times New Roman" w:hAnsi="Times New Roman" w:cs="Times New Roman"/>
          <w:color w:val="000000" w:themeColor="text1"/>
          <w14:textFill>
            <w14:solidFill>
              <w14:schemeClr w14:val="tx1"/>
            </w14:solidFill>
          </w14:textFill>
        </w:rPr>
        <w:t>——二氧化硫排放速率，kg/h；</w:t>
      </w:r>
    </w:p>
    <w:p w14:paraId="38F0A3D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 xml:space="preserve">      B——物质燃烧量，kg/h；</w:t>
      </w:r>
    </w:p>
    <w:p w14:paraId="775325B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 xml:space="preserve">      S——物质中硫的含量；%。</w:t>
      </w:r>
    </w:p>
    <w:p w14:paraId="4FCFDD4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根据上文，液硫储罐的泄漏速率为0.95kg/s，物质中硫的含量为1，则二氧化硫的排放速率为1.90kg/s。</w:t>
      </w:r>
    </w:p>
    <w:p w14:paraId="3C54C78F">
      <w:pPr>
        <w:pStyle w:val="3"/>
        <w:keepNext w:val="0"/>
        <w:keepLines/>
        <w:tabs>
          <w:tab w:val="left" w:pos="426"/>
          <w:tab w:val="left" w:pos="709"/>
        </w:tabs>
        <w:overflowPunct/>
        <w:adjustRightInd w:val="0"/>
        <w:spacing w:before="0" w:after="0" w:line="360" w:lineRule="auto"/>
        <w:ind w:left="0" w:firstLine="0"/>
        <w:jc w:val="both"/>
        <w:textAlignment w:val="baseline"/>
        <w:rPr>
          <w:rFonts w:ascii="Times New Roman" w:hAnsi="Times New Roman" w:cs="Times New Roman"/>
          <w:color w:val="000000" w:themeColor="text1"/>
          <w14:textFill>
            <w14:solidFill>
              <w14:schemeClr w14:val="tx1"/>
            </w14:solidFill>
          </w14:textFill>
        </w:rPr>
        <w:sectPr>
          <w:pgSz w:w="11907" w:h="16840"/>
          <w:pgMar w:top="1440" w:right="1800" w:bottom="1440" w:left="1800" w:header="964" w:footer="964" w:gutter="0"/>
          <w:cols w:space="720" w:num="1"/>
          <w:titlePg/>
          <w:docGrid w:linePitch="326" w:charSpace="-4300"/>
        </w:sectPr>
      </w:pPr>
      <w:bookmarkStart w:id="170" w:name="_Toc144374990"/>
      <w:bookmarkStart w:id="171" w:name="_Toc95759784"/>
      <w:bookmarkStart w:id="172" w:name="_Toc144375248"/>
      <w:bookmarkStart w:id="173" w:name="_Toc84835295"/>
      <w:bookmarkStart w:id="174" w:name="_Toc146041501"/>
      <w:bookmarkStart w:id="175" w:name="_Toc95759374"/>
    </w:p>
    <w:p w14:paraId="4D5D3845">
      <w:pPr>
        <w:pStyle w:val="3"/>
        <w:keepNext w:val="0"/>
        <w:keepLines/>
        <w:tabs>
          <w:tab w:val="left" w:pos="426"/>
          <w:tab w:val="left" w:pos="709"/>
        </w:tabs>
        <w:overflowPunct/>
        <w:adjustRightInd w:val="0"/>
        <w:spacing w:before="0" w:after="0" w:line="360" w:lineRule="auto"/>
        <w:ind w:left="0" w:firstLine="0"/>
        <w:jc w:val="both"/>
        <w:textAlignment w:val="baseline"/>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9、风险预测与评价</w:t>
      </w:r>
      <w:bookmarkEnd w:id="170"/>
      <w:bookmarkEnd w:id="171"/>
      <w:bookmarkEnd w:id="172"/>
      <w:bookmarkEnd w:id="173"/>
      <w:bookmarkEnd w:id="174"/>
      <w:bookmarkEnd w:id="175"/>
    </w:p>
    <w:p w14:paraId="4E41DA44">
      <w:pPr>
        <w:pStyle w:val="346"/>
        <w:rPr>
          <w:color w:val="000000" w:themeColor="text1"/>
          <w14:textFill>
            <w14:solidFill>
              <w14:schemeClr w14:val="tx1"/>
            </w14:solidFill>
          </w14:textFill>
        </w:rPr>
      </w:pPr>
      <w:bookmarkStart w:id="176" w:name="_Toc95759375"/>
      <w:bookmarkStart w:id="177" w:name="_Toc144375249"/>
      <w:r>
        <w:rPr>
          <w:color w:val="000000" w:themeColor="text1"/>
          <w14:textFill>
            <w14:solidFill>
              <w14:schemeClr w14:val="tx1"/>
            </w14:solidFill>
          </w14:textFill>
        </w:rPr>
        <w:t>9.1</w:t>
      </w:r>
      <w:bookmarkEnd w:id="176"/>
      <w:r>
        <w:rPr>
          <w:color w:val="000000" w:themeColor="text1"/>
          <w14:textFill>
            <w14:solidFill>
              <w14:schemeClr w14:val="tx1"/>
            </w14:solidFill>
          </w14:textFill>
        </w:rPr>
        <w:t>有毒有害物质在大气中的扩散</w:t>
      </w:r>
      <w:bookmarkEnd w:id="177"/>
    </w:p>
    <w:p w14:paraId="7ECFD437">
      <w:pPr>
        <w:spacing w:line="360" w:lineRule="auto"/>
        <w:ind w:firstLine="480" w:firstLineChars="200"/>
        <w:rPr>
          <w:rFonts w:ascii="Times New Roman" w:hAnsi="Times New Roman" w:cs="Times New Roman"/>
          <w:color w:val="0000FF"/>
        </w:rPr>
      </w:pPr>
      <w:r>
        <w:rPr>
          <w:rFonts w:ascii="Times New Roman" w:hAnsi="Times New Roman" w:cs="Times New Roman"/>
          <w:color w:val="000000" w:themeColor="text1"/>
          <w14:textFill>
            <w14:solidFill>
              <w14:schemeClr w14:val="tx1"/>
            </w14:solidFill>
          </w14:textFill>
        </w:rPr>
        <w:t>综合考虑事故情况下有毒有害物质泄漏的源强、发生的概率以及应急反应时间，本次环评计算最大可信事故</w:t>
      </w:r>
      <w:r>
        <w:rPr>
          <w:rFonts w:hint="eastAsia" w:ascii="Times New Roman" w:hAnsi="Times New Roman" w:cs="Times New Roman"/>
          <w:color w:val="000000" w:themeColor="text1"/>
          <w14:textFill>
            <w14:solidFill>
              <w14:schemeClr w14:val="tx1"/>
            </w14:solidFill>
          </w14:textFill>
        </w:rPr>
        <w:t>发烟硫酸、苯酚、己内酰胺储罐发生泄漏时产生的毒害物质在大气中的扩散影响情况。</w:t>
      </w:r>
    </w:p>
    <w:p w14:paraId="6A80FACE">
      <w:pPr>
        <w:pStyle w:val="4003"/>
        <w:rPr>
          <w:color w:val="000000" w:themeColor="text1"/>
          <w14:textFill>
            <w14:solidFill>
              <w14:schemeClr w14:val="tx1"/>
            </w14:solidFill>
          </w14:textFill>
        </w:rPr>
      </w:pPr>
      <w:r>
        <w:rPr>
          <w:color w:val="000000" w:themeColor="text1"/>
          <w14:textFill>
            <w14:solidFill>
              <w14:schemeClr w14:val="tx1"/>
            </w14:solidFill>
          </w14:textFill>
        </w:rPr>
        <w:t>9.1.1预测模型筛选</w:t>
      </w:r>
    </w:p>
    <w:p w14:paraId="77F890BB">
      <w:pPr>
        <w:spacing w:line="360" w:lineRule="auto"/>
        <w:ind w:firstLine="482" w:firstLineChars="200"/>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（1）排放形式</w:t>
      </w:r>
    </w:p>
    <w:p w14:paraId="2A4BFEE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根据《建设项目环境风险评价技术导则》（HJ169-2018）附录G，判定连续排放还是瞬时排放，可以通过对比排放时间Td和污染物到达最近的受体点（</w:t>
      </w:r>
      <w:r>
        <w:rPr>
          <w:rFonts w:hint="eastAsia" w:ascii="Times New Roman" w:hAnsi="Times New Roman" w:cs="Times New Roman"/>
          <w:color w:val="000000" w:themeColor="text1"/>
          <w14:textFill>
            <w14:solidFill>
              <w14:schemeClr w14:val="tx1"/>
            </w14:solidFill>
          </w14:textFill>
        </w:rPr>
        <w:t>淡水湾村</w:t>
      </w:r>
      <w:r>
        <w:rPr>
          <w:rFonts w:ascii="Times New Roman" w:hAnsi="Times New Roman" w:cs="Times New Roman"/>
          <w:color w:val="000000" w:themeColor="text1"/>
          <w14:textFill>
            <w14:solidFill>
              <w14:schemeClr w14:val="tx1"/>
            </w14:solidFill>
          </w14:textFill>
        </w:rPr>
        <w:t>，距离项目边界约</w:t>
      </w:r>
      <w:r>
        <w:rPr>
          <w:rFonts w:hint="eastAsia" w:ascii="Times New Roman" w:hAnsi="Times New Roman" w:cs="Times New Roman"/>
          <w:color w:val="000000" w:themeColor="text1"/>
          <w14:textFill>
            <w14:solidFill>
              <w14:schemeClr w14:val="tx1"/>
            </w14:solidFill>
          </w14:textFill>
        </w:rPr>
        <w:t>2070</w:t>
      </w:r>
      <w:r>
        <w:rPr>
          <w:rFonts w:ascii="Times New Roman" w:hAnsi="Times New Roman" w:cs="Times New Roman"/>
          <w:color w:val="000000" w:themeColor="text1"/>
          <w14:textFill>
            <w14:solidFill>
              <w14:schemeClr w14:val="tx1"/>
            </w14:solidFill>
          </w14:textFill>
        </w:rPr>
        <w:t>m）。</w:t>
      </w:r>
    </w:p>
    <w:p w14:paraId="73CCEFB0">
      <w:pPr>
        <w:spacing w:line="360" w:lineRule="auto"/>
        <w:ind w:firstLine="480" w:firstLineChars="20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T=2X/Ur</w:t>
      </w:r>
    </w:p>
    <w:p w14:paraId="7C424AF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式中：X——事故发生地与计算点的距离，m；</w:t>
      </w:r>
    </w:p>
    <w:p w14:paraId="11E03FA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Ur——10m高处风速，m/s。假设风速和风向的T时间段内保持不变。</w:t>
      </w:r>
    </w:p>
    <w:p w14:paraId="6FA616E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当Td＞T时，可被认为是连续排放的；当Td≤T时，可被认为是瞬时排放。</w:t>
      </w:r>
    </w:p>
    <w:p w14:paraId="46A4777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项目所在地近20年平均风速为2.2m/s，可计算处T约为</w:t>
      </w:r>
      <w:r>
        <w:rPr>
          <w:rFonts w:hint="eastAsia" w:ascii="Times New Roman" w:hAnsi="Times New Roman" w:cs="Times New Roman"/>
          <w:color w:val="000000" w:themeColor="text1"/>
          <w14:textFill>
            <w14:solidFill>
              <w14:schemeClr w14:val="tx1"/>
            </w14:solidFill>
          </w14:textFill>
        </w:rPr>
        <w:t>31.4</w:t>
      </w:r>
      <w:r>
        <w:rPr>
          <w:rFonts w:ascii="Times New Roman" w:hAnsi="Times New Roman" w:cs="Times New Roman"/>
          <w:color w:val="000000" w:themeColor="text1"/>
          <w14:textFill>
            <w14:solidFill>
              <w14:schemeClr w14:val="tx1"/>
            </w14:solidFill>
          </w14:textFill>
        </w:rPr>
        <w:t>min，而假设的事故发生时长Td为30min，因此设定的风险事故情形下，本项目为</w:t>
      </w:r>
      <w:r>
        <w:rPr>
          <w:rFonts w:hint="eastAsia" w:ascii="Times New Roman" w:hAnsi="Times New Roman" w:cs="Times New Roman"/>
          <w:color w:val="000000" w:themeColor="text1"/>
          <w14:textFill>
            <w14:solidFill>
              <w14:schemeClr w14:val="tx1"/>
            </w14:solidFill>
          </w14:textFill>
        </w:rPr>
        <w:t>瞬时</w:t>
      </w:r>
      <w:r>
        <w:rPr>
          <w:rFonts w:ascii="Times New Roman" w:hAnsi="Times New Roman" w:cs="Times New Roman"/>
          <w:color w:val="000000" w:themeColor="text1"/>
          <w14:textFill>
            <w14:solidFill>
              <w14:schemeClr w14:val="tx1"/>
            </w14:solidFill>
          </w14:textFill>
        </w:rPr>
        <w:t>排放。</w:t>
      </w:r>
    </w:p>
    <w:p w14:paraId="60221519">
      <w:pPr>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（2）是否为重质气体判断</w:t>
      </w:r>
    </w:p>
    <w:p w14:paraId="7801E21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通常采用理查德森数(</w:t>
      </w:r>
      <w:r>
        <w:rPr>
          <w:rFonts w:ascii="Times New Roman" w:hAnsi="Times New Roman" w:cs="Times New Roman"/>
          <w:i/>
          <w:color w:val="000000" w:themeColor="text1"/>
          <w14:textFill>
            <w14:solidFill>
              <w14:schemeClr w14:val="tx1"/>
            </w14:solidFill>
          </w14:textFill>
        </w:rPr>
        <w:t>R</w:t>
      </w:r>
      <w:r>
        <w:rPr>
          <w:rFonts w:ascii="Times New Roman" w:hAnsi="Times New Roman" w:cs="Times New Roman"/>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)作为标准进行判断，在</w:t>
      </w:r>
      <w:r>
        <w:rPr>
          <w:rFonts w:hint="eastAsia" w:ascii="Times New Roman" w:hAnsi="Times New Roman" w:cs="Times New Roman"/>
          <w:color w:val="000000" w:themeColor="text1"/>
          <w14:textFill>
            <w14:solidFill>
              <w14:schemeClr w14:val="tx1"/>
            </w14:solidFill>
          </w14:textFill>
        </w:rPr>
        <w:t>瞬时</w:t>
      </w:r>
      <w:r>
        <w:rPr>
          <w:rFonts w:ascii="Times New Roman" w:hAnsi="Times New Roman" w:cs="Times New Roman"/>
          <w:color w:val="000000" w:themeColor="text1"/>
          <w14:textFill>
            <w14:solidFill>
              <w14:schemeClr w14:val="tx1"/>
            </w14:solidFill>
          </w14:textFill>
        </w:rPr>
        <w:t>排放情况下</w:t>
      </w:r>
      <w:r>
        <w:rPr>
          <w:rFonts w:ascii="Times New Roman" w:hAnsi="Times New Roman" w:cs="Times New Roman"/>
          <w:i/>
          <w:color w:val="000000" w:themeColor="text1"/>
          <w14:textFill>
            <w14:solidFill>
              <w14:schemeClr w14:val="tx1"/>
            </w14:solidFill>
          </w14:textFill>
        </w:rPr>
        <w:t>R</w:t>
      </w:r>
      <w:r>
        <w:rPr>
          <w:rFonts w:ascii="Times New Roman" w:hAnsi="Times New Roman" w:cs="Times New Roman"/>
          <w:color w:val="000000" w:themeColor="text1"/>
          <w:vertAlign w:val="subscript"/>
          <w14:textFill>
            <w14:solidFill>
              <w14:schemeClr w14:val="tx1"/>
            </w14:solidFill>
          </w14:textFill>
        </w:rPr>
        <w:t>i</w:t>
      </w:r>
      <w:r>
        <w:rPr>
          <w:rFonts w:ascii="Times New Roman" w:hAnsi="Times New Roman" w:cs="Times New Roman"/>
          <w:color w:val="000000" w:themeColor="text1"/>
          <w14:textFill>
            <w14:solidFill>
              <w14:schemeClr w14:val="tx1"/>
            </w14:solidFill>
          </w14:textFill>
        </w:rPr>
        <w:t>计算公式为：</w:t>
      </w:r>
    </w:p>
    <w:p w14:paraId="4E958F36">
      <w:pPr>
        <w:spacing w:line="360" w:lineRule="auto"/>
        <w:jc w:val="center"/>
        <w:rPr>
          <w:rFonts w:ascii="Times New Roman" w:hAnsi="Times New Roman" w:cs="Times New Roman"/>
          <w:color w:val="000000" w:themeColor="text1"/>
          <w14:textFill>
            <w14:solidFill>
              <w14:schemeClr w14:val="tx1"/>
            </w14:solidFill>
          </w14:textFill>
        </w:rPr>
      </w:pPr>
      <w:r>
        <w:drawing>
          <wp:inline distT="0" distB="0" distL="114300" distR="114300">
            <wp:extent cx="2513965" cy="809625"/>
            <wp:effectExtent l="0" t="0" r="635" b="952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65"/>
                    <a:stretch>
                      <a:fillRect/>
                    </a:stretch>
                  </pic:blipFill>
                  <pic:spPr>
                    <a:xfrm>
                      <a:off x="0" y="0"/>
                      <a:ext cx="2513965" cy="809625"/>
                    </a:xfrm>
                    <a:prstGeom prst="rect">
                      <a:avLst/>
                    </a:prstGeom>
                    <a:noFill/>
                    <a:ln>
                      <a:noFill/>
                    </a:ln>
                  </pic:spPr>
                </pic:pic>
              </a:graphicData>
            </a:graphic>
          </wp:inline>
        </w:drawing>
      </w:r>
    </w:p>
    <w:p w14:paraId="2A53832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式中：ρ</w:t>
      </w:r>
      <w:r>
        <w:rPr>
          <w:rFonts w:ascii="Times New Roman" w:hAnsi="Times New Roman" w:cs="Times New Roman"/>
          <w:color w:val="000000" w:themeColor="text1"/>
          <w:vertAlign w:val="subscript"/>
          <w14:textFill>
            <w14:solidFill>
              <w14:schemeClr w14:val="tx1"/>
            </w14:solidFill>
          </w14:textFill>
        </w:rPr>
        <w:t>rel</w:t>
      </w:r>
      <w:r>
        <w:rPr>
          <w:rFonts w:ascii="Times New Roman" w:hAnsi="Times New Roman" w:cs="Times New Roman"/>
          <w:color w:val="000000" w:themeColor="text1"/>
          <w14:textFill>
            <w14:solidFill>
              <w14:schemeClr w14:val="tx1"/>
            </w14:solidFill>
          </w14:textFill>
        </w:rPr>
        <w:t>——排放物质进入大气的初始密度，kg/m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57D00E6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ρ</w:t>
      </w:r>
      <w:r>
        <w:rPr>
          <w:rFonts w:ascii="Times New Roman" w:hAnsi="Times New Roman" w:cs="Times New Roman"/>
          <w:color w:val="000000" w:themeColor="text1"/>
          <w:vertAlign w:val="subscript"/>
          <w14:textFill>
            <w14:solidFill>
              <w14:schemeClr w14:val="tx1"/>
            </w14:solidFill>
          </w14:textFill>
        </w:rPr>
        <w:t>a</w:t>
      </w:r>
      <w:r>
        <w:rPr>
          <w:rFonts w:ascii="Times New Roman" w:hAnsi="Times New Roman" w:cs="Times New Roman"/>
          <w:color w:val="000000" w:themeColor="text1"/>
          <w14:textFill>
            <w14:solidFill>
              <w14:schemeClr w14:val="tx1"/>
            </w14:solidFill>
          </w14:textFill>
        </w:rPr>
        <w:t>——环境空气密度，kg/m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4CDF424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Q</w:t>
      </w:r>
      <w:r>
        <w:rPr>
          <w:rFonts w:ascii="Times New Roman" w:hAnsi="Times New Roman" w:cs="Times New Roman"/>
          <w:color w:val="000000" w:themeColor="text1"/>
          <w14:textFill>
            <w14:solidFill>
              <w14:schemeClr w14:val="tx1"/>
            </w14:solidFill>
          </w14:textFill>
        </w:rPr>
        <w:t>——连续排放烟羽的排放速率，kg/s；</w:t>
      </w:r>
    </w:p>
    <w:p w14:paraId="6D3D435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D</w:t>
      </w:r>
      <w:r>
        <w:rPr>
          <w:rFonts w:ascii="Times New Roman" w:hAnsi="Times New Roman" w:cs="Times New Roman"/>
          <w:color w:val="000000" w:themeColor="text1"/>
          <w:vertAlign w:val="subscript"/>
          <w14:textFill>
            <w14:solidFill>
              <w14:schemeClr w14:val="tx1"/>
            </w14:solidFill>
          </w14:textFill>
        </w:rPr>
        <w:t>rel</w:t>
      </w:r>
      <w:r>
        <w:rPr>
          <w:rFonts w:ascii="Times New Roman" w:hAnsi="Times New Roman" w:cs="Times New Roman"/>
          <w:color w:val="000000" w:themeColor="text1"/>
          <w14:textFill>
            <w14:solidFill>
              <w14:schemeClr w14:val="tx1"/>
            </w14:solidFill>
          </w14:textFill>
        </w:rPr>
        <w:t>——初始的烟羽宽度，即源直径，m；</w:t>
      </w:r>
    </w:p>
    <w:p w14:paraId="1F9CB81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i/>
          <w:color w:val="000000" w:themeColor="text1"/>
          <w14:textFill>
            <w14:solidFill>
              <w14:schemeClr w14:val="tx1"/>
            </w14:solidFill>
          </w14:textFill>
        </w:rPr>
        <w:t>U</w:t>
      </w:r>
      <w:r>
        <w:rPr>
          <w:rFonts w:ascii="Times New Roman" w:hAnsi="Times New Roman" w:cs="Times New Roman"/>
          <w:color w:val="000000" w:themeColor="text1"/>
          <w:vertAlign w:val="subscript"/>
          <w14:textFill>
            <w14:solidFill>
              <w14:schemeClr w14:val="tx1"/>
            </w14:solidFill>
          </w14:textFill>
        </w:rPr>
        <w:t>r</w:t>
      </w:r>
      <w:r>
        <w:rPr>
          <w:rFonts w:ascii="Times New Roman" w:hAnsi="Times New Roman" w:cs="Times New Roman"/>
          <w:color w:val="000000" w:themeColor="text1"/>
          <w14:textFill>
            <w14:solidFill>
              <w14:schemeClr w14:val="tx1"/>
            </w14:solidFill>
          </w14:textFill>
        </w:rPr>
        <w:t>——10m高处的风速，m/s。</w:t>
      </w:r>
    </w:p>
    <w:p w14:paraId="4E79F7E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判断标准为：对于瞬时排放，R&gt;0.04为重质气体，R&lt;0.04为轻质气体。</w:t>
      </w:r>
      <w:r>
        <w:rPr>
          <w:rFonts w:ascii="Times New Roman" w:hAnsi="Times New Roman" w:cs="Times New Roman"/>
          <w:color w:val="000000" w:themeColor="text1"/>
          <w14:textFill>
            <w14:solidFill>
              <w14:schemeClr w14:val="tx1"/>
            </w14:solidFill>
          </w14:textFill>
        </w:rPr>
        <w:t>计算所需的参数见下表。</w:t>
      </w:r>
    </w:p>
    <w:p w14:paraId="63394AF9">
      <w:pPr>
        <w:pStyle w:val="86"/>
        <w:ind w:firstLine="240"/>
      </w:pPr>
    </w:p>
    <w:p w14:paraId="79A275DD">
      <w:pPr>
        <w:pStyle w:val="3812"/>
        <w:shd w:val="clear" w:color="auto" w:fill="FFFFFF"/>
        <w:adjustRightInd w:val="0"/>
        <w:snapToGrid w:val="0"/>
        <w:spacing w:before="0" w:beforeAutospacing="0" w:after="0" w:afterAutospacing="0" w:line="240" w:lineRule="atLeas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表9-1理查德森数(Ri)计算参数表（最不利气象）</w:t>
      </w:r>
    </w:p>
    <w:tbl>
      <w:tblPr>
        <w:tblStyle w:val="88"/>
        <w:tblpPr w:leftFromText="180" w:rightFromText="180" w:vertAnchor="text" w:horzAnchor="page" w:tblpX="1955" w:tblpY="193"/>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182"/>
        <w:gridCol w:w="822"/>
        <w:gridCol w:w="956"/>
        <w:gridCol w:w="660"/>
        <w:gridCol w:w="910"/>
        <w:gridCol w:w="910"/>
        <w:gridCol w:w="910"/>
        <w:gridCol w:w="1022"/>
        <w:gridCol w:w="957"/>
      </w:tblGrid>
      <w:tr w14:paraId="7E377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 w:hRule="atLeast"/>
        </w:trPr>
        <w:tc>
          <w:tcPr>
            <w:tcW w:w="1182" w:type="dxa"/>
            <w:vAlign w:val="center"/>
          </w:tcPr>
          <w:p w14:paraId="5B05193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参数</w:t>
            </w:r>
          </w:p>
        </w:tc>
        <w:tc>
          <w:tcPr>
            <w:tcW w:w="822" w:type="dxa"/>
            <w:vAlign w:val="center"/>
          </w:tcPr>
          <w:p w14:paraId="2943042F">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Q</w:t>
            </w:r>
          </w:p>
          <w:p w14:paraId="16742B92">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（kg/s）</w:t>
            </w:r>
          </w:p>
        </w:tc>
        <w:tc>
          <w:tcPr>
            <w:tcW w:w="956" w:type="dxa"/>
            <w:vAlign w:val="center"/>
          </w:tcPr>
          <w:p w14:paraId="510043E4">
            <w:pPr>
              <w:adjustRightInd w:val="0"/>
              <w:snapToGrid w:val="0"/>
              <w:jc w:val="center"/>
              <w:rPr>
                <w:rFonts w:ascii="Times New Roman" w:hAnsi="Times New Roman" w:cs="Times New Roman"/>
                <w:b/>
                <w:color w:val="000000" w:themeColor="text1"/>
                <w:sz w:val="21"/>
                <w:szCs w:val="21"/>
                <w:vertAlign w:val="subscript"/>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ρ</w:t>
            </w:r>
            <w:r>
              <w:rPr>
                <w:rFonts w:ascii="Times New Roman" w:hAnsi="Times New Roman" w:cs="Times New Roman"/>
                <w:b/>
                <w:color w:val="000000" w:themeColor="text1"/>
                <w:sz w:val="21"/>
                <w:szCs w:val="21"/>
                <w:vertAlign w:val="subscript"/>
                <w14:textFill>
                  <w14:solidFill>
                    <w14:schemeClr w14:val="tx1"/>
                  </w14:solidFill>
                </w14:textFill>
              </w:rPr>
              <w:t>rel</w:t>
            </w:r>
          </w:p>
          <w:p w14:paraId="1E879D79">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（kg/m</w:t>
            </w:r>
            <w:r>
              <w:rPr>
                <w:rFonts w:ascii="Times New Roman" w:hAnsi="Times New Roman" w:cs="Times New Roman"/>
                <w:b/>
                <w:color w:val="000000" w:themeColor="text1"/>
                <w:sz w:val="21"/>
                <w:szCs w:val="21"/>
                <w:vertAlign w:val="superscript"/>
                <w14:textFill>
                  <w14:solidFill>
                    <w14:schemeClr w14:val="tx1"/>
                  </w14:solidFill>
                </w14:textFill>
              </w:rPr>
              <w:t>3</w:t>
            </w:r>
            <w:r>
              <w:rPr>
                <w:rFonts w:ascii="Times New Roman" w:hAnsi="Times New Roman" w:cs="Times New Roman"/>
                <w:b/>
                <w:color w:val="000000" w:themeColor="text1"/>
                <w:sz w:val="21"/>
                <w:szCs w:val="21"/>
                <w14:textFill>
                  <w14:solidFill>
                    <w14:schemeClr w14:val="tx1"/>
                  </w14:solidFill>
                </w14:textFill>
              </w:rPr>
              <w:t>）</w:t>
            </w:r>
          </w:p>
        </w:tc>
        <w:tc>
          <w:tcPr>
            <w:tcW w:w="660" w:type="dxa"/>
            <w:vAlign w:val="center"/>
          </w:tcPr>
          <w:p w14:paraId="7D813ADC">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i/>
                <w:color w:val="000000" w:themeColor="text1"/>
                <w:sz w:val="21"/>
                <w:szCs w:val="21"/>
                <w14:textFill>
                  <w14:solidFill>
                    <w14:schemeClr w14:val="tx1"/>
                  </w14:solidFill>
                </w14:textFill>
              </w:rPr>
              <w:t>D</w:t>
            </w:r>
            <w:r>
              <w:rPr>
                <w:rFonts w:ascii="Times New Roman" w:hAnsi="Times New Roman" w:cs="Times New Roman"/>
                <w:b/>
                <w:color w:val="000000" w:themeColor="text1"/>
                <w:sz w:val="21"/>
                <w:szCs w:val="21"/>
                <w:vertAlign w:val="subscript"/>
                <w14:textFill>
                  <w14:solidFill>
                    <w14:schemeClr w14:val="tx1"/>
                  </w14:solidFill>
                </w14:textFill>
              </w:rPr>
              <w:t>rel</w:t>
            </w:r>
          </w:p>
          <w:p w14:paraId="42B27248">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（m）</w:t>
            </w:r>
          </w:p>
        </w:tc>
        <w:tc>
          <w:tcPr>
            <w:tcW w:w="910" w:type="dxa"/>
            <w:vAlign w:val="center"/>
          </w:tcPr>
          <w:p w14:paraId="7DB7A819">
            <w:pPr>
              <w:adjustRightInd w:val="0"/>
              <w:snapToGrid w:val="0"/>
              <w:jc w:val="center"/>
              <w:rPr>
                <w:rFonts w:ascii="Times New Roman" w:hAnsi="Times New Roman" w:cs="Times New Roman"/>
                <w:b/>
                <w:color w:val="000000" w:themeColor="text1"/>
                <w:sz w:val="21"/>
                <w:szCs w:val="21"/>
                <w:vertAlign w:val="subscript"/>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ρ</w:t>
            </w:r>
            <w:r>
              <w:rPr>
                <w:rFonts w:ascii="Times New Roman" w:hAnsi="Times New Roman" w:cs="Times New Roman"/>
                <w:b/>
                <w:color w:val="000000" w:themeColor="text1"/>
                <w:sz w:val="21"/>
                <w:szCs w:val="21"/>
                <w:vertAlign w:val="subscript"/>
                <w14:textFill>
                  <w14:solidFill>
                    <w14:schemeClr w14:val="tx1"/>
                  </w14:solidFill>
                </w14:textFill>
              </w:rPr>
              <w:t>a</w:t>
            </w:r>
          </w:p>
          <w:p w14:paraId="1B049E08">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（kg/m</w:t>
            </w:r>
            <w:r>
              <w:rPr>
                <w:rFonts w:ascii="Times New Roman" w:hAnsi="Times New Roman" w:cs="Times New Roman"/>
                <w:b/>
                <w:color w:val="000000" w:themeColor="text1"/>
                <w:sz w:val="21"/>
                <w:szCs w:val="21"/>
                <w:vertAlign w:val="superscript"/>
                <w14:textFill>
                  <w14:solidFill>
                    <w14:schemeClr w14:val="tx1"/>
                  </w14:solidFill>
                </w14:textFill>
              </w:rPr>
              <w:t>3</w:t>
            </w:r>
            <w:r>
              <w:rPr>
                <w:rFonts w:ascii="Times New Roman" w:hAnsi="Times New Roman" w:cs="Times New Roman"/>
                <w:b/>
                <w:color w:val="000000" w:themeColor="text1"/>
                <w:sz w:val="21"/>
                <w:szCs w:val="21"/>
                <w14:textFill>
                  <w14:solidFill>
                    <w14:schemeClr w14:val="tx1"/>
                  </w14:solidFill>
                </w14:textFill>
              </w:rPr>
              <w:t>）</w:t>
            </w:r>
          </w:p>
        </w:tc>
        <w:tc>
          <w:tcPr>
            <w:tcW w:w="910" w:type="dxa"/>
            <w:vAlign w:val="center"/>
          </w:tcPr>
          <w:p w14:paraId="6DD5E4EB">
            <w:pPr>
              <w:adjustRightInd w:val="0"/>
              <w:snapToGrid w:val="0"/>
              <w:jc w:val="center"/>
              <w:rPr>
                <w:rFonts w:ascii="Times New Roman" w:hAnsi="Times New Roman" w:cs="Times New Roman"/>
                <w:b/>
                <w:color w:val="000000" w:themeColor="text1"/>
                <w:sz w:val="21"/>
                <w:szCs w:val="21"/>
                <w:vertAlign w:val="subscript"/>
                <w14:textFill>
                  <w14:solidFill>
                    <w14:schemeClr w14:val="tx1"/>
                  </w14:solidFill>
                </w14:textFill>
              </w:rPr>
            </w:pPr>
            <w:r>
              <w:rPr>
                <w:rFonts w:ascii="Times New Roman" w:hAnsi="Times New Roman" w:cs="Times New Roman"/>
                <w:b/>
                <w:i/>
                <w:color w:val="000000" w:themeColor="text1"/>
                <w:sz w:val="21"/>
                <w:szCs w:val="21"/>
                <w14:textFill>
                  <w14:solidFill>
                    <w14:schemeClr w14:val="tx1"/>
                  </w14:solidFill>
                </w14:textFill>
              </w:rPr>
              <w:t>U</w:t>
            </w:r>
            <w:r>
              <w:rPr>
                <w:rFonts w:ascii="Times New Roman" w:hAnsi="Times New Roman" w:cs="Times New Roman"/>
                <w:b/>
                <w:color w:val="000000" w:themeColor="text1"/>
                <w:sz w:val="21"/>
                <w:szCs w:val="21"/>
                <w:vertAlign w:val="subscript"/>
                <w14:textFill>
                  <w14:solidFill>
                    <w14:schemeClr w14:val="tx1"/>
                  </w14:solidFill>
                </w14:textFill>
              </w:rPr>
              <w:t>r</w:t>
            </w:r>
          </w:p>
          <w:p w14:paraId="7BCF1413">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（m/s）</w:t>
            </w:r>
          </w:p>
        </w:tc>
        <w:tc>
          <w:tcPr>
            <w:tcW w:w="910" w:type="dxa"/>
            <w:vAlign w:val="center"/>
          </w:tcPr>
          <w:p w14:paraId="300F6C78">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Ri</w:t>
            </w:r>
          </w:p>
        </w:tc>
        <w:tc>
          <w:tcPr>
            <w:tcW w:w="1022" w:type="dxa"/>
            <w:vAlign w:val="center"/>
          </w:tcPr>
          <w:p w14:paraId="42B3CDA7">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判断结果</w:t>
            </w:r>
          </w:p>
        </w:tc>
        <w:tc>
          <w:tcPr>
            <w:tcW w:w="957" w:type="dxa"/>
            <w:vAlign w:val="center"/>
          </w:tcPr>
          <w:p w14:paraId="5E743F35">
            <w:pPr>
              <w:adjustRightInd w:val="0"/>
              <w:snapToGrid w:val="0"/>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模型选取</w:t>
            </w:r>
          </w:p>
        </w:tc>
      </w:tr>
      <w:tr w14:paraId="355D3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1182" w:type="dxa"/>
            <w:vAlign w:val="center"/>
          </w:tcPr>
          <w:p w14:paraId="1A774B8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二氧化硫</w:t>
            </w:r>
          </w:p>
        </w:tc>
        <w:tc>
          <w:tcPr>
            <w:tcW w:w="822" w:type="dxa"/>
            <w:vAlign w:val="center"/>
          </w:tcPr>
          <w:p w14:paraId="1C07C7E6">
            <w:pPr>
              <w:jc w:val="center"/>
              <w:rPr>
                <w:rFonts w:ascii="Times New Roman" w:hAnsi="Times New Roman" w:cs="Times New Roman"/>
                <w:sz w:val="21"/>
                <w:szCs w:val="21"/>
              </w:rPr>
            </w:pPr>
            <w:r>
              <w:rPr>
                <w:rFonts w:hint="eastAsia" w:ascii="Times New Roman" w:hAnsi="Times New Roman" w:cs="Times New Roman"/>
                <w:sz w:val="21"/>
                <w:szCs w:val="21"/>
              </w:rPr>
              <w:t>1.90</w:t>
            </w:r>
          </w:p>
        </w:tc>
        <w:tc>
          <w:tcPr>
            <w:tcW w:w="956" w:type="dxa"/>
            <w:vAlign w:val="center"/>
          </w:tcPr>
          <w:p w14:paraId="30CA2455">
            <w:pPr>
              <w:adjustRightInd w:val="0"/>
              <w:snapToGrid w:val="0"/>
              <w:jc w:val="center"/>
              <w:rPr>
                <w:rFonts w:ascii="Times New Roman" w:hAnsi="Times New Roman" w:cs="Times New Roman"/>
                <w:sz w:val="21"/>
                <w:szCs w:val="21"/>
              </w:rPr>
            </w:pPr>
            <w:r>
              <w:rPr>
                <w:rFonts w:hint="eastAsia" w:ascii="Times New Roman" w:hAnsi="Times New Roman" w:cs="Times New Roman"/>
                <w:sz w:val="21"/>
                <w:szCs w:val="21"/>
              </w:rPr>
              <w:t>2.92</w:t>
            </w:r>
          </w:p>
        </w:tc>
        <w:tc>
          <w:tcPr>
            <w:tcW w:w="660" w:type="dxa"/>
            <w:vAlign w:val="center"/>
          </w:tcPr>
          <w:p w14:paraId="4D938C0B">
            <w:pPr>
              <w:jc w:val="center"/>
              <w:rPr>
                <w:rFonts w:ascii="Times New Roman" w:hAnsi="Times New Roman" w:cs="Times New Roman"/>
                <w:sz w:val="21"/>
                <w:szCs w:val="21"/>
              </w:rPr>
            </w:pPr>
            <w:r>
              <w:rPr>
                <w:rFonts w:hint="eastAsia" w:ascii="Times New Roman" w:hAnsi="Times New Roman" w:cs="Times New Roman"/>
                <w:sz w:val="21"/>
                <w:szCs w:val="21"/>
              </w:rPr>
              <w:t>21</w:t>
            </w:r>
          </w:p>
        </w:tc>
        <w:tc>
          <w:tcPr>
            <w:tcW w:w="910" w:type="dxa"/>
            <w:vAlign w:val="center"/>
          </w:tcPr>
          <w:p w14:paraId="59F4B9C2">
            <w:pPr>
              <w:jc w:val="center"/>
              <w:rPr>
                <w:rFonts w:ascii="Times New Roman" w:hAnsi="Times New Roman" w:cs="Times New Roman"/>
                <w:sz w:val="21"/>
                <w:szCs w:val="21"/>
              </w:rPr>
            </w:pPr>
            <w:r>
              <w:rPr>
                <w:rFonts w:hint="eastAsia" w:ascii="Times New Roman" w:hAnsi="Times New Roman" w:cs="Times New Roman"/>
                <w:sz w:val="21"/>
                <w:szCs w:val="21"/>
              </w:rPr>
              <w:t>1.29</w:t>
            </w:r>
          </w:p>
        </w:tc>
        <w:tc>
          <w:tcPr>
            <w:tcW w:w="910" w:type="dxa"/>
            <w:vAlign w:val="center"/>
          </w:tcPr>
          <w:p w14:paraId="601799E3">
            <w:pPr>
              <w:jc w:val="center"/>
              <w:rPr>
                <w:rFonts w:ascii="Times New Roman" w:hAnsi="Times New Roman" w:cs="Times New Roman"/>
                <w:sz w:val="21"/>
                <w:szCs w:val="21"/>
              </w:rPr>
            </w:pPr>
            <w:r>
              <w:rPr>
                <w:rFonts w:hint="eastAsia" w:ascii="Times New Roman" w:hAnsi="Times New Roman" w:cs="Times New Roman"/>
                <w:sz w:val="21"/>
                <w:szCs w:val="21"/>
              </w:rPr>
              <w:t>1.5</w:t>
            </w:r>
          </w:p>
        </w:tc>
        <w:tc>
          <w:tcPr>
            <w:tcW w:w="910" w:type="dxa"/>
            <w:vAlign w:val="center"/>
          </w:tcPr>
          <w:p w14:paraId="403F51F6">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4.8</w:t>
            </w:r>
          </w:p>
        </w:tc>
        <w:tc>
          <w:tcPr>
            <w:tcW w:w="1022" w:type="dxa"/>
            <w:vAlign w:val="center"/>
          </w:tcPr>
          <w:p w14:paraId="40B1FE9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重质</w:t>
            </w:r>
            <w:r>
              <w:rPr>
                <w:rFonts w:ascii="Times New Roman" w:hAnsi="Times New Roman" w:cs="Times New Roman"/>
                <w:color w:val="000000" w:themeColor="text1"/>
                <w:sz w:val="21"/>
                <w:szCs w:val="21"/>
                <w14:textFill>
                  <w14:solidFill>
                    <w14:schemeClr w14:val="tx1"/>
                  </w14:solidFill>
                </w14:textFill>
              </w:rPr>
              <w:t>气体</w:t>
            </w:r>
          </w:p>
        </w:tc>
        <w:tc>
          <w:tcPr>
            <w:tcW w:w="957" w:type="dxa"/>
            <w:vAlign w:val="center"/>
          </w:tcPr>
          <w:p w14:paraId="0BA91C9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SLAB</w:t>
            </w:r>
          </w:p>
        </w:tc>
      </w:tr>
      <w:tr w14:paraId="0E03D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1182" w:type="dxa"/>
            <w:vAlign w:val="center"/>
          </w:tcPr>
          <w:p w14:paraId="2A188F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w:t>
            </w:r>
            <w:r>
              <w:rPr>
                <w:rFonts w:hint="eastAsia" w:ascii="Times New Roman" w:hAnsi="Times New Roman" w:cs="Times New Roman"/>
                <w:color w:val="000000" w:themeColor="text1"/>
                <w:sz w:val="21"/>
                <w:szCs w:val="21"/>
                <w14:textFill>
                  <w14:solidFill>
                    <w14:schemeClr w14:val="tx1"/>
                  </w14:solidFill>
                </w14:textFill>
              </w:rPr>
              <w:t>雾</w:t>
            </w:r>
          </w:p>
        </w:tc>
        <w:tc>
          <w:tcPr>
            <w:tcW w:w="822" w:type="dxa"/>
            <w:vAlign w:val="center"/>
          </w:tcPr>
          <w:p w14:paraId="28CB583A">
            <w:pPr>
              <w:jc w:val="center"/>
              <w:rPr>
                <w:rFonts w:ascii="Times New Roman" w:hAnsi="Times New Roman" w:cs="Times New Roman"/>
                <w:sz w:val="21"/>
                <w:szCs w:val="21"/>
              </w:rPr>
            </w:pPr>
            <w:r>
              <w:rPr>
                <w:rFonts w:ascii="Times New Roman" w:hAnsi="Times New Roman" w:cs="Times New Roman"/>
                <w:sz w:val="21"/>
                <w:szCs w:val="21"/>
              </w:rPr>
              <w:t>0.0</w:t>
            </w:r>
            <w:r>
              <w:rPr>
                <w:rFonts w:hint="eastAsia" w:ascii="Times New Roman" w:hAnsi="Times New Roman" w:cs="Times New Roman"/>
                <w:sz w:val="21"/>
                <w:szCs w:val="21"/>
              </w:rPr>
              <w:t>109</w:t>
            </w:r>
          </w:p>
        </w:tc>
        <w:tc>
          <w:tcPr>
            <w:tcW w:w="956" w:type="dxa"/>
            <w:vAlign w:val="center"/>
          </w:tcPr>
          <w:p w14:paraId="58563E4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1840</w:t>
            </w:r>
          </w:p>
        </w:tc>
        <w:tc>
          <w:tcPr>
            <w:tcW w:w="660" w:type="dxa"/>
            <w:vAlign w:val="center"/>
          </w:tcPr>
          <w:p w14:paraId="73D16AC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w:t>
            </w:r>
          </w:p>
        </w:tc>
        <w:tc>
          <w:tcPr>
            <w:tcW w:w="910" w:type="dxa"/>
            <w:vAlign w:val="center"/>
          </w:tcPr>
          <w:p w14:paraId="641B26A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w:t>
            </w:r>
          </w:p>
        </w:tc>
        <w:tc>
          <w:tcPr>
            <w:tcW w:w="910" w:type="dxa"/>
            <w:vAlign w:val="center"/>
          </w:tcPr>
          <w:p w14:paraId="784FEBB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910" w:type="dxa"/>
            <w:vAlign w:val="center"/>
          </w:tcPr>
          <w:p w14:paraId="4AC988D1">
            <w:pPr>
              <w:jc w:val="center"/>
              <w:textAlignment w:val="bottom"/>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sz w:val="21"/>
                <w:szCs w:val="21"/>
                <w:lang w:bidi="ar"/>
              </w:rPr>
              <w:t>112.5</w:t>
            </w:r>
          </w:p>
        </w:tc>
        <w:tc>
          <w:tcPr>
            <w:tcW w:w="1022" w:type="dxa"/>
            <w:vAlign w:val="center"/>
          </w:tcPr>
          <w:p w14:paraId="3CAA4FC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重质</w:t>
            </w:r>
            <w:r>
              <w:rPr>
                <w:rFonts w:ascii="Times New Roman" w:hAnsi="Times New Roman" w:cs="Times New Roman"/>
                <w:color w:val="000000" w:themeColor="text1"/>
                <w:sz w:val="21"/>
                <w:szCs w:val="21"/>
                <w14:textFill>
                  <w14:solidFill>
                    <w14:schemeClr w14:val="tx1"/>
                  </w14:solidFill>
                </w14:textFill>
              </w:rPr>
              <w:t>气体</w:t>
            </w:r>
          </w:p>
        </w:tc>
        <w:tc>
          <w:tcPr>
            <w:tcW w:w="957" w:type="dxa"/>
            <w:vAlign w:val="center"/>
          </w:tcPr>
          <w:p w14:paraId="0D604AA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SLAB</w:t>
            </w:r>
          </w:p>
        </w:tc>
      </w:tr>
      <w:tr w14:paraId="4915B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1182" w:type="dxa"/>
            <w:vAlign w:val="center"/>
          </w:tcPr>
          <w:p w14:paraId="5E66EAA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822" w:type="dxa"/>
            <w:shd w:val="clear" w:color="auto" w:fill="auto"/>
            <w:vAlign w:val="center"/>
          </w:tcPr>
          <w:p w14:paraId="0FEB2CE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0.0296</w:t>
            </w:r>
          </w:p>
        </w:tc>
        <w:tc>
          <w:tcPr>
            <w:tcW w:w="956" w:type="dxa"/>
            <w:shd w:val="clear" w:color="auto" w:fill="auto"/>
            <w:vAlign w:val="center"/>
          </w:tcPr>
          <w:p w14:paraId="00CF8E56">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1071</w:t>
            </w:r>
          </w:p>
        </w:tc>
        <w:tc>
          <w:tcPr>
            <w:tcW w:w="660" w:type="dxa"/>
            <w:shd w:val="clear" w:color="auto" w:fill="auto"/>
            <w:vAlign w:val="center"/>
          </w:tcPr>
          <w:p w14:paraId="4868E9A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w:t>
            </w:r>
          </w:p>
        </w:tc>
        <w:tc>
          <w:tcPr>
            <w:tcW w:w="910" w:type="dxa"/>
            <w:shd w:val="clear" w:color="auto" w:fill="auto"/>
            <w:vAlign w:val="center"/>
          </w:tcPr>
          <w:p w14:paraId="4DE15BC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w:t>
            </w:r>
          </w:p>
        </w:tc>
        <w:tc>
          <w:tcPr>
            <w:tcW w:w="910" w:type="dxa"/>
            <w:shd w:val="clear" w:color="auto" w:fill="auto"/>
            <w:vAlign w:val="center"/>
          </w:tcPr>
          <w:p w14:paraId="078826D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910" w:type="dxa"/>
            <w:shd w:val="clear" w:color="auto" w:fill="auto"/>
            <w:vAlign w:val="center"/>
          </w:tcPr>
          <w:p w14:paraId="3A095D1B">
            <w:pPr>
              <w:jc w:val="center"/>
              <w:textAlignment w:val="bottom"/>
              <w:rPr>
                <w:rFonts w:ascii="Times New Roman" w:hAnsi="Times New Roman" w:cs="Times New Roman"/>
                <w:sz w:val="21"/>
                <w:szCs w:val="21"/>
              </w:rPr>
            </w:pPr>
            <w:r>
              <w:rPr>
                <w:rFonts w:ascii="Times New Roman" w:hAnsi="Times New Roman" w:cs="Times New Roman"/>
                <w:color w:val="000000"/>
                <w:sz w:val="21"/>
                <w:szCs w:val="21"/>
                <w:lang w:bidi="ar"/>
              </w:rPr>
              <w:t>109.3</w:t>
            </w:r>
          </w:p>
        </w:tc>
        <w:tc>
          <w:tcPr>
            <w:tcW w:w="1022" w:type="dxa"/>
            <w:shd w:val="clear" w:color="auto" w:fill="auto"/>
            <w:vAlign w:val="center"/>
          </w:tcPr>
          <w:p w14:paraId="2F57138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重质</w:t>
            </w:r>
            <w:r>
              <w:rPr>
                <w:rFonts w:ascii="Times New Roman" w:hAnsi="Times New Roman" w:cs="Times New Roman"/>
                <w:color w:val="000000" w:themeColor="text1"/>
                <w:sz w:val="21"/>
                <w:szCs w:val="21"/>
                <w14:textFill>
                  <w14:solidFill>
                    <w14:schemeClr w14:val="tx1"/>
                  </w14:solidFill>
                </w14:textFill>
              </w:rPr>
              <w:t>气体</w:t>
            </w:r>
          </w:p>
        </w:tc>
        <w:tc>
          <w:tcPr>
            <w:tcW w:w="957" w:type="dxa"/>
            <w:shd w:val="clear" w:color="auto" w:fill="auto"/>
            <w:vAlign w:val="center"/>
          </w:tcPr>
          <w:p w14:paraId="0F66C2D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SLAB</w:t>
            </w:r>
          </w:p>
        </w:tc>
      </w:tr>
      <w:tr w14:paraId="0F83A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1182" w:type="dxa"/>
            <w:vAlign w:val="center"/>
          </w:tcPr>
          <w:p w14:paraId="1482C7E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822" w:type="dxa"/>
            <w:vAlign w:val="center"/>
          </w:tcPr>
          <w:p w14:paraId="27D85AD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0.3811</w:t>
            </w:r>
          </w:p>
        </w:tc>
        <w:tc>
          <w:tcPr>
            <w:tcW w:w="956" w:type="dxa"/>
            <w:vAlign w:val="center"/>
          </w:tcPr>
          <w:p w14:paraId="77F61FEE">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1023</w:t>
            </w:r>
          </w:p>
        </w:tc>
        <w:tc>
          <w:tcPr>
            <w:tcW w:w="660" w:type="dxa"/>
            <w:vAlign w:val="center"/>
          </w:tcPr>
          <w:p w14:paraId="5E746F7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36.7</w:t>
            </w:r>
          </w:p>
        </w:tc>
        <w:tc>
          <w:tcPr>
            <w:tcW w:w="910" w:type="dxa"/>
            <w:vAlign w:val="center"/>
          </w:tcPr>
          <w:p w14:paraId="54876C5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1.29</w:t>
            </w:r>
          </w:p>
        </w:tc>
        <w:tc>
          <w:tcPr>
            <w:tcW w:w="910" w:type="dxa"/>
            <w:vAlign w:val="center"/>
          </w:tcPr>
          <w:p w14:paraId="3F1AC77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w:t>
            </w:r>
          </w:p>
        </w:tc>
        <w:tc>
          <w:tcPr>
            <w:tcW w:w="910" w:type="dxa"/>
            <w:vAlign w:val="center"/>
          </w:tcPr>
          <w:p w14:paraId="090603EC">
            <w:pPr>
              <w:jc w:val="center"/>
              <w:textAlignment w:val="bottom"/>
              <w:rPr>
                <w:rFonts w:ascii="Times New Roman" w:hAnsi="Times New Roman" w:cs="Times New Roman"/>
                <w:color w:val="FF0000"/>
                <w:sz w:val="21"/>
                <w:szCs w:val="21"/>
              </w:rPr>
            </w:pPr>
            <w:r>
              <w:rPr>
                <w:rFonts w:ascii="Times New Roman" w:hAnsi="Times New Roman" w:cs="Times New Roman"/>
                <w:color w:val="000000"/>
                <w:sz w:val="21"/>
                <w:szCs w:val="21"/>
                <w:lang w:bidi="ar"/>
              </w:rPr>
              <w:t>248.5</w:t>
            </w:r>
          </w:p>
        </w:tc>
        <w:tc>
          <w:tcPr>
            <w:tcW w:w="1022" w:type="dxa"/>
            <w:shd w:val="clear" w:color="auto" w:fill="auto"/>
            <w:vAlign w:val="center"/>
          </w:tcPr>
          <w:p w14:paraId="3AF5308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重质</w:t>
            </w:r>
            <w:r>
              <w:rPr>
                <w:rFonts w:ascii="Times New Roman" w:hAnsi="Times New Roman" w:cs="Times New Roman"/>
                <w:color w:val="000000" w:themeColor="text1"/>
                <w:sz w:val="21"/>
                <w:szCs w:val="21"/>
                <w14:textFill>
                  <w14:solidFill>
                    <w14:schemeClr w14:val="tx1"/>
                  </w14:solidFill>
                </w14:textFill>
              </w:rPr>
              <w:t>气体</w:t>
            </w:r>
          </w:p>
        </w:tc>
        <w:tc>
          <w:tcPr>
            <w:tcW w:w="957" w:type="dxa"/>
            <w:shd w:val="clear" w:color="auto" w:fill="auto"/>
            <w:vAlign w:val="center"/>
          </w:tcPr>
          <w:p w14:paraId="69751C2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SLAB</w:t>
            </w:r>
          </w:p>
        </w:tc>
      </w:tr>
      <w:tr w14:paraId="6A67D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trPr>
        <w:tc>
          <w:tcPr>
            <w:tcW w:w="1182" w:type="dxa"/>
            <w:vAlign w:val="center"/>
          </w:tcPr>
          <w:p w14:paraId="768D5BC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一氧化碳</w:t>
            </w:r>
          </w:p>
        </w:tc>
        <w:tc>
          <w:tcPr>
            <w:tcW w:w="822" w:type="dxa"/>
            <w:shd w:val="clear" w:color="auto" w:fill="auto"/>
            <w:vAlign w:val="center"/>
          </w:tcPr>
          <w:p w14:paraId="0A2EBCF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0.0</w:t>
            </w:r>
            <w:r>
              <w:rPr>
                <w:rFonts w:hint="eastAsia" w:ascii="Times New Roman" w:hAnsi="Times New Roman" w:cs="Times New Roman"/>
                <w:color w:val="000000" w:themeColor="text1"/>
                <w:sz w:val="21"/>
                <w:szCs w:val="21"/>
                <w14:textFill>
                  <w14:solidFill>
                    <w14:schemeClr w14:val="tx1"/>
                  </w14:solidFill>
                </w14:textFill>
              </w:rPr>
              <w:t>298</w:t>
            </w:r>
          </w:p>
        </w:tc>
        <w:tc>
          <w:tcPr>
            <w:tcW w:w="956" w:type="dxa"/>
            <w:shd w:val="clear" w:color="auto" w:fill="auto"/>
            <w:vAlign w:val="center"/>
          </w:tcPr>
          <w:p w14:paraId="205804C2">
            <w:pPr>
              <w:adjustRightInd w:val="0"/>
              <w:snapToGrid w:val="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1.25</w:t>
            </w:r>
          </w:p>
        </w:tc>
        <w:tc>
          <w:tcPr>
            <w:tcW w:w="660" w:type="dxa"/>
            <w:shd w:val="clear" w:color="auto" w:fill="auto"/>
            <w:vAlign w:val="center"/>
          </w:tcPr>
          <w:p w14:paraId="195FBD7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71.5</w:t>
            </w:r>
          </w:p>
        </w:tc>
        <w:tc>
          <w:tcPr>
            <w:tcW w:w="910" w:type="dxa"/>
            <w:shd w:val="clear" w:color="auto" w:fill="auto"/>
            <w:vAlign w:val="center"/>
          </w:tcPr>
          <w:p w14:paraId="1A9ECC0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1.29</w:t>
            </w:r>
          </w:p>
        </w:tc>
        <w:tc>
          <w:tcPr>
            <w:tcW w:w="910" w:type="dxa"/>
            <w:shd w:val="clear" w:color="auto" w:fill="auto"/>
            <w:vAlign w:val="center"/>
          </w:tcPr>
          <w:p w14:paraId="4048698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c>
          <w:tcPr>
            <w:tcW w:w="910" w:type="dxa"/>
            <w:shd w:val="clear" w:color="auto" w:fill="auto"/>
            <w:vAlign w:val="center"/>
          </w:tcPr>
          <w:p w14:paraId="18ED1452">
            <w:pPr>
              <w:jc w:val="center"/>
              <w:rPr>
                <w:rFonts w:ascii="Times New Roman" w:hAnsi="Times New Roman" w:cs="Times New Roman"/>
                <w:sz w:val="21"/>
                <w:szCs w:val="21"/>
              </w:rPr>
            </w:pPr>
            <w:r>
              <w:rPr>
                <w:rFonts w:ascii="Times New Roman" w:hAnsi="Times New Roman" w:cs="Times New Roman"/>
                <w:sz w:val="21"/>
                <w:szCs w:val="21"/>
              </w:rPr>
              <w:t>小于空气密度，不计算理查德森数</w:t>
            </w:r>
          </w:p>
        </w:tc>
        <w:tc>
          <w:tcPr>
            <w:tcW w:w="1022" w:type="dxa"/>
            <w:shd w:val="clear" w:color="auto" w:fill="auto"/>
            <w:vAlign w:val="center"/>
          </w:tcPr>
          <w:p w14:paraId="15911BF5">
            <w:pPr>
              <w:jc w:val="center"/>
              <w:rPr>
                <w:rFonts w:ascii="Times New Roman" w:hAnsi="Times New Roman" w:cs="Times New Roman"/>
                <w:sz w:val="21"/>
                <w:szCs w:val="21"/>
              </w:rPr>
            </w:pPr>
            <w:r>
              <w:rPr>
                <w:rFonts w:ascii="Times New Roman" w:hAnsi="Times New Roman" w:cs="Times New Roman"/>
                <w:sz w:val="21"/>
                <w:szCs w:val="21"/>
              </w:rPr>
              <w:t>轻质气体</w:t>
            </w:r>
          </w:p>
        </w:tc>
        <w:tc>
          <w:tcPr>
            <w:tcW w:w="957" w:type="dxa"/>
            <w:shd w:val="clear" w:color="auto" w:fill="auto"/>
            <w:vAlign w:val="center"/>
          </w:tcPr>
          <w:p w14:paraId="2EB9DA10">
            <w:pPr>
              <w:jc w:val="center"/>
              <w:rPr>
                <w:rFonts w:ascii="Times New Roman" w:hAnsi="Times New Roman" w:cs="Times New Roman"/>
                <w:sz w:val="21"/>
                <w:szCs w:val="21"/>
              </w:rPr>
            </w:pPr>
            <w:r>
              <w:rPr>
                <w:rFonts w:ascii="Times New Roman" w:hAnsi="Times New Roman" w:cs="Times New Roman"/>
                <w:sz w:val="21"/>
                <w:szCs w:val="21"/>
              </w:rPr>
              <w:t>AFTOX</w:t>
            </w:r>
          </w:p>
        </w:tc>
      </w:tr>
    </w:tbl>
    <w:p w14:paraId="39F08A11">
      <w:pPr>
        <w:pStyle w:val="3812"/>
        <w:shd w:val="clear" w:color="auto" w:fill="FFFFFF"/>
        <w:adjustRightInd w:val="0"/>
        <w:snapToGrid w:val="0"/>
        <w:spacing w:before="0" w:beforeAutospacing="0" w:after="0" w:afterAutospacing="0" w:line="240" w:lineRule="atLeast"/>
        <w:jc w:val="center"/>
        <w:rPr>
          <w:rFonts w:ascii="Times New Roman" w:hAnsi="Times New Roman" w:cs="Times New Roman"/>
          <w:color w:val="FF0000"/>
          <w:szCs w:val="21"/>
        </w:rPr>
      </w:pPr>
    </w:p>
    <w:p w14:paraId="63434B6C">
      <w:pPr>
        <w:pStyle w:val="4003"/>
        <w:rPr>
          <w:color w:val="000000" w:themeColor="text1"/>
          <w14:textFill>
            <w14:solidFill>
              <w14:schemeClr w14:val="tx1"/>
            </w14:solidFill>
          </w14:textFill>
        </w:rPr>
      </w:pPr>
      <w:r>
        <w:rPr>
          <w:color w:val="000000" w:themeColor="text1"/>
          <w14:textFill>
            <w14:solidFill>
              <w14:schemeClr w14:val="tx1"/>
            </w14:solidFill>
          </w14:textFill>
        </w:rPr>
        <w:t>9.1.2预测参数</w:t>
      </w:r>
    </w:p>
    <w:p w14:paraId="7A0D7181">
      <w:pPr>
        <w:pStyle w:val="137"/>
        <w:snapToGrid w:val="0"/>
        <w:spacing w:line="360" w:lineRule="auto"/>
        <w:ind w:firstLine="569" w:firstLineChars="236"/>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（1）气象参数</w:t>
      </w:r>
    </w:p>
    <w:p w14:paraId="4B2FC5F3">
      <w:pPr>
        <w:pStyle w:val="137"/>
        <w:snapToGrid w:val="0"/>
        <w:spacing w:line="360" w:lineRule="auto"/>
        <w:ind w:firstLine="566" w:firstLineChars="236"/>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Cs/>
          <w:color w:val="000000" w:themeColor="text1"/>
          <w14:textFill>
            <w14:solidFill>
              <w14:schemeClr w14:val="tx1"/>
            </w14:solidFill>
          </w14:textFill>
        </w:rPr>
        <w:t>本项目大气环境风险评价等级为二级，根据《建设项目环境风险评价技术导则》（HJ169-2018），二级评价需选取最不利气象条件进行后果预测</w:t>
      </w:r>
      <w:r>
        <w:rPr>
          <w:rFonts w:hint="default" w:ascii="Times New Roman" w:hAnsi="Times New Roman" w:cs="Times New Roman"/>
          <w:color w:val="000000" w:themeColor="text1"/>
          <w14:textFill>
            <w14:solidFill>
              <w14:schemeClr w14:val="tx1"/>
            </w14:solidFill>
          </w14:textFill>
        </w:rPr>
        <w:t>。大气风险预测模型主要参数见下表。</w:t>
      </w:r>
    </w:p>
    <w:p w14:paraId="7C487DB8">
      <w:pPr>
        <w:pStyle w:val="3812"/>
        <w:shd w:val="clear" w:color="auto" w:fill="FFFFFF"/>
        <w:adjustRightInd w:val="0"/>
        <w:snapToGrid w:val="0"/>
        <w:spacing w:before="0" w:beforeAutospacing="0" w:after="0" w:afterAutospacing="0" w:line="240" w:lineRule="atLeast"/>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表9-2大气风险预测模型主要参数表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9"/>
        <w:gridCol w:w="2484"/>
        <w:gridCol w:w="4040"/>
      </w:tblGrid>
      <w:tr w14:paraId="3A2F6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Align w:val="center"/>
          </w:tcPr>
          <w:p w14:paraId="7D981904">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参数</w:t>
            </w:r>
          </w:p>
        </w:tc>
        <w:tc>
          <w:tcPr>
            <w:tcW w:w="2368" w:type="dxa"/>
            <w:vAlign w:val="center"/>
          </w:tcPr>
          <w:p w14:paraId="7BAA57D8">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选项</w:t>
            </w:r>
          </w:p>
        </w:tc>
        <w:tc>
          <w:tcPr>
            <w:tcW w:w="3851" w:type="dxa"/>
            <w:vAlign w:val="center"/>
          </w:tcPr>
          <w:p w14:paraId="77B86AD2">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参数</w:t>
            </w:r>
          </w:p>
        </w:tc>
      </w:tr>
      <w:tr w14:paraId="2B3AB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restart"/>
            <w:vAlign w:val="center"/>
          </w:tcPr>
          <w:p w14:paraId="2181F87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基本情况</w:t>
            </w:r>
          </w:p>
        </w:tc>
        <w:tc>
          <w:tcPr>
            <w:tcW w:w="2368" w:type="dxa"/>
            <w:vAlign w:val="center"/>
          </w:tcPr>
          <w:p w14:paraId="2872D6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事故源经度</w:t>
            </w:r>
          </w:p>
        </w:tc>
        <w:tc>
          <w:tcPr>
            <w:tcW w:w="3851" w:type="dxa"/>
            <w:vAlign w:val="center"/>
          </w:tcPr>
          <w:p w14:paraId="4BC3AE73">
            <w:pPr>
              <w:jc w:val="center"/>
              <w:rPr>
                <w:rFonts w:ascii="Times New Roman" w:hAnsi="Times New Roman" w:cs="Times New Roman"/>
                <w:color w:val="FF0000"/>
                <w:sz w:val="21"/>
                <w:szCs w:val="21"/>
              </w:rPr>
            </w:pPr>
            <w:r>
              <w:rPr>
                <w:rFonts w:ascii="Times New Roman" w:hAnsi="Times New Roman" w:cs="Times New Roman"/>
                <w:color w:val="000000" w:themeColor="text1"/>
                <w:kern w:val="21"/>
                <w:sz w:val="21"/>
                <w:szCs w:val="21"/>
                <w14:textFill>
                  <w14:solidFill>
                    <w14:schemeClr w14:val="tx1"/>
                  </w14:solidFill>
                </w14:textFill>
              </w:rPr>
              <w:t>E108°27′44.680″</w:t>
            </w:r>
          </w:p>
        </w:tc>
      </w:tr>
      <w:tr w14:paraId="5F8A2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continue"/>
            <w:vAlign w:val="center"/>
          </w:tcPr>
          <w:p w14:paraId="7965E9B1">
            <w:pPr>
              <w:jc w:val="center"/>
              <w:rPr>
                <w:rFonts w:ascii="Times New Roman" w:hAnsi="Times New Roman" w:cs="Times New Roman"/>
                <w:color w:val="000000" w:themeColor="text1"/>
                <w:sz w:val="21"/>
                <w:szCs w:val="21"/>
                <w14:textFill>
                  <w14:solidFill>
                    <w14:schemeClr w14:val="tx1"/>
                  </w14:solidFill>
                </w14:textFill>
              </w:rPr>
            </w:pPr>
          </w:p>
        </w:tc>
        <w:tc>
          <w:tcPr>
            <w:tcW w:w="2368" w:type="dxa"/>
            <w:vAlign w:val="center"/>
          </w:tcPr>
          <w:p w14:paraId="5138862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事故源纬度</w:t>
            </w:r>
          </w:p>
        </w:tc>
        <w:tc>
          <w:tcPr>
            <w:tcW w:w="3851" w:type="dxa"/>
            <w:vAlign w:val="center"/>
          </w:tcPr>
          <w:p w14:paraId="00F17E3B">
            <w:pPr>
              <w:jc w:val="center"/>
              <w:rPr>
                <w:rFonts w:ascii="Times New Roman" w:hAnsi="Times New Roman" w:cs="Times New Roman"/>
                <w:color w:val="FF0000"/>
                <w:sz w:val="21"/>
                <w:szCs w:val="21"/>
              </w:rPr>
            </w:pPr>
            <w:r>
              <w:rPr>
                <w:rFonts w:ascii="Times New Roman" w:hAnsi="Times New Roman" w:cs="Times New Roman"/>
                <w:color w:val="000000" w:themeColor="text1"/>
                <w:kern w:val="21"/>
                <w:sz w:val="21"/>
                <w:szCs w:val="21"/>
                <w14:textFill>
                  <w14:solidFill>
                    <w14:schemeClr w14:val="tx1"/>
                  </w14:solidFill>
                </w14:textFill>
              </w:rPr>
              <w:t>N21°43′2.698″</w:t>
            </w:r>
          </w:p>
        </w:tc>
      </w:tr>
      <w:tr w14:paraId="2D8DD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continue"/>
            <w:vAlign w:val="center"/>
          </w:tcPr>
          <w:p w14:paraId="54178923">
            <w:pPr>
              <w:jc w:val="center"/>
              <w:rPr>
                <w:rFonts w:ascii="Times New Roman" w:hAnsi="Times New Roman" w:cs="Times New Roman"/>
                <w:color w:val="000000" w:themeColor="text1"/>
                <w:sz w:val="21"/>
                <w:szCs w:val="21"/>
                <w14:textFill>
                  <w14:solidFill>
                    <w14:schemeClr w14:val="tx1"/>
                  </w14:solidFill>
                </w14:textFill>
              </w:rPr>
            </w:pPr>
          </w:p>
        </w:tc>
        <w:tc>
          <w:tcPr>
            <w:tcW w:w="2368" w:type="dxa"/>
            <w:vAlign w:val="center"/>
          </w:tcPr>
          <w:p w14:paraId="4E2C11E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事故源类型</w:t>
            </w:r>
          </w:p>
        </w:tc>
        <w:tc>
          <w:tcPr>
            <w:tcW w:w="3851" w:type="dxa"/>
            <w:vAlign w:val="center"/>
          </w:tcPr>
          <w:p w14:paraId="0C65DE6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泄漏、火灾事故排放</w:t>
            </w:r>
          </w:p>
        </w:tc>
      </w:tr>
      <w:tr w14:paraId="29EB5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restart"/>
            <w:vAlign w:val="center"/>
          </w:tcPr>
          <w:p w14:paraId="4A5E36E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气象参数</w:t>
            </w:r>
          </w:p>
        </w:tc>
        <w:tc>
          <w:tcPr>
            <w:tcW w:w="2368" w:type="dxa"/>
            <w:vAlign w:val="center"/>
          </w:tcPr>
          <w:p w14:paraId="1CB505B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气象条件类型</w:t>
            </w:r>
          </w:p>
        </w:tc>
        <w:tc>
          <w:tcPr>
            <w:tcW w:w="3851" w:type="dxa"/>
            <w:vAlign w:val="center"/>
          </w:tcPr>
          <w:p w14:paraId="69D7AA2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最不利气象</w:t>
            </w:r>
          </w:p>
        </w:tc>
      </w:tr>
      <w:tr w14:paraId="795DB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continue"/>
            <w:vAlign w:val="center"/>
          </w:tcPr>
          <w:p w14:paraId="52812298">
            <w:pPr>
              <w:jc w:val="center"/>
              <w:rPr>
                <w:rFonts w:ascii="Times New Roman" w:hAnsi="Times New Roman" w:cs="Times New Roman"/>
                <w:color w:val="000000" w:themeColor="text1"/>
                <w:sz w:val="21"/>
                <w:szCs w:val="21"/>
                <w14:textFill>
                  <w14:solidFill>
                    <w14:schemeClr w14:val="tx1"/>
                  </w14:solidFill>
                </w14:textFill>
              </w:rPr>
            </w:pPr>
          </w:p>
        </w:tc>
        <w:tc>
          <w:tcPr>
            <w:tcW w:w="2368" w:type="dxa"/>
            <w:vAlign w:val="center"/>
          </w:tcPr>
          <w:p w14:paraId="465F599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风速/（m/s）</w:t>
            </w:r>
          </w:p>
        </w:tc>
        <w:tc>
          <w:tcPr>
            <w:tcW w:w="3851" w:type="dxa"/>
            <w:vAlign w:val="center"/>
          </w:tcPr>
          <w:p w14:paraId="54D701E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w:t>
            </w:r>
          </w:p>
        </w:tc>
      </w:tr>
      <w:tr w14:paraId="0DFB5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continue"/>
            <w:vAlign w:val="center"/>
          </w:tcPr>
          <w:p w14:paraId="36D000DC">
            <w:pPr>
              <w:jc w:val="center"/>
              <w:rPr>
                <w:rFonts w:ascii="Times New Roman" w:hAnsi="Times New Roman" w:cs="Times New Roman"/>
                <w:color w:val="000000" w:themeColor="text1"/>
                <w:sz w:val="21"/>
                <w:szCs w:val="21"/>
                <w14:textFill>
                  <w14:solidFill>
                    <w14:schemeClr w14:val="tx1"/>
                  </w14:solidFill>
                </w14:textFill>
              </w:rPr>
            </w:pPr>
          </w:p>
        </w:tc>
        <w:tc>
          <w:tcPr>
            <w:tcW w:w="2368" w:type="dxa"/>
            <w:vAlign w:val="center"/>
          </w:tcPr>
          <w:p w14:paraId="465575B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环境温度℃</w:t>
            </w:r>
          </w:p>
        </w:tc>
        <w:tc>
          <w:tcPr>
            <w:tcW w:w="3851" w:type="dxa"/>
            <w:vAlign w:val="center"/>
          </w:tcPr>
          <w:p w14:paraId="5278327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r>
      <w:tr w14:paraId="10DD9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continue"/>
            <w:vAlign w:val="center"/>
          </w:tcPr>
          <w:p w14:paraId="0B1950EB">
            <w:pPr>
              <w:jc w:val="center"/>
              <w:rPr>
                <w:rFonts w:ascii="Times New Roman" w:hAnsi="Times New Roman" w:cs="Times New Roman"/>
                <w:color w:val="000000" w:themeColor="text1"/>
                <w:sz w:val="21"/>
                <w:szCs w:val="21"/>
                <w14:textFill>
                  <w14:solidFill>
                    <w14:schemeClr w14:val="tx1"/>
                  </w14:solidFill>
                </w14:textFill>
              </w:rPr>
            </w:pPr>
          </w:p>
        </w:tc>
        <w:tc>
          <w:tcPr>
            <w:tcW w:w="2368" w:type="dxa"/>
            <w:vAlign w:val="center"/>
          </w:tcPr>
          <w:p w14:paraId="470D3C7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相对湿度/%</w:t>
            </w:r>
          </w:p>
        </w:tc>
        <w:tc>
          <w:tcPr>
            <w:tcW w:w="3851" w:type="dxa"/>
            <w:vAlign w:val="center"/>
          </w:tcPr>
          <w:p w14:paraId="3401825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r>
      <w:tr w14:paraId="764A8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continue"/>
            <w:vAlign w:val="center"/>
          </w:tcPr>
          <w:p w14:paraId="2F28FB8D">
            <w:pPr>
              <w:jc w:val="center"/>
              <w:rPr>
                <w:rFonts w:ascii="Times New Roman" w:hAnsi="Times New Roman" w:cs="Times New Roman"/>
                <w:color w:val="000000" w:themeColor="text1"/>
                <w:sz w:val="21"/>
                <w:szCs w:val="21"/>
                <w14:textFill>
                  <w14:solidFill>
                    <w14:schemeClr w14:val="tx1"/>
                  </w14:solidFill>
                </w14:textFill>
              </w:rPr>
            </w:pPr>
          </w:p>
        </w:tc>
        <w:tc>
          <w:tcPr>
            <w:tcW w:w="2368" w:type="dxa"/>
            <w:vAlign w:val="center"/>
          </w:tcPr>
          <w:p w14:paraId="0AA3D9A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稳定度</w:t>
            </w:r>
          </w:p>
        </w:tc>
        <w:tc>
          <w:tcPr>
            <w:tcW w:w="3851" w:type="dxa"/>
            <w:vAlign w:val="center"/>
          </w:tcPr>
          <w:p w14:paraId="4731311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F</w:t>
            </w:r>
          </w:p>
        </w:tc>
      </w:tr>
      <w:tr w14:paraId="00946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restart"/>
            <w:vAlign w:val="center"/>
          </w:tcPr>
          <w:p w14:paraId="188746C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其他参数</w:t>
            </w:r>
          </w:p>
        </w:tc>
        <w:tc>
          <w:tcPr>
            <w:tcW w:w="2368" w:type="dxa"/>
            <w:vAlign w:val="center"/>
          </w:tcPr>
          <w:p w14:paraId="1C5D63E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地表粗糙度/m</w:t>
            </w:r>
          </w:p>
        </w:tc>
        <w:tc>
          <w:tcPr>
            <w:tcW w:w="3851" w:type="dxa"/>
            <w:vAlign w:val="center"/>
          </w:tcPr>
          <w:p w14:paraId="45C5442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r>
      <w:tr w14:paraId="02372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continue"/>
            <w:vAlign w:val="center"/>
          </w:tcPr>
          <w:p w14:paraId="33771DBE">
            <w:pPr>
              <w:jc w:val="center"/>
              <w:rPr>
                <w:rFonts w:ascii="Times New Roman" w:hAnsi="Times New Roman" w:cs="Times New Roman"/>
                <w:color w:val="000000" w:themeColor="text1"/>
                <w:sz w:val="21"/>
                <w:szCs w:val="21"/>
                <w14:textFill>
                  <w14:solidFill>
                    <w14:schemeClr w14:val="tx1"/>
                  </w14:solidFill>
                </w14:textFill>
              </w:rPr>
            </w:pPr>
          </w:p>
        </w:tc>
        <w:tc>
          <w:tcPr>
            <w:tcW w:w="2368" w:type="dxa"/>
            <w:vAlign w:val="center"/>
          </w:tcPr>
          <w:p w14:paraId="21FAA33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事故考虑地形</w:t>
            </w:r>
          </w:p>
        </w:tc>
        <w:tc>
          <w:tcPr>
            <w:tcW w:w="3851" w:type="dxa"/>
            <w:vAlign w:val="center"/>
          </w:tcPr>
          <w:p w14:paraId="2BE4CDD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是</w:t>
            </w:r>
          </w:p>
        </w:tc>
      </w:tr>
      <w:tr w14:paraId="5BD0A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5" w:type="dxa"/>
            <w:vMerge w:val="continue"/>
            <w:vAlign w:val="center"/>
          </w:tcPr>
          <w:p w14:paraId="5D90B0C0">
            <w:pPr>
              <w:jc w:val="center"/>
              <w:rPr>
                <w:rFonts w:ascii="Times New Roman" w:hAnsi="Times New Roman" w:cs="Times New Roman"/>
                <w:color w:val="000000" w:themeColor="text1"/>
                <w:sz w:val="21"/>
                <w:szCs w:val="21"/>
                <w14:textFill>
                  <w14:solidFill>
                    <w14:schemeClr w14:val="tx1"/>
                  </w14:solidFill>
                </w14:textFill>
              </w:rPr>
            </w:pPr>
          </w:p>
        </w:tc>
        <w:tc>
          <w:tcPr>
            <w:tcW w:w="2368" w:type="dxa"/>
            <w:vAlign w:val="center"/>
          </w:tcPr>
          <w:p w14:paraId="7B072F2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地形数据精度/m</w:t>
            </w:r>
          </w:p>
        </w:tc>
        <w:tc>
          <w:tcPr>
            <w:tcW w:w="3851" w:type="dxa"/>
            <w:vAlign w:val="center"/>
          </w:tcPr>
          <w:p w14:paraId="4F2193F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w:t>
            </w:r>
          </w:p>
        </w:tc>
      </w:tr>
    </w:tbl>
    <w:p w14:paraId="7A564440">
      <w:pPr>
        <w:spacing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（3）大气毒性重点浓度</w:t>
      </w:r>
    </w:p>
    <w:p w14:paraId="2E664C4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根据《建设项目环境风险评价技术导则》（HJ169-2018）附录H，风险物质的大气毒性终点浓度-1和大气毒性终点浓度-2详见下表。</w:t>
      </w:r>
    </w:p>
    <w:p w14:paraId="30E91003">
      <w:pPr>
        <w:pStyle w:val="4009"/>
        <w:rPr>
          <w:b/>
          <w:bCs/>
          <w:color w:val="000000" w:themeColor="text1"/>
          <w14:textFill>
            <w14:solidFill>
              <w14:schemeClr w14:val="tx1"/>
            </w14:solidFill>
          </w14:textFill>
        </w:rPr>
      </w:pPr>
      <w:r>
        <w:rPr>
          <w:b/>
          <w:bCs/>
          <w:color w:val="000000" w:themeColor="text1"/>
          <w14:textFill>
            <w14:solidFill>
              <w14:schemeClr w14:val="tx1"/>
            </w14:solidFill>
          </w14:textFill>
        </w:rPr>
        <w:t>表9-3大气毒性终点浓度值</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17"/>
        <w:gridCol w:w="1769"/>
        <w:gridCol w:w="2988"/>
        <w:gridCol w:w="2989"/>
      </w:tblGrid>
      <w:tr w14:paraId="41FCC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7" w:type="dxa"/>
            <w:vAlign w:val="center"/>
          </w:tcPr>
          <w:p w14:paraId="270B917D">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序号</w:t>
            </w:r>
          </w:p>
        </w:tc>
        <w:tc>
          <w:tcPr>
            <w:tcW w:w="1769" w:type="dxa"/>
            <w:vAlign w:val="center"/>
          </w:tcPr>
          <w:p w14:paraId="0FBB546B">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污染物</w:t>
            </w:r>
          </w:p>
        </w:tc>
        <w:tc>
          <w:tcPr>
            <w:tcW w:w="2988" w:type="dxa"/>
            <w:vAlign w:val="center"/>
          </w:tcPr>
          <w:p w14:paraId="3098B3C5">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大气毒性终点浓</w:t>
            </w:r>
            <w:r>
              <w:rPr>
                <w:rFonts w:hint="eastAsia" w:ascii="Times New Roman" w:hAnsi="Times New Roman" w:cs="Times New Roman"/>
                <w:b/>
                <w:color w:val="000000" w:themeColor="text1"/>
                <w:sz w:val="21"/>
                <w:szCs w:val="21"/>
                <w14:textFill>
                  <w14:solidFill>
                    <w14:schemeClr w14:val="tx1"/>
                  </w14:solidFill>
                </w14:textFill>
              </w:rPr>
              <w:t>度</w:t>
            </w:r>
            <w:r>
              <w:rPr>
                <w:rFonts w:ascii="Times New Roman" w:hAnsi="Times New Roman" w:cs="Times New Roman"/>
                <w:b/>
                <w:color w:val="000000" w:themeColor="text1"/>
                <w:sz w:val="21"/>
                <w:szCs w:val="21"/>
                <w14:textFill>
                  <w14:solidFill>
                    <w14:schemeClr w14:val="tx1"/>
                  </w14:solidFill>
                </w14:textFill>
              </w:rPr>
              <w:t>-1（mg/m</w:t>
            </w:r>
            <w:r>
              <w:rPr>
                <w:rFonts w:ascii="Times New Roman" w:hAnsi="Times New Roman" w:cs="Times New Roman"/>
                <w:b/>
                <w:color w:val="000000" w:themeColor="text1"/>
                <w:sz w:val="21"/>
                <w:szCs w:val="21"/>
                <w:vertAlign w:val="superscript"/>
                <w14:textFill>
                  <w14:solidFill>
                    <w14:schemeClr w14:val="tx1"/>
                  </w14:solidFill>
                </w14:textFill>
              </w:rPr>
              <w:t>3</w:t>
            </w:r>
            <w:r>
              <w:rPr>
                <w:rFonts w:ascii="Times New Roman" w:hAnsi="Times New Roman" w:cs="Times New Roman"/>
                <w:b/>
                <w:color w:val="000000" w:themeColor="text1"/>
                <w:sz w:val="21"/>
                <w:szCs w:val="21"/>
                <w14:textFill>
                  <w14:solidFill>
                    <w14:schemeClr w14:val="tx1"/>
                  </w14:solidFill>
                </w14:textFill>
              </w:rPr>
              <w:t>）</w:t>
            </w:r>
          </w:p>
        </w:tc>
        <w:tc>
          <w:tcPr>
            <w:tcW w:w="2989" w:type="dxa"/>
            <w:vAlign w:val="center"/>
          </w:tcPr>
          <w:p w14:paraId="2479C020">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大气毒性终点浓度-2（mg/m</w:t>
            </w:r>
            <w:r>
              <w:rPr>
                <w:rFonts w:ascii="Times New Roman" w:hAnsi="Times New Roman" w:cs="Times New Roman"/>
                <w:b/>
                <w:color w:val="000000" w:themeColor="text1"/>
                <w:sz w:val="21"/>
                <w:szCs w:val="21"/>
                <w:vertAlign w:val="superscript"/>
                <w14:textFill>
                  <w14:solidFill>
                    <w14:schemeClr w14:val="tx1"/>
                  </w14:solidFill>
                </w14:textFill>
              </w:rPr>
              <w:t>3</w:t>
            </w:r>
            <w:r>
              <w:rPr>
                <w:rFonts w:ascii="Times New Roman" w:hAnsi="Times New Roman" w:cs="Times New Roman"/>
                <w:b/>
                <w:color w:val="000000" w:themeColor="text1"/>
                <w:sz w:val="21"/>
                <w:szCs w:val="21"/>
                <w14:textFill>
                  <w14:solidFill>
                    <w14:schemeClr w14:val="tx1"/>
                  </w14:solidFill>
                </w14:textFill>
              </w:rPr>
              <w:t>）</w:t>
            </w:r>
          </w:p>
        </w:tc>
      </w:tr>
      <w:tr w14:paraId="5C866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7" w:type="dxa"/>
            <w:vAlign w:val="center"/>
          </w:tcPr>
          <w:p w14:paraId="2077C7D9">
            <w:pPr>
              <w:pStyle w:val="200"/>
              <w:numPr>
                <w:ilvl w:val="0"/>
                <w:numId w:val="39"/>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769" w:type="dxa"/>
            <w:vAlign w:val="center"/>
          </w:tcPr>
          <w:p w14:paraId="273512F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SO</w:t>
            </w:r>
            <w:r>
              <w:rPr>
                <w:rFonts w:hint="eastAsia" w:ascii="Times New Roman" w:hAnsi="Times New Roman" w:cs="Times New Roman"/>
                <w:color w:val="000000" w:themeColor="text1"/>
                <w:sz w:val="21"/>
                <w:szCs w:val="21"/>
                <w:vertAlign w:val="subscript"/>
                <w14:textFill>
                  <w14:solidFill>
                    <w14:schemeClr w14:val="tx1"/>
                  </w14:solidFill>
                </w14:textFill>
              </w:rPr>
              <w:t>2</w:t>
            </w:r>
          </w:p>
        </w:tc>
        <w:tc>
          <w:tcPr>
            <w:tcW w:w="2988" w:type="dxa"/>
            <w:vAlign w:val="center"/>
          </w:tcPr>
          <w:p w14:paraId="22EC819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79</w:t>
            </w:r>
          </w:p>
        </w:tc>
        <w:tc>
          <w:tcPr>
            <w:tcW w:w="2989" w:type="dxa"/>
            <w:vAlign w:val="center"/>
          </w:tcPr>
          <w:p w14:paraId="005385C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r>
      <w:tr w14:paraId="2195D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7" w:type="dxa"/>
            <w:vAlign w:val="center"/>
          </w:tcPr>
          <w:p w14:paraId="5C157E5F">
            <w:pPr>
              <w:pStyle w:val="200"/>
              <w:numPr>
                <w:ilvl w:val="0"/>
                <w:numId w:val="39"/>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769" w:type="dxa"/>
            <w:vAlign w:val="center"/>
          </w:tcPr>
          <w:p w14:paraId="30EA6C6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硫酸雾</w:t>
            </w:r>
          </w:p>
        </w:tc>
        <w:tc>
          <w:tcPr>
            <w:tcW w:w="2988" w:type="dxa"/>
            <w:vAlign w:val="center"/>
          </w:tcPr>
          <w:p w14:paraId="2345E16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160</w:t>
            </w:r>
          </w:p>
        </w:tc>
        <w:tc>
          <w:tcPr>
            <w:tcW w:w="2989" w:type="dxa"/>
            <w:vAlign w:val="center"/>
          </w:tcPr>
          <w:p w14:paraId="032ED60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w:t>
            </w:r>
          </w:p>
        </w:tc>
      </w:tr>
      <w:tr w14:paraId="6976D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7" w:type="dxa"/>
            <w:vAlign w:val="center"/>
          </w:tcPr>
          <w:p w14:paraId="1CB2A068">
            <w:pPr>
              <w:pStyle w:val="200"/>
              <w:numPr>
                <w:ilvl w:val="0"/>
                <w:numId w:val="39"/>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769" w:type="dxa"/>
            <w:vAlign w:val="center"/>
          </w:tcPr>
          <w:p w14:paraId="3069E86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2988" w:type="dxa"/>
            <w:vAlign w:val="center"/>
          </w:tcPr>
          <w:p w14:paraId="30893CC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sz w:val="21"/>
                <w:szCs w:val="21"/>
              </w:rPr>
              <w:t>770</w:t>
            </w:r>
          </w:p>
        </w:tc>
        <w:tc>
          <w:tcPr>
            <w:tcW w:w="2989" w:type="dxa"/>
            <w:vAlign w:val="center"/>
          </w:tcPr>
          <w:p w14:paraId="729F58B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sz w:val="21"/>
                <w:szCs w:val="21"/>
              </w:rPr>
              <w:t>88</w:t>
            </w:r>
          </w:p>
        </w:tc>
      </w:tr>
      <w:tr w14:paraId="3CBF7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7" w:type="dxa"/>
            <w:vAlign w:val="center"/>
          </w:tcPr>
          <w:p w14:paraId="2340BBF5">
            <w:pPr>
              <w:pStyle w:val="200"/>
              <w:numPr>
                <w:ilvl w:val="0"/>
                <w:numId w:val="39"/>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769" w:type="dxa"/>
            <w:vAlign w:val="center"/>
          </w:tcPr>
          <w:p w14:paraId="033A454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2988" w:type="dxa"/>
            <w:vAlign w:val="center"/>
          </w:tcPr>
          <w:p w14:paraId="3BF214F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240</w:t>
            </w:r>
          </w:p>
        </w:tc>
        <w:tc>
          <w:tcPr>
            <w:tcW w:w="2989" w:type="dxa"/>
            <w:vAlign w:val="center"/>
          </w:tcPr>
          <w:p w14:paraId="188E3A4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40</w:t>
            </w:r>
          </w:p>
        </w:tc>
      </w:tr>
      <w:tr w14:paraId="08D14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7" w:type="dxa"/>
            <w:vAlign w:val="center"/>
          </w:tcPr>
          <w:p w14:paraId="7AF270A1">
            <w:pPr>
              <w:pStyle w:val="200"/>
              <w:numPr>
                <w:ilvl w:val="0"/>
                <w:numId w:val="39"/>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1769" w:type="dxa"/>
            <w:vAlign w:val="center"/>
          </w:tcPr>
          <w:p w14:paraId="3F0FD32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一氧化碳</w:t>
            </w:r>
          </w:p>
        </w:tc>
        <w:tc>
          <w:tcPr>
            <w:tcW w:w="2988" w:type="dxa"/>
            <w:vAlign w:val="center"/>
          </w:tcPr>
          <w:p w14:paraId="4E5368E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380</w:t>
            </w:r>
          </w:p>
        </w:tc>
        <w:tc>
          <w:tcPr>
            <w:tcW w:w="2989" w:type="dxa"/>
            <w:vAlign w:val="center"/>
          </w:tcPr>
          <w:p w14:paraId="2F81867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95</w:t>
            </w:r>
          </w:p>
        </w:tc>
      </w:tr>
    </w:tbl>
    <w:p w14:paraId="7612CF5F">
      <w:pPr>
        <w:pStyle w:val="4003"/>
        <w:ind w:firstLine="480"/>
        <w:rPr>
          <w:rStyle w:val="4006"/>
          <w:b/>
          <w:color w:val="000000" w:themeColor="text1"/>
          <w14:textFill>
            <w14:solidFill>
              <w14:schemeClr w14:val="tx1"/>
            </w14:solidFill>
          </w14:textFill>
        </w:rPr>
        <w:sectPr>
          <w:pgSz w:w="11907" w:h="16840"/>
          <w:pgMar w:top="1440" w:right="1800" w:bottom="1440" w:left="1800" w:header="964" w:footer="964" w:gutter="0"/>
          <w:cols w:space="720" w:num="1"/>
          <w:titlePg/>
          <w:docGrid w:linePitch="326" w:charSpace="-4300"/>
        </w:sectPr>
      </w:pPr>
    </w:p>
    <w:p w14:paraId="0E4D5976">
      <w:pPr>
        <w:pStyle w:val="4003"/>
        <w:ind w:firstLine="480"/>
        <w:rPr>
          <w:color w:val="000000" w:themeColor="text1"/>
          <w14:textFill>
            <w14:solidFill>
              <w14:schemeClr w14:val="tx1"/>
            </w14:solidFill>
          </w14:textFill>
        </w:rPr>
      </w:pPr>
      <w:r>
        <w:rPr>
          <w:rStyle w:val="4006"/>
          <w:b w:val="0"/>
          <w:color w:val="000000" w:themeColor="text1"/>
          <w14:textFill>
            <w14:solidFill>
              <w14:schemeClr w14:val="tx1"/>
            </w14:solidFill>
          </w14:textFill>
        </w:rPr>
        <w:t>9.1.3</w:t>
      </w:r>
      <w:r>
        <w:rPr>
          <w:color w:val="000000" w:themeColor="text1"/>
          <w14:textFill>
            <w14:solidFill>
              <w14:schemeClr w14:val="tx1"/>
            </w14:solidFill>
          </w14:textFill>
        </w:rPr>
        <w:t>预测结果</w:t>
      </w:r>
    </w:p>
    <w:p w14:paraId="6775B665">
      <w:pPr>
        <w:pStyle w:val="118"/>
        <w:spacing w:line="240" w:lineRule="auto"/>
        <w:ind w:firstLine="0" w:firstLineChars="0"/>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表9-4最不利气象条件下，各危险物质轴线的最大浓度</w:t>
      </w:r>
    </w:p>
    <w:tbl>
      <w:tblPr>
        <w:tblStyle w:val="2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932"/>
        <w:gridCol w:w="932"/>
        <w:gridCol w:w="932"/>
        <w:gridCol w:w="932"/>
        <w:gridCol w:w="932"/>
        <w:gridCol w:w="932"/>
        <w:gridCol w:w="932"/>
        <w:gridCol w:w="932"/>
        <w:gridCol w:w="932"/>
        <w:gridCol w:w="932"/>
        <w:gridCol w:w="932"/>
        <w:gridCol w:w="932"/>
        <w:gridCol w:w="932"/>
        <w:gridCol w:w="932"/>
        <w:gridCol w:w="934"/>
      </w:tblGrid>
      <w:tr w14:paraId="7601E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2796" w:type="dxa"/>
            <w:gridSpan w:val="3"/>
            <w:vAlign w:val="center"/>
          </w:tcPr>
          <w:p w14:paraId="727D80E5">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二氧化硫（SO</w:t>
            </w:r>
            <w:r>
              <w:rPr>
                <w:rFonts w:ascii="Times New Roman" w:hAnsi="Times New Roman" w:cs="Times New Roman"/>
                <w:color w:val="000000" w:themeColor="text1"/>
                <w:sz w:val="21"/>
                <w:szCs w:val="21"/>
                <w:vertAlign w:val="subscript"/>
                <w14:textFill>
                  <w14:solidFill>
                    <w14:schemeClr w14:val="tx1"/>
                  </w14:solidFill>
                </w14:textFill>
              </w:rPr>
              <w:t>2</w:t>
            </w:r>
            <w:r>
              <w:rPr>
                <w:rFonts w:ascii="Times New Roman" w:hAnsi="Times New Roman" w:cs="Times New Roman"/>
                <w:color w:val="000000" w:themeColor="text1"/>
                <w:sz w:val="21"/>
                <w:szCs w:val="21"/>
                <w14:textFill>
                  <w14:solidFill>
                    <w14:schemeClr w14:val="tx1"/>
                  </w14:solidFill>
                </w14:textFill>
              </w:rPr>
              <w:t>）</w:t>
            </w:r>
          </w:p>
        </w:tc>
        <w:tc>
          <w:tcPr>
            <w:tcW w:w="2796" w:type="dxa"/>
            <w:gridSpan w:val="3"/>
            <w:vAlign w:val="center"/>
          </w:tcPr>
          <w:p w14:paraId="6E245923">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硫酸雾</w:t>
            </w:r>
          </w:p>
        </w:tc>
        <w:tc>
          <w:tcPr>
            <w:tcW w:w="2796" w:type="dxa"/>
            <w:gridSpan w:val="3"/>
            <w:vAlign w:val="center"/>
          </w:tcPr>
          <w:p w14:paraId="49205720">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2796" w:type="dxa"/>
            <w:gridSpan w:val="3"/>
            <w:vAlign w:val="center"/>
          </w:tcPr>
          <w:p w14:paraId="551C277F">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2798" w:type="dxa"/>
            <w:gridSpan w:val="3"/>
            <w:vAlign w:val="center"/>
          </w:tcPr>
          <w:p w14:paraId="5923F6D3">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一氧化碳</w:t>
            </w:r>
          </w:p>
        </w:tc>
      </w:tr>
      <w:tr w14:paraId="62F87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0A8826B5">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距离(m)</w:t>
            </w:r>
          </w:p>
        </w:tc>
        <w:tc>
          <w:tcPr>
            <w:tcW w:w="932" w:type="dxa"/>
            <w:vAlign w:val="center"/>
          </w:tcPr>
          <w:p w14:paraId="4B1F8BA3">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932" w:type="dxa"/>
            <w:vAlign w:val="center"/>
          </w:tcPr>
          <w:p w14:paraId="6131B84C">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w:t>
            </w:r>
          </w:p>
          <w:p w14:paraId="383C0212">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692F634C">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距离(m)</w:t>
            </w:r>
          </w:p>
        </w:tc>
        <w:tc>
          <w:tcPr>
            <w:tcW w:w="932" w:type="dxa"/>
            <w:vAlign w:val="center"/>
          </w:tcPr>
          <w:p w14:paraId="6ED77416">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932" w:type="dxa"/>
            <w:vAlign w:val="center"/>
          </w:tcPr>
          <w:p w14:paraId="57E5FD49">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w:t>
            </w:r>
          </w:p>
          <w:p w14:paraId="7EBF5273">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2CB1A2DF">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距离(m)</w:t>
            </w:r>
          </w:p>
        </w:tc>
        <w:tc>
          <w:tcPr>
            <w:tcW w:w="932" w:type="dxa"/>
            <w:shd w:val="clear" w:color="auto" w:fill="auto"/>
            <w:vAlign w:val="center"/>
          </w:tcPr>
          <w:p w14:paraId="4879FEC0">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932" w:type="dxa"/>
            <w:shd w:val="clear" w:color="auto" w:fill="auto"/>
            <w:vAlign w:val="center"/>
          </w:tcPr>
          <w:p w14:paraId="6FA3DF28">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w:t>
            </w:r>
          </w:p>
          <w:p w14:paraId="74859A27">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59F84551">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距离(m)</w:t>
            </w:r>
          </w:p>
        </w:tc>
        <w:tc>
          <w:tcPr>
            <w:tcW w:w="932" w:type="dxa"/>
            <w:shd w:val="clear" w:color="auto" w:fill="auto"/>
            <w:vAlign w:val="center"/>
          </w:tcPr>
          <w:p w14:paraId="0FA12B02">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932" w:type="dxa"/>
            <w:shd w:val="clear" w:color="auto" w:fill="auto"/>
            <w:vAlign w:val="center"/>
          </w:tcPr>
          <w:p w14:paraId="474AC6F8">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w:t>
            </w:r>
          </w:p>
          <w:p w14:paraId="7BBFC281">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762DB1A0">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距离(m)</w:t>
            </w:r>
          </w:p>
        </w:tc>
        <w:tc>
          <w:tcPr>
            <w:tcW w:w="932" w:type="dxa"/>
            <w:shd w:val="clear" w:color="auto" w:fill="auto"/>
            <w:vAlign w:val="center"/>
          </w:tcPr>
          <w:p w14:paraId="06A7116E">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浓度出现时间(min)</w:t>
            </w:r>
          </w:p>
        </w:tc>
        <w:tc>
          <w:tcPr>
            <w:tcW w:w="934" w:type="dxa"/>
            <w:shd w:val="clear" w:color="auto" w:fill="auto"/>
            <w:vAlign w:val="center"/>
          </w:tcPr>
          <w:p w14:paraId="76452F1B">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高峰浓度</w:t>
            </w:r>
          </w:p>
          <w:p w14:paraId="5E796FA6">
            <w:pPr>
              <w:pStyle w:val="118"/>
              <w:spacing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(mg/m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w:t>
            </w:r>
          </w:p>
        </w:tc>
      </w:tr>
      <w:tr w14:paraId="641D2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206D434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932" w:type="dxa"/>
            <w:vAlign w:val="center"/>
          </w:tcPr>
          <w:p w14:paraId="363FC95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5.11</w:t>
            </w:r>
          </w:p>
        </w:tc>
        <w:tc>
          <w:tcPr>
            <w:tcW w:w="932" w:type="dxa"/>
            <w:vAlign w:val="center"/>
          </w:tcPr>
          <w:p w14:paraId="63363E0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8137.5</w:t>
            </w:r>
          </w:p>
        </w:tc>
        <w:tc>
          <w:tcPr>
            <w:tcW w:w="932" w:type="dxa"/>
            <w:vAlign w:val="center"/>
          </w:tcPr>
          <w:p w14:paraId="54ED5F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932" w:type="dxa"/>
            <w:vAlign w:val="center"/>
          </w:tcPr>
          <w:p w14:paraId="7E8E69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7.74</w:t>
            </w:r>
          </w:p>
        </w:tc>
        <w:tc>
          <w:tcPr>
            <w:tcW w:w="932" w:type="dxa"/>
            <w:vAlign w:val="center"/>
          </w:tcPr>
          <w:p w14:paraId="1E7101E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100.70</w:t>
            </w:r>
          </w:p>
        </w:tc>
        <w:tc>
          <w:tcPr>
            <w:tcW w:w="932" w:type="dxa"/>
            <w:shd w:val="clear" w:color="auto" w:fill="auto"/>
            <w:vAlign w:val="center"/>
          </w:tcPr>
          <w:p w14:paraId="02AFE36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932" w:type="dxa"/>
            <w:vAlign w:val="center"/>
          </w:tcPr>
          <w:p w14:paraId="3A51583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15.11</w:t>
            </w:r>
          </w:p>
        </w:tc>
        <w:tc>
          <w:tcPr>
            <w:tcW w:w="932" w:type="dxa"/>
            <w:vAlign w:val="center"/>
          </w:tcPr>
          <w:p w14:paraId="5D3FC5B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154.9</w:t>
            </w:r>
          </w:p>
        </w:tc>
        <w:tc>
          <w:tcPr>
            <w:tcW w:w="932" w:type="dxa"/>
            <w:shd w:val="clear" w:color="auto" w:fill="auto"/>
            <w:vAlign w:val="center"/>
          </w:tcPr>
          <w:p w14:paraId="106A5B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932" w:type="dxa"/>
            <w:vAlign w:val="center"/>
          </w:tcPr>
          <w:p w14:paraId="41B2A9B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7.56</w:t>
            </w:r>
          </w:p>
        </w:tc>
        <w:tc>
          <w:tcPr>
            <w:tcW w:w="932" w:type="dxa"/>
            <w:vAlign w:val="center"/>
          </w:tcPr>
          <w:p w14:paraId="6E0CD8D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1154.1</w:t>
            </w:r>
          </w:p>
        </w:tc>
        <w:tc>
          <w:tcPr>
            <w:tcW w:w="932" w:type="dxa"/>
            <w:shd w:val="clear" w:color="auto" w:fill="auto"/>
            <w:vAlign w:val="center"/>
          </w:tcPr>
          <w:p w14:paraId="7DEA6E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932" w:type="dxa"/>
            <w:vAlign w:val="center"/>
          </w:tcPr>
          <w:p w14:paraId="0DB5278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7.60</w:t>
            </w:r>
          </w:p>
        </w:tc>
        <w:tc>
          <w:tcPr>
            <w:tcW w:w="934" w:type="dxa"/>
            <w:vAlign w:val="center"/>
          </w:tcPr>
          <w:p w14:paraId="5713A0B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126.4</w:t>
            </w:r>
          </w:p>
        </w:tc>
      </w:tr>
      <w:tr w14:paraId="67F18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1AE657E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932" w:type="dxa"/>
            <w:vAlign w:val="center"/>
          </w:tcPr>
          <w:p w14:paraId="35A8F1D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5.22</w:t>
            </w:r>
          </w:p>
        </w:tc>
        <w:tc>
          <w:tcPr>
            <w:tcW w:w="932" w:type="dxa"/>
            <w:vAlign w:val="center"/>
          </w:tcPr>
          <w:p w14:paraId="2F1BEFC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7243.5</w:t>
            </w:r>
          </w:p>
        </w:tc>
        <w:tc>
          <w:tcPr>
            <w:tcW w:w="932" w:type="dxa"/>
            <w:vAlign w:val="center"/>
          </w:tcPr>
          <w:p w14:paraId="2FC0428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932" w:type="dxa"/>
            <w:vAlign w:val="center"/>
          </w:tcPr>
          <w:p w14:paraId="2DBD3D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7.98</w:t>
            </w:r>
          </w:p>
        </w:tc>
        <w:tc>
          <w:tcPr>
            <w:tcW w:w="932" w:type="dxa"/>
            <w:vAlign w:val="center"/>
          </w:tcPr>
          <w:p w14:paraId="1902AFA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118.90</w:t>
            </w:r>
          </w:p>
        </w:tc>
        <w:tc>
          <w:tcPr>
            <w:tcW w:w="932" w:type="dxa"/>
            <w:shd w:val="clear" w:color="auto" w:fill="auto"/>
            <w:vAlign w:val="center"/>
          </w:tcPr>
          <w:p w14:paraId="52950C2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932" w:type="dxa"/>
            <w:vAlign w:val="center"/>
          </w:tcPr>
          <w:p w14:paraId="7C27E49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15.21</w:t>
            </w:r>
          </w:p>
        </w:tc>
        <w:tc>
          <w:tcPr>
            <w:tcW w:w="932" w:type="dxa"/>
            <w:vAlign w:val="center"/>
          </w:tcPr>
          <w:p w14:paraId="589FC85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216.5</w:t>
            </w:r>
          </w:p>
        </w:tc>
        <w:tc>
          <w:tcPr>
            <w:tcW w:w="932" w:type="dxa"/>
            <w:shd w:val="clear" w:color="auto" w:fill="auto"/>
            <w:vAlign w:val="center"/>
          </w:tcPr>
          <w:p w14:paraId="6BC4D4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932" w:type="dxa"/>
            <w:vAlign w:val="center"/>
          </w:tcPr>
          <w:p w14:paraId="299F8DF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7.63</w:t>
            </w:r>
          </w:p>
        </w:tc>
        <w:tc>
          <w:tcPr>
            <w:tcW w:w="932" w:type="dxa"/>
            <w:vAlign w:val="center"/>
          </w:tcPr>
          <w:p w14:paraId="30AF39B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1453.6</w:t>
            </w:r>
          </w:p>
        </w:tc>
        <w:tc>
          <w:tcPr>
            <w:tcW w:w="932" w:type="dxa"/>
            <w:shd w:val="clear" w:color="auto" w:fill="auto"/>
            <w:vAlign w:val="center"/>
          </w:tcPr>
          <w:p w14:paraId="11567E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932" w:type="dxa"/>
            <w:vAlign w:val="center"/>
          </w:tcPr>
          <w:p w14:paraId="1FC946B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7.70</w:t>
            </w:r>
          </w:p>
        </w:tc>
        <w:tc>
          <w:tcPr>
            <w:tcW w:w="934" w:type="dxa"/>
            <w:vAlign w:val="center"/>
          </w:tcPr>
          <w:p w14:paraId="1F07AF8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175.3</w:t>
            </w:r>
          </w:p>
        </w:tc>
      </w:tr>
      <w:tr w14:paraId="04113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160048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w:t>
            </w:r>
          </w:p>
        </w:tc>
        <w:tc>
          <w:tcPr>
            <w:tcW w:w="932" w:type="dxa"/>
            <w:vAlign w:val="center"/>
          </w:tcPr>
          <w:p w14:paraId="7F80BC8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5.33</w:t>
            </w:r>
          </w:p>
        </w:tc>
        <w:tc>
          <w:tcPr>
            <w:tcW w:w="932" w:type="dxa"/>
            <w:vAlign w:val="center"/>
          </w:tcPr>
          <w:p w14:paraId="2501757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5617.4</w:t>
            </w:r>
          </w:p>
        </w:tc>
        <w:tc>
          <w:tcPr>
            <w:tcW w:w="932" w:type="dxa"/>
            <w:vAlign w:val="center"/>
          </w:tcPr>
          <w:p w14:paraId="6038229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w:t>
            </w:r>
          </w:p>
        </w:tc>
        <w:tc>
          <w:tcPr>
            <w:tcW w:w="932" w:type="dxa"/>
            <w:vAlign w:val="center"/>
          </w:tcPr>
          <w:p w14:paraId="3AB32B9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8.22</w:t>
            </w:r>
          </w:p>
        </w:tc>
        <w:tc>
          <w:tcPr>
            <w:tcW w:w="932" w:type="dxa"/>
            <w:vAlign w:val="center"/>
          </w:tcPr>
          <w:p w14:paraId="729D987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117.93</w:t>
            </w:r>
          </w:p>
        </w:tc>
        <w:tc>
          <w:tcPr>
            <w:tcW w:w="932" w:type="dxa"/>
            <w:shd w:val="clear" w:color="auto" w:fill="auto"/>
            <w:vAlign w:val="center"/>
          </w:tcPr>
          <w:p w14:paraId="2F50021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w:t>
            </w:r>
          </w:p>
        </w:tc>
        <w:tc>
          <w:tcPr>
            <w:tcW w:w="932" w:type="dxa"/>
            <w:vAlign w:val="center"/>
          </w:tcPr>
          <w:p w14:paraId="2DBF21C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15.32</w:t>
            </w:r>
          </w:p>
        </w:tc>
        <w:tc>
          <w:tcPr>
            <w:tcW w:w="932" w:type="dxa"/>
            <w:vAlign w:val="center"/>
          </w:tcPr>
          <w:p w14:paraId="5C575F0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218.8</w:t>
            </w:r>
          </w:p>
        </w:tc>
        <w:tc>
          <w:tcPr>
            <w:tcW w:w="932" w:type="dxa"/>
            <w:shd w:val="clear" w:color="auto" w:fill="auto"/>
            <w:vAlign w:val="center"/>
          </w:tcPr>
          <w:p w14:paraId="2F4AECF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w:t>
            </w:r>
          </w:p>
        </w:tc>
        <w:tc>
          <w:tcPr>
            <w:tcW w:w="932" w:type="dxa"/>
            <w:vAlign w:val="center"/>
          </w:tcPr>
          <w:p w14:paraId="0A41075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7.69</w:t>
            </w:r>
          </w:p>
        </w:tc>
        <w:tc>
          <w:tcPr>
            <w:tcW w:w="932" w:type="dxa"/>
            <w:vAlign w:val="center"/>
          </w:tcPr>
          <w:p w14:paraId="38C749F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1731.0</w:t>
            </w:r>
          </w:p>
        </w:tc>
        <w:tc>
          <w:tcPr>
            <w:tcW w:w="932" w:type="dxa"/>
            <w:shd w:val="clear" w:color="auto" w:fill="auto"/>
            <w:vAlign w:val="center"/>
          </w:tcPr>
          <w:p w14:paraId="6B24466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w:t>
            </w:r>
          </w:p>
        </w:tc>
        <w:tc>
          <w:tcPr>
            <w:tcW w:w="932" w:type="dxa"/>
            <w:vAlign w:val="center"/>
          </w:tcPr>
          <w:p w14:paraId="5CD41A1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7.80</w:t>
            </w:r>
          </w:p>
        </w:tc>
        <w:tc>
          <w:tcPr>
            <w:tcW w:w="934" w:type="dxa"/>
            <w:vAlign w:val="center"/>
          </w:tcPr>
          <w:p w14:paraId="2D8BD77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180.4</w:t>
            </w:r>
          </w:p>
        </w:tc>
      </w:tr>
      <w:tr w14:paraId="33BA6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3477FC2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932" w:type="dxa"/>
            <w:vAlign w:val="center"/>
          </w:tcPr>
          <w:p w14:paraId="184F816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5.43</w:t>
            </w:r>
          </w:p>
        </w:tc>
        <w:tc>
          <w:tcPr>
            <w:tcW w:w="932" w:type="dxa"/>
            <w:vAlign w:val="center"/>
          </w:tcPr>
          <w:p w14:paraId="490AC51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4493.1</w:t>
            </w:r>
          </w:p>
        </w:tc>
        <w:tc>
          <w:tcPr>
            <w:tcW w:w="932" w:type="dxa"/>
            <w:vAlign w:val="center"/>
          </w:tcPr>
          <w:p w14:paraId="393D8B3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932" w:type="dxa"/>
            <w:vAlign w:val="center"/>
          </w:tcPr>
          <w:p w14:paraId="1909686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8.46</w:t>
            </w:r>
          </w:p>
        </w:tc>
        <w:tc>
          <w:tcPr>
            <w:tcW w:w="932" w:type="dxa"/>
            <w:vAlign w:val="center"/>
          </w:tcPr>
          <w:p w14:paraId="4AA264F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117.50</w:t>
            </w:r>
          </w:p>
        </w:tc>
        <w:tc>
          <w:tcPr>
            <w:tcW w:w="932" w:type="dxa"/>
            <w:shd w:val="clear" w:color="auto" w:fill="auto"/>
            <w:vAlign w:val="center"/>
          </w:tcPr>
          <w:p w14:paraId="76CDB5C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932" w:type="dxa"/>
            <w:vAlign w:val="center"/>
          </w:tcPr>
          <w:p w14:paraId="1C1D84B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15.43</w:t>
            </w:r>
          </w:p>
        </w:tc>
        <w:tc>
          <w:tcPr>
            <w:tcW w:w="932" w:type="dxa"/>
            <w:vAlign w:val="center"/>
          </w:tcPr>
          <w:p w14:paraId="7BDA52B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214.1</w:t>
            </w:r>
          </w:p>
        </w:tc>
        <w:tc>
          <w:tcPr>
            <w:tcW w:w="932" w:type="dxa"/>
            <w:shd w:val="clear" w:color="auto" w:fill="auto"/>
            <w:vAlign w:val="center"/>
          </w:tcPr>
          <w:p w14:paraId="22EDDF7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932" w:type="dxa"/>
            <w:vAlign w:val="center"/>
          </w:tcPr>
          <w:p w14:paraId="6C57B1A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7.76</w:t>
            </w:r>
          </w:p>
        </w:tc>
        <w:tc>
          <w:tcPr>
            <w:tcW w:w="932" w:type="dxa"/>
            <w:vAlign w:val="center"/>
          </w:tcPr>
          <w:p w14:paraId="724B447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1812.8</w:t>
            </w:r>
          </w:p>
        </w:tc>
        <w:tc>
          <w:tcPr>
            <w:tcW w:w="932" w:type="dxa"/>
            <w:shd w:val="clear" w:color="auto" w:fill="auto"/>
            <w:vAlign w:val="center"/>
          </w:tcPr>
          <w:p w14:paraId="38F10CB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w:t>
            </w:r>
          </w:p>
        </w:tc>
        <w:tc>
          <w:tcPr>
            <w:tcW w:w="932" w:type="dxa"/>
            <w:vAlign w:val="center"/>
          </w:tcPr>
          <w:p w14:paraId="49E7CD9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7.90</w:t>
            </w:r>
          </w:p>
        </w:tc>
        <w:tc>
          <w:tcPr>
            <w:tcW w:w="934" w:type="dxa"/>
            <w:vAlign w:val="center"/>
          </w:tcPr>
          <w:p w14:paraId="7E17FFB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172.6</w:t>
            </w:r>
          </w:p>
        </w:tc>
      </w:tr>
      <w:tr w14:paraId="550EB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932" w:type="dxa"/>
            <w:vAlign w:val="center"/>
          </w:tcPr>
          <w:p w14:paraId="2EBF78F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932" w:type="dxa"/>
            <w:vAlign w:val="center"/>
          </w:tcPr>
          <w:p w14:paraId="0C72B26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5.54</w:t>
            </w:r>
          </w:p>
        </w:tc>
        <w:tc>
          <w:tcPr>
            <w:tcW w:w="932" w:type="dxa"/>
            <w:vAlign w:val="center"/>
          </w:tcPr>
          <w:p w14:paraId="78D3C5C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3667.9</w:t>
            </w:r>
          </w:p>
        </w:tc>
        <w:tc>
          <w:tcPr>
            <w:tcW w:w="932" w:type="dxa"/>
            <w:vAlign w:val="center"/>
          </w:tcPr>
          <w:p w14:paraId="3818B4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932" w:type="dxa"/>
            <w:vAlign w:val="center"/>
          </w:tcPr>
          <w:p w14:paraId="45293EC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8.70</w:t>
            </w:r>
          </w:p>
        </w:tc>
        <w:tc>
          <w:tcPr>
            <w:tcW w:w="932" w:type="dxa"/>
            <w:vAlign w:val="center"/>
          </w:tcPr>
          <w:p w14:paraId="7B5E027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117.15</w:t>
            </w:r>
          </w:p>
        </w:tc>
        <w:tc>
          <w:tcPr>
            <w:tcW w:w="932" w:type="dxa"/>
            <w:shd w:val="clear" w:color="auto" w:fill="auto"/>
            <w:vAlign w:val="center"/>
          </w:tcPr>
          <w:p w14:paraId="6536EFE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932" w:type="dxa"/>
            <w:vAlign w:val="center"/>
          </w:tcPr>
          <w:p w14:paraId="247BAE7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15.54</w:t>
            </w:r>
          </w:p>
        </w:tc>
        <w:tc>
          <w:tcPr>
            <w:tcW w:w="932" w:type="dxa"/>
            <w:vAlign w:val="center"/>
          </w:tcPr>
          <w:p w14:paraId="75F4BD5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206.6</w:t>
            </w:r>
          </w:p>
        </w:tc>
        <w:tc>
          <w:tcPr>
            <w:tcW w:w="932" w:type="dxa"/>
            <w:shd w:val="clear" w:color="auto" w:fill="auto"/>
            <w:vAlign w:val="center"/>
          </w:tcPr>
          <w:p w14:paraId="2629744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932" w:type="dxa"/>
            <w:vAlign w:val="center"/>
          </w:tcPr>
          <w:p w14:paraId="41CFF61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7.82</w:t>
            </w:r>
          </w:p>
        </w:tc>
        <w:tc>
          <w:tcPr>
            <w:tcW w:w="932" w:type="dxa"/>
            <w:vAlign w:val="center"/>
          </w:tcPr>
          <w:p w14:paraId="4E29887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151.9</w:t>
            </w:r>
          </w:p>
        </w:tc>
        <w:tc>
          <w:tcPr>
            <w:tcW w:w="932" w:type="dxa"/>
            <w:shd w:val="clear" w:color="auto" w:fill="auto"/>
            <w:vAlign w:val="center"/>
          </w:tcPr>
          <w:p w14:paraId="153B033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w:t>
            </w:r>
          </w:p>
        </w:tc>
        <w:tc>
          <w:tcPr>
            <w:tcW w:w="932" w:type="dxa"/>
            <w:shd w:val="clear" w:color="auto" w:fill="auto"/>
            <w:vAlign w:val="center"/>
          </w:tcPr>
          <w:p w14:paraId="6F22E18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8.00</w:t>
            </w:r>
          </w:p>
        </w:tc>
        <w:tc>
          <w:tcPr>
            <w:tcW w:w="934" w:type="dxa"/>
            <w:shd w:val="clear" w:color="auto" w:fill="auto"/>
            <w:vAlign w:val="center"/>
          </w:tcPr>
          <w:p w14:paraId="0EEAE7C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181.2</w:t>
            </w:r>
          </w:p>
        </w:tc>
      </w:tr>
      <w:tr w14:paraId="3B476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38476C1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932" w:type="dxa"/>
            <w:vAlign w:val="center"/>
          </w:tcPr>
          <w:p w14:paraId="2C4DDDE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5.65</w:t>
            </w:r>
          </w:p>
        </w:tc>
        <w:tc>
          <w:tcPr>
            <w:tcW w:w="932" w:type="dxa"/>
            <w:vAlign w:val="center"/>
          </w:tcPr>
          <w:p w14:paraId="0D74DAC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3077.8</w:t>
            </w:r>
          </w:p>
        </w:tc>
        <w:tc>
          <w:tcPr>
            <w:tcW w:w="932" w:type="dxa"/>
            <w:vAlign w:val="center"/>
          </w:tcPr>
          <w:p w14:paraId="5CDDD34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932" w:type="dxa"/>
            <w:vAlign w:val="center"/>
          </w:tcPr>
          <w:p w14:paraId="5CD997F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8.94</w:t>
            </w:r>
          </w:p>
        </w:tc>
        <w:tc>
          <w:tcPr>
            <w:tcW w:w="932" w:type="dxa"/>
            <w:vAlign w:val="center"/>
          </w:tcPr>
          <w:p w14:paraId="3247563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116.49</w:t>
            </w:r>
          </w:p>
        </w:tc>
        <w:tc>
          <w:tcPr>
            <w:tcW w:w="932" w:type="dxa"/>
            <w:shd w:val="clear" w:color="auto" w:fill="auto"/>
            <w:vAlign w:val="center"/>
          </w:tcPr>
          <w:p w14:paraId="200160D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932" w:type="dxa"/>
            <w:vAlign w:val="center"/>
          </w:tcPr>
          <w:p w14:paraId="6B0E443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15.64</w:t>
            </w:r>
          </w:p>
        </w:tc>
        <w:tc>
          <w:tcPr>
            <w:tcW w:w="932" w:type="dxa"/>
            <w:vAlign w:val="center"/>
          </w:tcPr>
          <w:p w14:paraId="1AF01B3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198.2</w:t>
            </w:r>
          </w:p>
        </w:tc>
        <w:tc>
          <w:tcPr>
            <w:tcW w:w="932" w:type="dxa"/>
            <w:shd w:val="clear" w:color="auto" w:fill="auto"/>
            <w:vAlign w:val="center"/>
          </w:tcPr>
          <w:p w14:paraId="2F63E40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932" w:type="dxa"/>
            <w:vAlign w:val="center"/>
          </w:tcPr>
          <w:p w14:paraId="7AF46E9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7.89</w:t>
            </w:r>
          </w:p>
        </w:tc>
        <w:tc>
          <w:tcPr>
            <w:tcW w:w="932" w:type="dxa"/>
            <w:vAlign w:val="center"/>
          </w:tcPr>
          <w:p w14:paraId="7F9292B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0.06</w:t>
            </w:r>
          </w:p>
        </w:tc>
        <w:tc>
          <w:tcPr>
            <w:tcW w:w="932" w:type="dxa"/>
            <w:shd w:val="clear" w:color="auto" w:fill="auto"/>
            <w:vAlign w:val="center"/>
          </w:tcPr>
          <w:p w14:paraId="7C7368D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w:t>
            </w:r>
          </w:p>
        </w:tc>
        <w:tc>
          <w:tcPr>
            <w:tcW w:w="932" w:type="dxa"/>
            <w:vAlign w:val="center"/>
          </w:tcPr>
          <w:p w14:paraId="1A41C81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8.09</w:t>
            </w:r>
          </w:p>
        </w:tc>
        <w:tc>
          <w:tcPr>
            <w:tcW w:w="934" w:type="dxa"/>
            <w:vAlign w:val="center"/>
          </w:tcPr>
          <w:p w14:paraId="57F5B6A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241.1</w:t>
            </w:r>
          </w:p>
        </w:tc>
      </w:tr>
      <w:tr w14:paraId="1DD8F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6B891AC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932" w:type="dxa"/>
            <w:vAlign w:val="center"/>
          </w:tcPr>
          <w:p w14:paraId="29FA2D7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5.76</w:t>
            </w:r>
          </w:p>
        </w:tc>
        <w:tc>
          <w:tcPr>
            <w:tcW w:w="932" w:type="dxa"/>
            <w:vAlign w:val="center"/>
          </w:tcPr>
          <w:p w14:paraId="6A7F988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2601.7</w:t>
            </w:r>
          </w:p>
        </w:tc>
        <w:tc>
          <w:tcPr>
            <w:tcW w:w="932" w:type="dxa"/>
            <w:vAlign w:val="center"/>
          </w:tcPr>
          <w:p w14:paraId="61156BC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932" w:type="dxa"/>
            <w:vAlign w:val="center"/>
          </w:tcPr>
          <w:p w14:paraId="2CF7CC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9.18</w:t>
            </w:r>
          </w:p>
        </w:tc>
        <w:tc>
          <w:tcPr>
            <w:tcW w:w="932" w:type="dxa"/>
            <w:vAlign w:val="center"/>
          </w:tcPr>
          <w:p w14:paraId="53789FE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115.27</w:t>
            </w:r>
          </w:p>
        </w:tc>
        <w:tc>
          <w:tcPr>
            <w:tcW w:w="932" w:type="dxa"/>
            <w:shd w:val="clear" w:color="auto" w:fill="auto"/>
            <w:vAlign w:val="center"/>
          </w:tcPr>
          <w:p w14:paraId="1F9FB30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932" w:type="dxa"/>
            <w:vAlign w:val="center"/>
          </w:tcPr>
          <w:p w14:paraId="0DBE6CD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15.75</w:t>
            </w:r>
          </w:p>
        </w:tc>
        <w:tc>
          <w:tcPr>
            <w:tcW w:w="932" w:type="dxa"/>
            <w:vAlign w:val="center"/>
          </w:tcPr>
          <w:p w14:paraId="70BD889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188.2</w:t>
            </w:r>
          </w:p>
        </w:tc>
        <w:tc>
          <w:tcPr>
            <w:tcW w:w="932" w:type="dxa"/>
            <w:shd w:val="clear" w:color="auto" w:fill="auto"/>
            <w:vAlign w:val="center"/>
          </w:tcPr>
          <w:p w14:paraId="3AA8C4A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932" w:type="dxa"/>
            <w:vAlign w:val="center"/>
          </w:tcPr>
          <w:p w14:paraId="0DB4DA15">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7D8D0EBC">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11E339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w:t>
            </w:r>
          </w:p>
        </w:tc>
        <w:tc>
          <w:tcPr>
            <w:tcW w:w="932" w:type="dxa"/>
            <w:vAlign w:val="center"/>
          </w:tcPr>
          <w:p w14:paraId="7E1AECC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8.19</w:t>
            </w:r>
          </w:p>
        </w:tc>
        <w:tc>
          <w:tcPr>
            <w:tcW w:w="934" w:type="dxa"/>
            <w:vAlign w:val="center"/>
          </w:tcPr>
          <w:p w14:paraId="229008E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184.5</w:t>
            </w:r>
          </w:p>
        </w:tc>
      </w:tr>
      <w:tr w14:paraId="24F66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7133C2A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w:t>
            </w:r>
          </w:p>
        </w:tc>
        <w:tc>
          <w:tcPr>
            <w:tcW w:w="932" w:type="dxa"/>
            <w:vAlign w:val="center"/>
          </w:tcPr>
          <w:p w14:paraId="75A9C10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5.87</w:t>
            </w:r>
          </w:p>
        </w:tc>
        <w:tc>
          <w:tcPr>
            <w:tcW w:w="932" w:type="dxa"/>
            <w:vAlign w:val="center"/>
          </w:tcPr>
          <w:p w14:paraId="27B3F3F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2222.6</w:t>
            </w:r>
          </w:p>
        </w:tc>
        <w:tc>
          <w:tcPr>
            <w:tcW w:w="932" w:type="dxa"/>
            <w:vAlign w:val="center"/>
          </w:tcPr>
          <w:p w14:paraId="6214C11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w:t>
            </w:r>
          </w:p>
        </w:tc>
        <w:tc>
          <w:tcPr>
            <w:tcW w:w="932" w:type="dxa"/>
            <w:vAlign w:val="center"/>
          </w:tcPr>
          <w:p w14:paraId="7787F2C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9.42</w:t>
            </w:r>
          </w:p>
        </w:tc>
        <w:tc>
          <w:tcPr>
            <w:tcW w:w="932" w:type="dxa"/>
            <w:vAlign w:val="center"/>
          </w:tcPr>
          <w:p w14:paraId="7E30D24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114.34</w:t>
            </w:r>
          </w:p>
        </w:tc>
        <w:tc>
          <w:tcPr>
            <w:tcW w:w="932" w:type="dxa"/>
            <w:shd w:val="clear" w:color="auto" w:fill="auto"/>
            <w:vAlign w:val="center"/>
          </w:tcPr>
          <w:p w14:paraId="6F2432B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w:t>
            </w:r>
          </w:p>
        </w:tc>
        <w:tc>
          <w:tcPr>
            <w:tcW w:w="932" w:type="dxa"/>
            <w:vAlign w:val="center"/>
          </w:tcPr>
          <w:p w14:paraId="5A2EED2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15.86</w:t>
            </w:r>
          </w:p>
        </w:tc>
        <w:tc>
          <w:tcPr>
            <w:tcW w:w="932" w:type="dxa"/>
            <w:vAlign w:val="center"/>
          </w:tcPr>
          <w:p w14:paraId="747376D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179.3</w:t>
            </w:r>
          </w:p>
        </w:tc>
        <w:tc>
          <w:tcPr>
            <w:tcW w:w="932" w:type="dxa"/>
            <w:shd w:val="clear" w:color="auto" w:fill="auto"/>
            <w:vAlign w:val="center"/>
          </w:tcPr>
          <w:p w14:paraId="1DB75AC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w:t>
            </w:r>
          </w:p>
        </w:tc>
        <w:tc>
          <w:tcPr>
            <w:tcW w:w="932" w:type="dxa"/>
            <w:vAlign w:val="center"/>
          </w:tcPr>
          <w:p w14:paraId="1C351CB7">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77F1AB74">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52E0D80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w:t>
            </w:r>
          </w:p>
        </w:tc>
        <w:tc>
          <w:tcPr>
            <w:tcW w:w="932" w:type="dxa"/>
            <w:vAlign w:val="center"/>
          </w:tcPr>
          <w:p w14:paraId="2C2FDA0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8.29</w:t>
            </w:r>
          </w:p>
        </w:tc>
        <w:tc>
          <w:tcPr>
            <w:tcW w:w="934" w:type="dxa"/>
            <w:vAlign w:val="center"/>
          </w:tcPr>
          <w:p w14:paraId="797DB6D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117.2</w:t>
            </w:r>
          </w:p>
        </w:tc>
      </w:tr>
      <w:tr w14:paraId="58354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529BBE1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w:t>
            </w:r>
          </w:p>
        </w:tc>
        <w:tc>
          <w:tcPr>
            <w:tcW w:w="932" w:type="dxa"/>
            <w:vAlign w:val="center"/>
          </w:tcPr>
          <w:p w14:paraId="2AC0540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5.98</w:t>
            </w:r>
          </w:p>
        </w:tc>
        <w:tc>
          <w:tcPr>
            <w:tcW w:w="932" w:type="dxa"/>
            <w:vAlign w:val="center"/>
          </w:tcPr>
          <w:p w14:paraId="3CBCD4F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1924.3</w:t>
            </w:r>
          </w:p>
        </w:tc>
        <w:tc>
          <w:tcPr>
            <w:tcW w:w="932" w:type="dxa"/>
            <w:vAlign w:val="center"/>
          </w:tcPr>
          <w:p w14:paraId="5D6D837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w:t>
            </w:r>
          </w:p>
        </w:tc>
        <w:tc>
          <w:tcPr>
            <w:tcW w:w="932" w:type="dxa"/>
            <w:vAlign w:val="center"/>
          </w:tcPr>
          <w:p w14:paraId="502DE82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9.66</w:t>
            </w:r>
          </w:p>
        </w:tc>
        <w:tc>
          <w:tcPr>
            <w:tcW w:w="932" w:type="dxa"/>
            <w:vAlign w:val="center"/>
          </w:tcPr>
          <w:p w14:paraId="21F2993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113.63</w:t>
            </w:r>
          </w:p>
        </w:tc>
        <w:tc>
          <w:tcPr>
            <w:tcW w:w="932" w:type="dxa"/>
            <w:shd w:val="clear" w:color="auto" w:fill="auto"/>
            <w:vAlign w:val="center"/>
          </w:tcPr>
          <w:p w14:paraId="015C7EC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w:t>
            </w:r>
          </w:p>
        </w:tc>
        <w:tc>
          <w:tcPr>
            <w:tcW w:w="932" w:type="dxa"/>
            <w:vAlign w:val="center"/>
          </w:tcPr>
          <w:p w14:paraId="48B97B5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15.96</w:t>
            </w:r>
          </w:p>
        </w:tc>
        <w:tc>
          <w:tcPr>
            <w:tcW w:w="932" w:type="dxa"/>
            <w:vAlign w:val="center"/>
          </w:tcPr>
          <w:p w14:paraId="045CEBD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169.6</w:t>
            </w:r>
          </w:p>
        </w:tc>
        <w:tc>
          <w:tcPr>
            <w:tcW w:w="932" w:type="dxa"/>
            <w:shd w:val="clear" w:color="auto" w:fill="auto"/>
            <w:vAlign w:val="center"/>
          </w:tcPr>
          <w:p w14:paraId="25DFD09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w:t>
            </w:r>
          </w:p>
        </w:tc>
        <w:tc>
          <w:tcPr>
            <w:tcW w:w="932" w:type="dxa"/>
            <w:vAlign w:val="center"/>
          </w:tcPr>
          <w:p w14:paraId="64ECF66C">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71223E21">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032F5CC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w:t>
            </w:r>
          </w:p>
        </w:tc>
        <w:tc>
          <w:tcPr>
            <w:tcW w:w="932" w:type="dxa"/>
            <w:vAlign w:val="center"/>
          </w:tcPr>
          <w:p w14:paraId="77C7085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8.39</w:t>
            </w:r>
          </w:p>
        </w:tc>
        <w:tc>
          <w:tcPr>
            <w:tcW w:w="934" w:type="dxa"/>
            <w:vAlign w:val="center"/>
          </w:tcPr>
          <w:p w14:paraId="03A29AE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72.7</w:t>
            </w:r>
          </w:p>
        </w:tc>
      </w:tr>
      <w:tr w14:paraId="6E1DD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1507859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932" w:type="dxa"/>
            <w:vAlign w:val="center"/>
          </w:tcPr>
          <w:p w14:paraId="6EB8FFC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6.08</w:t>
            </w:r>
          </w:p>
        </w:tc>
        <w:tc>
          <w:tcPr>
            <w:tcW w:w="932" w:type="dxa"/>
            <w:vAlign w:val="center"/>
          </w:tcPr>
          <w:p w14:paraId="197FAF6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1687.8</w:t>
            </w:r>
          </w:p>
        </w:tc>
        <w:tc>
          <w:tcPr>
            <w:tcW w:w="932" w:type="dxa"/>
            <w:vAlign w:val="center"/>
          </w:tcPr>
          <w:p w14:paraId="23C7651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932" w:type="dxa"/>
            <w:vAlign w:val="center"/>
          </w:tcPr>
          <w:p w14:paraId="2377D10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9.90</w:t>
            </w:r>
          </w:p>
        </w:tc>
        <w:tc>
          <w:tcPr>
            <w:tcW w:w="932" w:type="dxa"/>
            <w:vAlign w:val="center"/>
          </w:tcPr>
          <w:p w14:paraId="13652B0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112.42</w:t>
            </w:r>
          </w:p>
        </w:tc>
        <w:tc>
          <w:tcPr>
            <w:tcW w:w="932" w:type="dxa"/>
            <w:shd w:val="clear" w:color="auto" w:fill="auto"/>
            <w:vAlign w:val="center"/>
          </w:tcPr>
          <w:p w14:paraId="30F559A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932" w:type="dxa"/>
            <w:vAlign w:val="center"/>
          </w:tcPr>
          <w:p w14:paraId="210C1BF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16.07</w:t>
            </w:r>
          </w:p>
        </w:tc>
        <w:tc>
          <w:tcPr>
            <w:tcW w:w="932" w:type="dxa"/>
            <w:vAlign w:val="center"/>
          </w:tcPr>
          <w:p w14:paraId="70A1AC7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160.8</w:t>
            </w:r>
          </w:p>
        </w:tc>
        <w:tc>
          <w:tcPr>
            <w:tcW w:w="932" w:type="dxa"/>
            <w:shd w:val="clear" w:color="auto" w:fill="auto"/>
            <w:vAlign w:val="center"/>
          </w:tcPr>
          <w:p w14:paraId="15F418F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932" w:type="dxa"/>
            <w:vAlign w:val="center"/>
          </w:tcPr>
          <w:p w14:paraId="6DDFB4C1">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40592D38">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1330236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w:t>
            </w:r>
          </w:p>
        </w:tc>
        <w:tc>
          <w:tcPr>
            <w:tcW w:w="932" w:type="dxa"/>
            <w:vAlign w:val="center"/>
          </w:tcPr>
          <w:p w14:paraId="1EA302F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8.49</w:t>
            </w:r>
          </w:p>
        </w:tc>
        <w:tc>
          <w:tcPr>
            <w:tcW w:w="934" w:type="dxa"/>
            <w:vAlign w:val="center"/>
          </w:tcPr>
          <w:p w14:paraId="3809C9A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45.2</w:t>
            </w:r>
          </w:p>
        </w:tc>
      </w:tr>
      <w:tr w14:paraId="48129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52444D4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w:t>
            </w:r>
          </w:p>
        </w:tc>
        <w:tc>
          <w:tcPr>
            <w:tcW w:w="932" w:type="dxa"/>
            <w:vAlign w:val="center"/>
          </w:tcPr>
          <w:p w14:paraId="62BB216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6.63</w:t>
            </w:r>
          </w:p>
        </w:tc>
        <w:tc>
          <w:tcPr>
            <w:tcW w:w="932" w:type="dxa"/>
            <w:vAlign w:val="center"/>
          </w:tcPr>
          <w:p w14:paraId="77B86E3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970.5</w:t>
            </w:r>
          </w:p>
        </w:tc>
        <w:tc>
          <w:tcPr>
            <w:tcW w:w="932" w:type="dxa"/>
            <w:vAlign w:val="center"/>
          </w:tcPr>
          <w:p w14:paraId="29D1080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w:t>
            </w:r>
          </w:p>
        </w:tc>
        <w:tc>
          <w:tcPr>
            <w:tcW w:w="932" w:type="dxa"/>
            <w:vAlign w:val="center"/>
          </w:tcPr>
          <w:p w14:paraId="71E7C83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11.10</w:t>
            </w:r>
          </w:p>
        </w:tc>
        <w:tc>
          <w:tcPr>
            <w:tcW w:w="932" w:type="dxa"/>
            <w:vAlign w:val="center"/>
          </w:tcPr>
          <w:p w14:paraId="77ABBF1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105.62</w:t>
            </w:r>
          </w:p>
        </w:tc>
        <w:tc>
          <w:tcPr>
            <w:tcW w:w="932" w:type="dxa"/>
            <w:shd w:val="clear" w:color="auto" w:fill="auto"/>
            <w:vAlign w:val="center"/>
          </w:tcPr>
          <w:p w14:paraId="525323A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w:t>
            </w:r>
          </w:p>
        </w:tc>
        <w:tc>
          <w:tcPr>
            <w:tcW w:w="932" w:type="dxa"/>
            <w:vAlign w:val="center"/>
          </w:tcPr>
          <w:p w14:paraId="05D611E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16.61</w:t>
            </w:r>
          </w:p>
        </w:tc>
        <w:tc>
          <w:tcPr>
            <w:tcW w:w="932" w:type="dxa"/>
            <w:vAlign w:val="center"/>
          </w:tcPr>
          <w:p w14:paraId="579C02C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123.5</w:t>
            </w:r>
          </w:p>
        </w:tc>
        <w:tc>
          <w:tcPr>
            <w:tcW w:w="932" w:type="dxa"/>
            <w:shd w:val="clear" w:color="auto" w:fill="auto"/>
            <w:vAlign w:val="center"/>
          </w:tcPr>
          <w:p w14:paraId="65DA585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w:t>
            </w:r>
          </w:p>
        </w:tc>
        <w:tc>
          <w:tcPr>
            <w:tcW w:w="932" w:type="dxa"/>
            <w:vAlign w:val="center"/>
          </w:tcPr>
          <w:p w14:paraId="779687A5">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71B673DF">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25A837C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w:t>
            </w:r>
          </w:p>
        </w:tc>
        <w:tc>
          <w:tcPr>
            <w:tcW w:w="932" w:type="dxa"/>
            <w:vAlign w:val="center"/>
          </w:tcPr>
          <w:p w14:paraId="6877C27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9.00</w:t>
            </w:r>
          </w:p>
        </w:tc>
        <w:tc>
          <w:tcPr>
            <w:tcW w:w="934" w:type="dxa"/>
            <w:vAlign w:val="center"/>
          </w:tcPr>
          <w:p w14:paraId="33B5D90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4.6</w:t>
            </w:r>
          </w:p>
        </w:tc>
      </w:tr>
      <w:tr w14:paraId="1400B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5A7A32C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932" w:type="dxa"/>
            <w:vAlign w:val="center"/>
          </w:tcPr>
          <w:p w14:paraId="674FE12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7.17</w:t>
            </w:r>
          </w:p>
        </w:tc>
        <w:tc>
          <w:tcPr>
            <w:tcW w:w="932" w:type="dxa"/>
            <w:vAlign w:val="center"/>
          </w:tcPr>
          <w:p w14:paraId="314A817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629.7</w:t>
            </w:r>
          </w:p>
        </w:tc>
        <w:tc>
          <w:tcPr>
            <w:tcW w:w="932" w:type="dxa"/>
            <w:vAlign w:val="center"/>
          </w:tcPr>
          <w:p w14:paraId="1FE0EC0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932" w:type="dxa"/>
            <w:vAlign w:val="center"/>
          </w:tcPr>
          <w:p w14:paraId="675C273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12.29</w:t>
            </w:r>
          </w:p>
        </w:tc>
        <w:tc>
          <w:tcPr>
            <w:tcW w:w="932" w:type="dxa"/>
            <w:vAlign w:val="center"/>
          </w:tcPr>
          <w:p w14:paraId="30E0D5D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97.90</w:t>
            </w:r>
          </w:p>
        </w:tc>
        <w:tc>
          <w:tcPr>
            <w:tcW w:w="932" w:type="dxa"/>
            <w:shd w:val="clear" w:color="auto" w:fill="auto"/>
            <w:vAlign w:val="center"/>
          </w:tcPr>
          <w:p w14:paraId="4BF8572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932" w:type="dxa"/>
            <w:vAlign w:val="center"/>
          </w:tcPr>
          <w:p w14:paraId="304D235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17.14</w:t>
            </w:r>
          </w:p>
        </w:tc>
        <w:tc>
          <w:tcPr>
            <w:tcW w:w="932" w:type="dxa"/>
            <w:vAlign w:val="center"/>
          </w:tcPr>
          <w:p w14:paraId="29D6611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96.6</w:t>
            </w:r>
          </w:p>
        </w:tc>
        <w:tc>
          <w:tcPr>
            <w:tcW w:w="932" w:type="dxa"/>
            <w:shd w:val="clear" w:color="auto" w:fill="auto"/>
            <w:vAlign w:val="center"/>
          </w:tcPr>
          <w:p w14:paraId="2E2BCA0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932" w:type="dxa"/>
            <w:vAlign w:val="center"/>
          </w:tcPr>
          <w:p w14:paraId="31321608">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3D3BC5B8">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11C6DD4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w:t>
            </w:r>
          </w:p>
        </w:tc>
        <w:tc>
          <w:tcPr>
            <w:tcW w:w="932" w:type="dxa"/>
            <w:vAlign w:val="center"/>
          </w:tcPr>
          <w:p w14:paraId="12FBE42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9.48</w:t>
            </w:r>
          </w:p>
        </w:tc>
        <w:tc>
          <w:tcPr>
            <w:tcW w:w="934" w:type="dxa"/>
            <w:vAlign w:val="center"/>
          </w:tcPr>
          <w:p w14:paraId="269D77C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0.60</w:t>
            </w:r>
          </w:p>
        </w:tc>
      </w:tr>
      <w:tr w14:paraId="79C80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2CC853A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w:t>
            </w:r>
          </w:p>
        </w:tc>
        <w:tc>
          <w:tcPr>
            <w:tcW w:w="932" w:type="dxa"/>
            <w:vAlign w:val="center"/>
          </w:tcPr>
          <w:p w14:paraId="01C72D1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7.71</w:t>
            </w:r>
          </w:p>
        </w:tc>
        <w:tc>
          <w:tcPr>
            <w:tcW w:w="932" w:type="dxa"/>
            <w:vAlign w:val="center"/>
          </w:tcPr>
          <w:p w14:paraId="7601274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445.2</w:t>
            </w:r>
          </w:p>
        </w:tc>
        <w:tc>
          <w:tcPr>
            <w:tcW w:w="932" w:type="dxa"/>
            <w:vAlign w:val="center"/>
          </w:tcPr>
          <w:p w14:paraId="79AF882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w:t>
            </w:r>
          </w:p>
        </w:tc>
        <w:tc>
          <w:tcPr>
            <w:tcW w:w="932" w:type="dxa"/>
            <w:vAlign w:val="center"/>
          </w:tcPr>
          <w:p w14:paraId="316349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13.49</w:t>
            </w:r>
          </w:p>
        </w:tc>
        <w:tc>
          <w:tcPr>
            <w:tcW w:w="932" w:type="dxa"/>
            <w:vAlign w:val="center"/>
          </w:tcPr>
          <w:p w14:paraId="5F85C5B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90.54</w:t>
            </w:r>
          </w:p>
        </w:tc>
        <w:tc>
          <w:tcPr>
            <w:tcW w:w="932" w:type="dxa"/>
            <w:shd w:val="clear" w:color="auto" w:fill="auto"/>
            <w:vAlign w:val="center"/>
          </w:tcPr>
          <w:p w14:paraId="2D14BFD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w:t>
            </w:r>
          </w:p>
        </w:tc>
        <w:tc>
          <w:tcPr>
            <w:tcW w:w="932" w:type="dxa"/>
            <w:vAlign w:val="center"/>
          </w:tcPr>
          <w:p w14:paraId="54C47F7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17.68</w:t>
            </w:r>
          </w:p>
        </w:tc>
        <w:tc>
          <w:tcPr>
            <w:tcW w:w="932" w:type="dxa"/>
            <w:vAlign w:val="center"/>
          </w:tcPr>
          <w:p w14:paraId="7661316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76.9</w:t>
            </w:r>
          </w:p>
        </w:tc>
        <w:tc>
          <w:tcPr>
            <w:tcW w:w="932" w:type="dxa"/>
            <w:shd w:val="clear" w:color="auto" w:fill="auto"/>
            <w:vAlign w:val="center"/>
          </w:tcPr>
          <w:p w14:paraId="4A0ADB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w:t>
            </w:r>
          </w:p>
        </w:tc>
        <w:tc>
          <w:tcPr>
            <w:tcW w:w="932" w:type="dxa"/>
            <w:vAlign w:val="center"/>
          </w:tcPr>
          <w:p w14:paraId="5F55AFE9">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1E5E27B6">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56A44D1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w:t>
            </w:r>
          </w:p>
        </w:tc>
        <w:tc>
          <w:tcPr>
            <w:tcW w:w="932" w:type="dxa"/>
            <w:vAlign w:val="center"/>
          </w:tcPr>
          <w:p w14:paraId="5B2A764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10.0</w:t>
            </w:r>
          </w:p>
        </w:tc>
        <w:tc>
          <w:tcPr>
            <w:tcW w:w="934" w:type="dxa"/>
            <w:vAlign w:val="center"/>
          </w:tcPr>
          <w:p w14:paraId="4513FB4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0.10</w:t>
            </w:r>
          </w:p>
        </w:tc>
      </w:tr>
      <w:tr w14:paraId="26F17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26C027A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w:t>
            </w:r>
          </w:p>
        </w:tc>
        <w:tc>
          <w:tcPr>
            <w:tcW w:w="932" w:type="dxa"/>
            <w:vAlign w:val="center"/>
          </w:tcPr>
          <w:p w14:paraId="08C84EF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8.25</w:t>
            </w:r>
          </w:p>
        </w:tc>
        <w:tc>
          <w:tcPr>
            <w:tcW w:w="932" w:type="dxa"/>
            <w:vAlign w:val="center"/>
          </w:tcPr>
          <w:p w14:paraId="6E8BE75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330.7</w:t>
            </w:r>
          </w:p>
        </w:tc>
        <w:tc>
          <w:tcPr>
            <w:tcW w:w="932" w:type="dxa"/>
            <w:vAlign w:val="center"/>
          </w:tcPr>
          <w:p w14:paraId="0688432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w:t>
            </w:r>
          </w:p>
        </w:tc>
        <w:tc>
          <w:tcPr>
            <w:tcW w:w="932" w:type="dxa"/>
            <w:vAlign w:val="center"/>
          </w:tcPr>
          <w:p w14:paraId="04BEBAD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14.68</w:t>
            </w:r>
          </w:p>
        </w:tc>
        <w:tc>
          <w:tcPr>
            <w:tcW w:w="932" w:type="dxa"/>
            <w:vAlign w:val="center"/>
          </w:tcPr>
          <w:p w14:paraId="5C67A92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83.87</w:t>
            </w:r>
          </w:p>
        </w:tc>
        <w:tc>
          <w:tcPr>
            <w:tcW w:w="932" w:type="dxa"/>
            <w:shd w:val="clear" w:color="auto" w:fill="auto"/>
            <w:vAlign w:val="center"/>
          </w:tcPr>
          <w:p w14:paraId="1F0EDBC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w:t>
            </w:r>
          </w:p>
        </w:tc>
        <w:tc>
          <w:tcPr>
            <w:tcW w:w="932" w:type="dxa"/>
            <w:vAlign w:val="center"/>
          </w:tcPr>
          <w:p w14:paraId="16712B4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18.21</w:t>
            </w:r>
          </w:p>
        </w:tc>
        <w:tc>
          <w:tcPr>
            <w:tcW w:w="932" w:type="dxa"/>
            <w:vAlign w:val="center"/>
          </w:tcPr>
          <w:p w14:paraId="4EFC662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62.9</w:t>
            </w:r>
          </w:p>
        </w:tc>
        <w:tc>
          <w:tcPr>
            <w:tcW w:w="932" w:type="dxa"/>
            <w:shd w:val="clear" w:color="auto" w:fill="auto"/>
            <w:vAlign w:val="center"/>
          </w:tcPr>
          <w:p w14:paraId="2BE034A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w:t>
            </w:r>
          </w:p>
        </w:tc>
        <w:tc>
          <w:tcPr>
            <w:tcW w:w="932" w:type="dxa"/>
            <w:vAlign w:val="center"/>
          </w:tcPr>
          <w:p w14:paraId="3094B6A4">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67B5393B">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A010DA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w:t>
            </w:r>
          </w:p>
        </w:tc>
        <w:tc>
          <w:tcPr>
            <w:tcW w:w="932" w:type="dxa"/>
            <w:vAlign w:val="center"/>
          </w:tcPr>
          <w:p w14:paraId="6CC74949">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53168AD1">
            <w:pPr>
              <w:jc w:val="center"/>
              <w:rPr>
                <w:rFonts w:ascii="Times New Roman" w:hAnsi="Times New Roman" w:cs="Times New Roman"/>
                <w:color w:val="000000" w:themeColor="text1"/>
                <w:sz w:val="21"/>
                <w:szCs w:val="21"/>
                <w14:textFill>
                  <w14:solidFill>
                    <w14:schemeClr w14:val="tx1"/>
                  </w14:solidFill>
                </w14:textFill>
              </w:rPr>
            </w:pPr>
          </w:p>
        </w:tc>
      </w:tr>
      <w:tr w14:paraId="0908B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2F5872F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w:t>
            </w:r>
          </w:p>
        </w:tc>
        <w:tc>
          <w:tcPr>
            <w:tcW w:w="932" w:type="dxa"/>
            <w:vAlign w:val="center"/>
          </w:tcPr>
          <w:p w14:paraId="23AB932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8.79</w:t>
            </w:r>
          </w:p>
        </w:tc>
        <w:tc>
          <w:tcPr>
            <w:tcW w:w="932" w:type="dxa"/>
            <w:vAlign w:val="center"/>
          </w:tcPr>
          <w:p w14:paraId="486B2DA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255.8</w:t>
            </w:r>
          </w:p>
        </w:tc>
        <w:tc>
          <w:tcPr>
            <w:tcW w:w="932" w:type="dxa"/>
            <w:vAlign w:val="center"/>
          </w:tcPr>
          <w:p w14:paraId="47284B9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w:t>
            </w:r>
          </w:p>
        </w:tc>
        <w:tc>
          <w:tcPr>
            <w:tcW w:w="932" w:type="dxa"/>
            <w:vAlign w:val="center"/>
          </w:tcPr>
          <w:p w14:paraId="4136ABE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14.99</w:t>
            </w:r>
          </w:p>
        </w:tc>
        <w:tc>
          <w:tcPr>
            <w:tcW w:w="932" w:type="dxa"/>
            <w:vAlign w:val="center"/>
          </w:tcPr>
          <w:p w14:paraId="7DF7D04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80.69</w:t>
            </w:r>
          </w:p>
        </w:tc>
        <w:tc>
          <w:tcPr>
            <w:tcW w:w="932" w:type="dxa"/>
            <w:shd w:val="clear" w:color="auto" w:fill="auto"/>
            <w:vAlign w:val="center"/>
          </w:tcPr>
          <w:p w14:paraId="4C744BC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w:t>
            </w:r>
          </w:p>
        </w:tc>
        <w:tc>
          <w:tcPr>
            <w:tcW w:w="932" w:type="dxa"/>
            <w:vAlign w:val="center"/>
          </w:tcPr>
          <w:p w14:paraId="6143B38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18.75</w:t>
            </w:r>
          </w:p>
        </w:tc>
        <w:tc>
          <w:tcPr>
            <w:tcW w:w="932" w:type="dxa"/>
            <w:vAlign w:val="center"/>
          </w:tcPr>
          <w:p w14:paraId="21DA03D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52.5</w:t>
            </w:r>
          </w:p>
        </w:tc>
        <w:tc>
          <w:tcPr>
            <w:tcW w:w="932" w:type="dxa"/>
            <w:shd w:val="clear" w:color="auto" w:fill="auto"/>
            <w:vAlign w:val="center"/>
          </w:tcPr>
          <w:p w14:paraId="01FA07D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w:t>
            </w:r>
          </w:p>
        </w:tc>
        <w:tc>
          <w:tcPr>
            <w:tcW w:w="932" w:type="dxa"/>
            <w:vAlign w:val="center"/>
          </w:tcPr>
          <w:p w14:paraId="5404323F">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07D70105">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0A95E8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w:t>
            </w:r>
          </w:p>
        </w:tc>
        <w:tc>
          <w:tcPr>
            <w:tcW w:w="932" w:type="dxa"/>
            <w:vAlign w:val="center"/>
          </w:tcPr>
          <w:p w14:paraId="57649FE5">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2CFBC28B">
            <w:pPr>
              <w:jc w:val="center"/>
              <w:rPr>
                <w:rFonts w:ascii="Times New Roman" w:hAnsi="Times New Roman" w:cs="Times New Roman"/>
                <w:color w:val="000000" w:themeColor="text1"/>
                <w:sz w:val="21"/>
                <w:szCs w:val="21"/>
                <w14:textFill>
                  <w14:solidFill>
                    <w14:schemeClr w14:val="tx1"/>
                  </w14:solidFill>
                </w14:textFill>
              </w:rPr>
            </w:pPr>
          </w:p>
        </w:tc>
      </w:tr>
      <w:tr w14:paraId="61F43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40BABCC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c>
          <w:tcPr>
            <w:tcW w:w="932" w:type="dxa"/>
            <w:vAlign w:val="center"/>
          </w:tcPr>
          <w:p w14:paraId="2E0585B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9.34</w:t>
            </w:r>
          </w:p>
        </w:tc>
        <w:tc>
          <w:tcPr>
            <w:tcW w:w="932" w:type="dxa"/>
            <w:vAlign w:val="center"/>
          </w:tcPr>
          <w:p w14:paraId="7EE395E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204.2</w:t>
            </w:r>
          </w:p>
        </w:tc>
        <w:tc>
          <w:tcPr>
            <w:tcW w:w="932" w:type="dxa"/>
            <w:vAlign w:val="center"/>
          </w:tcPr>
          <w:p w14:paraId="0F26727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c>
          <w:tcPr>
            <w:tcW w:w="932" w:type="dxa"/>
            <w:vAlign w:val="center"/>
          </w:tcPr>
          <w:p w14:paraId="13FEA7D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15.40</w:t>
            </w:r>
          </w:p>
        </w:tc>
        <w:tc>
          <w:tcPr>
            <w:tcW w:w="932" w:type="dxa"/>
            <w:vAlign w:val="center"/>
          </w:tcPr>
          <w:p w14:paraId="1135F94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72.16</w:t>
            </w:r>
          </w:p>
        </w:tc>
        <w:tc>
          <w:tcPr>
            <w:tcW w:w="932" w:type="dxa"/>
            <w:shd w:val="clear" w:color="auto" w:fill="auto"/>
            <w:vAlign w:val="center"/>
          </w:tcPr>
          <w:p w14:paraId="27B6F5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c>
          <w:tcPr>
            <w:tcW w:w="932" w:type="dxa"/>
            <w:vAlign w:val="center"/>
          </w:tcPr>
          <w:p w14:paraId="223AFC6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19.28</w:t>
            </w:r>
          </w:p>
        </w:tc>
        <w:tc>
          <w:tcPr>
            <w:tcW w:w="932" w:type="dxa"/>
            <w:vAlign w:val="center"/>
          </w:tcPr>
          <w:p w14:paraId="4CC962A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44.5</w:t>
            </w:r>
          </w:p>
        </w:tc>
        <w:tc>
          <w:tcPr>
            <w:tcW w:w="932" w:type="dxa"/>
            <w:shd w:val="clear" w:color="auto" w:fill="auto"/>
            <w:vAlign w:val="center"/>
          </w:tcPr>
          <w:p w14:paraId="2A362B7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c>
          <w:tcPr>
            <w:tcW w:w="932" w:type="dxa"/>
            <w:vAlign w:val="center"/>
          </w:tcPr>
          <w:p w14:paraId="43FB5027">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47739E46">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76E2371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w:t>
            </w:r>
          </w:p>
        </w:tc>
        <w:tc>
          <w:tcPr>
            <w:tcW w:w="932" w:type="dxa"/>
            <w:vAlign w:val="center"/>
          </w:tcPr>
          <w:p w14:paraId="738D7173">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05CA5CA9">
            <w:pPr>
              <w:jc w:val="center"/>
              <w:rPr>
                <w:rFonts w:ascii="Times New Roman" w:hAnsi="Times New Roman" w:cs="Times New Roman"/>
                <w:color w:val="000000" w:themeColor="text1"/>
                <w:sz w:val="21"/>
                <w:szCs w:val="21"/>
                <w14:textFill>
                  <w14:solidFill>
                    <w14:schemeClr w14:val="tx1"/>
                  </w14:solidFill>
                </w14:textFill>
              </w:rPr>
            </w:pPr>
          </w:p>
        </w:tc>
      </w:tr>
      <w:tr w14:paraId="1A845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276C6E3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w:t>
            </w:r>
          </w:p>
        </w:tc>
        <w:tc>
          <w:tcPr>
            <w:tcW w:w="932" w:type="dxa"/>
            <w:vAlign w:val="center"/>
          </w:tcPr>
          <w:p w14:paraId="049EF85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9.88</w:t>
            </w:r>
          </w:p>
        </w:tc>
        <w:tc>
          <w:tcPr>
            <w:tcW w:w="932" w:type="dxa"/>
            <w:vAlign w:val="center"/>
          </w:tcPr>
          <w:p w14:paraId="6E84790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167.1</w:t>
            </w:r>
          </w:p>
        </w:tc>
        <w:tc>
          <w:tcPr>
            <w:tcW w:w="932" w:type="dxa"/>
            <w:vAlign w:val="center"/>
          </w:tcPr>
          <w:p w14:paraId="0837893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w:t>
            </w:r>
          </w:p>
        </w:tc>
        <w:tc>
          <w:tcPr>
            <w:tcW w:w="932" w:type="dxa"/>
            <w:vAlign w:val="center"/>
          </w:tcPr>
          <w:p w14:paraId="22DEC22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16.86</w:t>
            </w:r>
          </w:p>
        </w:tc>
        <w:tc>
          <w:tcPr>
            <w:tcW w:w="932" w:type="dxa"/>
            <w:vAlign w:val="center"/>
          </w:tcPr>
          <w:p w14:paraId="4CA6EF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65.16</w:t>
            </w:r>
          </w:p>
        </w:tc>
        <w:tc>
          <w:tcPr>
            <w:tcW w:w="932" w:type="dxa"/>
            <w:shd w:val="clear" w:color="auto" w:fill="auto"/>
            <w:vAlign w:val="center"/>
          </w:tcPr>
          <w:p w14:paraId="2FCBEF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w:t>
            </w:r>
          </w:p>
        </w:tc>
        <w:tc>
          <w:tcPr>
            <w:tcW w:w="932" w:type="dxa"/>
            <w:vAlign w:val="center"/>
          </w:tcPr>
          <w:p w14:paraId="5A64CFF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19.82</w:t>
            </w:r>
          </w:p>
        </w:tc>
        <w:tc>
          <w:tcPr>
            <w:tcW w:w="932" w:type="dxa"/>
            <w:vAlign w:val="center"/>
          </w:tcPr>
          <w:p w14:paraId="08C2DF5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38.2</w:t>
            </w:r>
          </w:p>
        </w:tc>
        <w:tc>
          <w:tcPr>
            <w:tcW w:w="932" w:type="dxa"/>
            <w:shd w:val="clear" w:color="auto" w:fill="auto"/>
            <w:vAlign w:val="center"/>
          </w:tcPr>
          <w:p w14:paraId="474010C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w:t>
            </w:r>
          </w:p>
        </w:tc>
        <w:tc>
          <w:tcPr>
            <w:tcW w:w="932" w:type="dxa"/>
            <w:vAlign w:val="center"/>
          </w:tcPr>
          <w:p w14:paraId="1DF097AE">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7C7A9922">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A724B2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w:t>
            </w:r>
          </w:p>
        </w:tc>
        <w:tc>
          <w:tcPr>
            <w:tcW w:w="932" w:type="dxa"/>
            <w:vAlign w:val="center"/>
          </w:tcPr>
          <w:p w14:paraId="43CD459C">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7001C471">
            <w:pPr>
              <w:jc w:val="center"/>
              <w:rPr>
                <w:rFonts w:ascii="Times New Roman" w:hAnsi="Times New Roman" w:cs="Times New Roman"/>
                <w:color w:val="000000" w:themeColor="text1"/>
                <w:sz w:val="21"/>
                <w:szCs w:val="21"/>
                <w14:textFill>
                  <w14:solidFill>
                    <w14:schemeClr w14:val="tx1"/>
                  </w14:solidFill>
                </w14:textFill>
              </w:rPr>
            </w:pPr>
          </w:p>
        </w:tc>
      </w:tr>
      <w:tr w14:paraId="37361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43B65DE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w:t>
            </w:r>
          </w:p>
        </w:tc>
        <w:tc>
          <w:tcPr>
            <w:tcW w:w="932" w:type="dxa"/>
            <w:vAlign w:val="center"/>
          </w:tcPr>
          <w:p w14:paraId="2F8AA54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10.40</w:t>
            </w:r>
          </w:p>
        </w:tc>
        <w:tc>
          <w:tcPr>
            <w:tcW w:w="932" w:type="dxa"/>
            <w:vAlign w:val="center"/>
          </w:tcPr>
          <w:p w14:paraId="376ABDB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138.5</w:t>
            </w:r>
          </w:p>
        </w:tc>
        <w:tc>
          <w:tcPr>
            <w:tcW w:w="932" w:type="dxa"/>
            <w:vAlign w:val="center"/>
          </w:tcPr>
          <w:p w14:paraId="4C1E4BA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w:t>
            </w:r>
          </w:p>
        </w:tc>
        <w:tc>
          <w:tcPr>
            <w:tcW w:w="932" w:type="dxa"/>
            <w:vAlign w:val="center"/>
          </w:tcPr>
          <w:p w14:paraId="2A9ECD8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18.36</w:t>
            </w:r>
          </w:p>
        </w:tc>
        <w:tc>
          <w:tcPr>
            <w:tcW w:w="932" w:type="dxa"/>
            <w:vAlign w:val="center"/>
          </w:tcPr>
          <w:p w14:paraId="041BCA3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57.51</w:t>
            </w:r>
          </w:p>
        </w:tc>
        <w:tc>
          <w:tcPr>
            <w:tcW w:w="932" w:type="dxa"/>
            <w:shd w:val="clear" w:color="auto" w:fill="auto"/>
            <w:vAlign w:val="center"/>
          </w:tcPr>
          <w:p w14:paraId="72BDDF1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w:t>
            </w:r>
          </w:p>
        </w:tc>
        <w:tc>
          <w:tcPr>
            <w:tcW w:w="932" w:type="dxa"/>
            <w:vAlign w:val="center"/>
          </w:tcPr>
          <w:p w14:paraId="745B6D6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20.36</w:t>
            </w:r>
          </w:p>
        </w:tc>
        <w:tc>
          <w:tcPr>
            <w:tcW w:w="932" w:type="dxa"/>
            <w:vAlign w:val="center"/>
          </w:tcPr>
          <w:p w14:paraId="7909751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33.2</w:t>
            </w:r>
          </w:p>
        </w:tc>
        <w:tc>
          <w:tcPr>
            <w:tcW w:w="932" w:type="dxa"/>
            <w:shd w:val="clear" w:color="auto" w:fill="auto"/>
            <w:vAlign w:val="center"/>
          </w:tcPr>
          <w:p w14:paraId="35A2043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w:t>
            </w:r>
          </w:p>
        </w:tc>
        <w:tc>
          <w:tcPr>
            <w:tcW w:w="932" w:type="dxa"/>
            <w:vAlign w:val="center"/>
          </w:tcPr>
          <w:p w14:paraId="390442F7">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5905DB65">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5FB8FF1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w:t>
            </w:r>
          </w:p>
        </w:tc>
        <w:tc>
          <w:tcPr>
            <w:tcW w:w="932" w:type="dxa"/>
            <w:vAlign w:val="center"/>
          </w:tcPr>
          <w:p w14:paraId="1D1FB401">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58BA3013">
            <w:pPr>
              <w:jc w:val="center"/>
              <w:rPr>
                <w:rFonts w:ascii="Times New Roman" w:hAnsi="Times New Roman" w:cs="Times New Roman"/>
                <w:color w:val="000000" w:themeColor="text1"/>
                <w:sz w:val="21"/>
                <w:szCs w:val="21"/>
                <w14:textFill>
                  <w14:solidFill>
                    <w14:schemeClr w14:val="tx1"/>
                  </w14:solidFill>
                </w14:textFill>
              </w:rPr>
            </w:pPr>
          </w:p>
        </w:tc>
      </w:tr>
      <w:tr w14:paraId="67751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59A4202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932" w:type="dxa"/>
            <w:vAlign w:val="center"/>
          </w:tcPr>
          <w:p w14:paraId="64934EE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11.40</w:t>
            </w:r>
          </w:p>
        </w:tc>
        <w:tc>
          <w:tcPr>
            <w:tcW w:w="932" w:type="dxa"/>
            <w:vAlign w:val="center"/>
          </w:tcPr>
          <w:p w14:paraId="5FA1104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98.8</w:t>
            </w:r>
          </w:p>
        </w:tc>
        <w:tc>
          <w:tcPr>
            <w:tcW w:w="932" w:type="dxa"/>
            <w:vAlign w:val="center"/>
          </w:tcPr>
          <w:p w14:paraId="08BCFB5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932" w:type="dxa"/>
            <w:vAlign w:val="center"/>
          </w:tcPr>
          <w:p w14:paraId="20C4574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21.43</w:t>
            </w:r>
          </w:p>
        </w:tc>
        <w:tc>
          <w:tcPr>
            <w:tcW w:w="932" w:type="dxa"/>
            <w:vAlign w:val="center"/>
          </w:tcPr>
          <w:p w14:paraId="588740C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45.65</w:t>
            </w:r>
          </w:p>
        </w:tc>
        <w:tc>
          <w:tcPr>
            <w:tcW w:w="932" w:type="dxa"/>
            <w:shd w:val="clear" w:color="auto" w:fill="auto"/>
            <w:vAlign w:val="center"/>
          </w:tcPr>
          <w:p w14:paraId="52483F4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932" w:type="dxa"/>
            <w:vAlign w:val="center"/>
          </w:tcPr>
          <w:p w14:paraId="56A9042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21.43</w:t>
            </w:r>
          </w:p>
        </w:tc>
        <w:tc>
          <w:tcPr>
            <w:tcW w:w="932" w:type="dxa"/>
            <w:vAlign w:val="center"/>
          </w:tcPr>
          <w:p w14:paraId="560E7E0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25.9</w:t>
            </w:r>
          </w:p>
        </w:tc>
        <w:tc>
          <w:tcPr>
            <w:tcW w:w="932" w:type="dxa"/>
            <w:shd w:val="clear" w:color="auto" w:fill="auto"/>
            <w:vAlign w:val="center"/>
          </w:tcPr>
          <w:p w14:paraId="00F7273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932" w:type="dxa"/>
            <w:vAlign w:val="center"/>
          </w:tcPr>
          <w:p w14:paraId="744C1A2F">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68AC4546">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59811A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600</w:t>
            </w:r>
          </w:p>
        </w:tc>
        <w:tc>
          <w:tcPr>
            <w:tcW w:w="932" w:type="dxa"/>
            <w:vAlign w:val="center"/>
          </w:tcPr>
          <w:p w14:paraId="1F3EEDF2">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1D165EEE">
            <w:pPr>
              <w:jc w:val="center"/>
              <w:rPr>
                <w:rFonts w:ascii="Times New Roman" w:hAnsi="Times New Roman" w:cs="Times New Roman"/>
                <w:color w:val="000000" w:themeColor="text1"/>
                <w:sz w:val="21"/>
                <w:szCs w:val="21"/>
                <w14:textFill>
                  <w14:solidFill>
                    <w14:schemeClr w14:val="tx1"/>
                  </w14:solidFill>
                </w14:textFill>
              </w:rPr>
            </w:pPr>
          </w:p>
        </w:tc>
      </w:tr>
      <w:tr w14:paraId="551D2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0596A50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700</w:t>
            </w:r>
          </w:p>
        </w:tc>
        <w:tc>
          <w:tcPr>
            <w:tcW w:w="932" w:type="dxa"/>
            <w:vAlign w:val="center"/>
          </w:tcPr>
          <w:p w14:paraId="3041E98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12.38</w:t>
            </w:r>
          </w:p>
        </w:tc>
        <w:tc>
          <w:tcPr>
            <w:tcW w:w="932" w:type="dxa"/>
            <w:vAlign w:val="center"/>
          </w:tcPr>
          <w:p w14:paraId="461A634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74.5</w:t>
            </w:r>
          </w:p>
        </w:tc>
        <w:tc>
          <w:tcPr>
            <w:tcW w:w="932" w:type="dxa"/>
            <w:vAlign w:val="center"/>
          </w:tcPr>
          <w:p w14:paraId="1F7DE3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700</w:t>
            </w:r>
          </w:p>
        </w:tc>
        <w:tc>
          <w:tcPr>
            <w:tcW w:w="932" w:type="dxa"/>
            <w:vAlign w:val="center"/>
          </w:tcPr>
          <w:p w14:paraId="3A743D8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24.55</w:t>
            </w:r>
          </w:p>
        </w:tc>
        <w:tc>
          <w:tcPr>
            <w:tcW w:w="932" w:type="dxa"/>
            <w:vAlign w:val="center"/>
          </w:tcPr>
          <w:p w14:paraId="333F3E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37.39</w:t>
            </w:r>
          </w:p>
        </w:tc>
        <w:tc>
          <w:tcPr>
            <w:tcW w:w="932" w:type="dxa"/>
            <w:shd w:val="clear" w:color="auto" w:fill="auto"/>
            <w:vAlign w:val="center"/>
          </w:tcPr>
          <w:p w14:paraId="7847184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700</w:t>
            </w:r>
          </w:p>
        </w:tc>
        <w:tc>
          <w:tcPr>
            <w:tcW w:w="932" w:type="dxa"/>
            <w:vAlign w:val="center"/>
          </w:tcPr>
          <w:p w14:paraId="5499364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22.50</w:t>
            </w:r>
          </w:p>
        </w:tc>
        <w:tc>
          <w:tcPr>
            <w:tcW w:w="932" w:type="dxa"/>
            <w:vAlign w:val="center"/>
          </w:tcPr>
          <w:p w14:paraId="583E46B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20.8</w:t>
            </w:r>
          </w:p>
        </w:tc>
        <w:tc>
          <w:tcPr>
            <w:tcW w:w="932" w:type="dxa"/>
            <w:shd w:val="clear" w:color="auto" w:fill="auto"/>
            <w:vAlign w:val="center"/>
          </w:tcPr>
          <w:p w14:paraId="7294F8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700</w:t>
            </w:r>
          </w:p>
        </w:tc>
        <w:tc>
          <w:tcPr>
            <w:tcW w:w="932" w:type="dxa"/>
            <w:vAlign w:val="center"/>
          </w:tcPr>
          <w:p w14:paraId="4623DB1A">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5F8BF4A8">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168823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700</w:t>
            </w:r>
          </w:p>
        </w:tc>
        <w:tc>
          <w:tcPr>
            <w:tcW w:w="932" w:type="dxa"/>
            <w:vAlign w:val="center"/>
          </w:tcPr>
          <w:p w14:paraId="1FA75B58">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4D7FF5A6">
            <w:pPr>
              <w:jc w:val="center"/>
              <w:rPr>
                <w:rFonts w:ascii="Times New Roman" w:hAnsi="Times New Roman" w:cs="Times New Roman"/>
                <w:color w:val="000000" w:themeColor="text1"/>
                <w:sz w:val="21"/>
                <w:szCs w:val="21"/>
                <w14:textFill>
                  <w14:solidFill>
                    <w14:schemeClr w14:val="tx1"/>
                  </w14:solidFill>
                </w14:textFill>
              </w:rPr>
            </w:pPr>
          </w:p>
        </w:tc>
      </w:tr>
      <w:tr w14:paraId="77F53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2A829E2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932" w:type="dxa"/>
            <w:vAlign w:val="center"/>
          </w:tcPr>
          <w:p w14:paraId="1ECF9BF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13.35</w:t>
            </w:r>
          </w:p>
        </w:tc>
        <w:tc>
          <w:tcPr>
            <w:tcW w:w="932" w:type="dxa"/>
            <w:vAlign w:val="center"/>
          </w:tcPr>
          <w:p w14:paraId="0790992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58.4</w:t>
            </w:r>
          </w:p>
        </w:tc>
        <w:tc>
          <w:tcPr>
            <w:tcW w:w="932" w:type="dxa"/>
            <w:vAlign w:val="center"/>
          </w:tcPr>
          <w:p w14:paraId="65BFBBD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932" w:type="dxa"/>
            <w:vAlign w:val="center"/>
          </w:tcPr>
          <w:p w14:paraId="44371C3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26.66</w:t>
            </w:r>
          </w:p>
        </w:tc>
        <w:tc>
          <w:tcPr>
            <w:tcW w:w="932" w:type="dxa"/>
            <w:vAlign w:val="center"/>
          </w:tcPr>
          <w:p w14:paraId="62BC7FE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31.65</w:t>
            </w:r>
          </w:p>
        </w:tc>
        <w:tc>
          <w:tcPr>
            <w:tcW w:w="932" w:type="dxa"/>
            <w:shd w:val="clear" w:color="auto" w:fill="auto"/>
            <w:vAlign w:val="center"/>
          </w:tcPr>
          <w:p w14:paraId="472840B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932" w:type="dxa"/>
            <w:vAlign w:val="center"/>
          </w:tcPr>
          <w:p w14:paraId="4002342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23.57</w:t>
            </w:r>
          </w:p>
        </w:tc>
        <w:tc>
          <w:tcPr>
            <w:tcW w:w="932" w:type="dxa"/>
            <w:vAlign w:val="center"/>
          </w:tcPr>
          <w:p w14:paraId="65930F9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17.2</w:t>
            </w:r>
          </w:p>
        </w:tc>
        <w:tc>
          <w:tcPr>
            <w:tcW w:w="932" w:type="dxa"/>
            <w:shd w:val="clear" w:color="auto" w:fill="auto"/>
            <w:vAlign w:val="center"/>
          </w:tcPr>
          <w:p w14:paraId="68D9730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932" w:type="dxa"/>
            <w:vAlign w:val="center"/>
          </w:tcPr>
          <w:p w14:paraId="5C23ACC7">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68C41A73">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3E83B9B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800</w:t>
            </w:r>
          </w:p>
        </w:tc>
        <w:tc>
          <w:tcPr>
            <w:tcW w:w="932" w:type="dxa"/>
            <w:vAlign w:val="center"/>
          </w:tcPr>
          <w:p w14:paraId="4A08DEEC">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04A1B020">
            <w:pPr>
              <w:jc w:val="center"/>
              <w:rPr>
                <w:rFonts w:ascii="Times New Roman" w:hAnsi="Times New Roman" w:cs="Times New Roman"/>
                <w:color w:val="000000" w:themeColor="text1"/>
                <w:sz w:val="21"/>
                <w:szCs w:val="21"/>
                <w14:textFill>
                  <w14:solidFill>
                    <w14:schemeClr w14:val="tx1"/>
                  </w14:solidFill>
                </w14:textFill>
              </w:rPr>
            </w:pPr>
          </w:p>
        </w:tc>
      </w:tr>
      <w:tr w14:paraId="7CBA5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1BC785F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932" w:type="dxa"/>
            <w:vAlign w:val="center"/>
          </w:tcPr>
          <w:p w14:paraId="2791823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14.31</w:t>
            </w:r>
          </w:p>
        </w:tc>
        <w:tc>
          <w:tcPr>
            <w:tcW w:w="932" w:type="dxa"/>
            <w:vAlign w:val="center"/>
          </w:tcPr>
          <w:p w14:paraId="52F46BB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46.9</w:t>
            </w:r>
          </w:p>
        </w:tc>
        <w:tc>
          <w:tcPr>
            <w:tcW w:w="932" w:type="dxa"/>
            <w:vAlign w:val="center"/>
          </w:tcPr>
          <w:p w14:paraId="3D52291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932" w:type="dxa"/>
            <w:vAlign w:val="center"/>
          </w:tcPr>
          <w:p w14:paraId="5E73E29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29.72</w:t>
            </w:r>
          </w:p>
        </w:tc>
        <w:tc>
          <w:tcPr>
            <w:tcW w:w="932" w:type="dxa"/>
            <w:vAlign w:val="center"/>
          </w:tcPr>
          <w:p w14:paraId="3DD9954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27.47</w:t>
            </w:r>
          </w:p>
        </w:tc>
        <w:tc>
          <w:tcPr>
            <w:tcW w:w="932" w:type="dxa"/>
            <w:shd w:val="clear" w:color="auto" w:fill="auto"/>
            <w:vAlign w:val="center"/>
          </w:tcPr>
          <w:p w14:paraId="58B667B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932" w:type="dxa"/>
            <w:vAlign w:val="center"/>
          </w:tcPr>
          <w:p w14:paraId="2B93C2F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24.64</w:t>
            </w:r>
          </w:p>
        </w:tc>
        <w:tc>
          <w:tcPr>
            <w:tcW w:w="932" w:type="dxa"/>
            <w:vAlign w:val="center"/>
          </w:tcPr>
          <w:p w14:paraId="07056E1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14.4</w:t>
            </w:r>
          </w:p>
        </w:tc>
        <w:tc>
          <w:tcPr>
            <w:tcW w:w="932" w:type="dxa"/>
            <w:shd w:val="clear" w:color="auto" w:fill="auto"/>
            <w:vAlign w:val="center"/>
          </w:tcPr>
          <w:p w14:paraId="7519E45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932" w:type="dxa"/>
            <w:vAlign w:val="center"/>
          </w:tcPr>
          <w:p w14:paraId="681F090F">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505F2B87">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2AA67B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900</w:t>
            </w:r>
          </w:p>
        </w:tc>
        <w:tc>
          <w:tcPr>
            <w:tcW w:w="932" w:type="dxa"/>
            <w:vAlign w:val="center"/>
          </w:tcPr>
          <w:p w14:paraId="305590AA">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2DA6F731">
            <w:pPr>
              <w:jc w:val="center"/>
              <w:rPr>
                <w:rFonts w:ascii="Times New Roman" w:hAnsi="Times New Roman" w:cs="Times New Roman"/>
                <w:color w:val="000000" w:themeColor="text1"/>
                <w:sz w:val="21"/>
                <w:szCs w:val="21"/>
                <w14:textFill>
                  <w14:solidFill>
                    <w14:schemeClr w14:val="tx1"/>
                  </w14:solidFill>
                </w14:textFill>
              </w:rPr>
            </w:pPr>
          </w:p>
        </w:tc>
      </w:tr>
      <w:tr w14:paraId="5146F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625A1D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32" w:type="dxa"/>
            <w:vAlign w:val="center"/>
          </w:tcPr>
          <w:p w14:paraId="08759C9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15.26</w:t>
            </w:r>
          </w:p>
        </w:tc>
        <w:tc>
          <w:tcPr>
            <w:tcW w:w="932" w:type="dxa"/>
            <w:vAlign w:val="center"/>
          </w:tcPr>
          <w:p w14:paraId="46601DF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38.71</w:t>
            </w:r>
          </w:p>
        </w:tc>
        <w:tc>
          <w:tcPr>
            <w:tcW w:w="932" w:type="dxa"/>
            <w:vAlign w:val="center"/>
          </w:tcPr>
          <w:p w14:paraId="5C37166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32" w:type="dxa"/>
            <w:vAlign w:val="center"/>
          </w:tcPr>
          <w:p w14:paraId="58F6C5B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32.73</w:t>
            </w:r>
          </w:p>
        </w:tc>
        <w:tc>
          <w:tcPr>
            <w:tcW w:w="932" w:type="dxa"/>
            <w:vAlign w:val="center"/>
          </w:tcPr>
          <w:p w14:paraId="6E71FF3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24.24</w:t>
            </w:r>
          </w:p>
        </w:tc>
        <w:tc>
          <w:tcPr>
            <w:tcW w:w="932" w:type="dxa"/>
            <w:shd w:val="clear" w:color="auto" w:fill="auto"/>
            <w:vAlign w:val="center"/>
          </w:tcPr>
          <w:p w14:paraId="0268732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32" w:type="dxa"/>
            <w:vAlign w:val="center"/>
          </w:tcPr>
          <w:p w14:paraId="35F3ED4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25.71</w:t>
            </w:r>
          </w:p>
        </w:tc>
        <w:tc>
          <w:tcPr>
            <w:tcW w:w="932" w:type="dxa"/>
            <w:vAlign w:val="center"/>
          </w:tcPr>
          <w:p w14:paraId="2F469F7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12.3</w:t>
            </w:r>
          </w:p>
        </w:tc>
        <w:tc>
          <w:tcPr>
            <w:tcW w:w="932" w:type="dxa"/>
            <w:shd w:val="clear" w:color="auto" w:fill="auto"/>
            <w:vAlign w:val="center"/>
          </w:tcPr>
          <w:p w14:paraId="40E98F7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32" w:type="dxa"/>
            <w:vAlign w:val="center"/>
          </w:tcPr>
          <w:p w14:paraId="151665E0">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44900671">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1D5D7C0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1000</w:t>
            </w:r>
          </w:p>
        </w:tc>
        <w:tc>
          <w:tcPr>
            <w:tcW w:w="932" w:type="dxa"/>
            <w:vAlign w:val="center"/>
          </w:tcPr>
          <w:p w14:paraId="637AC033">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018EA1A3">
            <w:pPr>
              <w:jc w:val="center"/>
              <w:rPr>
                <w:rFonts w:ascii="Times New Roman" w:hAnsi="Times New Roman" w:cs="Times New Roman"/>
                <w:color w:val="000000" w:themeColor="text1"/>
                <w:sz w:val="21"/>
                <w:szCs w:val="21"/>
                <w14:textFill>
                  <w14:solidFill>
                    <w14:schemeClr w14:val="tx1"/>
                  </w14:solidFill>
                </w14:textFill>
              </w:rPr>
            </w:pPr>
          </w:p>
        </w:tc>
      </w:tr>
      <w:tr w14:paraId="47452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5A0DA68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1300</w:t>
            </w:r>
          </w:p>
        </w:tc>
        <w:tc>
          <w:tcPr>
            <w:tcW w:w="932" w:type="dxa"/>
            <w:vAlign w:val="center"/>
          </w:tcPr>
          <w:p w14:paraId="6128D9A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18.04</w:t>
            </w:r>
          </w:p>
        </w:tc>
        <w:tc>
          <w:tcPr>
            <w:tcW w:w="932" w:type="dxa"/>
            <w:vAlign w:val="center"/>
          </w:tcPr>
          <w:p w14:paraId="11837EE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23.81</w:t>
            </w:r>
          </w:p>
        </w:tc>
        <w:tc>
          <w:tcPr>
            <w:tcW w:w="932" w:type="dxa"/>
            <w:vAlign w:val="center"/>
          </w:tcPr>
          <w:p w14:paraId="1C7F493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1300</w:t>
            </w:r>
          </w:p>
        </w:tc>
        <w:tc>
          <w:tcPr>
            <w:tcW w:w="932" w:type="dxa"/>
            <w:vAlign w:val="center"/>
          </w:tcPr>
          <w:p w14:paraId="25F48A3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41.35</w:t>
            </w:r>
          </w:p>
        </w:tc>
        <w:tc>
          <w:tcPr>
            <w:tcW w:w="932" w:type="dxa"/>
            <w:vAlign w:val="center"/>
          </w:tcPr>
          <w:p w14:paraId="2DD9CA1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17.70</w:t>
            </w:r>
          </w:p>
        </w:tc>
        <w:tc>
          <w:tcPr>
            <w:tcW w:w="932" w:type="dxa"/>
            <w:shd w:val="clear" w:color="auto" w:fill="auto"/>
            <w:vAlign w:val="center"/>
          </w:tcPr>
          <w:p w14:paraId="49ACF8B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1300</w:t>
            </w:r>
          </w:p>
        </w:tc>
        <w:tc>
          <w:tcPr>
            <w:tcW w:w="932" w:type="dxa"/>
            <w:vAlign w:val="center"/>
          </w:tcPr>
          <w:p w14:paraId="22F20C9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28.94</w:t>
            </w:r>
          </w:p>
        </w:tc>
        <w:tc>
          <w:tcPr>
            <w:tcW w:w="932" w:type="dxa"/>
            <w:vAlign w:val="center"/>
          </w:tcPr>
          <w:p w14:paraId="0D7171F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8.3</w:t>
            </w:r>
          </w:p>
        </w:tc>
        <w:tc>
          <w:tcPr>
            <w:tcW w:w="932" w:type="dxa"/>
            <w:shd w:val="clear" w:color="auto" w:fill="auto"/>
            <w:vAlign w:val="center"/>
          </w:tcPr>
          <w:p w14:paraId="156F367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1300</w:t>
            </w:r>
          </w:p>
        </w:tc>
        <w:tc>
          <w:tcPr>
            <w:tcW w:w="932" w:type="dxa"/>
            <w:vAlign w:val="center"/>
          </w:tcPr>
          <w:p w14:paraId="4F1035B0">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1614C1B6">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FDD3BA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1300</w:t>
            </w:r>
          </w:p>
        </w:tc>
        <w:tc>
          <w:tcPr>
            <w:tcW w:w="932" w:type="dxa"/>
            <w:vAlign w:val="center"/>
          </w:tcPr>
          <w:p w14:paraId="307E5A67">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6731E34B">
            <w:pPr>
              <w:jc w:val="center"/>
              <w:rPr>
                <w:rFonts w:ascii="Times New Roman" w:hAnsi="Times New Roman" w:cs="Times New Roman"/>
                <w:color w:val="000000" w:themeColor="text1"/>
                <w:sz w:val="21"/>
                <w:szCs w:val="21"/>
                <w14:textFill>
                  <w14:solidFill>
                    <w14:schemeClr w14:val="tx1"/>
                  </w14:solidFill>
                </w14:textFill>
              </w:rPr>
            </w:pPr>
          </w:p>
        </w:tc>
      </w:tr>
      <w:tr w14:paraId="0ADF3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1B9C49A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w:t>
            </w:r>
          </w:p>
        </w:tc>
        <w:tc>
          <w:tcPr>
            <w:tcW w:w="932" w:type="dxa"/>
            <w:vAlign w:val="center"/>
          </w:tcPr>
          <w:p w14:paraId="67CBF66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19.87</w:t>
            </w:r>
          </w:p>
        </w:tc>
        <w:tc>
          <w:tcPr>
            <w:tcW w:w="932" w:type="dxa"/>
            <w:vAlign w:val="center"/>
          </w:tcPr>
          <w:p w14:paraId="7809EC9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18.31</w:t>
            </w:r>
          </w:p>
        </w:tc>
        <w:tc>
          <w:tcPr>
            <w:tcW w:w="932" w:type="dxa"/>
            <w:vAlign w:val="center"/>
          </w:tcPr>
          <w:p w14:paraId="320D537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w:t>
            </w:r>
          </w:p>
        </w:tc>
        <w:tc>
          <w:tcPr>
            <w:tcW w:w="932" w:type="dxa"/>
            <w:vAlign w:val="center"/>
          </w:tcPr>
          <w:p w14:paraId="18BD82F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45.80</w:t>
            </w:r>
          </w:p>
        </w:tc>
        <w:tc>
          <w:tcPr>
            <w:tcW w:w="932" w:type="dxa"/>
            <w:vAlign w:val="center"/>
          </w:tcPr>
          <w:p w14:paraId="61F68A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14.86</w:t>
            </w:r>
          </w:p>
        </w:tc>
        <w:tc>
          <w:tcPr>
            <w:tcW w:w="932" w:type="dxa"/>
            <w:shd w:val="clear" w:color="auto" w:fill="auto"/>
            <w:vAlign w:val="center"/>
          </w:tcPr>
          <w:p w14:paraId="6E73C04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w:t>
            </w:r>
          </w:p>
        </w:tc>
        <w:tc>
          <w:tcPr>
            <w:tcW w:w="932" w:type="dxa"/>
            <w:vAlign w:val="center"/>
          </w:tcPr>
          <w:p w14:paraId="3A91503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30.97</w:t>
            </w:r>
          </w:p>
        </w:tc>
        <w:tc>
          <w:tcPr>
            <w:tcW w:w="932" w:type="dxa"/>
            <w:vAlign w:val="center"/>
          </w:tcPr>
          <w:p w14:paraId="4C11C96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6.8</w:t>
            </w:r>
          </w:p>
        </w:tc>
        <w:tc>
          <w:tcPr>
            <w:tcW w:w="932" w:type="dxa"/>
            <w:shd w:val="clear" w:color="auto" w:fill="auto"/>
            <w:vAlign w:val="center"/>
          </w:tcPr>
          <w:p w14:paraId="0434D4D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w:t>
            </w:r>
          </w:p>
        </w:tc>
        <w:tc>
          <w:tcPr>
            <w:tcW w:w="932" w:type="dxa"/>
            <w:vAlign w:val="center"/>
          </w:tcPr>
          <w:p w14:paraId="42943FE1">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49B71558">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085F09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1500</w:t>
            </w:r>
          </w:p>
        </w:tc>
        <w:tc>
          <w:tcPr>
            <w:tcW w:w="932" w:type="dxa"/>
            <w:vAlign w:val="center"/>
          </w:tcPr>
          <w:p w14:paraId="0759392B">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2DF46A55">
            <w:pPr>
              <w:jc w:val="center"/>
              <w:rPr>
                <w:rFonts w:ascii="Times New Roman" w:hAnsi="Times New Roman" w:cs="Times New Roman"/>
                <w:color w:val="000000" w:themeColor="text1"/>
                <w:sz w:val="21"/>
                <w:szCs w:val="21"/>
                <w14:textFill>
                  <w14:solidFill>
                    <w14:schemeClr w14:val="tx1"/>
                  </w14:solidFill>
                </w14:textFill>
              </w:rPr>
            </w:pPr>
          </w:p>
        </w:tc>
      </w:tr>
      <w:tr w14:paraId="7521B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3B47FAB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1600</w:t>
            </w:r>
          </w:p>
        </w:tc>
        <w:tc>
          <w:tcPr>
            <w:tcW w:w="932" w:type="dxa"/>
            <w:vAlign w:val="center"/>
          </w:tcPr>
          <w:p w14:paraId="028597D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20.77</w:t>
            </w:r>
          </w:p>
        </w:tc>
        <w:tc>
          <w:tcPr>
            <w:tcW w:w="932" w:type="dxa"/>
            <w:vAlign w:val="center"/>
          </w:tcPr>
          <w:p w14:paraId="78FB6FD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16.22</w:t>
            </w:r>
          </w:p>
        </w:tc>
        <w:tc>
          <w:tcPr>
            <w:tcW w:w="932" w:type="dxa"/>
            <w:vAlign w:val="center"/>
          </w:tcPr>
          <w:p w14:paraId="7002734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1600</w:t>
            </w:r>
          </w:p>
        </w:tc>
        <w:tc>
          <w:tcPr>
            <w:tcW w:w="932" w:type="dxa"/>
            <w:vAlign w:val="center"/>
          </w:tcPr>
          <w:p w14:paraId="20D8C88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48.44</w:t>
            </w:r>
          </w:p>
        </w:tc>
        <w:tc>
          <w:tcPr>
            <w:tcW w:w="932" w:type="dxa"/>
            <w:vAlign w:val="center"/>
          </w:tcPr>
          <w:p w14:paraId="7763C03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13.70</w:t>
            </w:r>
          </w:p>
        </w:tc>
        <w:tc>
          <w:tcPr>
            <w:tcW w:w="932" w:type="dxa"/>
            <w:shd w:val="clear" w:color="auto" w:fill="auto"/>
            <w:vAlign w:val="center"/>
          </w:tcPr>
          <w:p w14:paraId="602C9D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1600</w:t>
            </w:r>
          </w:p>
        </w:tc>
        <w:tc>
          <w:tcPr>
            <w:tcW w:w="932" w:type="dxa"/>
            <w:vAlign w:val="center"/>
          </w:tcPr>
          <w:p w14:paraId="637120D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31.89</w:t>
            </w:r>
          </w:p>
        </w:tc>
        <w:tc>
          <w:tcPr>
            <w:tcW w:w="932" w:type="dxa"/>
            <w:vAlign w:val="center"/>
          </w:tcPr>
          <w:p w14:paraId="772855B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6.2</w:t>
            </w:r>
          </w:p>
        </w:tc>
        <w:tc>
          <w:tcPr>
            <w:tcW w:w="932" w:type="dxa"/>
            <w:shd w:val="clear" w:color="auto" w:fill="auto"/>
            <w:vAlign w:val="center"/>
          </w:tcPr>
          <w:p w14:paraId="70862F6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1600</w:t>
            </w:r>
          </w:p>
        </w:tc>
        <w:tc>
          <w:tcPr>
            <w:tcW w:w="932" w:type="dxa"/>
            <w:vAlign w:val="center"/>
          </w:tcPr>
          <w:p w14:paraId="3CC297A6">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2AC36607">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15532E7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1600</w:t>
            </w:r>
          </w:p>
        </w:tc>
        <w:tc>
          <w:tcPr>
            <w:tcW w:w="932" w:type="dxa"/>
            <w:vAlign w:val="center"/>
          </w:tcPr>
          <w:p w14:paraId="5DC5177A">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63B02AF6">
            <w:pPr>
              <w:jc w:val="center"/>
              <w:rPr>
                <w:rFonts w:ascii="Times New Roman" w:hAnsi="Times New Roman" w:cs="Times New Roman"/>
                <w:color w:val="000000" w:themeColor="text1"/>
                <w:sz w:val="21"/>
                <w:szCs w:val="21"/>
                <w14:textFill>
                  <w14:solidFill>
                    <w14:schemeClr w14:val="tx1"/>
                  </w14:solidFill>
                </w14:textFill>
              </w:rPr>
            </w:pPr>
          </w:p>
        </w:tc>
      </w:tr>
      <w:tr w14:paraId="52153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157426B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1650</w:t>
            </w:r>
          </w:p>
        </w:tc>
        <w:tc>
          <w:tcPr>
            <w:tcW w:w="932" w:type="dxa"/>
            <w:vAlign w:val="center"/>
          </w:tcPr>
          <w:p w14:paraId="127DF1B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21.22</w:t>
            </w:r>
          </w:p>
        </w:tc>
        <w:tc>
          <w:tcPr>
            <w:tcW w:w="932" w:type="dxa"/>
            <w:vAlign w:val="center"/>
          </w:tcPr>
          <w:p w14:paraId="5E390DC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15.33</w:t>
            </w:r>
          </w:p>
        </w:tc>
        <w:tc>
          <w:tcPr>
            <w:tcW w:w="932" w:type="dxa"/>
            <w:vAlign w:val="center"/>
          </w:tcPr>
          <w:p w14:paraId="3D644E2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1650</w:t>
            </w:r>
          </w:p>
        </w:tc>
        <w:tc>
          <w:tcPr>
            <w:tcW w:w="932" w:type="dxa"/>
            <w:vAlign w:val="center"/>
          </w:tcPr>
          <w:p w14:paraId="78923E2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49.75</w:t>
            </w:r>
          </w:p>
        </w:tc>
        <w:tc>
          <w:tcPr>
            <w:tcW w:w="932" w:type="dxa"/>
            <w:vAlign w:val="center"/>
          </w:tcPr>
          <w:p w14:paraId="31E5B5A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13.12</w:t>
            </w:r>
          </w:p>
        </w:tc>
        <w:tc>
          <w:tcPr>
            <w:tcW w:w="932" w:type="dxa"/>
            <w:shd w:val="clear" w:color="auto" w:fill="auto"/>
            <w:vAlign w:val="center"/>
          </w:tcPr>
          <w:p w14:paraId="0C898D4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1650</w:t>
            </w:r>
          </w:p>
        </w:tc>
        <w:tc>
          <w:tcPr>
            <w:tcW w:w="932" w:type="dxa"/>
            <w:vAlign w:val="center"/>
          </w:tcPr>
          <w:p w14:paraId="5C5B958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32.35</w:t>
            </w:r>
          </w:p>
        </w:tc>
        <w:tc>
          <w:tcPr>
            <w:tcW w:w="932" w:type="dxa"/>
            <w:vAlign w:val="center"/>
          </w:tcPr>
          <w:p w14:paraId="08924F6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5.9</w:t>
            </w:r>
          </w:p>
        </w:tc>
        <w:tc>
          <w:tcPr>
            <w:tcW w:w="932" w:type="dxa"/>
            <w:shd w:val="clear" w:color="auto" w:fill="auto"/>
            <w:vAlign w:val="center"/>
          </w:tcPr>
          <w:p w14:paraId="6224E7B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1650</w:t>
            </w:r>
          </w:p>
        </w:tc>
        <w:tc>
          <w:tcPr>
            <w:tcW w:w="932" w:type="dxa"/>
            <w:vAlign w:val="center"/>
          </w:tcPr>
          <w:p w14:paraId="67492026">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6C75F538">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0590CE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1650</w:t>
            </w:r>
          </w:p>
        </w:tc>
        <w:tc>
          <w:tcPr>
            <w:tcW w:w="932" w:type="dxa"/>
            <w:vAlign w:val="center"/>
          </w:tcPr>
          <w:p w14:paraId="78D2FE11">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6629171E">
            <w:pPr>
              <w:jc w:val="center"/>
              <w:rPr>
                <w:rFonts w:ascii="Times New Roman" w:hAnsi="Times New Roman" w:cs="Times New Roman"/>
                <w:color w:val="000000" w:themeColor="text1"/>
                <w:sz w:val="21"/>
                <w:szCs w:val="21"/>
                <w14:textFill>
                  <w14:solidFill>
                    <w14:schemeClr w14:val="tx1"/>
                  </w14:solidFill>
                </w14:textFill>
              </w:rPr>
            </w:pPr>
          </w:p>
        </w:tc>
      </w:tr>
      <w:tr w14:paraId="07345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7C942B8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w:t>
            </w:r>
          </w:p>
        </w:tc>
        <w:tc>
          <w:tcPr>
            <w:tcW w:w="932" w:type="dxa"/>
            <w:vAlign w:val="center"/>
          </w:tcPr>
          <w:p w14:paraId="14F3F3C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22.56</w:t>
            </w:r>
          </w:p>
        </w:tc>
        <w:tc>
          <w:tcPr>
            <w:tcW w:w="932" w:type="dxa"/>
            <w:vAlign w:val="center"/>
          </w:tcPr>
          <w:p w14:paraId="2575408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13.07</w:t>
            </w:r>
          </w:p>
        </w:tc>
        <w:tc>
          <w:tcPr>
            <w:tcW w:w="932" w:type="dxa"/>
            <w:vAlign w:val="center"/>
          </w:tcPr>
          <w:p w14:paraId="666BEB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w:t>
            </w:r>
          </w:p>
        </w:tc>
        <w:tc>
          <w:tcPr>
            <w:tcW w:w="932" w:type="dxa"/>
            <w:vAlign w:val="center"/>
          </w:tcPr>
          <w:p w14:paraId="7DBA961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38C06AE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2D604FD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w:t>
            </w:r>
          </w:p>
        </w:tc>
        <w:tc>
          <w:tcPr>
            <w:tcW w:w="932" w:type="dxa"/>
            <w:vAlign w:val="center"/>
          </w:tcPr>
          <w:p w14:paraId="0A94E85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33.71</w:t>
            </w:r>
          </w:p>
        </w:tc>
        <w:tc>
          <w:tcPr>
            <w:tcW w:w="932" w:type="dxa"/>
            <w:vAlign w:val="center"/>
          </w:tcPr>
          <w:p w14:paraId="677BD40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5.1</w:t>
            </w:r>
          </w:p>
        </w:tc>
        <w:tc>
          <w:tcPr>
            <w:tcW w:w="932" w:type="dxa"/>
            <w:shd w:val="clear" w:color="auto" w:fill="auto"/>
            <w:vAlign w:val="center"/>
          </w:tcPr>
          <w:p w14:paraId="4ACCE8A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w:t>
            </w:r>
          </w:p>
        </w:tc>
        <w:tc>
          <w:tcPr>
            <w:tcW w:w="932" w:type="dxa"/>
            <w:vAlign w:val="center"/>
          </w:tcPr>
          <w:p w14:paraId="7B57BCFE">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60E3FECC">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7981A09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1800</w:t>
            </w:r>
          </w:p>
        </w:tc>
        <w:tc>
          <w:tcPr>
            <w:tcW w:w="932" w:type="dxa"/>
            <w:vAlign w:val="center"/>
          </w:tcPr>
          <w:p w14:paraId="287727EB">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5207DA68">
            <w:pPr>
              <w:jc w:val="center"/>
              <w:rPr>
                <w:rFonts w:ascii="Times New Roman" w:hAnsi="Times New Roman" w:cs="Times New Roman"/>
                <w:color w:val="000000" w:themeColor="text1"/>
                <w:sz w:val="21"/>
                <w:szCs w:val="21"/>
                <w14:textFill>
                  <w14:solidFill>
                    <w14:schemeClr w14:val="tx1"/>
                  </w14:solidFill>
                </w14:textFill>
              </w:rPr>
            </w:pPr>
          </w:p>
        </w:tc>
      </w:tr>
      <w:tr w14:paraId="1C73A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1FA97E4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32" w:type="dxa"/>
            <w:vAlign w:val="center"/>
          </w:tcPr>
          <w:p w14:paraId="363F95C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24.33</w:t>
            </w:r>
          </w:p>
        </w:tc>
        <w:tc>
          <w:tcPr>
            <w:tcW w:w="932" w:type="dxa"/>
            <w:vAlign w:val="center"/>
          </w:tcPr>
          <w:p w14:paraId="018234E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10.72</w:t>
            </w:r>
          </w:p>
        </w:tc>
        <w:tc>
          <w:tcPr>
            <w:tcW w:w="932" w:type="dxa"/>
            <w:vAlign w:val="center"/>
          </w:tcPr>
          <w:p w14:paraId="5F5018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32" w:type="dxa"/>
            <w:vAlign w:val="center"/>
          </w:tcPr>
          <w:p w14:paraId="16EFC23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4F4807D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19ED71B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32" w:type="dxa"/>
            <w:vAlign w:val="center"/>
          </w:tcPr>
          <w:p w14:paraId="5093114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35.50</w:t>
            </w:r>
          </w:p>
        </w:tc>
        <w:tc>
          <w:tcPr>
            <w:tcW w:w="932" w:type="dxa"/>
            <w:vAlign w:val="center"/>
          </w:tcPr>
          <w:p w14:paraId="7CF233E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4.3</w:t>
            </w:r>
          </w:p>
        </w:tc>
        <w:tc>
          <w:tcPr>
            <w:tcW w:w="932" w:type="dxa"/>
            <w:shd w:val="clear" w:color="auto" w:fill="auto"/>
            <w:vAlign w:val="center"/>
          </w:tcPr>
          <w:p w14:paraId="60A379B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32" w:type="dxa"/>
            <w:vAlign w:val="center"/>
          </w:tcPr>
          <w:p w14:paraId="59A7B37C">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0C144C47">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DFBC75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2000</w:t>
            </w:r>
          </w:p>
        </w:tc>
        <w:tc>
          <w:tcPr>
            <w:tcW w:w="932" w:type="dxa"/>
            <w:vAlign w:val="center"/>
          </w:tcPr>
          <w:p w14:paraId="7863FC34">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72B0FB7D">
            <w:pPr>
              <w:jc w:val="center"/>
              <w:rPr>
                <w:rFonts w:ascii="Times New Roman" w:hAnsi="Times New Roman" w:cs="Times New Roman"/>
                <w:color w:val="000000" w:themeColor="text1"/>
                <w:sz w:val="21"/>
                <w:szCs w:val="21"/>
                <w14:textFill>
                  <w14:solidFill>
                    <w14:schemeClr w14:val="tx1"/>
                  </w14:solidFill>
                </w14:textFill>
              </w:rPr>
            </w:pPr>
          </w:p>
        </w:tc>
      </w:tr>
      <w:tr w14:paraId="7EACD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43052EE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2500</w:t>
            </w:r>
          </w:p>
        </w:tc>
        <w:tc>
          <w:tcPr>
            <w:tcW w:w="932" w:type="dxa"/>
            <w:vAlign w:val="center"/>
          </w:tcPr>
          <w:p w14:paraId="10066E5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28.70</w:t>
            </w:r>
          </w:p>
        </w:tc>
        <w:tc>
          <w:tcPr>
            <w:tcW w:w="932" w:type="dxa"/>
            <w:vAlign w:val="center"/>
          </w:tcPr>
          <w:p w14:paraId="13D343B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7.09</w:t>
            </w:r>
          </w:p>
        </w:tc>
        <w:tc>
          <w:tcPr>
            <w:tcW w:w="932" w:type="dxa"/>
            <w:vAlign w:val="center"/>
          </w:tcPr>
          <w:p w14:paraId="7404BB7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2500</w:t>
            </w:r>
          </w:p>
        </w:tc>
        <w:tc>
          <w:tcPr>
            <w:tcW w:w="932" w:type="dxa"/>
            <w:vAlign w:val="center"/>
          </w:tcPr>
          <w:p w14:paraId="00E1895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538AE81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2F3F5E9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2500</w:t>
            </w:r>
          </w:p>
        </w:tc>
        <w:tc>
          <w:tcPr>
            <w:tcW w:w="932" w:type="dxa"/>
            <w:vAlign w:val="center"/>
          </w:tcPr>
          <w:p w14:paraId="0B805287">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4E783B30">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2B743FB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2500</w:t>
            </w:r>
          </w:p>
        </w:tc>
        <w:tc>
          <w:tcPr>
            <w:tcW w:w="932" w:type="dxa"/>
            <w:vAlign w:val="center"/>
          </w:tcPr>
          <w:p w14:paraId="34883552">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3FD7F37E">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241E942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2500</w:t>
            </w:r>
          </w:p>
        </w:tc>
        <w:tc>
          <w:tcPr>
            <w:tcW w:w="932" w:type="dxa"/>
            <w:vAlign w:val="center"/>
          </w:tcPr>
          <w:p w14:paraId="59E6CC9A">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622BEED6">
            <w:pPr>
              <w:jc w:val="center"/>
              <w:rPr>
                <w:rFonts w:ascii="Times New Roman" w:hAnsi="Times New Roman" w:cs="Times New Roman"/>
                <w:color w:val="000000" w:themeColor="text1"/>
                <w:sz w:val="21"/>
                <w:szCs w:val="21"/>
                <w14:textFill>
                  <w14:solidFill>
                    <w14:schemeClr w14:val="tx1"/>
                  </w14:solidFill>
                </w14:textFill>
              </w:rPr>
            </w:pPr>
          </w:p>
        </w:tc>
      </w:tr>
      <w:tr w14:paraId="73619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0723E33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932" w:type="dxa"/>
            <w:vAlign w:val="center"/>
          </w:tcPr>
          <w:p w14:paraId="32F9138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32.99</w:t>
            </w:r>
          </w:p>
        </w:tc>
        <w:tc>
          <w:tcPr>
            <w:tcW w:w="932" w:type="dxa"/>
            <w:vAlign w:val="center"/>
          </w:tcPr>
          <w:p w14:paraId="2110516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5.05</w:t>
            </w:r>
          </w:p>
        </w:tc>
        <w:tc>
          <w:tcPr>
            <w:tcW w:w="932" w:type="dxa"/>
            <w:vAlign w:val="center"/>
          </w:tcPr>
          <w:p w14:paraId="6F90C89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932" w:type="dxa"/>
            <w:vAlign w:val="center"/>
          </w:tcPr>
          <w:p w14:paraId="465CC10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27F27F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4D7C539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932" w:type="dxa"/>
            <w:vAlign w:val="center"/>
          </w:tcPr>
          <w:p w14:paraId="43B255EE">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794F7357">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765A62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932" w:type="dxa"/>
            <w:vAlign w:val="center"/>
          </w:tcPr>
          <w:p w14:paraId="2526DC9E">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5539BCD5">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7620120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3000</w:t>
            </w:r>
          </w:p>
        </w:tc>
        <w:tc>
          <w:tcPr>
            <w:tcW w:w="932" w:type="dxa"/>
            <w:vAlign w:val="center"/>
          </w:tcPr>
          <w:p w14:paraId="4FBE9B6E">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3EFA09CA">
            <w:pPr>
              <w:jc w:val="center"/>
              <w:rPr>
                <w:rFonts w:ascii="Times New Roman" w:hAnsi="Times New Roman" w:cs="Times New Roman"/>
                <w:color w:val="000000" w:themeColor="text1"/>
                <w:sz w:val="21"/>
                <w:szCs w:val="21"/>
                <w14:textFill>
                  <w14:solidFill>
                    <w14:schemeClr w14:val="tx1"/>
                  </w14:solidFill>
                </w14:textFill>
              </w:rPr>
            </w:pPr>
          </w:p>
        </w:tc>
      </w:tr>
      <w:tr w14:paraId="4241D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00AB22C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3500</w:t>
            </w:r>
          </w:p>
        </w:tc>
        <w:tc>
          <w:tcPr>
            <w:tcW w:w="932" w:type="dxa"/>
            <w:vAlign w:val="center"/>
          </w:tcPr>
          <w:p w14:paraId="6D98A4F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37.22</w:t>
            </w:r>
          </w:p>
        </w:tc>
        <w:tc>
          <w:tcPr>
            <w:tcW w:w="932" w:type="dxa"/>
            <w:vAlign w:val="center"/>
          </w:tcPr>
          <w:p w14:paraId="365FEF4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3.78</w:t>
            </w:r>
          </w:p>
        </w:tc>
        <w:tc>
          <w:tcPr>
            <w:tcW w:w="932" w:type="dxa"/>
            <w:vAlign w:val="center"/>
          </w:tcPr>
          <w:p w14:paraId="405BF23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3500</w:t>
            </w:r>
          </w:p>
        </w:tc>
        <w:tc>
          <w:tcPr>
            <w:tcW w:w="932" w:type="dxa"/>
            <w:vAlign w:val="center"/>
          </w:tcPr>
          <w:p w14:paraId="05DA54C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2B58972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6D0F4BF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3500</w:t>
            </w:r>
          </w:p>
        </w:tc>
        <w:tc>
          <w:tcPr>
            <w:tcW w:w="932" w:type="dxa"/>
            <w:vAlign w:val="center"/>
          </w:tcPr>
          <w:p w14:paraId="7D08988C">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202510B4">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3B4E7F6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3500</w:t>
            </w:r>
          </w:p>
        </w:tc>
        <w:tc>
          <w:tcPr>
            <w:tcW w:w="932" w:type="dxa"/>
            <w:vAlign w:val="center"/>
          </w:tcPr>
          <w:p w14:paraId="4F84DC57">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422D0B53">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E20C9B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3500</w:t>
            </w:r>
          </w:p>
        </w:tc>
        <w:tc>
          <w:tcPr>
            <w:tcW w:w="932" w:type="dxa"/>
            <w:vAlign w:val="center"/>
          </w:tcPr>
          <w:p w14:paraId="6DD051DD">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0A8EAE93">
            <w:pPr>
              <w:jc w:val="center"/>
              <w:rPr>
                <w:rFonts w:ascii="Times New Roman" w:hAnsi="Times New Roman" w:cs="Times New Roman"/>
                <w:color w:val="000000" w:themeColor="text1"/>
                <w:sz w:val="21"/>
                <w:szCs w:val="21"/>
                <w14:textFill>
                  <w14:solidFill>
                    <w14:schemeClr w14:val="tx1"/>
                  </w14:solidFill>
                </w14:textFill>
              </w:rPr>
            </w:pPr>
          </w:p>
        </w:tc>
      </w:tr>
      <w:tr w14:paraId="65C7C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449D62C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c>
          <w:tcPr>
            <w:tcW w:w="932" w:type="dxa"/>
            <w:vAlign w:val="center"/>
          </w:tcPr>
          <w:p w14:paraId="10BDB8F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41.40</w:t>
            </w:r>
          </w:p>
        </w:tc>
        <w:tc>
          <w:tcPr>
            <w:tcW w:w="932" w:type="dxa"/>
            <w:vAlign w:val="center"/>
          </w:tcPr>
          <w:p w14:paraId="4CCBE3F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2.95</w:t>
            </w:r>
          </w:p>
        </w:tc>
        <w:tc>
          <w:tcPr>
            <w:tcW w:w="932" w:type="dxa"/>
            <w:vAlign w:val="center"/>
          </w:tcPr>
          <w:p w14:paraId="5154C52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c>
          <w:tcPr>
            <w:tcW w:w="932" w:type="dxa"/>
            <w:vAlign w:val="center"/>
          </w:tcPr>
          <w:p w14:paraId="69DD16C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028ABD6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6C8E2A3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c>
          <w:tcPr>
            <w:tcW w:w="932" w:type="dxa"/>
            <w:vAlign w:val="center"/>
          </w:tcPr>
          <w:p w14:paraId="3AF37A27">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5C98AF66">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6BEC4C2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c>
          <w:tcPr>
            <w:tcW w:w="932" w:type="dxa"/>
            <w:vAlign w:val="center"/>
          </w:tcPr>
          <w:p w14:paraId="26D2B763">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5E7372CC">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5642CA1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4000</w:t>
            </w:r>
          </w:p>
        </w:tc>
        <w:tc>
          <w:tcPr>
            <w:tcW w:w="932" w:type="dxa"/>
            <w:vAlign w:val="center"/>
          </w:tcPr>
          <w:p w14:paraId="59F9C2BE">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299B7D27">
            <w:pPr>
              <w:jc w:val="center"/>
              <w:rPr>
                <w:rFonts w:ascii="Times New Roman" w:hAnsi="Times New Roman" w:cs="Times New Roman"/>
                <w:color w:val="000000" w:themeColor="text1"/>
                <w:sz w:val="21"/>
                <w:szCs w:val="21"/>
                <w14:textFill>
                  <w14:solidFill>
                    <w14:schemeClr w14:val="tx1"/>
                  </w14:solidFill>
                </w14:textFill>
              </w:rPr>
            </w:pPr>
          </w:p>
        </w:tc>
      </w:tr>
      <w:tr w14:paraId="381C0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7AAC02D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932" w:type="dxa"/>
            <w:vAlign w:val="center"/>
          </w:tcPr>
          <w:p w14:paraId="434ECC4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45.55</w:t>
            </w:r>
          </w:p>
        </w:tc>
        <w:tc>
          <w:tcPr>
            <w:tcW w:w="932" w:type="dxa"/>
            <w:vAlign w:val="center"/>
          </w:tcPr>
          <w:p w14:paraId="1A6A8EE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2.38</w:t>
            </w:r>
          </w:p>
        </w:tc>
        <w:tc>
          <w:tcPr>
            <w:tcW w:w="932" w:type="dxa"/>
            <w:vAlign w:val="center"/>
          </w:tcPr>
          <w:p w14:paraId="58774E1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932" w:type="dxa"/>
            <w:vAlign w:val="center"/>
          </w:tcPr>
          <w:p w14:paraId="6970F56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5E2DC2B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0F56CA4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932" w:type="dxa"/>
            <w:vAlign w:val="center"/>
          </w:tcPr>
          <w:p w14:paraId="77F90683">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7FDB480C">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4E94F83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932" w:type="dxa"/>
            <w:vAlign w:val="center"/>
          </w:tcPr>
          <w:p w14:paraId="57375B49">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004A59B6">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1310AA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4500</w:t>
            </w:r>
          </w:p>
        </w:tc>
        <w:tc>
          <w:tcPr>
            <w:tcW w:w="932" w:type="dxa"/>
            <w:vAlign w:val="center"/>
          </w:tcPr>
          <w:p w14:paraId="7700809F">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16DB7256">
            <w:pPr>
              <w:jc w:val="center"/>
              <w:rPr>
                <w:rFonts w:ascii="Times New Roman" w:hAnsi="Times New Roman" w:cs="Times New Roman"/>
                <w:color w:val="000000" w:themeColor="text1"/>
                <w:sz w:val="21"/>
                <w:szCs w:val="21"/>
                <w14:textFill>
                  <w14:solidFill>
                    <w14:schemeClr w14:val="tx1"/>
                  </w14:solidFill>
                </w14:textFill>
              </w:rPr>
            </w:pPr>
          </w:p>
        </w:tc>
      </w:tr>
      <w:tr w14:paraId="4519A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503EB3F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4950</w:t>
            </w:r>
          </w:p>
        </w:tc>
        <w:tc>
          <w:tcPr>
            <w:tcW w:w="932" w:type="dxa"/>
            <w:vAlign w:val="center"/>
          </w:tcPr>
          <w:p w14:paraId="6FD14E8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49.24</w:t>
            </w:r>
          </w:p>
        </w:tc>
        <w:tc>
          <w:tcPr>
            <w:tcW w:w="932" w:type="dxa"/>
            <w:vAlign w:val="center"/>
          </w:tcPr>
          <w:p w14:paraId="32F9F87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2.00</w:t>
            </w:r>
          </w:p>
        </w:tc>
        <w:tc>
          <w:tcPr>
            <w:tcW w:w="932" w:type="dxa"/>
            <w:vAlign w:val="center"/>
          </w:tcPr>
          <w:p w14:paraId="25F995B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4950</w:t>
            </w:r>
          </w:p>
        </w:tc>
        <w:tc>
          <w:tcPr>
            <w:tcW w:w="932" w:type="dxa"/>
            <w:vAlign w:val="center"/>
          </w:tcPr>
          <w:p w14:paraId="7674C5E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6B716D6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1AAC368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4950</w:t>
            </w:r>
          </w:p>
        </w:tc>
        <w:tc>
          <w:tcPr>
            <w:tcW w:w="932" w:type="dxa"/>
            <w:vAlign w:val="center"/>
          </w:tcPr>
          <w:p w14:paraId="6AEA732B">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16BD8F5A">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5EF22DE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4950</w:t>
            </w:r>
          </w:p>
        </w:tc>
        <w:tc>
          <w:tcPr>
            <w:tcW w:w="932" w:type="dxa"/>
            <w:vAlign w:val="center"/>
          </w:tcPr>
          <w:p w14:paraId="4817ACF2">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255AFE4F">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0F3A92E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4950</w:t>
            </w:r>
          </w:p>
        </w:tc>
        <w:tc>
          <w:tcPr>
            <w:tcW w:w="932" w:type="dxa"/>
            <w:vAlign w:val="center"/>
          </w:tcPr>
          <w:p w14:paraId="16E9C971">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48EEFFDE">
            <w:pPr>
              <w:jc w:val="center"/>
              <w:rPr>
                <w:rFonts w:ascii="Times New Roman" w:hAnsi="Times New Roman" w:cs="Times New Roman"/>
                <w:color w:val="000000" w:themeColor="text1"/>
                <w:sz w:val="21"/>
                <w:szCs w:val="21"/>
                <w14:textFill>
                  <w14:solidFill>
                    <w14:schemeClr w14:val="tx1"/>
                  </w14:solidFill>
                </w14:textFill>
              </w:rPr>
            </w:pPr>
          </w:p>
        </w:tc>
      </w:tr>
      <w:tr w14:paraId="32B39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16FB78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932" w:type="dxa"/>
            <w:vAlign w:val="center"/>
          </w:tcPr>
          <w:p w14:paraId="7832524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49.66</w:t>
            </w:r>
          </w:p>
        </w:tc>
        <w:tc>
          <w:tcPr>
            <w:tcW w:w="932" w:type="dxa"/>
            <w:vAlign w:val="center"/>
          </w:tcPr>
          <w:p w14:paraId="47003A0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1.96</w:t>
            </w:r>
          </w:p>
        </w:tc>
        <w:tc>
          <w:tcPr>
            <w:tcW w:w="932" w:type="dxa"/>
            <w:vAlign w:val="center"/>
          </w:tcPr>
          <w:p w14:paraId="4B0F182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932" w:type="dxa"/>
            <w:vAlign w:val="center"/>
          </w:tcPr>
          <w:p w14:paraId="202E6AE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vAlign w:val="center"/>
          </w:tcPr>
          <w:p w14:paraId="088D00A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932" w:type="dxa"/>
            <w:shd w:val="clear" w:color="auto" w:fill="auto"/>
            <w:vAlign w:val="center"/>
          </w:tcPr>
          <w:p w14:paraId="1ACC70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932" w:type="dxa"/>
            <w:vAlign w:val="center"/>
          </w:tcPr>
          <w:p w14:paraId="0B369F19">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0A1FA177">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7C7B3FA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932" w:type="dxa"/>
            <w:vAlign w:val="center"/>
          </w:tcPr>
          <w:p w14:paraId="62E85F88">
            <w:pPr>
              <w:jc w:val="center"/>
              <w:rPr>
                <w:rFonts w:ascii="Times New Roman" w:hAnsi="Times New Roman" w:cs="Times New Roman"/>
                <w:color w:val="000000" w:themeColor="text1"/>
                <w:sz w:val="21"/>
                <w:szCs w:val="21"/>
                <w14:textFill>
                  <w14:solidFill>
                    <w14:schemeClr w14:val="tx1"/>
                  </w14:solidFill>
                </w14:textFill>
              </w:rPr>
            </w:pPr>
          </w:p>
        </w:tc>
        <w:tc>
          <w:tcPr>
            <w:tcW w:w="932" w:type="dxa"/>
            <w:vAlign w:val="center"/>
          </w:tcPr>
          <w:p w14:paraId="0B4E53D9">
            <w:pPr>
              <w:jc w:val="center"/>
              <w:rPr>
                <w:rFonts w:ascii="Times New Roman" w:hAnsi="Times New Roman" w:cs="Times New Roman"/>
                <w:color w:val="000000" w:themeColor="text1"/>
                <w:sz w:val="21"/>
                <w:szCs w:val="21"/>
                <w14:textFill>
                  <w14:solidFill>
                    <w14:schemeClr w14:val="tx1"/>
                  </w14:solidFill>
                </w14:textFill>
              </w:rPr>
            </w:pPr>
          </w:p>
        </w:tc>
        <w:tc>
          <w:tcPr>
            <w:tcW w:w="932" w:type="dxa"/>
            <w:shd w:val="clear" w:color="auto" w:fill="auto"/>
            <w:vAlign w:val="center"/>
          </w:tcPr>
          <w:p w14:paraId="49809CC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5000</w:t>
            </w:r>
          </w:p>
        </w:tc>
        <w:tc>
          <w:tcPr>
            <w:tcW w:w="932" w:type="dxa"/>
            <w:vAlign w:val="center"/>
          </w:tcPr>
          <w:p w14:paraId="54019E4A">
            <w:pPr>
              <w:jc w:val="center"/>
              <w:rPr>
                <w:rFonts w:ascii="Times New Roman" w:hAnsi="Times New Roman" w:cs="Times New Roman"/>
                <w:color w:val="000000" w:themeColor="text1"/>
                <w:sz w:val="21"/>
                <w:szCs w:val="21"/>
                <w14:textFill>
                  <w14:solidFill>
                    <w14:schemeClr w14:val="tx1"/>
                  </w14:solidFill>
                </w14:textFill>
              </w:rPr>
            </w:pPr>
          </w:p>
        </w:tc>
        <w:tc>
          <w:tcPr>
            <w:tcW w:w="934" w:type="dxa"/>
            <w:vAlign w:val="center"/>
          </w:tcPr>
          <w:p w14:paraId="6C153013">
            <w:pPr>
              <w:jc w:val="center"/>
              <w:rPr>
                <w:rFonts w:ascii="Times New Roman" w:hAnsi="Times New Roman" w:cs="Times New Roman"/>
                <w:color w:val="000000" w:themeColor="text1"/>
                <w:sz w:val="21"/>
                <w:szCs w:val="21"/>
                <w14:textFill>
                  <w14:solidFill>
                    <w14:schemeClr w14:val="tx1"/>
                  </w14:solidFill>
                </w14:textFill>
              </w:rPr>
            </w:pPr>
          </w:p>
        </w:tc>
      </w:tr>
      <w:tr w14:paraId="689C1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698A79E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时间/浓度最大值</w:t>
            </w:r>
          </w:p>
        </w:tc>
        <w:tc>
          <w:tcPr>
            <w:tcW w:w="932" w:type="dxa"/>
            <w:vAlign w:val="center"/>
          </w:tcPr>
          <w:p w14:paraId="00344F0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5.11</w:t>
            </w:r>
          </w:p>
        </w:tc>
        <w:tc>
          <w:tcPr>
            <w:tcW w:w="932" w:type="dxa"/>
            <w:vAlign w:val="center"/>
          </w:tcPr>
          <w:p w14:paraId="60F9652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8137.5</w:t>
            </w:r>
          </w:p>
        </w:tc>
        <w:tc>
          <w:tcPr>
            <w:tcW w:w="932" w:type="dxa"/>
            <w:vAlign w:val="center"/>
          </w:tcPr>
          <w:p w14:paraId="25AF93C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时间/浓度最大值</w:t>
            </w:r>
          </w:p>
        </w:tc>
        <w:tc>
          <w:tcPr>
            <w:tcW w:w="932" w:type="dxa"/>
            <w:vAlign w:val="center"/>
          </w:tcPr>
          <w:p w14:paraId="6715F03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7.98</w:t>
            </w:r>
          </w:p>
        </w:tc>
        <w:tc>
          <w:tcPr>
            <w:tcW w:w="932" w:type="dxa"/>
            <w:vAlign w:val="center"/>
          </w:tcPr>
          <w:p w14:paraId="661F996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118.90</w:t>
            </w:r>
          </w:p>
        </w:tc>
        <w:tc>
          <w:tcPr>
            <w:tcW w:w="932" w:type="dxa"/>
            <w:vAlign w:val="center"/>
          </w:tcPr>
          <w:p w14:paraId="7EAEDCA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时间/浓度最大值</w:t>
            </w:r>
          </w:p>
        </w:tc>
        <w:tc>
          <w:tcPr>
            <w:tcW w:w="932" w:type="dxa"/>
            <w:vAlign w:val="center"/>
          </w:tcPr>
          <w:p w14:paraId="3472518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15.32</w:t>
            </w:r>
          </w:p>
        </w:tc>
        <w:tc>
          <w:tcPr>
            <w:tcW w:w="932" w:type="dxa"/>
            <w:vAlign w:val="center"/>
          </w:tcPr>
          <w:p w14:paraId="74BCC74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218.8</w:t>
            </w:r>
          </w:p>
        </w:tc>
        <w:tc>
          <w:tcPr>
            <w:tcW w:w="932" w:type="dxa"/>
            <w:vAlign w:val="center"/>
          </w:tcPr>
          <w:p w14:paraId="111F7B8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时间/浓度最大值</w:t>
            </w:r>
          </w:p>
        </w:tc>
        <w:tc>
          <w:tcPr>
            <w:tcW w:w="932" w:type="dxa"/>
            <w:vAlign w:val="center"/>
          </w:tcPr>
          <w:p w14:paraId="011F2AE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7.76</w:t>
            </w:r>
          </w:p>
        </w:tc>
        <w:tc>
          <w:tcPr>
            <w:tcW w:w="932" w:type="dxa"/>
            <w:vAlign w:val="center"/>
          </w:tcPr>
          <w:p w14:paraId="0E38066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1812.8</w:t>
            </w:r>
          </w:p>
        </w:tc>
        <w:tc>
          <w:tcPr>
            <w:tcW w:w="932" w:type="dxa"/>
            <w:vAlign w:val="center"/>
          </w:tcPr>
          <w:p w14:paraId="7AF05D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时间/浓度最大值</w:t>
            </w:r>
          </w:p>
        </w:tc>
        <w:tc>
          <w:tcPr>
            <w:tcW w:w="932" w:type="dxa"/>
            <w:vAlign w:val="center"/>
          </w:tcPr>
          <w:p w14:paraId="31D5EFA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8.09</w:t>
            </w:r>
          </w:p>
        </w:tc>
        <w:tc>
          <w:tcPr>
            <w:tcW w:w="934" w:type="dxa"/>
            <w:vAlign w:val="center"/>
          </w:tcPr>
          <w:p w14:paraId="367DC25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241.1</w:t>
            </w:r>
          </w:p>
        </w:tc>
      </w:tr>
      <w:tr w14:paraId="2571E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932" w:type="dxa"/>
            <w:vAlign w:val="center"/>
          </w:tcPr>
          <w:p w14:paraId="7AE1436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浓度最大值出现距离/m</w:t>
            </w:r>
          </w:p>
        </w:tc>
        <w:tc>
          <w:tcPr>
            <w:tcW w:w="1864" w:type="dxa"/>
            <w:gridSpan w:val="2"/>
            <w:vAlign w:val="center"/>
          </w:tcPr>
          <w:p w14:paraId="588D554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10</w:t>
            </w:r>
          </w:p>
        </w:tc>
        <w:tc>
          <w:tcPr>
            <w:tcW w:w="932" w:type="dxa"/>
            <w:vAlign w:val="center"/>
          </w:tcPr>
          <w:p w14:paraId="42E3462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浓度最大值出现距离/m</w:t>
            </w:r>
          </w:p>
        </w:tc>
        <w:tc>
          <w:tcPr>
            <w:tcW w:w="1864" w:type="dxa"/>
            <w:gridSpan w:val="2"/>
            <w:vAlign w:val="center"/>
          </w:tcPr>
          <w:p w14:paraId="1BE3FE3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20</w:t>
            </w:r>
          </w:p>
        </w:tc>
        <w:tc>
          <w:tcPr>
            <w:tcW w:w="932" w:type="dxa"/>
            <w:vAlign w:val="center"/>
          </w:tcPr>
          <w:p w14:paraId="0CBE06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浓度最大值出现距离/m</w:t>
            </w:r>
          </w:p>
        </w:tc>
        <w:tc>
          <w:tcPr>
            <w:tcW w:w="1864" w:type="dxa"/>
            <w:gridSpan w:val="2"/>
            <w:vAlign w:val="center"/>
          </w:tcPr>
          <w:p w14:paraId="32CCE91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30</w:t>
            </w:r>
          </w:p>
        </w:tc>
        <w:tc>
          <w:tcPr>
            <w:tcW w:w="932" w:type="dxa"/>
            <w:vAlign w:val="center"/>
          </w:tcPr>
          <w:p w14:paraId="746887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浓度最大值出现距离/m</w:t>
            </w:r>
          </w:p>
        </w:tc>
        <w:tc>
          <w:tcPr>
            <w:tcW w:w="1864" w:type="dxa"/>
            <w:gridSpan w:val="2"/>
            <w:vAlign w:val="center"/>
          </w:tcPr>
          <w:p w14:paraId="58DF620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40</w:t>
            </w:r>
          </w:p>
        </w:tc>
        <w:tc>
          <w:tcPr>
            <w:tcW w:w="932" w:type="dxa"/>
            <w:vAlign w:val="center"/>
          </w:tcPr>
          <w:p w14:paraId="557AB14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浓度最大值出现距离/m</w:t>
            </w:r>
          </w:p>
        </w:tc>
        <w:tc>
          <w:tcPr>
            <w:tcW w:w="1866" w:type="dxa"/>
            <w:gridSpan w:val="2"/>
            <w:vAlign w:val="center"/>
          </w:tcPr>
          <w:p w14:paraId="5915BCF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60</w:t>
            </w:r>
          </w:p>
        </w:tc>
      </w:tr>
    </w:tbl>
    <w:p w14:paraId="7110F825">
      <w:pPr>
        <w:jc w:val="center"/>
        <w:rPr>
          <w:rFonts w:ascii="Times New Roman" w:hAnsi="Times New Roman" w:cs="Times New Roman"/>
          <w:color w:val="000000" w:themeColor="text1"/>
          <w:szCs w:val="21"/>
          <w14:textFill>
            <w14:solidFill>
              <w14:schemeClr w14:val="tx1"/>
            </w14:solidFill>
          </w14:textFill>
        </w:rPr>
      </w:pPr>
    </w:p>
    <w:p w14:paraId="150EF021">
      <w:pPr>
        <w:jc w:val="center"/>
        <w:rPr>
          <w:rFonts w:ascii="Times New Roman" w:hAnsi="Times New Roman" w:cs="Times New Roman"/>
          <w:color w:val="000000" w:themeColor="text1"/>
          <w:szCs w:val="21"/>
          <w14:textFill>
            <w14:solidFill>
              <w14:schemeClr w14:val="tx1"/>
            </w14:solidFill>
          </w14:textFill>
        </w:rPr>
        <w:sectPr>
          <w:pgSz w:w="16840" w:h="11907" w:orient="landscape"/>
          <w:pgMar w:top="1800" w:right="1440" w:bottom="1800" w:left="1440" w:header="964" w:footer="964" w:gutter="0"/>
          <w:cols w:space="720" w:num="1"/>
          <w:titlePg/>
          <w:docGrid w:linePitch="326" w:charSpace="-4300"/>
        </w:sectPr>
      </w:pPr>
    </w:p>
    <w:p w14:paraId="2C496E06">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drawing>
          <wp:inline distT="0" distB="0" distL="114300" distR="114300">
            <wp:extent cx="5266690" cy="3377565"/>
            <wp:effectExtent l="0" t="0" r="10160" b="13335"/>
            <wp:docPr id="12" name="图片 12" descr="二氧化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二氧化硫"/>
                    <pic:cNvPicPr>
                      <a:picLocks noChangeAspect="1"/>
                    </pic:cNvPicPr>
                  </pic:nvPicPr>
                  <pic:blipFill>
                    <a:blip r:embed="rId66"/>
                    <a:stretch>
                      <a:fillRect/>
                    </a:stretch>
                  </pic:blipFill>
                  <pic:spPr>
                    <a:xfrm>
                      <a:off x="0" y="0"/>
                      <a:ext cx="5266690" cy="3377565"/>
                    </a:xfrm>
                    <a:prstGeom prst="rect">
                      <a:avLst/>
                    </a:prstGeom>
                  </pic:spPr>
                </pic:pic>
              </a:graphicData>
            </a:graphic>
          </wp:inline>
        </w:drawing>
      </w:r>
    </w:p>
    <w:p w14:paraId="0DF3447A">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图9-1 二氧化硫轴最大影响区域图</w:t>
      </w:r>
    </w:p>
    <w:p w14:paraId="38FC7B01">
      <w:pPr>
        <w:jc w:val="center"/>
        <w:rPr>
          <w:rFonts w:ascii="Times New Roman" w:hAnsi="Times New Roman" w:cs="Times New Roman"/>
          <w:color w:val="000000" w:themeColor="text1"/>
          <w:szCs w:val="21"/>
          <w14:textFill>
            <w14:solidFill>
              <w14:schemeClr w14:val="tx1"/>
            </w14:solidFill>
          </w14:textFill>
        </w:rPr>
      </w:pPr>
    </w:p>
    <w:p w14:paraId="57B709C7">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drawing>
          <wp:inline distT="0" distB="0" distL="114300" distR="114300">
            <wp:extent cx="5266690" cy="3377565"/>
            <wp:effectExtent l="0" t="0" r="10160" b="13335"/>
            <wp:docPr id="128" name="图片 128" descr="b9bb1427e51bfab45baacd911551b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b9bb1427e51bfab45baacd911551b609"/>
                    <pic:cNvPicPr>
                      <a:picLocks noChangeAspect="1"/>
                    </pic:cNvPicPr>
                  </pic:nvPicPr>
                  <pic:blipFill>
                    <a:blip r:embed="rId67"/>
                    <a:stretch>
                      <a:fillRect/>
                    </a:stretch>
                  </pic:blipFill>
                  <pic:spPr>
                    <a:xfrm>
                      <a:off x="0" y="0"/>
                      <a:ext cx="5266690" cy="3377565"/>
                    </a:xfrm>
                    <a:prstGeom prst="rect">
                      <a:avLst/>
                    </a:prstGeom>
                  </pic:spPr>
                </pic:pic>
              </a:graphicData>
            </a:graphic>
          </wp:inline>
        </w:drawing>
      </w:r>
    </w:p>
    <w:p w14:paraId="06CE3937">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图9-2 硫酸雾轴最大影响区域图</w:t>
      </w:r>
    </w:p>
    <w:p w14:paraId="75232EEB">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drawing>
          <wp:inline distT="0" distB="0" distL="114300" distR="114300">
            <wp:extent cx="5266690" cy="3377565"/>
            <wp:effectExtent l="0" t="0" r="10160" b="13335"/>
            <wp:docPr id="40" name="图片 40" descr="fd434712a8eceb7b9bcf3419559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fd434712a8eceb7b9bcf34195595790"/>
                    <pic:cNvPicPr>
                      <a:picLocks noChangeAspect="1"/>
                    </pic:cNvPicPr>
                  </pic:nvPicPr>
                  <pic:blipFill>
                    <a:blip r:embed="rId68"/>
                    <a:stretch>
                      <a:fillRect/>
                    </a:stretch>
                  </pic:blipFill>
                  <pic:spPr>
                    <a:xfrm>
                      <a:off x="0" y="0"/>
                      <a:ext cx="5266690" cy="3377565"/>
                    </a:xfrm>
                    <a:prstGeom prst="rect">
                      <a:avLst/>
                    </a:prstGeom>
                  </pic:spPr>
                </pic:pic>
              </a:graphicData>
            </a:graphic>
          </wp:inline>
        </w:drawing>
      </w:r>
    </w:p>
    <w:p w14:paraId="1B98CE0C">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图9-3 苯酚轴最大影响区域图</w:t>
      </w:r>
    </w:p>
    <w:p w14:paraId="44E97724">
      <w:pPr>
        <w:jc w:val="center"/>
        <w:rPr>
          <w:rFonts w:ascii="Times New Roman" w:hAnsi="Times New Roman" w:cs="Times New Roman"/>
          <w:color w:val="FF0000"/>
          <w:szCs w:val="21"/>
        </w:rPr>
      </w:pPr>
      <w:r>
        <w:rPr>
          <w:rFonts w:hint="eastAsia" w:ascii="Times New Roman" w:hAnsi="Times New Roman" w:cs="Times New Roman"/>
          <w:color w:val="FF0000"/>
          <w:szCs w:val="21"/>
        </w:rPr>
        <w:drawing>
          <wp:inline distT="0" distB="0" distL="114300" distR="114300">
            <wp:extent cx="5274310" cy="3053715"/>
            <wp:effectExtent l="0" t="0" r="2540" b="13335"/>
            <wp:docPr id="166" name="图片 166" descr="43518e612301036394d943230580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43518e612301036394d94323058001a"/>
                    <pic:cNvPicPr>
                      <a:picLocks noChangeAspect="1"/>
                    </pic:cNvPicPr>
                  </pic:nvPicPr>
                  <pic:blipFill>
                    <a:blip r:embed="rId69"/>
                    <a:stretch>
                      <a:fillRect/>
                    </a:stretch>
                  </pic:blipFill>
                  <pic:spPr>
                    <a:xfrm>
                      <a:off x="0" y="0"/>
                      <a:ext cx="5274310" cy="3053715"/>
                    </a:xfrm>
                    <a:prstGeom prst="rect">
                      <a:avLst/>
                    </a:prstGeom>
                  </pic:spPr>
                </pic:pic>
              </a:graphicData>
            </a:graphic>
          </wp:inline>
        </w:drawing>
      </w:r>
    </w:p>
    <w:p w14:paraId="6F29349D">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图9-4 己内酰胺轴最大影响区域图</w:t>
      </w:r>
    </w:p>
    <w:p w14:paraId="6B457A5B">
      <w:pPr>
        <w:jc w:val="center"/>
        <w:rPr>
          <w:rFonts w:ascii="Times New Roman" w:hAnsi="Times New Roman" w:cs="Times New Roman"/>
          <w:color w:val="FF0000"/>
          <w:szCs w:val="21"/>
        </w:rPr>
      </w:pPr>
      <w:r>
        <w:rPr>
          <w:rFonts w:hint="eastAsia" w:ascii="Times New Roman" w:hAnsi="Times New Roman" w:cs="Times New Roman"/>
          <w:color w:val="FF0000"/>
          <w:szCs w:val="21"/>
        </w:rPr>
        <w:drawing>
          <wp:inline distT="0" distB="0" distL="114300" distR="114300">
            <wp:extent cx="5266690" cy="3377565"/>
            <wp:effectExtent l="0" t="0" r="10160" b="13335"/>
            <wp:docPr id="167" name="图片 167" descr="6ef67b8fa09646360ba408ea09223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6ef67b8fa09646360ba408ea09223f4"/>
                    <pic:cNvPicPr>
                      <a:picLocks noChangeAspect="1"/>
                    </pic:cNvPicPr>
                  </pic:nvPicPr>
                  <pic:blipFill>
                    <a:blip r:embed="rId70"/>
                    <a:stretch>
                      <a:fillRect/>
                    </a:stretch>
                  </pic:blipFill>
                  <pic:spPr>
                    <a:xfrm>
                      <a:off x="0" y="0"/>
                      <a:ext cx="5266690" cy="3377565"/>
                    </a:xfrm>
                    <a:prstGeom prst="rect">
                      <a:avLst/>
                    </a:prstGeom>
                  </pic:spPr>
                </pic:pic>
              </a:graphicData>
            </a:graphic>
          </wp:inline>
        </w:drawing>
      </w:r>
    </w:p>
    <w:p w14:paraId="32E8DD13">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图9-5 一氧化碳轴最大影响区域图</w:t>
      </w:r>
    </w:p>
    <w:p w14:paraId="6A6E090B">
      <w:pPr>
        <w:jc w:val="center"/>
        <w:rPr>
          <w:rFonts w:ascii="Times New Roman" w:hAnsi="Times New Roman" w:cs="Times New Roman"/>
          <w:color w:val="000000" w:themeColor="text1"/>
          <w:szCs w:val="21"/>
          <w14:textFill>
            <w14:solidFill>
              <w14:schemeClr w14:val="tx1"/>
            </w14:solidFill>
          </w14:textFill>
        </w:rPr>
        <w:sectPr>
          <w:pgSz w:w="11907" w:h="16840"/>
          <w:pgMar w:top="1440" w:right="1800" w:bottom="1440" w:left="1800" w:header="964" w:footer="964" w:gutter="0"/>
          <w:cols w:space="720" w:num="1"/>
          <w:titlePg/>
          <w:docGrid w:linePitch="326" w:charSpace="-4300"/>
        </w:sectPr>
      </w:pPr>
    </w:p>
    <w:p w14:paraId="3BAE311F">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表9-5最不利条件下事故源项及事故后果基本信息表</w:t>
      </w:r>
    </w:p>
    <w:tbl>
      <w:tblPr>
        <w:tblStyle w:val="88"/>
        <w:tblW w:w="49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300"/>
        <w:gridCol w:w="1086"/>
        <w:gridCol w:w="2130"/>
        <w:gridCol w:w="933"/>
        <w:gridCol w:w="1330"/>
        <w:gridCol w:w="1387"/>
      </w:tblGrid>
      <w:tr w14:paraId="51E7A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8166" w:type="dxa"/>
            <w:gridSpan w:val="6"/>
            <w:vAlign w:val="center"/>
          </w:tcPr>
          <w:p w14:paraId="7E9A0CA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风险事故情形分析</w:t>
            </w:r>
          </w:p>
        </w:tc>
      </w:tr>
      <w:tr w14:paraId="4FE70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55BF2C3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代表性风险事故情形描述</w:t>
            </w:r>
          </w:p>
        </w:tc>
        <w:tc>
          <w:tcPr>
            <w:tcW w:w="6866" w:type="dxa"/>
            <w:gridSpan w:val="5"/>
            <w:vAlign w:val="center"/>
          </w:tcPr>
          <w:p w14:paraId="2AA5925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液硫、发烟硫酸、苯酚、己内酰胺</w:t>
            </w:r>
            <w:r>
              <w:rPr>
                <w:rFonts w:ascii="Times New Roman" w:hAnsi="Times New Roman" w:cs="Times New Roman"/>
                <w:color w:val="000000" w:themeColor="text1"/>
                <w:sz w:val="21"/>
                <w:szCs w:val="21"/>
                <w14:textFill>
                  <w14:solidFill>
                    <w14:schemeClr w14:val="tx1"/>
                  </w14:solidFill>
                </w14:textFill>
              </w:rPr>
              <w:t>泄漏及引发火灾，对周边大气环境及人群的影响</w:t>
            </w:r>
          </w:p>
        </w:tc>
      </w:tr>
      <w:tr w14:paraId="751BC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1AF0D8E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环境风险类型</w:t>
            </w:r>
          </w:p>
        </w:tc>
        <w:tc>
          <w:tcPr>
            <w:tcW w:w="6866" w:type="dxa"/>
            <w:gridSpan w:val="5"/>
            <w:vAlign w:val="center"/>
          </w:tcPr>
          <w:p w14:paraId="0343F91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大气环境</w:t>
            </w:r>
          </w:p>
        </w:tc>
      </w:tr>
      <w:tr w14:paraId="5CB94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3D92225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泄漏设备</w:t>
            </w:r>
          </w:p>
          <w:p w14:paraId="76EAD3D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类型</w:t>
            </w:r>
          </w:p>
        </w:tc>
        <w:tc>
          <w:tcPr>
            <w:tcW w:w="1086" w:type="dxa"/>
            <w:vAlign w:val="center"/>
          </w:tcPr>
          <w:p w14:paraId="312684D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储罐、生产管线、</w:t>
            </w:r>
            <w:r>
              <w:rPr>
                <w:rFonts w:hint="eastAsia" w:ascii="Times New Roman" w:hAnsi="Times New Roman" w:cs="Times New Roman"/>
                <w:color w:val="000000" w:themeColor="text1"/>
                <w:sz w:val="21"/>
                <w:szCs w:val="21"/>
                <w14:textFill>
                  <w14:solidFill>
                    <w14:schemeClr w14:val="tx1"/>
                  </w14:solidFill>
                </w14:textFill>
              </w:rPr>
              <w:t>液硫燃烧</w:t>
            </w:r>
            <w:r>
              <w:rPr>
                <w:rFonts w:ascii="Times New Roman" w:hAnsi="Times New Roman" w:cs="Times New Roman"/>
                <w:color w:val="000000" w:themeColor="text1"/>
                <w:sz w:val="21"/>
                <w:szCs w:val="21"/>
                <w14:textFill>
                  <w14:solidFill>
                    <w14:schemeClr w14:val="tx1"/>
                  </w14:solidFill>
                </w14:textFill>
              </w:rPr>
              <w:t>的烟气</w:t>
            </w:r>
          </w:p>
        </w:tc>
        <w:tc>
          <w:tcPr>
            <w:tcW w:w="2130" w:type="dxa"/>
            <w:vAlign w:val="center"/>
          </w:tcPr>
          <w:p w14:paraId="26A9ECB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操作（烟气）温度/℃</w:t>
            </w:r>
          </w:p>
        </w:tc>
        <w:tc>
          <w:tcPr>
            <w:tcW w:w="933" w:type="dxa"/>
            <w:vAlign w:val="center"/>
          </w:tcPr>
          <w:p w14:paraId="7FDBD6E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25</w:t>
            </w:r>
          </w:p>
        </w:tc>
        <w:tc>
          <w:tcPr>
            <w:tcW w:w="1330" w:type="dxa"/>
            <w:vAlign w:val="center"/>
          </w:tcPr>
          <w:p w14:paraId="51B21A8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操作压力/MPa</w:t>
            </w:r>
          </w:p>
        </w:tc>
        <w:tc>
          <w:tcPr>
            <w:tcW w:w="1387" w:type="dxa"/>
            <w:vAlign w:val="center"/>
          </w:tcPr>
          <w:p w14:paraId="238C739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常压</w:t>
            </w:r>
          </w:p>
        </w:tc>
      </w:tr>
      <w:tr w14:paraId="4D720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3077DB1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泄漏物质</w:t>
            </w:r>
          </w:p>
        </w:tc>
        <w:tc>
          <w:tcPr>
            <w:tcW w:w="1086" w:type="dxa"/>
            <w:vAlign w:val="center"/>
          </w:tcPr>
          <w:p w14:paraId="6B70832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液硫</w:t>
            </w:r>
          </w:p>
        </w:tc>
        <w:tc>
          <w:tcPr>
            <w:tcW w:w="2130" w:type="dxa"/>
            <w:vAlign w:val="center"/>
          </w:tcPr>
          <w:p w14:paraId="45A19EA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最大存在量/kg</w:t>
            </w:r>
          </w:p>
        </w:tc>
        <w:tc>
          <w:tcPr>
            <w:tcW w:w="933" w:type="dxa"/>
            <w:vAlign w:val="center"/>
          </w:tcPr>
          <w:p w14:paraId="356886E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720</w:t>
            </w: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000</w:t>
            </w:r>
          </w:p>
        </w:tc>
        <w:tc>
          <w:tcPr>
            <w:tcW w:w="1330" w:type="dxa"/>
            <w:vAlign w:val="center"/>
          </w:tcPr>
          <w:p w14:paraId="67D2D01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泄漏孔径/mm</w:t>
            </w:r>
          </w:p>
        </w:tc>
        <w:tc>
          <w:tcPr>
            <w:tcW w:w="1387" w:type="dxa"/>
            <w:vAlign w:val="center"/>
          </w:tcPr>
          <w:p w14:paraId="7AA8486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r>
      <w:tr w14:paraId="2359C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16FF451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泄漏速率/kg/s</w:t>
            </w:r>
          </w:p>
        </w:tc>
        <w:tc>
          <w:tcPr>
            <w:tcW w:w="1086" w:type="dxa"/>
            <w:vAlign w:val="center"/>
          </w:tcPr>
          <w:p w14:paraId="4E958E7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951</w:t>
            </w:r>
          </w:p>
        </w:tc>
        <w:tc>
          <w:tcPr>
            <w:tcW w:w="2130" w:type="dxa"/>
            <w:vAlign w:val="center"/>
          </w:tcPr>
          <w:p w14:paraId="1DB91E5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泄漏时间/min</w:t>
            </w:r>
          </w:p>
        </w:tc>
        <w:tc>
          <w:tcPr>
            <w:tcW w:w="933" w:type="dxa"/>
            <w:vAlign w:val="center"/>
          </w:tcPr>
          <w:p w14:paraId="2FC0D90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330" w:type="dxa"/>
            <w:vAlign w:val="center"/>
          </w:tcPr>
          <w:p w14:paraId="5779A7B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泄漏量/kg</w:t>
            </w:r>
          </w:p>
        </w:tc>
        <w:tc>
          <w:tcPr>
            <w:tcW w:w="1387" w:type="dxa"/>
            <w:vAlign w:val="center"/>
          </w:tcPr>
          <w:p w14:paraId="5189245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570.4</w:t>
            </w:r>
          </w:p>
        </w:tc>
      </w:tr>
      <w:tr w14:paraId="20B41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3E89808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泄漏高度/m</w:t>
            </w:r>
          </w:p>
        </w:tc>
        <w:tc>
          <w:tcPr>
            <w:tcW w:w="1086" w:type="dxa"/>
            <w:vAlign w:val="center"/>
          </w:tcPr>
          <w:p w14:paraId="537E426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4.8</w:t>
            </w:r>
          </w:p>
        </w:tc>
        <w:tc>
          <w:tcPr>
            <w:tcW w:w="2130" w:type="dxa"/>
            <w:vAlign w:val="center"/>
          </w:tcPr>
          <w:p w14:paraId="40CC11E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泄漏液体蒸发量/kg</w:t>
            </w:r>
          </w:p>
        </w:tc>
        <w:tc>
          <w:tcPr>
            <w:tcW w:w="933" w:type="dxa"/>
            <w:vAlign w:val="center"/>
          </w:tcPr>
          <w:p w14:paraId="0E8A72D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6.5</w:t>
            </w:r>
          </w:p>
        </w:tc>
        <w:tc>
          <w:tcPr>
            <w:tcW w:w="1330" w:type="dxa"/>
            <w:vAlign w:val="center"/>
          </w:tcPr>
          <w:p w14:paraId="295556B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泄漏频率</w:t>
            </w:r>
          </w:p>
        </w:tc>
        <w:tc>
          <w:tcPr>
            <w:tcW w:w="1387" w:type="dxa"/>
            <w:vAlign w:val="center"/>
          </w:tcPr>
          <w:p w14:paraId="53E0D4C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1.00×10</w:t>
            </w:r>
            <w:r>
              <w:rPr>
                <w:rFonts w:hint="eastAsia" w:ascii="Times New Roman" w:hAnsi="Times New Roman" w:cs="Times New Roman"/>
                <w:color w:val="000000" w:themeColor="text1"/>
                <w:sz w:val="21"/>
                <w:szCs w:val="21"/>
                <w:vertAlign w:val="superscript"/>
                <w14:textFill>
                  <w14:solidFill>
                    <w14:schemeClr w14:val="tx1"/>
                  </w14:solidFill>
                </w14:textFill>
              </w:rPr>
              <w:t>-4</w:t>
            </w:r>
            <w:r>
              <w:rPr>
                <w:rFonts w:ascii="Times New Roman" w:hAnsi="Times New Roman" w:cs="Times New Roman"/>
                <w:color w:val="000000" w:themeColor="text1"/>
                <w:position w:val="7"/>
                <w:sz w:val="21"/>
                <w:szCs w:val="21"/>
                <w:vertAlign w:val="superscript"/>
                <w14:textFill>
                  <w14:solidFill>
                    <w14:schemeClr w14:val="tx1"/>
                  </w14:solidFill>
                </w14:textFill>
              </w:rPr>
              <w:t xml:space="preserve"> </w:t>
            </w:r>
            <w:r>
              <w:rPr>
                <w:rFonts w:ascii="Times New Roman" w:hAnsi="Times New Roman" w:cs="Times New Roman"/>
                <w:color w:val="000000" w:themeColor="text1"/>
                <w:sz w:val="21"/>
                <w:szCs w:val="21"/>
                <w14:textFill>
                  <w14:solidFill>
                    <w14:schemeClr w14:val="tx1"/>
                  </w14:solidFill>
                </w14:textFill>
              </w:rPr>
              <w:t>/a</w:t>
            </w:r>
          </w:p>
        </w:tc>
      </w:tr>
      <w:tr w14:paraId="3F5DB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59D890B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泄漏物质</w:t>
            </w:r>
          </w:p>
        </w:tc>
        <w:tc>
          <w:tcPr>
            <w:tcW w:w="1086" w:type="dxa"/>
            <w:vAlign w:val="center"/>
          </w:tcPr>
          <w:p w14:paraId="5055649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w:t>
            </w:r>
          </w:p>
        </w:tc>
        <w:tc>
          <w:tcPr>
            <w:tcW w:w="2130" w:type="dxa"/>
            <w:vAlign w:val="center"/>
          </w:tcPr>
          <w:p w14:paraId="0E07975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最大存在量/kg</w:t>
            </w:r>
          </w:p>
        </w:tc>
        <w:tc>
          <w:tcPr>
            <w:tcW w:w="933" w:type="dxa"/>
            <w:vAlign w:val="center"/>
          </w:tcPr>
          <w:p w14:paraId="57BE289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7340000</w:t>
            </w:r>
          </w:p>
        </w:tc>
        <w:tc>
          <w:tcPr>
            <w:tcW w:w="1330" w:type="dxa"/>
            <w:vAlign w:val="center"/>
          </w:tcPr>
          <w:p w14:paraId="51D1E49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泄漏孔径/mm</w:t>
            </w:r>
          </w:p>
        </w:tc>
        <w:tc>
          <w:tcPr>
            <w:tcW w:w="1387" w:type="dxa"/>
            <w:vAlign w:val="center"/>
          </w:tcPr>
          <w:p w14:paraId="1C760E9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r>
      <w:tr w14:paraId="64801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034902F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泄漏速率/kg/s</w:t>
            </w:r>
          </w:p>
        </w:tc>
        <w:tc>
          <w:tcPr>
            <w:tcW w:w="1086" w:type="dxa"/>
            <w:vAlign w:val="center"/>
          </w:tcPr>
          <w:p w14:paraId="234E6EBE">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0.911</w:t>
            </w:r>
          </w:p>
        </w:tc>
        <w:tc>
          <w:tcPr>
            <w:tcW w:w="2130" w:type="dxa"/>
            <w:vAlign w:val="center"/>
          </w:tcPr>
          <w:p w14:paraId="029AE18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泄漏时间/min</w:t>
            </w:r>
          </w:p>
        </w:tc>
        <w:tc>
          <w:tcPr>
            <w:tcW w:w="933" w:type="dxa"/>
            <w:vAlign w:val="center"/>
          </w:tcPr>
          <w:p w14:paraId="63C5A91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330" w:type="dxa"/>
            <w:vAlign w:val="center"/>
          </w:tcPr>
          <w:p w14:paraId="5B8B8DE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泄漏量/kg</w:t>
            </w:r>
          </w:p>
        </w:tc>
        <w:tc>
          <w:tcPr>
            <w:tcW w:w="1387" w:type="dxa"/>
            <w:vAlign w:val="center"/>
          </w:tcPr>
          <w:p w14:paraId="2AE30EE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546.7</w:t>
            </w:r>
          </w:p>
        </w:tc>
      </w:tr>
      <w:tr w14:paraId="5B180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Align w:val="center"/>
          </w:tcPr>
          <w:p w14:paraId="74B2C27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泄漏高度/m</w:t>
            </w:r>
          </w:p>
        </w:tc>
        <w:tc>
          <w:tcPr>
            <w:tcW w:w="1086" w:type="dxa"/>
            <w:vAlign w:val="center"/>
          </w:tcPr>
          <w:p w14:paraId="6555DD4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4.8</w:t>
            </w:r>
          </w:p>
        </w:tc>
        <w:tc>
          <w:tcPr>
            <w:tcW w:w="2130" w:type="dxa"/>
            <w:vAlign w:val="center"/>
          </w:tcPr>
          <w:p w14:paraId="6C42E4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泄漏液体蒸发量/kg</w:t>
            </w:r>
          </w:p>
        </w:tc>
        <w:tc>
          <w:tcPr>
            <w:tcW w:w="933" w:type="dxa"/>
            <w:vAlign w:val="center"/>
          </w:tcPr>
          <w:p w14:paraId="77AD8D8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19.6</w:t>
            </w:r>
          </w:p>
        </w:tc>
        <w:tc>
          <w:tcPr>
            <w:tcW w:w="1330" w:type="dxa"/>
            <w:vAlign w:val="center"/>
          </w:tcPr>
          <w:p w14:paraId="0C0C8DE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泄漏频率</w:t>
            </w:r>
          </w:p>
        </w:tc>
        <w:tc>
          <w:tcPr>
            <w:tcW w:w="1387" w:type="dxa"/>
            <w:vAlign w:val="center"/>
          </w:tcPr>
          <w:p w14:paraId="1ED84CD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1.00×10</w:t>
            </w:r>
            <w:r>
              <w:rPr>
                <w:rFonts w:hint="eastAsia" w:ascii="Times New Roman" w:hAnsi="Times New Roman" w:cs="Times New Roman"/>
                <w:color w:val="000000" w:themeColor="text1"/>
                <w:sz w:val="21"/>
                <w:szCs w:val="21"/>
                <w:vertAlign w:val="superscript"/>
                <w14:textFill>
                  <w14:solidFill>
                    <w14:schemeClr w14:val="tx1"/>
                  </w14:solidFill>
                </w14:textFill>
              </w:rPr>
              <w:t>-4</w:t>
            </w:r>
            <w:r>
              <w:rPr>
                <w:rFonts w:ascii="Times New Roman" w:hAnsi="Times New Roman" w:cs="Times New Roman"/>
                <w:color w:val="000000" w:themeColor="text1"/>
                <w:position w:val="7"/>
                <w:sz w:val="21"/>
                <w:szCs w:val="21"/>
                <w:vertAlign w:val="superscript"/>
                <w14:textFill>
                  <w14:solidFill>
                    <w14:schemeClr w14:val="tx1"/>
                  </w14:solidFill>
                </w14:textFill>
              </w:rPr>
              <w:t xml:space="preserve"> </w:t>
            </w:r>
            <w:r>
              <w:rPr>
                <w:rFonts w:ascii="Times New Roman" w:hAnsi="Times New Roman" w:cs="Times New Roman"/>
                <w:color w:val="000000" w:themeColor="text1"/>
                <w:sz w:val="21"/>
                <w:szCs w:val="21"/>
                <w14:textFill>
                  <w14:solidFill>
                    <w14:schemeClr w14:val="tx1"/>
                  </w14:solidFill>
                </w14:textFill>
              </w:rPr>
              <w:t>/a</w:t>
            </w:r>
          </w:p>
        </w:tc>
      </w:tr>
      <w:tr w14:paraId="76017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shd w:val="clear" w:color="auto" w:fill="auto"/>
            <w:vAlign w:val="center"/>
          </w:tcPr>
          <w:p w14:paraId="4B78D19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泄漏物质</w:t>
            </w:r>
          </w:p>
        </w:tc>
        <w:tc>
          <w:tcPr>
            <w:tcW w:w="1086" w:type="dxa"/>
            <w:shd w:val="clear" w:color="auto" w:fill="auto"/>
            <w:vAlign w:val="center"/>
          </w:tcPr>
          <w:p w14:paraId="23823CA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2130" w:type="dxa"/>
            <w:shd w:val="clear" w:color="auto" w:fill="auto"/>
            <w:vAlign w:val="center"/>
          </w:tcPr>
          <w:p w14:paraId="791ED38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最大存在量/kg</w:t>
            </w:r>
          </w:p>
        </w:tc>
        <w:tc>
          <w:tcPr>
            <w:tcW w:w="933" w:type="dxa"/>
            <w:shd w:val="clear" w:color="auto" w:fill="auto"/>
            <w:vAlign w:val="center"/>
          </w:tcPr>
          <w:p w14:paraId="1EF32C5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9639000</w:t>
            </w:r>
          </w:p>
        </w:tc>
        <w:tc>
          <w:tcPr>
            <w:tcW w:w="1330" w:type="dxa"/>
            <w:shd w:val="clear" w:color="auto" w:fill="auto"/>
            <w:vAlign w:val="center"/>
          </w:tcPr>
          <w:p w14:paraId="229A80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泄漏孔径/mm</w:t>
            </w:r>
          </w:p>
        </w:tc>
        <w:tc>
          <w:tcPr>
            <w:tcW w:w="1387" w:type="dxa"/>
            <w:shd w:val="clear" w:color="auto" w:fill="auto"/>
            <w:vAlign w:val="center"/>
          </w:tcPr>
          <w:p w14:paraId="1FB8886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r>
      <w:tr w14:paraId="2C579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shd w:val="clear" w:color="auto" w:fill="auto"/>
            <w:vAlign w:val="center"/>
          </w:tcPr>
          <w:p w14:paraId="5C07F98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泄漏速率/kg/s</w:t>
            </w:r>
          </w:p>
        </w:tc>
        <w:tc>
          <w:tcPr>
            <w:tcW w:w="1086" w:type="dxa"/>
            <w:shd w:val="clear" w:color="auto" w:fill="auto"/>
            <w:vAlign w:val="center"/>
          </w:tcPr>
          <w:p w14:paraId="497FBBF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0.</w:t>
            </w:r>
            <w:r>
              <w:rPr>
                <w:rFonts w:hint="eastAsia" w:ascii="Times New Roman" w:hAnsi="Times New Roman" w:cs="Times New Roman"/>
                <w:color w:val="000000" w:themeColor="text1"/>
                <w:sz w:val="21"/>
                <w:szCs w:val="21"/>
                <w14:textFill>
                  <w14:solidFill>
                    <w14:schemeClr w14:val="tx1"/>
                  </w14:solidFill>
                </w14:textFill>
              </w:rPr>
              <w:t>644</w:t>
            </w:r>
          </w:p>
        </w:tc>
        <w:tc>
          <w:tcPr>
            <w:tcW w:w="2130" w:type="dxa"/>
            <w:shd w:val="clear" w:color="auto" w:fill="auto"/>
            <w:vAlign w:val="center"/>
          </w:tcPr>
          <w:p w14:paraId="59E4275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泄漏时间/min</w:t>
            </w:r>
          </w:p>
        </w:tc>
        <w:tc>
          <w:tcPr>
            <w:tcW w:w="933" w:type="dxa"/>
            <w:shd w:val="clear" w:color="auto" w:fill="auto"/>
            <w:vAlign w:val="center"/>
          </w:tcPr>
          <w:p w14:paraId="6268D58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330" w:type="dxa"/>
            <w:shd w:val="clear" w:color="auto" w:fill="auto"/>
            <w:vAlign w:val="center"/>
          </w:tcPr>
          <w:p w14:paraId="4FED13B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泄漏量/kg</w:t>
            </w:r>
          </w:p>
        </w:tc>
        <w:tc>
          <w:tcPr>
            <w:tcW w:w="1387" w:type="dxa"/>
            <w:shd w:val="clear" w:color="auto" w:fill="auto"/>
            <w:vAlign w:val="center"/>
          </w:tcPr>
          <w:p w14:paraId="5861798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334.4</w:t>
            </w:r>
          </w:p>
        </w:tc>
      </w:tr>
      <w:tr w14:paraId="38252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shd w:val="clear" w:color="auto" w:fill="auto"/>
            <w:vAlign w:val="center"/>
          </w:tcPr>
          <w:p w14:paraId="18E4A25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泄漏高度/m</w:t>
            </w:r>
          </w:p>
        </w:tc>
        <w:tc>
          <w:tcPr>
            <w:tcW w:w="1086" w:type="dxa"/>
            <w:shd w:val="clear" w:color="auto" w:fill="auto"/>
            <w:vAlign w:val="center"/>
          </w:tcPr>
          <w:p w14:paraId="10C75CD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5.3</w:t>
            </w:r>
          </w:p>
        </w:tc>
        <w:tc>
          <w:tcPr>
            <w:tcW w:w="2130" w:type="dxa"/>
            <w:shd w:val="clear" w:color="auto" w:fill="auto"/>
            <w:vAlign w:val="center"/>
          </w:tcPr>
          <w:p w14:paraId="338DE97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泄漏液体蒸发量/kg</w:t>
            </w:r>
          </w:p>
        </w:tc>
        <w:tc>
          <w:tcPr>
            <w:tcW w:w="933" w:type="dxa"/>
            <w:shd w:val="clear" w:color="auto" w:fill="auto"/>
            <w:vAlign w:val="center"/>
          </w:tcPr>
          <w:p w14:paraId="23D9EFB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53.3</w:t>
            </w:r>
          </w:p>
        </w:tc>
        <w:tc>
          <w:tcPr>
            <w:tcW w:w="1330" w:type="dxa"/>
            <w:shd w:val="clear" w:color="auto" w:fill="auto"/>
            <w:vAlign w:val="center"/>
          </w:tcPr>
          <w:p w14:paraId="277C49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泄漏频率</w:t>
            </w:r>
          </w:p>
        </w:tc>
        <w:tc>
          <w:tcPr>
            <w:tcW w:w="1387" w:type="dxa"/>
            <w:shd w:val="clear" w:color="auto" w:fill="auto"/>
            <w:vAlign w:val="center"/>
          </w:tcPr>
          <w:p w14:paraId="47C469B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1.00×10</w:t>
            </w:r>
            <w:r>
              <w:rPr>
                <w:rFonts w:hint="eastAsia" w:ascii="Times New Roman" w:hAnsi="Times New Roman" w:cs="Times New Roman"/>
                <w:color w:val="000000" w:themeColor="text1"/>
                <w:sz w:val="21"/>
                <w:szCs w:val="21"/>
                <w:vertAlign w:val="superscript"/>
                <w14:textFill>
                  <w14:solidFill>
                    <w14:schemeClr w14:val="tx1"/>
                  </w14:solidFill>
                </w14:textFill>
              </w:rPr>
              <w:t>-4</w:t>
            </w:r>
            <w:r>
              <w:rPr>
                <w:rFonts w:ascii="Times New Roman" w:hAnsi="Times New Roman" w:cs="Times New Roman"/>
                <w:color w:val="000000" w:themeColor="text1"/>
                <w:position w:val="7"/>
                <w:sz w:val="21"/>
                <w:szCs w:val="21"/>
                <w:vertAlign w:val="superscript"/>
                <w14:textFill>
                  <w14:solidFill>
                    <w14:schemeClr w14:val="tx1"/>
                  </w14:solidFill>
                </w14:textFill>
              </w:rPr>
              <w:t xml:space="preserve"> </w:t>
            </w:r>
            <w:r>
              <w:rPr>
                <w:rFonts w:ascii="Times New Roman" w:hAnsi="Times New Roman" w:cs="Times New Roman"/>
                <w:color w:val="000000" w:themeColor="text1"/>
                <w:sz w:val="21"/>
                <w:szCs w:val="21"/>
                <w14:textFill>
                  <w14:solidFill>
                    <w14:schemeClr w14:val="tx1"/>
                  </w14:solidFill>
                </w14:textFill>
              </w:rPr>
              <w:t>/a</w:t>
            </w:r>
          </w:p>
        </w:tc>
      </w:tr>
      <w:tr w14:paraId="24292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shd w:val="clear" w:color="auto" w:fill="auto"/>
            <w:vAlign w:val="center"/>
          </w:tcPr>
          <w:p w14:paraId="172F5FC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泄漏物质</w:t>
            </w:r>
          </w:p>
        </w:tc>
        <w:tc>
          <w:tcPr>
            <w:tcW w:w="1086" w:type="dxa"/>
            <w:shd w:val="clear" w:color="auto" w:fill="auto"/>
            <w:vAlign w:val="center"/>
          </w:tcPr>
          <w:p w14:paraId="262AA5E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2130" w:type="dxa"/>
            <w:shd w:val="clear" w:color="auto" w:fill="auto"/>
            <w:vAlign w:val="center"/>
          </w:tcPr>
          <w:p w14:paraId="095E61D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最大存在量/kg</w:t>
            </w:r>
          </w:p>
        </w:tc>
        <w:tc>
          <w:tcPr>
            <w:tcW w:w="933" w:type="dxa"/>
            <w:shd w:val="clear" w:color="auto" w:fill="auto"/>
            <w:vAlign w:val="center"/>
          </w:tcPr>
          <w:p w14:paraId="04F6745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13810000</w:t>
            </w:r>
          </w:p>
        </w:tc>
        <w:tc>
          <w:tcPr>
            <w:tcW w:w="1330" w:type="dxa"/>
            <w:shd w:val="clear" w:color="auto" w:fill="auto"/>
            <w:vAlign w:val="center"/>
          </w:tcPr>
          <w:p w14:paraId="78E8C0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泄漏孔径/mm</w:t>
            </w:r>
          </w:p>
        </w:tc>
        <w:tc>
          <w:tcPr>
            <w:tcW w:w="1387" w:type="dxa"/>
            <w:shd w:val="clear" w:color="auto" w:fill="auto"/>
            <w:vAlign w:val="center"/>
          </w:tcPr>
          <w:p w14:paraId="2078E44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r>
      <w:tr w14:paraId="40435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shd w:val="clear" w:color="auto" w:fill="auto"/>
            <w:vAlign w:val="center"/>
          </w:tcPr>
          <w:p w14:paraId="4551FE0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泄漏速率/kg/s</w:t>
            </w:r>
          </w:p>
        </w:tc>
        <w:tc>
          <w:tcPr>
            <w:tcW w:w="1086" w:type="dxa"/>
            <w:shd w:val="clear" w:color="auto" w:fill="auto"/>
            <w:vAlign w:val="center"/>
          </w:tcPr>
          <w:p w14:paraId="6332690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0.625</w:t>
            </w:r>
          </w:p>
        </w:tc>
        <w:tc>
          <w:tcPr>
            <w:tcW w:w="2130" w:type="dxa"/>
            <w:shd w:val="clear" w:color="auto" w:fill="auto"/>
            <w:vAlign w:val="center"/>
          </w:tcPr>
          <w:p w14:paraId="4F024AE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泄漏时间/min</w:t>
            </w:r>
          </w:p>
        </w:tc>
        <w:tc>
          <w:tcPr>
            <w:tcW w:w="933" w:type="dxa"/>
            <w:shd w:val="clear" w:color="auto" w:fill="auto"/>
            <w:vAlign w:val="center"/>
          </w:tcPr>
          <w:p w14:paraId="4822BA4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w:t>
            </w:r>
          </w:p>
        </w:tc>
        <w:tc>
          <w:tcPr>
            <w:tcW w:w="1330" w:type="dxa"/>
            <w:shd w:val="clear" w:color="auto" w:fill="auto"/>
            <w:vAlign w:val="center"/>
          </w:tcPr>
          <w:p w14:paraId="5BBD2FE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泄漏量/kg</w:t>
            </w:r>
          </w:p>
        </w:tc>
        <w:tc>
          <w:tcPr>
            <w:tcW w:w="1387" w:type="dxa"/>
            <w:shd w:val="clear" w:color="auto" w:fill="auto"/>
            <w:vAlign w:val="center"/>
          </w:tcPr>
          <w:p w14:paraId="763BECD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374.8</w:t>
            </w:r>
          </w:p>
        </w:tc>
      </w:tr>
      <w:tr w14:paraId="62A90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shd w:val="clear" w:color="auto" w:fill="auto"/>
            <w:vAlign w:val="center"/>
          </w:tcPr>
          <w:p w14:paraId="2413D0F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泄漏高度/m</w:t>
            </w:r>
          </w:p>
        </w:tc>
        <w:tc>
          <w:tcPr>
            <w:tcW w:w="1086" w:type="dxa"/>
            <w:shd w:val="clear" w:color="auto" w:fill="auto"/>
            <w:vAlign w:val="center"/>
          </w:tcPr>
          <w:p w14:paraId="66F32AE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w:t>
            </w:r>
          </w:p>
        </w:tc>
        <w:tc>
          <w:tcPr>
            <w:tcW w:w="2130" w:type="dxa"/>
            <w:shd w:val="clear" w:color="auto" w:fill="auto"/>
            <w:vAlign w:val="center"/>
          </w:tcPr>
          <w:p w14:paraId="2F69B54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泄漏液体蒸发量/kg</w:t>
            </w:r>
          </w:p>
        </w:tc>
        <w:tc>
          <w:tcPr>
            <w:tcW w:w="933" w:type="dxa"/>
            <w:shd w:val="clear" w:color="auto" w:fill="auto"/>
            <w:vAlign w:val="center"/>
          </w:tcPr>
          <w:p w14:paraId="5592AD8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686.0</w:t>
            </w:r>
          </w:p>
        </w:tc>
        <w:tc>
          <w:tcPr>
            <w:tcW w:w="1330" w:type="dxa"/>
            <w:shd w:val="clear" w:color="auto" w:fill="auto"/>
            <w:vAlign w:val="center"/>
          </w:tcPr>
          <w:p w14:paraId="53AE544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泄漏频率</w:t>
            </w:r>
          </w:p>
        </w:tc>
        <w:tc>
          <w:tcPr>
            <w:tcW w:w="1387" w:type="dxa"/>
            <w:shd w:val="clear" w:color="auto" w:fill="auto"/>
            <w:vAlign w:val="center"/>
          </w:tcPr>
          <w:p w14:paraId="77D7704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1.00×10</w:t>
            </w:r>
            <w:r>
              <w:rPr>
                <w:rFonts w:hint="eastAsia" w:ascii="Times New Roman" w:hAnsi="Times New Roman" w:cs="Times New Roman"/>
                <w:color w:val="000000" w:themeColor="text1"/>
                <w:sz w:val="21"/>
                <w:szCs w:val="21"/>
                <w:vertAlign w:val="superscript"/>
                <w14:textFill>
                  <w14:solidFill>
                    <w14:schemeClr w14:val="tx1"/>
                  </w14:solidFill>
                </w14:textFill>
              </w:rPr>
              <w:t>-4</w:t>
            </w:r>
            <w:r>
              <w:rPr>
                <w:rFonts w:ascii="Times New Roman" w:hAnsi="Times New Roman" w:cs="Times New Roman"/>
                <w:color w:val="000000" w:themeColor="text1"/>
                <w:position w:val="7"/>
                <w:sz w:val="21"/>
                <w:szCs w:val="21"/>
                <w:vertAlign w:val="superscript"/>
                <w14:textFill>
                  <w14:solidFill>
                    <w14:schemeClr w14:val="tx1"/>
                  </w14:solidFill>
                </w14:textFill>
              </w:rPr>
              <w:t xml:space="preserve"> </w:t>
            </w:r>
            <w:r>
              <w:rPr>
                <w:rFonts w:ascii="Times New Roman" w:hAnsi="Times New Roman" w:cs="Times New Roman"/>
                <w:color w:val="000000" w:themeColor="text1"/>
                <w:sz w:val="21"/>
                <w:szCs w:val="21"/>
                <w14:textFill>
                  <w14:solidFill>
                    <w14:schemeClr w14:val="tx1"/>
                  </w14:solidFill>
                </w14:textFill>
              </w:rPr>
              <w:t>/a</w:t>
            </w:r>
          </w:p>
        </w:tc>
      </w:tr>
      <w:tr w14:paraId="330D5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8166" w:type="dxa"/>
            <w:gridSpan w:val="6"/>
            <w:vAlign w:val="center"/>
          </w:tcPr>
          <w:p w14:paraId="713B5E2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最不利气象条件下事故后果预测</w:t>
            </w:r>
          </w:p>
        </w:tc>
      </w:tr>
      <w:tr w14:paraId="55B70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restart"/>
            <w:vAlign w:val="center"/>
          </w:tcPr>
          <w:p w14:paraId="0CC1014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w:t>
            </w:r>
          </w:p>
        </w:tc>
        <w:tc>
          <w:tcPr>
            <w:tcW w:w="1086" w:type="dxa"/>
            <w:vAlign w:val="center"/>
          </w:tcPr>
          <w:p w14:paraId="652C57F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危险物质</w:t>
            </w:r>
          </w:p>
        </w:tc>
        <w:tc>
          <w:tcPr>
            <w:tcW w:w="2130" w:type="dxa"/>
            <w:vAlign w:val="center"/>
          </w:tcPr>
          <w:p w14:paraId="2820EF6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指标</w:t>
            </w:r>
          </w:p>
        </w:tc>
        <w:tc>
          <w:tcPr>
            <w:tcW w:w="933" w:type="dxa"/>
            <w:vAlign w:val="center"/>
          </w:tcPr>
          <w:p w14:paraId="589A783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浓度值mg/m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1330" w:type="dxa"/>
            <w:vAlign w:val="center"/>
          </w:tcPr>
          <w:p w14:paraId="5DC0F48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最远影响距离</w:t>
            </w:r>
          </w:p>
        </w:tc>
        <w:tc>
          <w:tcPr>
            <w:tcW w:w="1387" w:type="dxa"/>
            <w:vAlign w:val="center"/>
          </w:tcPr>
          <w:p w14:paraId="4E7A6E3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到达时间min</w:t>
            </w:r>
          </w:p>
        </w:tc>
      </w:tr>
      <w:tr w14:paraId="16FDB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5F848FE6">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restart"/>
            <w:vAlign w:val="center"/>
          </w:tcPr>
          <w:p w14:paraId="002869C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二氧化硫</w:t>
            </w:r>
          </w:p>
        </w:tc>
        <w:tc>
          <w:tcPr>
            <w:tcW w:w="2130" w:type="dxa"/>
            <w:vAlign w:val="center"/>
          </w:tcPr>
          <w:p w14:paraId="18F3F4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大气毒性终点浓度-1</w:t>
            </w:r>
          </w:p>
        </w:tc>
        <w:tc>
          <w:tcPr>
            <w:tcW w:w="933" w:type="dxa"/>
            <w:vAlign w:val="center"/>
          </w:tcPr>
          <w:p w14:paraId="3659EA3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79</w:t>
            </w:r>
          </w:p>
        </w:tc>
        <w:tc>
          <w:tcPr>
            <w:tcW w:w="1330" w:type="dxa"/>
            <w:vAlign w:val="center"/>
          </w:tcPr>
          <w:p w14:paraId="40F889B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366</w:t>
            </w:r>
          </w:p>
        </w:tc>
        <w:tc>
          <w:tcPr>
            <w:tcW w:w="1387" w:type="dxa"/>
            <w:vAlign w:val="center"/>
          </w:tcPr>
          <w:p w14:paraId="77A311F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4.07</w:t>
            </w:r>
          </w:p>
        </w:tc>
      </w:tr>
      <w:tr w14:paraId="5AA57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2CEA168D">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0859B2FC">
            <w:pPr>
              <w:jc w:val="center"/>
              <w:rPr>
                <w:rFonts w:ascii="Times New Roman" w:hAnsi="Times New Roman" w:cs="Times New Roman"/>
                <w:color w:val="000000" w:themeColor="text1"/>
                <w:sz w:val="21"/>
                <w:szCs w:val="21"/>
                <w14:textFill>
                  <w14:solidFill>
                    <w14:schemeClr w14:val="tx1"/>
                  </w14:solidFill>
                </w14:textFill>
              </w:rPr>
            </w:pPr>
          </w:p>
        </w:tc>
        <w:tc>
          <w:tcPr>
            <w:tcW w:w="2130" w:type="dxa"/>
            <w:vAlign w:val="center"/>
          </w:tcPr>
          <w:p w14:paraId="5460203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大气毒性终点浓度-2</w:t>
            </w:r>
          </w:p>
        </w:tc>
        <w:tc>
          <w:tcPr>
            <w:tcW w:w="933" w:type="dxa"/>
            <w:vAlign w:val="center"/>
          </w:tcPr>
          <w:p w14:paraId="71B2888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1330" w:type="dxa"/>
            <w:vAlign w:val="center"/>
          </w:tcPr>
          <w:p w14:paraId="30F6BDF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4500</w:t>
            </w:r>
          </w:p>
        </w:tc>
        <w:tc>
          <w:tcPr>
            <w:tcW w:w="1387" w:type="dxa"/>
            <w:vAlign w:val="center"/>
          </w:tcPr>
          <w:p w14:paraId="7BEA1C9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r>
      <w:tr w14:paraId="6F181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367A4B81">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369AE4B5">
            <w:pPr>
              <w:jc w:val="center"/>
              <w:rPr>
                <w:rFonts w:ascii="Times New Roman" w:hAnsi="Times New Roman" w:cs="Times New Roman"/>
                <w:color w:val="000000" w:themeColor="text1"/>
                <w:sz w:val="21"/>
                <w:szCs w:val="21"/>
                <w14:textFill>
                  <w14:solidFill>
                    <w14:schemeClr w14:val="tx1"/>
                  </w14:solidFill>
                </w14:textFill>
              </w:rPr>
            </w:pPr>
          </w:p>
        </w:tc>
        <w:tc>
          <w:tcPr>
            <w:tcW w:w="2130" w:type="dxa"/>
            <w:vAlign w:val="center"/>
          </w:tcPr>
          <w:p w14:paraId="2E2860F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敏感目标名称</w:t>
            </w:r>
          </w:p>
        </w:tc>
        <w:tc>
          <w:tcPr>
            <w:tcW w:w="933" w:type="dxa"/>
            <w:vAlign w:val="center"/>
          </w:tcPr>
          <w:p w14:paraId="1B39B80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超标时间min</w:t>
            </w:r>
          </w:p>
        </w:tc>
        <w:tc>
          <w:tcPr>
            <w:tcW w:w="1330" w:type="dxa"/>
            <w:vAlign w:val="center"/>
          </w:tcPr>
          <w:p w14:paraId="3DF0990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超标持续时间min</w:t>
            </w:r>
          </w:p>
        </w:tc>
        <w:tc>
          <w:tcPr>
            <w:tcW w:w="1387" w:type="dxa"/>
            <w:vAlign w:val="center"/>
          </w:tcPr>
          <w:p w14:paraId="3EBB45D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最大浓度mg/m</w:t>
            </w:r>
            <w:r>
              <w:rPr>
                <w:rFonts w:ascii="Times New Roman" w:hAnsi="Times New Roman" w:cs="Times New Roman"/>
                <w:color w:val="000000" w:themeColor="text1"/>
                <w:sz w:val="21"/>
                <w:szCs w:val="21"/>
                <w:vertAlign w:val="superscript"/>
                <w14:textFill>
                  <w14:solidFill>
                    <w14:schemeClr w14:val="tx1"/>
                  </w14:solidFill>
                </w14:textFill>
              </w:rPr>
              <w:t>3</w:t>
            </w:r>
          </w:p>
        </w:tc>
      </w:tr>
      <w:tr w14:paraId="3038A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7BC8434E">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40C498AB">
            <w:pPr>
              <w:jc w:val="center"/>
              <w:rPr>
                <w:rFonts w:ascii="Times New Roman" w:hAnsi="Times New Roman" w:cs="Times New Roman"/>
                <w:color w:val="000000" w:themeColor="text1"/>
                <w:sz w:val="21"/>
                <w:szCs w:val="21"/>
                <w14:textFill>
                  <w14:solidFill>
                    <w14:schemeClr w14:val="tx1"/>
                  </w14:solidFill>
                </w14:textFill>
              </w:rPr>
            </w:pPr>
          </w:p>
        </w:tc>
        <w:tc>
          <w:tcPr>
            <w:tcW w:w="2130" w:type="dxa"/>
            <w:vAlign w:val="center"/>
          </w:tcPr>
          <w:p w14:paraId="15C9CB6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厚福沙村</w:t>
            </w:r>
          </w:p>
        </w:tc>
        <w:tc>
          <w:tcPr>
            <w:tcW w:w="933" w:type="dxa"/>
            <w:vAlign w:val="center"/>
          </w:tcPr>
          <w:p w14:paraId="15A66F0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26.0</w:t>
            </w:r>
          </w:p>
        </w:tc>
        <w:tc>
          <w:tcPr>
            <w:tcW w:w="1330" w:type="dxa"/>
            <w:vAlign w:val="center"/>
          </w:tcPr>
          <w:p w14:paraId="2F59102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w:t>
            </w:r>
          </w:p>
        </w:tc>
        <w:tc>
          <w:tcPr>
            <w:tcW w:w="1387" w:type="dxa"/>
            <w:vAlign w:val="center"/>
          </w:tcPr>
          <w:p w14:paraId="63B38064">
            <w:pPr>
              <w:tabs>
                <w:tab w:val="left" w:pos="1202"/>
              </w:tabs>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5.84</w:t>
            </w:r>
          </w:p>
        </w:tc>
      </w:tr>
      <w:tr w14:paraId="67810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06A3E8E9">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6BC4D08E">
            <w:pPr>
              <w:jc w:val="center"/>
              <w:rPr>
                <w:rFonts w:ascii="Times New Roman" w:hAnsi="Times New Roman" w:cs="Times New Roman"/>
                <w:color w:val="000000" w:themeColor="text1"/>
                <w:sz w:val="21"/>
                <w:szCs w:val="21"/>
                <w14:textFill>
                  <w14:solidFill>
                    <w14:schemeClr w14:val="tx1"/>
                  </w14:solidFill>
                </w14:textFill>
              </w:rPr>
            </w:pPr>
          </w:p>
        </w:tc>
        <w:tc>
          <w:tcPr>
            <w:tcW w:w="2130" w:type="dxa"/>
            <w:vAlign w:val="center"/>
          </w:tcPr>
          <w:p w14:paraId="1F235E5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果子山村</w:t>
            </w:r>
          </w:p>
        </w:tc>
        <w:tc>
          <w:tcPr>
            <w:tcW w:w="933" w:type="dxa"/>
            <w:vAlign w:val="center"/>
          </w:tcPr>
          <w:p w14:paraId="38067CA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30.0</w:t>
            </w:r>
          </w:p>
        </w:tc>
        <w:tc>
          <w:tcPr>
            <w:tcW w:w="1330" w:type="dxa"/>
            <w:vAlign w:val="center"/>
          </w:tcPr>
          <w:p w14:paraId="43AF13A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w:t>
            </w:r>
          </w:p>
        </w:tc>
        <w:tc>
          <w:tcPr>
            <w:tcW w:w="1387" w:type="dxa"/>
            <w:vAlign w:val="center"/>
          </w:tcPr>
          <w:p w14:paraId="6C730204">
            <w:pPr>
              <w:tabs>
                <w:tab w:val="left" w:pos="1202"/>
              </w:tabs>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2.37</w:t>
            </w:r>
          </w:p>
        </w:tc>
      </w:tr>
      <w:tr w14:paraId="7239B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0C354EA0">
            <w:pPr>
              <w:jc w:val="center"/>
              <w:rPr>
                <w:rFonts w:ascii="Times New Roman" w:hAnsi="Times New Roman" w:cs="Times New Roman"/>
                <w:color w:val="000000" w:themeColor="text1"/>
                <w:sz w:val="21"/>
                <w:szCs w:val="21"/>
                <w14:textFill>
                  <w14:solidFill>
                    <w14:schemeClr w14:val="tx1"/>
                  </w14:solidFill>
                </w14:textFill>
              </w:rPr>
            </w:pPr>
          </w:p>
        </w:tc>
        <w:tc>
          <w:tcPr>
            <w:tcW w:w="1086" w:type="dxa"/>
            <w:vAlign w:val="center"/>
          </w:tcPr>
          <w:p w14:paraId="592AA4B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危险物质</w:t>
            </w:r>
          </w:p>
        </w:tc>
        <w:tc>
          <w:tcPr>
            <w:tcW w:w="2130" w:type="dxa"/>
            <w:vAlign w:val="center"/>
          </w:tcPr>
          <w:p w14:paraId="7D091E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指标</w:t>
            </w:r>
          </w:p>
        </w:tc>
        <w:tc>
          <w:tcPr>
            <w:tcW w:w="933" w:type="dxa"/>
            <w:vAlign w:val="center"/>
          </w:tcPr>
          <w:p w14:paraId="016B8A3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浓度值mg/m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1330" w:type="dxa"/>
            <w:vAlign w:val="center"/>
          </w:tcPr>
          <w:p w14:paraId="21892DF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最远影响距离</w:t>
            </w:r>
          </w:p>
        </w:tc>
        <w:tc>
          <w:tcPr>
            <w:tcW w:w="1387" w:type="dxa"/>
            <w:vAlign w:val="center"/>
          </w:tcPr>
          <w:p w14:paraId="6D07FBF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到达时间min</w:t>
            </w:r>
          </w:p>
        </w:tc>
      </w:tr>
      <w:tr w14:paraId="345D6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1FECBFF7">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restart"/>
            <w:vAlign w:val="center"/>
          </w:tcPr>
          <w:p w14:paraId="668D7B9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硫酸</w:t>
            </w:r>
          </w:p>
        </w:tc>
        <w:tc>
          <w:tcPr>
            <w:tcW w:w="2130" w:type="dxa"/>
            <w:vAlign w:val="center"/>
          </w:tcPr>
          <w:p w14:paraId="635B169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大气毒性终点浓度-1</w:t>
            </w:r>
          </w:p>
        </w:tc>
        <w:tc>
          <w:tcPr>
            <w:tcW w:w="933" w:type="dxa"/>
            <w:vAlign w:val="center"/>
          </w:tcPr>
          <w:p w14:paraId="2E47E9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160</w:t>
            </w:r>
          </w:p>
        </w:tc>
        <w:tc>
          <w:tcPr>
            <w:tcW w:w="1330" w:type="dxa"/>
            <w:vAlign w:val="center"/>
          </w:tcPr>
          <w:p w14:paraId="1C9E335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87" w:type="dxa"/>
            <w:vAlign w:val="center"/>
          </w:tcPr>
          <w:p w14:paraId="08967BD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77ACA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51B82E83">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3CE28B0C">
            <w:pPr>
              <w:jc w:val="center"/>
              <w:rPr>
                <w:rFonts w:ascii="Times New Roman" w:hAnsi="Times New Roman" w:cs="Times New Roman"/>
                <w:color w:val="000000" w:themeColor="text1"/>
                <w:sz w:val="21"/>
                <w:szCs w:val="21"/>
                <w14:textFill>
                  <w14:solidFill>
                    <w14:schemeClr w14:val="tx1"/>
                  </w14:solidFill>
                </w14:textFill>
              </w:rPr>
            </w:pPr>
          </w:p>
        </w:tc>
        <w:tc>
          <w:tcPr>
            <w:tcW w:w="2130" w:type="dxa"/>
            <w:vAlign w:val="center"/>
          </w:tcPr>
          <w:p w14:paraId="57C75C2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大气毒性终点浓度-2</w:t>
            </w:r>
          </w:p>
        </w:tc>
        <w:tc>
          <w:tcPr>
            <w:tcW w:w="933" w:type="dxa"/>
            <w:vAlign w:val="center"/>
          </w:tcPr>
          <w:p w14:paraId="6E43D91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8.7</w:t>
            </w:r>
          </w:p>
        </w:tc>
        <w:tc>
          <w:tcPr>
            <w:tcW w:w="1330" w:type="dxa"/>
            <w:vAlign w:val="center"/>
          </w:tcPr>
          <w:p w14:paraId="16D2C73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1650</w:t>
            </w:r>
          </w:p>
        </w:tc>
        <w:tc>
          <w:tcPr>
            <w:tcW w:w="1387" w:type="dxa"/>
            <w:vAlign w:val="center"/>
          </w:tcPr>
          <w:p w14:paraId="5D8D4C3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49.75</w:t>
            </w:r>
          </w:p>
        </w:tc>
      </w:tr>
      <w:tr w14:paraId="05753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49759DBB">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4C2F609F">
            <w:pPr>
              <w:jc w:val="center"/>
              <w:rPr>
                <w:rFonts w:ascii="Times New Roman" w:hAnsi="Times New Roman" w:cs="Times New Roman"/>
                <w:color w:val="000000" w:themeColor="text1"/>
                <w:sz w:val="21"/>
                <w:szCs w:val="21"/>
                <w14:textFill>
                  <w14:solidFill>
                    <w14:schemeClr w14:val="tx1"/>
                  </w14:solidFill>
                </w14:textFill>
              </w:rPr>
            </w:pPr>
          </w:p>
        </w:tc>
        <w:tc>
          <w:tcPr>
            <w:tcW w:w="2130" w:type="dxa"/>
            <w:vAlign w:val="center"/>
          </w:tcPr>
          <w:p w14:paraId="3F4DE2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敏感目标名称</w:t>
            </w:r>
          </w:p>
        </w:tc>
        <w:tc>
          <w:tcPr>
            <w:tcW w:w="933" w:type="dxa"/>
            <w:vAlign w:val="center"/>
          </w:tcPr>
          <w:p w14:paraId="6910329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超标时间min</w:t>
            </w:r>
          </w:p>
        </w:tc>
        <w:tc>
          <w:tcPr>
            <w:tcW w:w="1330" w:type="dxa"/>
            <w:vAlign w:val="center"/>
          </w:tcPr>
          <w:p w14:paraId="7678154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超标持续时间min</w:t>
            </w:r>
          </w:p>
        </w:tc>
        <w:tc>
          <w:tcPr>
            <w:tcW w:w="1387" w:type="dxa"/>
            <w:vAlign w:val="center"/>
          </w:tcPr>
          <w:p w14:paraId="51672F1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最大浓度mg/m</w:t>
            </w:r>
            <w:r>
              <w:rPr>
                <w:rFonts w:ascii="Times New Roman" w:hAnsi="Times New Roman" w:cs="Times New Roman"/>
                <w:color w:val="000000" w:themeColor="text1"/>
                <w:sz w:val="21"/>
                <w:szCs w:val="21"/>
                <w:vertAlign w:val="superscript"/>
                <w14:textFill>
                  <w14:solidFill>
                    <w14:schemeClr w14:val="tx1"/>
                  </w14:solidFill>
                </w14:textFill>
              </w:rPr>
              <w:t>3</w:t>
            </w:r>
          </w:p>
        </w:tc>
      </w:tr>
      <w:tr w14:paraId="2FE62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670D0F45">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506D1571">
            <w:pPr>
              <w:jc w:val="center"/>
              <w:rPr>
                <w:rFonts w:ascii="Times New Roman" w:hAnsi="Times New Roman" w:cs="Times New Roman"/>
                <w:color w:val="000000" w:themeColor="text1"/>
                <w:sz w:val="21"/>
                <w:szCs w:val="21"/>
                <w14:textFill>
                  <w14:solidFill>
                    <w14:schemeClr w14:val="tx1"/>
                  </w14:solidFill>
                </w14:textFill>
              </w:rPr>
            </w:pPr>
          </w:p>
        </w:tc>
        <w:tc>
          <w:tcPr>
            <w:tcW w:w="2130" w:type="dxa"/>
            <w:vAlign w:val="center"/>
          </w:tcPr>
          <w:p w14:paraId="4988C8C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w:t>
            </w:r>
          </w:p>
        </w:tc>
        <w:tc>
          <w:tcPr>
            <w:tcW w:w="933" w:type="dxa"/>
            <w:vAlign w:val="center"/>
          </w:tcPr>
          <w:p w14:paraId="3C5EB31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30" w:type="dxa"/>
            <w:vAlign w:val="center"/>
          </w:tcPr>
          <w:p w14:paraId="0573497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87" w:type="dxa"/>
            <w:vAlign w:val="center"/>
          </w:tcPr>
          <w:p w14:paraId="3238F65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3AA97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4EA94619">
            <w:pPr>
              <w:jc w:val="center"/>
              <w:rPr>
                <w:rFonts w:ascii="Times New Roman" w:hAnsi="Times New Roman" w:cs="Times New Roman"/>
                <w:color w:val="000000" w:themeColor="text1"/>
                <w:sz w:val="21"/>
                <w:szCs w:val="21"/>
                <w14:textFill>
                  <w14:solidFill>
                    <w14:schemeClr w14:val="tx1"/>
                  </w14:solidFill>
                </w14:textFill>
              </w:rPr>
            </w:pPr>
          </w:p>
        </w:tc>
        <w:tc>
          <w:tcPr>
            <w:tcW w:w="1086" w:type="dxa"/>
            <w:vAlign w:val="center"/>
          </w:tcPr>
          <w:p w14:paraId="61E0E68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危险物质</w:t>
            </w:r>
          </w:p>
        </w:tc>
        <w:tc>
          <w:tcPr>
            <w:tcW w:w="2130" w:type="dxa"/>
            <w:shd w:val="clear" w:color="auto" w:fill="auto"/>
            <w:vAlign w:val="center"/>
          </w:tcPr>
          <w:p w14:paraId="68B7691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指标</w:t>
            </w:r>
          </w:p>
        </w:tc>
        <w:tc>
          <w:tcPr>
            <w:tcW w:w="933" w:type="dxa"/>
            <w:shd w:val="clear" w:color="auto" w:fill="auto"/>
            <w:vAlign w:val="center"/>
          </w:tcPr>
          <w:p w14:paraId="1724B3D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浓度值mg/m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1330" w:type="dxa"/>
            <w:shd w:val="clear" w:color="auto" w:fill="auto"/>
            <w:vAlign w:val="center"/>
          </w:tcPr>
          <w:p w14:paraId="3CF8022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最远影响距离</w:t>
            </w:r>
          </w:p>
        </w:tc>
        <w:tc>
          <w:tcPr>
            <w:tcW w:w="1387" w:type="dxa"/>
            <w:shd w:val="clear" w:color="auto" w:fill="auto"/>
            <w:vAlign w:val="center"/>
          </w:tcPr>
          <w:p w14:paraId="5ABECA1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到达时间min</w:t>
            </w:r>
          </w:p>
        </w:tc>
      </w:tr>
      <w:tr w14:paraId="726F1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055E78E1">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restart"/>
            <w:vAlign w:val="center"/>
          </w:tcPr>
          <w:p w14:paraId="724D404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2130" w:type="dxa"/>
            <w:shd w:val="clear" w:color="auto" w:fill="auto"/>
            <w:vAlign w:val="center"/>
          </w:tcPr>
          <w:p w14:paraId="571CC33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大气毒性终点浓度-1</w:t>
            </w:r>
          </w:p>
        </w:tc>
        <w:tc>
          <w:tcPr>
            <w:tcW w:w="933" w:type="dxa"/>
            <w:vAlign w:val="center"/>
          </w:tcPr>
          <w:p w14:paraId="66D32AF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770</w:t>
            </w:r>
          </w:p>
        </w:tc>
        <w:tc>
          <w:tcPr>
            <w:tcW w:w="1330" w:type="dxa"/>
            <w:vAlign w:val="center"/>
          </w:tcPr>
          <w:p w14:paraId="60B94FA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w:t>
            </w:r>
          </w:p>
        </w:tc>
        <w:tc>
          <w:tcPr>
            <w:tcW w:w="1387" w:type="dxa"/>
            <w:vAlign w:val="center"/>
          </w:tcPr>
          <w:p w14:paraId="0316EC6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w:t>
            </w:r>
          </w:p>
        </w:tc>
      </w:tr>
      <w:tr w14:paraId="435BF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14A8CA59">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437F8F3E">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35FDD55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大气毒性终点浓度-2</w:t>
            </w:r>
          </w:p>
        </w:tc>
        <w:tc>
          <w:tcPr>
            <w:tcW w:w="933" w:type="dxa"/>
            <w:vAlign w:val="center"/>
          </w:tcPr>
          <w:p w14:paraId="7BCA999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88</w:t>
            </w:r>
          </w:p>
        </w:tc>
        <w:tc>
          <w:tcPr>
            <w:tcW w:w="1330" w:type="dxa"/>
            <w:vAlign w:val="center"/>
          </w:tcPr>
          <w:p w14:paraId="64F5D83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240</w:t>
            </w:r>
          </w:p>
        </w:tc>
        <w:tc>
          <w:tcPr>
            <w:tcW w:w="1387" w:type="dxa"/>
            <w:vAlign w:val="center"/>
          </w:tcPr>
          <w:p w14:paraId="54C4B12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17.50</w:t>
            </w:r>
          </w:p>
        </w:tc>
      </w:tr>
      <w:tr w14:paraId="6B078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0045E5DD">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18464BD6">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4296289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敏感目标名称</w:t>
            </w:r>
          </w:p>
        </w:tc>
        <w:tc>
          <w:tcPr>
            <w:tcW w:w="933" w:type="dxa"/>
            <w:shd w:val="clear" w:color="auto" w:fill="auto"/>
            <w:vAlign w:val="center"/>
          </w:tcPr>
          <w:p w14:paraId="13C5E91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超标时间min</w:t>
            </w:r>
          </w:p>
        </w:tc>
        <w:tc>
          <w:tcPr>
            <w:tcW w:w="1330" w:type="dxa"/>
            <w:shd w:val="clear" w:color="auto" w:fill="auto"/>
            <w:vAlign w:val="center"/>
          </w:tcPr>
          <w:p w14:paraId="2469ABD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超标持续时间min</w:t>
            </w:r>
          </w:p>
        </w:tc>
        <w:tc>
          <w:tcPr>
            <w:tcW w:w="1387" w:type="dxa"/>
            <w:shd w:val="clear" w:color="auto" w:fill="auto"/>
            <w:vAlign w:val="center"/>
          </w:tcPr>
          <w:p w14:paraId="3F5128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最大浓度mg/m</w:t>
            </w:r>
            <w:r>
              <w:rPr>
                <w:rFonts w:ascii="Times New Roman" w:hAnsi="Times New Roman" w:cs="Times New Roman"/>
                <w:color w:val="000000" w:themeColor="text1"/>
                <w:sz w:val="21"/>
                <w:szCs w:val="21"/>
                <w:vertAlign w:val="superscript"/>
                <w14:textFill>
                  <w14:solidFill>
                    <w14:schemeClr w14:val="tx1"/>
                  </w14:solidFill>
                </w14:textFill>
              </w:rPr>
              <w:t>3</w:t>
            </w:r>
          </w:p>
        </w:tc>
      </w:tr>
      <w:tr w14:paraId="598D7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039AA68E">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41376D04">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7B46A17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w:t>
            </w:r>
          </w:p>
        </w:tc>
        <w:tc>
          <w:tcPr>
            <w:tcW w:w="933" w:type="dxa"/>
            <w:shd w:val="clear" w:color="auto" w:fill="auto"/>
            <w:vAlign w:val="center"/>
          </w:tcPr>
          <w:p w14:paraId="17A290E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30" w:type="dxa"/>
            <w:shd w:val="clear" w:color="auto" w:fill="auto"/>
            <w:vAlign w:val="center"/>
          </w:tcPr>
          <w:p w14:paraId="03C9C33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87" w:type="dxa"/>
            <w:shd w:val="clear" w:color="auto" w:fill="auto"/>
            <w:vAlign w:val="center"/>
          </w:tcPr>
          <w:p w14:paraId="6C90514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4CF20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4CC690A6">
            <w:pPr>
              <w:jc w:val="center"/>
              <w:rPr>
                <w:rFonts w:ascii="Times New Roman" w:hAnsi="Times New Roman" w:cs="Times New Roman"/>
                <w:color w:val="000000" w:themeColor="text1"/>
                <w:sz w:val="21"/>
                <w:szCs w:val="21"/>
                <w14:textFill>
                  <w14:solidFill>
                    <w14:schemeClr w14:val="tx1"/>
                  </w14:solidFill>
                </w14:textFill>
              </w:rPr>
            </w:pPr>
          </w:p>
        </w:tc>
        <w:tc>
          <w:tcPr>
            <w:tcW w:w="1086" w:type="dxa"/>
            <w:vAlign w:val="center"/>
          </w:tcPr>
          <w:p w14:paraId="0A61901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危险物质</w:t>
            </w:r>
          </w:p>
        </w:tc>
        <w:tc>
          <w:tcPr>
            <w:tcW w:w="2130" w:type="dxa"/>
            <w:shd w:val="clear" w:color="auto" w:fill="auto"/>
            <w:vAlign w:val="center"/>
          </w:tcPr>
          <w:p w14:paraId="20AD442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指标</w:t>
            </w:r>
          </w:p>
        </w:tc>
        <w:tc>
          <w:tcPr>
            <w:tcW w:w="933" w:type="dxa"/>
            <w:shd w:val="clear" w:color="auto" w:fill="auto"/>
            <w:vAlign w:val="center"/>
          </w:tcPr>
          <w:p w14:paraId="4F9443B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浓度值mg/m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1330" w:type="dxa"/>
            <w:shd w:val="clear" w:color="auto" w:fill="auto"/>
            <w:vAlign w:val="center"/>
          </w:tcPr>
          <w:p w14:paraId="77E531D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最远影响距离</w:t>
            </w:r>
          </w:p>
        </w:tc>
        <w:tc>
          <w:tcPr>
            <w:tcW w:w="1387" w:type="dxa"/>
            <w:shd w:val="clear" w:color="auto" w:fill="auto"/>
            <w:vAlign w:val="center"/>
          </w:tcPr>
          <w:p w14:paraId="15F253E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到达时间min</w:t>
            </w:r>
          </w:p>
        </w:tc>
      </w:tr>
      <w:tr w14:paraId="59E60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781E911A">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restart"/>
            <w:vAlign w:val="center"/>
          </w:tcPr>
          <w:p w14:paraId="4DD88229">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2130" w:type="dxa"/>
            <w:shd w:val="clear" w:color="auto" w:fill="auto"/>
            <w:vAlign w:val="center"/>
          </w:tcPr>
          <w:p w14:paraId="227BEF3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大气毒性终点浓度-1</w:t>
            </w:r>
          </w:p>
        </w:tc>
        <w:tc>
          <w:tcPr>
            <w:tcW w:w="933" w:type="dxa"/>
            <w:vAlign w:val="center"/>
          </w:tcPr>
          <w:p w14:paraId="33AEF77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240</w:t>
            </w:r>
          </w:p>
        </w:tc>
        <w:tc>
          <w:tcPr>
            <w:tcW w:w="1330" w:type="dxa"/>
            <w:shd w:val="clear" w:color="auto" w:fill="auto"/>
            <w:vAlign w:val="center"/>
          </w:tcPr>
          <w:p w14:paraId="3CA1A91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45</w:t>
            </w:r>
          </w:p>
        </w:tc>
        <w:tc>
          <w:tcPr>
            <w:tcW w:w="1387" w:type="dxa"/>
            <w:shd w:val="clear" w:color="auto" w:fill="auto"/>
            <w:vAlign w:val="center"/>
          </w:tcPr>
          <w:p w14:paraId="3941BE4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7.80</w:t>
            </w:r>
          </w:p>
        </w:tc>
      </w:tr>
      <w:tr w14:paraId="7FFDB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25DBB0B3">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5E138596">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318E122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大气毒性终点浓度-2</w:t>
            </w:r>
          </w:p>
        </w:tc>
        <w:tc>
          <w:tcPr>
            <w:tcW w:w="933" w:type="dxa"/>
            <w:vAlign w:val="center"/>
          </w:tcPr>
          <w:p w14:paraId="398EEA75">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40</w:t>
            </w:r>
          </w:p>
        </w:tc>
        <w:tc>
          <w:tcPr>
            <w:tcW w:w="1330" w:type="dxa"/>
            <w:shd w:val="clear" w:color="auto" w:fill="auto"/>
            <w:vAlign w:val="center"/>
          </w:tcPr>
          <w:p w14:paraId="278AD16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55</w:t>
            </w:r>
          </w:p>
        </w:tc>
        <w:tc>
          <w:tcPr>
            <w:tcW w:w="1387" w:type="dxa"/>
            <w:shd w:val="clear" w:color="auto" w:fill="auto"/>
            <w:vAlign w:val="center"/>
          </w:tcPr>
          <w:p w14:paraId="1472372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7.85</w:t>
            </w:r>
          </w:p>
        </w:tc>
      </w:tr>
      <w:tr w14:paraId="383DE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16110BB0">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4E7C17F1">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5D9E471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敏感目标名称</w:t>
            </w:r>
          </w:p>
        </w:tc>
        <w:tc>
          <w:tcPr>
            <w:tcW w:w="933" w:type="dxa"/>
            <w:shd w:val="clear" w:color="auto" w:fill="auto"/>
            <w:vAlign w:val="center"/>
          </w:tcPr>
          <w:p w14:paraId="338CD02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超标时间min</w:t>
            </w:r>
          </w:p>
        </w:tc>
        <w:tc>
          <w:tcPr>
            <w:tcW w:w="1330" w:type="dxa"/>
            <w:shd w:val="clear" w:color="auto" w:fill="auto"/>
            <w:vAlign w:val="center"/>
          </w:tcPr>
          <w:p w14:paraId="285F639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超标持续时间min</w:t>
            </w:r>
          </w:p>
        </w:tc>
        <w:tc>
          <w:tcPr>
            <w:tcW w:w="1387" w:type="dxa"/>
            <w:shd w:val="clear" w:color="auto" w:fill="auto"/>
            <w:vAlign w:val="center"/>
          </w:tcPr>
          <w:p w14:paraId="13B2B12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最大浓度mg/m</w:t>
            </w:r>
            <w:r>
              <w:rPr>
                <w:rFonts w:ascii="Times New Roman" w:hAnsi="Times New Roman" w:cs="Times New Roman"/>
                <w:color w:val="000000" w:themeColor="text1"/>
                <w:sz w:val="21"/>
                <w:szCs w:val="21"/>
                <w:vertAlign w:val="superscript"/>
                <w14:textFill>
                  <w14:solidFill>
                    <w14:schemeClr w14:val="tx1"/>
                  </w14:solidFill>
                </w14:textFill>
              </w:rPr>
              <w:t>3</w:t>
            </w:r>
          </w:p>
        </w:tc>
      </w:tr>
      <w:tr w14:paraId="62372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34F46D61">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0FBE5129">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419CD49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w:t>
            </w:r>
          </w:p>
        </w:tc>
        <w:tc>
          <w:tcPr>
            <w:tcW w:w="933" w:type="dxa"/>
            <w:shd w:val="clear" w:color="auto" w:fill="auto"/>
            <w:vAlign w:val="center"/>
          </w:tcPr>
          <w:p w14:paraId="17B6E0E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30" w:type="dxa"/>
            <w:shd w:val="clear" w:color="auto" w:fill="auto"/>
            <w:vAlign w:val="center"/>
          </w:tcPr>
          <w:p w14:paraId="5B20FC3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87" w:type="dxa"/>
            <w:shd w:val="clear" w:color="auto" w:fill="auto"/>
            <w:vAlign w:val="center"/>
          </w:tcPr>
          <w:p w14:paraId="552D5B9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r w14:paraId="64BEB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145804AE">
            <w:pPr>
              <w:jc w:val="center"/>
              <w:rPr>
                <w:rFonts w:ascii="Times New Roman" w:hAnsi="Times New Roman" w:cs="Times New Roman"/>
                <w:color w:val="000000" w:themeColor="text1"/>
                <w:sz w:val="21"/>
                <w:szCs w:val="21"/>
                <w14:textFill>
                  <w14:solidFill>
                    <w14:schemeClr w14:val="tx1"/>
                  </w14:solidFill>
                </w14:textFill>
              </w:rPr>
            </w:pPr>
          </w:p>
        </w:tc>
        <w:tc>
          <w:tcPr>
            <w:tcW w:w="1086" w:type="dxa"/>
            <w:vAlign w:val="center"/>
          </w:tcPr>
          <w:p w14:paraId="2A596D5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危险物质</w:t>
            </w:r>
          </w:p>
        </w:tc>
        <w:tc>
          <w:tcPr>
            <w:tcW w:w="2130" w:type="dxa"/>
            <w:shd w:val="clear" w:color="auto" w:fill="auto"/>
            <w:vAlign w:val="center"/>
          </w:tcPr>
          <w:p w14:paraId="3C2726D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指标</w:t>
            </w:r>
          </w:p>
        </w:tc>
        <w:tc>
          <w:tcPr>
            <w:tcW w:w="933" w:type="dxa"/>
            <w:shd w:val="clear" w:color="auto" w:fill="auto"/>
            <w:vAlign w:val="center"/>
          </w:tcPr>
          <w:p w14:paraId="2958B50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浓度值mg/m</w:t>
            </w:r>
            <w:r>
              <w:rPr>
                <w:rFonts w:ascii="Times New Roman" w:hAnsi="Times New Roman" w:cs="Times New Roman"/>
                <w:color w:val="000000" w:themeColor="text1"/>
                <w:sz w:val="21"/>
                <w:szCs w:val="21"/>
                <w:vertAlign w:val="superscript"/>
                <w14:textFill>
                  <w14:solidFill>
                    <w14:schemeClr w14:val="tx1"/>
                  </w14:solidFill>
                </w14:textFill>
              </w:rPr>
              <w:t>3</w:t>
            </w:r>
          </w:p>
        </w:tc>
        <w:tc>
          <w:tcPr>
            <w:tcW w:w="1330" w:type="dxa"/>
            <w:shd w:val="clear" w:color="auto" w:fill="auto"/>
            <w:vAlign w:val="center"/>
          </w:tcPr>
          <w:p w14:paraId="04AB97A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最远影响距离</w:t>
            </w:r>
          </w:p>
        </w:tc>
        <w:tc>
          <w:tcPr>
            <w:tcW w:w="1387" w:type="dxa"/>
            <w:shd w:val="clear" w:color="auto" w:fill="auto"/>
            <w:vAlign w:val="center"/>
          </w:tcPr>
          <w:p w14:paraId="22F7FE5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到达时间min</w:t>
            </w:r>
          </w:p>
        </w:tc>
      </w:tr>
      <w:tr w14:paraId="20291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6FA805D0">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restart"/>
            <w:vAlign w:val="center"/>
          </w:tcPr>
          <w:p w14:paraId="7DCD128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一氧化碳</w:t>
            </w:r>
          </w:p>
        </w:tc>
        <w:tc>
          <w:tcPr>
            <w:tcW w:w="2130" w:type="dxa"/>
            <w:shd w:val="clear" w:color="auto" w:fill="auto"/>
            <w:vAlign w:val="center"/>
          </w:tcPr>
          <w:p w14:paraId="24F6761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大气毒性终点浓度-1</w:t>
            </w:r>
          </w:p>
        </w:tc>
        <w:tc>
          <w:tcPr>
            <w:tcW w:w="933" w:type="dxa"/>
            <w:vAlign w:val="center"/>
          </w:tcPr>
          <w:p w14:paraId="22AC783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380</w:t>
            </w:r>
          </w:p>
        </w:tc>
        <w:tc>
          <w:tcPr>
            <w:tcW w:w="1330" w:type="dxa"/>
            <w:vAlign w:val="center"/>
          </w:tcPr>
          <w:p w14:paraId="6FC542D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1387" w:type="dxa"/>
            <w:vAlign w:val="center"/>
          </w:tcPr>
          <w:p w14:paraId="24AD09C8">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r>
      <w:tr w14:paraId="12E9C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3DFD9B99">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1A0B7C85">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089FE61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大气毒性终点浓度-2</w:t>
            </w:r>
          </w:p>
        </w:tc>
        <w:tc>
          <w:tcPr>
            <w:tcW w:w="933" w:type="dxa"/>
            <w:vAlign w:val="center"/>
          </w:tcPr>
          <w:p w14:paraId="29AF4DAB">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95</w:t>
            </w:r>
          </w:p>
        </w:tc>
        <w:tc>
          <w:tcPr>
            <w:tcW w:w="1330" w:type="dxa"/>
            <w:vAlign w:val="center"/>
          </w:tcPr>
          <w:p w14:paraId="4DAB47B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85</w:t>
            </w:r>
          </w:p>
        </w:tc>
        <w:tc>
          <w:tcPr>
            <w:tcW w:w="1387" w:type="dxa"/>
            <w:vAlign w:val="center"/>
          </w:tcPr>
          <w:p w14:paraId="771BD0D2">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8.15</w:t>
            </w:r>
          </w:p>
        </w:tc>
      </w:tr>
      <w:tr w14:paraId="48B4D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791F9015">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0F78F8D9">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57FC38A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敏感目标名称</w:t>
            </w:r>
          </w:p>
        </w:tc>
        <w:tc>
          <w:tcPr>
            <w:tcW w:w="933" w:type="dxa"/>
            <w:shd w:val="clear" w:color="auto" w:fill="auto"/>
            <w:vAlign w:val="center"/>
          </w:tcPr>
          <w:p w14:paraId="1B73297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超标时间min</w:t>
            </w:r>
          </w:p>
        </w:tc>
        <w:tc>
          <w:tcPr>
            <w:tcW w:w="1330" w:type="dxa"/>
            <w:shd w:val="clear" w:color="auto" w:fill="auto"/>
            <w:vAlign w:val="center"/>
          </w:tcPr>
          <w:p w14:paraId="1F34DFD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超标持续时间min</w:t>
            </w:r>
          </w:p>
        </w:tc>
        <w:tc>
          <w:tcPr>
            <w:tcW w:w="1387" w:type="dxa"/>
            <w:shd w:val="clear" w:color="auto" w:fill="auto"/>
            <w:vAlign w:val="center"/>
          </w:tcPr>
          <w:p w14:paraId="01870DE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最大浓度mg/m</w:t>
            </w:r>
            <w:r>
              <w:rPr>
                <w:rFonts w:ascii="Times New Roman" w:hAnsi="Times New Roman" w:cs="Times New Roman"/>
                <w:color w:val="000000" w:themeColor="text1"/>
                <w:sz w:val="21"/>
                <w:szCs w:val="21"/>
                <w:vertAlign w:val="superscript"/>
                <w14:textFill>
                  <w14:solidFill>
                    <w14:schemeClr w14:val="tx1"/>
                  </w14:solidFill>
                </w14:textFill>
              </w:rPr>
              <w:t>3</w:t>
            </w:r>
          </w:p>
        </w:tc>
      </w:tr>
      <w:tr w14:paraId="6D390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300" w:type="dxa"/>
            <w:vMerge w:val="continue"/>
            <w:vAlign w:val="center"/>
          </w:tcPr>
          <w:p w14:paraId="4D00FA3D">
            <w:pPr>
              <w:jc w:val="center"/>
              <w:rPr>
                <w:rFonts w:ascii="Times New Roman" w:hAnsi="Times New Roman" w:cs="Times New Roman"/>
                <w:color w:val="000000" w:themeColor="text1"/>
                <w:sz w:val="21"/>
                <w:szCs w:val="21"/>
                <w14:textFill>
                  <w14:solidFill>
                    <w14:schemeClr w14:val="tx1"/>
                  </w14:solidFill>
                </w14:textFill>
              </w:rPr>
            </w:pPr>
          </w:p>
        </w:tc>
        <w:tc>
          <w:tcPr>
            <w:tcW w:w="1086" w:type="dxa"/>
            <w:vMerge w:val="continue"/>
            <w:vAlign w:val="center"/>
          </w:tcPr>
          <w:p w14:paraId="252CAC6C">
            <w:pPr>
              <w:jc w:val="center"/>
              <w:rPr>
                <w:rFonts w:ascii="Times New Roman" w:hAnsi="Times New Roman" w:cs="Times New Roman"/>
                <w:color w:val="000000" w:themeColor="text1"/>
                <w:sz w:val="21"/>
                <w:szCs w:val="21"/>
                <w14:textFill>
                  <w14:solidFill>
                    <w14:schemeClr w14:val="tx1"/>
                  </w14:solidFill>
                </w14:textFill>
              </w:rPr>
            </w:pPr>
          </w:p>
        </w:tc>
        <w:tc>
          <w:tcPr>
            <w:tcW w:w="2130" w:type="dxa"/>
            <w:shd w:val="clear" w:color="auto" w:fill="auto"/>
            <w:vAlign w:val="center"/>
          </w:tcPr>
          <w:p w14:paraId="3C1A35F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无</w:t>
            </w:r>
          </w:p>
        </w:tc>
        <w:tc>
          <w:tcPr>
            <w:tcW w:w="933" w:type="dxa"/>
            <w:shd w:val="clear" w:color="auto" w:fill="auto"/>
            <w:vAlign w:val="center"/>
          </w:tcPr>
          <w:p w14:paraId="252C33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30" w:type="dxa"/>
            <w:shd w:val="clear" w:color="auto" w:fill="auto"/>
            <w:vAlign w:val="center"/>
          </w:tcPr>
          <w:p w14:paraId="5C0C78C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1387" w:type="dxa"/>
            <w:shd w:val="clear" w:color="auto" w:fill="auto"/>
            <w:vAlign w:val="center"/>
          </w:tcPr>
          <w:p w14:paraId="321CDD8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r>
    </w:tbl>
    <w:p w14:paraId="3184E17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（2）结论</w:t>
      </w:r>
    </w:p>
    <w:p w14:paraId="25CCFF6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由上文预测可以看出，项目泄漏和火灾次生污染物在最不利气象条件下（风速1.5m/s，稳定度F）扩散过程中，各污染物预测结果如下：</w:t>
      </w:r>
    </w:p>
    <w:p w14:paraId="35B6F86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液硫燃烧产生的二氧化硫</w:t>
      </w:r>
      <w:r>
        <w:rPr>
          <w:rFonts w:ascii="Times New Roman" w:hAnsi="Times New Roman" w:cs="Times New Roman"/>
          <w:color w:val="000000" w:themeColor="text1"/>
          <w14:textFill>
            <w14:solidFill>
              <w14:schemeClr w14:val="tx1"/>
            </w14:solidFill>
          </w14:textFill>
        </w:rPr>
        <w:t>超过毒性终点浓度-1和超过毒性终点浓度-2，最远距离分别为</w:t>
      </w:r>
      <w:r>
        <w:rPr>
          <w:rFonts w:hint="eastAsia" w:ascii="Times New Roman" w:hAnsi="Times New Roman" w:cs="Times New Roman"/>
          <w:color w:val="000000" w:themeColor="text1"/>
          <w14:textFill>
            <w14:solidFill>
              <w14:schemeClr w14:val="tx1"/>
            </w14:solidFill>
          </w14:textFill>
        </w:rPr>
        <w:t>678</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4930</w:t>
      </w:r>
      <w:r>
        <w:rPr>
          <w:rFonts w:ascii="Times New Roman" w:hAnsi="Times New Roman" w:cs="Times New Roman"/>
          <w:color w:val="000000" w:themeColor="text1"/>
          <w14:textFill>
            <w14:solidFill>
              <w14:schemeClr w14:val="tx1"/>
            </w14:solidFill>
          </w14:textFill>
        </w:rPr>
        <w:t>m；</w:t>
      </w:r>
    </w:p>
    <w:p w14:paraId="6365C577">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硫酸雾未</w:t>
      </w:r>
      <w:r>
        <w:rPr>
          <w:rFonts w:ascii="Times New Roman" w:hAnsi="Times New Roman" w:cs="Times New Roman"/>
          <w:color w:val="000000" w:themeColor="text1"/>
          <w14:textFill>
            <w14:solidFill>
              <w14:schemeClr w14:val="tx1"/>
            </w14:solidFill>
          </w14:textFill>
        </w:rPr>
        <w:t>超过毒性终点浓度-1</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超过毒性终点浓度-2</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最远距离为</w:t>
      </w:r>
      <w:r>
        <w:rPr>
          <w:rFonts w:hint="eastAsia" w:ascii="Times New Roman" w:hAnsi="Times New Roman" w:cs="Times New Roman"/>
          <w:color w:val="000000" w:themeColor="text1"/>
          <w14:textFill>
            <w14:solidFill>
              <w14:schemeClr w14:val="tx1"/>
            </w14:solidFill>
          </w14:textFill>
        </w:rPr>
        <w:t>1650</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w:t>
      </w:r>
    </w:p>
    <w:p w14:paraId="618EC63C">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苯酚未</w:t>
      </w:r>
      <w:r>
        <w:rPr>
          <w:rFonts w:ascii="Times New Roman" w:hAnsi="Times New Roman" w:cs="Times New Roman"/>
          <w:color w:val="000000" w:themeColor="text1"/>
          <w14:textFill>
            <w14:solidFill>
              <w14:schemeClr w14:val="tx1"/>
            </w14:solidFill>
          </w14:textFill>
        </w:rPr>
        <w:t>超过毒性终点浓度-1</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超过毒性终点浓度-2</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最远距离为</w:t>
      </w:r>
      <w:r>
        <w:rPr>
          <w:rFonts w:hint="eastAsia" w:ascii="Times New Roman" w:hAnsi="Times New Roman" w:cs="Times New Roman"/>
          <w:color w:val="000000" w:themeColor="text1"/>
          <w14:textFill>
            <w14:solidFill>
              <w14:schemeClr w14:val="tx1"/>
            </w14:solidFill>
          </w14:textFill>
        </w:rPr>
        <w:t>240</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w:t>
      </w:r>
    </w:p>
    <w:p w14:paraId="5869A13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己内酰胺</w:t>
      </w:r>
      <w:r>
        <w:rPr>
          <w:rFonts w:ascii="Times New Roman" w:hAnsi="Times New Roman" w:cs="Times New Roman"/>
          <w:color w:val="000000" w:themeColor="text1"/>
          <w14:textFill>
            <w14:solidFill>
              <w14:schemeClr w14:val="tx1"/>
            </w14:solidFill>
          </w14:textFill>
        </w:rPr>
        <w:t>超过毒性终点浓度-1和超过毒性终点浓度-2，最远距离分别为</w:t>
      </w:r>
      <w:r>
        <w:rPr>
          <w:rFonts w:hint="eastAsia" w:ascii="Times New Roman" w:hAnsi="Times New Roman" w:cs="Times New Roman"/>
          <w:color w:val="000000" w:themeColor="text1"/>
          <w14:textFill>
            <w14:solidFill>
              <w14:schemeClr w14:val="tx1"/>
            </w14:solidFill>
          </w14:textFill>
        </w:rPr>
        <w:t>45</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55</w:t>
      </w:r>
      <w:r>
        <w:rPr>
          <w:rFonts w:ascii="Times New Roman" w:hAnsi="Times New Roman" w:cs="Times New Roman"/>
          <w:color w:val="000000" w:themeColor="text1"/>
          <w14:textFill>
            <w14:solidFill>
              <w14:schemeClr w14:val="tx1"/>
            </w14:solidFill>
          </w14:textFill>
        </w:rPr>
        <w:t>m；</w:t>
      </w:r>
    </w:p>
    <w:p w14:paraId="27289B8A">
      <w:pPr>
        <w:pStyle w:val="118"/>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一氧化碳未</w:t>
      </w:r>
      <w:r>
        <w:rPr>
          <w:rFonts w:ascii="Times New Roman" w:hAnsi="Times New Roman" w:cs="Times New Roman"/>
          <w:color w:val="000000" w:themeColor="text1"/>
          <w14:textFill>
            <w14:solidFill>
              <w14:schemeClr w14:val="tx1"/>
            </w14:solidFill>
          </w14:textFill>
        </w:rPr>
        <w:t>超过毒性终点浓度-1</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超过毒性终点浓度-2</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最远距离为</w:t>
      </w:r>
      <w:r>
        <w:rPr>
          <w:rFonts w:hint="eastAsia" w:ascii="Times New Roman" w:hAnsi="Times New Roman" w:cs="Times New Roman"/>
          <w:color w:val="000000" w:themeColor="text1"/>
          <w14:textFill>
            <w14:solidFill>
              <w14:schemeClr w14:val="tx1"/>
            </w14:solidFill>
          </w14:textFill>
        </w:rPr>
        <w:t>85</w:t>
      </w:r>
      <w:r>
        <w:rPr>
          <w:rFonts w:ascii="Times New Roman" w:hAnsi="Times New Roman" w:cs="Times New Roman"/>
          <w:color w:val="000000" w:themeColor="text1"/>
          <w14:textFill>
            <w14:solidFill>
              <w14:schemeClr w14:val="tx1"/>
            </w14:solidFill>
          </w14:textFill>
        </w:rPr>
        <w:t>m</w:t>
      </w:r>
      <w:r>
        <w:rPr>
          <w:rFonts w:hint="eastAsia" w:ascii="Times New Roman" w:hAnsi="Times New Roman" w:cs="Times New Roman"/>
          <w:color w:val="000000" w:themeColor="text1"/>
          <w14:textFill>
            <w14:solidFill>
              <w14:schemeClr w14:val="tx1"/>
            </w14:solidFill>
          </w14:textFill>
        </w:rPr>
        <w:t>。</w:t>
      </w:r>
    </w:p>
    <w:p w14:paraId="0E145881">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根据预测的结果，物料泄漏后发生火灾的情况下，位于项目下风向的环境敏感目标均在</w:t>
      </w:r>
      <w:r>
        <w:rPr>
          <w:rFonts w:hint="eastAsia" w:ascii="Times New Roman" w:hAnsi="Times New Roman" w:cs="Times New Roman"/>
          <w:color w:val="000000" w:themeColor="text1"/>
          <w14:textFill>
            <w14:solidFill>
              <w14:schemeClr w14:val="tx1"/>
            </w14:solidFill>
          </w14:textFill>
        </w:rPr>
        <w:t>二氧化硫</w:t>
      </w:r>
      <w:r>
        <w:rPr>
          <w:rFonts w:ascii="Times New Roman" w:hAnsi="Times New Roman" w:cs="Times New Roman"/>
          <w:color w:val="000000" w:themeColor="text1"/>
          <w14:textFill>
            <w14:solidFill>
              <w14:schemeClr w14:val="tx1"/>
            </w14:solidFill>
          </w14:textFill>
        </w:rPr>
        <w:t>毒性终点范围</w:t>
      </w:r>
      <w:r>
        <w:rPr>
          <w:rFonts w:hint="eastAsia" w:ascii="Times New Roman" w:hAnsi="Times New Roman" w:cs="Times New Roman"/>
          <w:color w:val="000000" w:themeColor="text1"/>
          <w14:textFill>
            <w14:solidFill>
              <w14:schemeClr w14:val="tx1"/>
            </w14:solidFill>
          </w14:textFill>
        </w:rPr>
        <w:t>外</w:t>
      </w:r>
      <w:r>
        <w:rPr>
          <w:rFonts w:ascii="Times New Roman" w:hAnsi="Times New Roman" w:cs="Times New Roman"/>
          <w:color w:val="000000" w:themeColor="text1"/>
          <w14:textFill>
            <w14:solidFill>
              <w14:schemeClr w14:val="tx1"/>
            </w14:solidFill>
          </w14:textFill>
        </w:rPr>
        <w:t>，通过加强货种储存、输送等过程的管理，安装可燃、有毒气体报警装置等，可有效降低</w:t>
      </w:r>
      <w:r>
        <w:rPr>
          <w:rFonts w:hint="eastAsia" w:ascii="Times New Roman" w:hAnsi="Times New Roman" w:cs="Times New Roman"/>
          <w:color w:val="000000" w:themeColor="text1"/>
          <w14:textFill>
            <w14:solidFill>
              <w14:schemeClr w14:val="tx1"/>
            </w14:solidFill>
          </w14:textFill>
        </w:rPr>
        <w:t>液硫泄漏</w:t>
      </w:r>
      <w:r>
        <w:rPr>
          <w:rFonts w:ascii="Times New Roman" w:hAnsi="Times New Roman" w:cs="Times New Roman"/>
          <w:color w:val="000000" w:themeColor="text1"/>
          <w14:textFill>
            <w14:solidFill>
              <w14:schemeClr w14:val="tx1"/>
            </w14:solidFill>
          </w14:textFill>
        </w:rPr>
        <w:t>燃烧事故的发生。若发生</w:t>
      </w:r>
      <w:r>
        <w:rPr>
          <w:rFonts w:hint="eastAsia" w:ascii="Times New Roman" w:hAnsi="Times New Roman" w:cs="Times New Roman"/>
          <w:color w:val="000000" w:themeColor="text1"/>
          <w14:textFill>
            <w14:solidFill>
              <w14:schemeClr w14:val="tx1"/>
            </w14:solidFill>
          </w14:textFill>
        </w:rPr>
        <w:t>液硫泄漏燃烧</w:t>
      </w:r>
      <w:r>
        <w:rPr>
          <w:rFonts w:ascii="Times New Roman" w:hAnsi="Times New Roman" w:cs="Times New Roman"/>
          <w:color w:val="000000" w:themeColor="text1"/>
          <w14:textFill>
            <w14:solidFill>
              <w14:schemeClr w14:val="tx1"/>
            </w14:solidFill>
          </w14:textFill>
        </w:rPr>
        <w:t>事故应立即通知相关部门组织附近居民撤离。</w:t>
      </w:r>
    </w:p>
    <w:p w14:paraId="60CD13C5">
      <w:pPr>
        <w:pStyle w:val="346"/>
        <w:rPr>
          <w:color w:val="000000" w:themeColor="text1"/>
          <w14:textFill>
            <w14:solidFill>
              <w14:schemeClr w14:val="tx1"/>
            </w14:solidFill>
          </w14:textFill>
        </w:rPr>
      </w:pPr>
      <w:bookmarkStart w:id="178" w:name="_Toc144375250"/>
      <w:r>
        <w:rPr>
          <w:color w:val="000000" w:themeColor="text1"/>
          <w14:textFill>
            <w14:solidFill>
              <w14:schemeClr w14:val="tx1"/>
            </w14:solidFill>
          </w14:textFill>
        </w:rPr>
        <w:t>9.2有毒有害物质在地表水环境中的运移扩散</w:t>
      </w:r>
      <w:bookmarkEnd w:id="178"/>
    </w:p>
    <w:p w14:paraId="11CD0FE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根据风险识别，本项目有毒有害物质进入地表水的方式主要为泄漏事故或火灾事故产生的消防废水通过雨水管网，外排至钦州湾海域，污染海水。</w:t>
      </w:r>
    </w:p>
    <w:p w14:paraId="7B58BC9E">
      <w:pPr>
        <w:spacing w:line="360" w:lineRule="auto"/>
        <w:ind w:firstLine="480" w:firstLineChars="200"/>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本项目设置</w:t>
      </w:r>
      <w:r>
        <w:rPr>
          <w:rFonts w:ascii="Times New Roman" w:hAnsi="Times New Roman" w:cs="Times New Roman"/>
          <w:snapToGrid w:val="0"/>
          <w:color w:val="000000" w:themeColor="text1"/>
          <w14:textFill>
            <w14:solidFill>
              <w14:schemeClr w14:val="tx1"/>
            </w14:solidFill>
          </w14:textFill>
        </w:rPr>
        <w:t>分散型控制系统（DCS）、安全联锁系统（SIS）等监控系统，对于运营过程中各个环节进行监控，当发生管道、输送泵、储罐等泄漏时，会第一时间关闭各输送口，</w:t>
      </w:r>
      <w:r>
        <w:rPr>
          <w:rFonts w:hint="eastAsia" w:ascii="Times New Roman" w:hAnsi="Times New Roman" w:cs="Times New Roman"/>
          <w:snapToGrid w:val="0"/>
          <w:color w:val="000000" w:themeColor="text1"/>
          <w14:textFill>
            <w14:solidFill>
              <w14:schemeClr w14:val="tx1"/>
            </w14:solidFill>
          </w14:textFill>
        </w:rPr>
        <w:t>在运营期各环节的监控下，基本不会发生物料的大量泄漏。即使物料发生泄漏或火灾事故，</w:t>
      </w:r>
      <w:r>
        <w:rPr>
          <w:rFonts w:hint="eastAsia" w:ascii="Times New Roman" w:hAnsi="Times New Roman" w:cs="Times New Roman"/>
          <w:color w:val="000000" w:themeColor="text1"/>
          <w14:textFill>
            <w14:solidFill>
              <w14:schemeClr w14:val="tx1"/>
            </w14:solidFill>
          </w14:textFill>
        </w:rPr>
        <w:t>项目罐区清洁雨水收集口设置有切换阀，排放口设置应急阀门，当发生泄漏及火灾事故时，立即关闭雨水切换阀及应急阀门，将泄漏的物料及消防废水控制在厂内。</w:t>
      </w:r>
    </w:p>
    <w:p w14:paraId="6BC8FB90">
      <w:pPr>
        <w:spacing w:line="360" w:lineRule="auto"/>
        <w:ind w:firstLine="480" w:firstLineChars="2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本项目罐区设置有1.</w:t>
      </w:r>
      <w:r>
        <w:rPr>
          <w:rFonts w:hint="eastAsia" w:ascii="Times New Roman" w:hAnsi="Times New Roman" w:cs="Times New Roman"/>
          <w:color w:val="000000" w:themeColor="text1"/>
          <w:szCs w:val="21"/>
          <w14:textFill>
            <w14:solidFill>
              <w14:schemeClr w14:val="tx1"/>
            </w14:solidFill>
          </w14:textFill>
        </w:rPr>
        <w:t>4</w:t>
      </w:r>
      <w:r>
        <w:rPr>
          <w:rFonts w:ascii="Times New Roman" w:hAnsi="Times New Roman" w:cs="Times New Roman"/>
          <w:color w:val="000000" w:themeColor="text1"/>
          <w:szCs w:val="21"/>
          <w14:textFill>
            <w14:solidFill>
              <w14:schemeClr w14:val="tx1"/>
            </w14:solidFill>
          </w14:textFill>
        </w:rPr>
        <w:t>m高的防火堤，且设有水泵、事故应急池、导流沟等，当厂区某个储罐泄漏时，防火堤可将物料隔离在内，然后泵入或流入污罐或其他空置的储罐内，不会溢出厂外；当发生火灾时，消防废水可暂存于罐区防火堤内或流向事故应急池暂存，不会溢出厂外。</w:t>
      </w:r>
    </w:p>
    <w:p w14:paraId="3FA521FE">
      <w:pPr>
        <w:spacing w:line="360" w:lineRule="auto"/>
        <w:ind w:firstLine="480" w:firstLineChars="200"/>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项目于陆域厂区东北侧设置初期雨水池、事故应急池各1座，有效容积分别为850m</w:t>
      </w:r>
      <w:r>
        <w:rPr>
          <w:rFonts w:hint="eastAsia" w:ascii="Times New Roman" w:hAnsi="Times New Roman" w:cs="Times New Roman"/>
          <w:color w:val="000000" w:themeColor="text1"/>
          <w:szCs w:val="21"/>
          <w:vertAlign w:val="superscript"/>
          <w14:textFill>
            <w14:solidFill>
              <w14:schemeClr w14:val="tx1"/>
            </w14:solidFill>
          </w14:textFill>
        </w:rPr>
        <w:t>3</w:t>
      </w:r>
      <w:r>
        <w:rPr>
          <w:rFonts w:hint="eastAsia" w:ascii="Times New Roman" w:hAnsi="Times New Roman" w:cs="Times New Roman"/>
          <w:color w:val="000000" w:themeColor="text1"/>
          <w:szCs w:val="21"/>
          <w14:textFill>
            <w14:solidFill>
              <w14:schemeClr w14:val="tx1"/>
            </w14:solidFill>
          </w14:textFill>
        </w:rPr>
        <w:t>、6400m</w:t>
      </w:r>
      <w:r>
        <w:rPr>
          <w:rFonts w:hint="eastAsia" w:ascii="Times New Roman" w:hAnsi="Times New Roman" w:cs="Times New Roman"/>
          <w:color w:val="000000" w:themeColor="text1"/>
          <w:szCs w:val="21"/>
          <w:vertAlign w:val="superscript"/>
          <w14:textFill>
            <w14:solidFill>
              <w14:schemeClr w14:val="tx1"/>
            </w14:solidFill>
          </w14:textFill>
        </w:rPr>
        <w:t>3</w:t>
      </w:r>
      <w:r>
        <w:rPr>
          <w:rFonts w:hint="eastAsia" w:ascii="Times New Roman" w:hAnsi="Times New Roman" w:cs="Times New Roman"/>
          <w:color w:val="000000" w:themeColor="text1"/>
          <w:szCs w:val="2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根据10.2.2章节事故应急池计算，项目事故应急池和初期雨水池</w:t>
      </w:r>
      <w:r>
        <w:rPr>
          <w:rFonts w:ascii="Times New Roman" w:hAnsi="Times New Roman" w:cs="Times New Roman"/>
          <w:color w:val="000000" w:themeColor="text1"/>
          <w:szCs w:val="21"/>
          <w14:textFill>
            <w14:solidFill>
              <w14:schemeClr w14:val="tx1"/>
            </w14:solidFill>
          </w14:textFill>
        </w:rPr>
        <w:t>满足事故废水、消防废水、事故期间雨水收集需求。</w:t>
      </w:r>
      <w:r>
        <w:rPr>
          <w:rFonts w:ascii="Times New Roman" w:hAnsi="Times New Roman" w:cs="Times New Roman"/>
          <w:bCs/>
          <w:color w:val="000000" w:themeColor="text1"/>
          <w14:textFill>
            <w14:solidFill>
              <w14:schemeClr w14:val="tx1"/>
            </w14:solidFill>
          </w14:textFill>
        </w:rPr>
        <w:t>事故废水需委托有资质单位或送至污水处理厂进行处理</w:t>
      </w:r>
      <w:r>
        <w:rPr>
          <w:rFonts w:ascii="Times New Roman" w:hAnsi="Times New Roman" w:cs="Times New Roman"/>
          <w:color w:val="000000" w:themeColor="text1"/>
          <w:szCs w:val="21"/>
          <w14:textFill>
            <w14:solidFill>
              <w14:schemeClr w14:val="tx1"/>
            </w14:solidFill>
          </w14:textFill>
        </w:rPr>
        <w:t>；雨污水排放口设置有闸门，避免事故废水排出厂外。经采取三级防控措施后，项目如发生物料泄漏、火灾等事故，废水外排进入外环境的可能性较小，环境风险可控。</w:t>
      </w:r>
    </w:p>
    <w:p w14:paraId="0CFA24D6">
      <w:pPr>
        <w:pStyle w:val="346"/>
        <w:rPr>
          <w:color w:val="000000" w:themeColor="text1"/>
          <w14:textFill>
            <w14:solidFill>
              <w14:schemeClr w14:val="tx1"/>
            </w14:solidFill>
          </w14:textFill>
        </w:rPr>
      </w:pPr>
      <w:bookmarkStart w:id="179" w:name="_Toc84835306"/>
      <w:r>
        <w:rPr>
          <w:color w:val="000000" w:themeColor="text1"/>
          <w14:textFill>
            <w14:solidFill>
              <w14:schemeClr w14:val="tx1"/>
            </w14:solidFill>
          </w14:textFill>
        </w:rPr>
        <w:t>9.3有毒有害物质在地下水环境中的运移扩散</w:t>
      </w:r>
    </w:p>
    <w:p w14:paraId="1019688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本项目有毒有害物质向地下水转移的途径主要为泄漏在厂区内的物料未能及时收集处理的情况下，物料通过地面裂缝、孔隙向地下水漫渗。</w:t>
      </w:r>
    </w:p>
    <w:p w14:paraId="1F16F216">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本项目拟建场地原始地貌为滨海潮间带滩涂地貌单元，项目场地已基本整平，场地现状地形较平坦，现状地面标高约为4.04～5.51m。</w:t>
      </w:r>
      <w:r>
        <w:rPr>
          <w:rFonts w:ascii="Times New Roman" w:hAnsi="Times New Roman" w:cs="Times New Roman"/>
          <w:bCs/>
          <w:color w:val="000000" w:themeColor="text1"/>
          <w14:textFill>
            <w14:solidFill>
              <w14:schemeClr w14:val="tx1"/>
            </w14:solidFill>
          </w14:textFill>
        </w:rPr>
        <w:t>本项目场地为填海区域，</w:t>
      </w:r>
      <w:r>
        <w:rPr>
          <w:rFonts w:hint="eastAsia" w:ascii="Times New Roman" w:hAnsi="Times New Roman" w:cs="Times New Roman"/>
          <w:bCs/>
          <w:color w:val="000000" w:themeColor="text1"/>
          <w14:textFill>
            <w14:solidFill>
              <w14:schemeClr w14:val="tx1"/>
            </w14:solidFill>
          </w14:textFill>
        </w:rPr>
        <w:t>东</w:t>
      </w:r>
      <w:r>
        <w:rPr>
          <w:rFonts w:ascii="Times New Roman" w:hAnsi="Times New Roman" w:cs="Times New Roman"/>
          <w:bCs/>
          <w:color w:val="000000" w:themeColor="text1"/>
          <w14:textFill>
            <w14:solidFill>
              <w14:schemeClr w14:val="tx1"/>
            </w14:solidFill>
          </w14:textFill>
        </w:rPr>
        <w:t>侧已建有海堤防护，本项目场地距离海堤最近距离约为</w:t>
      </w:r>
      <w:r>
        <w:rPr>
          <w:rFonts w:hint="eastAsia" w:ascii="Times New Roman" w:hAnsi="Times New Roman" w:cs="Times New Roman"/>
          <w:bCs/>
          <w:color w:val="000000" w:themeColor="text1"/>
          <w14:textFill>
            <w14:solidFill>
              <w14:schemeClr w14:val="tx1"/>
            </w14:solidFill>
          </w14:textFill>
        </w:rPr>
        <w:t>105</w:t>
      </w:r>
      <w:r>
        <w:rPr>
          <w:rFonts w:ascii="Times New Roman" w:hAnsi="Times New Roman" w:cs="Times New Roman"/>
          <w:bCs/>
          <w:color w:val="000000" w:themeColor="text1"/>
          <w14:textFill>
            <w14:solidFill>
              <w14:schemeClr w14:val="tx1"/>
            </w14:solidFill>
          </w14:textFill>
        </w:rPr>
        <w:t>m。</w:t>
      </w:r>
      <w:r>
        <w:rPr>
          <w:rFonts w:hint="eastAsia" w:ascii="Times New Roman" w:hAnsi="Times New Roman" w:cs="Times New Roman"/>
          <w:bCs/>
          <w:color w:val="000000" w:themeColor="text1"/>
          <w14:textFill>
            <w14:solidFill>
              <w14:schemeClr w14:val="tx1"/>
            </w14:solidFill>
          </w14:textFill>
        </w:rPr>
        <w:t>场地内已建14号泊位码头（一期工程），</w:t>
      </w:r>
      <w:r>
        <w:rPr>
          <w:rFonts w:ascii="Times New Roman" w:hAnsi="Times New Roman" w:cs="Times New Roman"/>
          <w:bCs/>
          <w:color w:val="000000" w:themeColor="text1"/>
          <w14:textFill>
            <w14:solidFill>
              <w14:schemeClr w14:val="tx1"/>
            </w14:solidFill>
          </w14:textFill>
        </w:rPr>
        <w:t>场地内及邻近区域未发现滑坡、地面塌陷等不良地质现象，也未见影响地基稳定的不良地质作用</w:t>
      </w:r>
      <w:r>
        <w:rPr>
          <w:rFonts w:ascii="Times New Roman" w:hAnsi="Times New Roman" w:cs="Times New Roman"/>
          <w:color w:val="000000" w:themeColor="text1"/>
          <w14:textFill>
            <w14:solidFill>
              <w14:schemeClr w14:val="tx1"/>
            </w14:solidFill>
          </w14:textFill>
        </w:rPr>
        <w:t>。</w:t>
      </w:r>
    </w:p>
    <w:p w14:paraId="110483C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场区上覆土层主要为新近人工堆积层（Q</w:t>
      </w:r>
      <w:r>
        <w:rPr>
          <w:rFonts w:ascii="Times New Roman" w:hAnsi="Times New Roman" w:cs="Times New Roman"/>
          <w:color w:val="000000" w:themeColor="text1"/>
          <w:vertAlign w:val="subscript"/>
          <w14:textFill>
            <w14:solidFill>
              <w14:schemeClr w14:val="tx1"/>
            </w14:solidFill>
          </w14:textFill>
        </w:rPr>
        <w:t>4</w:t>
      </w:r>
      <w:r>
        <w:rPr>
          <w:rFonts w:ascii="Times New Roman" w:hAnsi="Times New Roman" w:cs="Times New Roman"/>
          <w:color w:val="000000" w:themeColor="text1"/>
          <w:vertAlign w:val="superscript"/>
          <w14:textFill>
            <w14:solidFill>
              <w14:schemeClr w14:val="tx1"/>
            </w14:solidFill>
          </w14:textFill>
        </w:rPr>
        <w:t>ml</w:t>
      </w:r>
      <w:r>
        <w:rPr>
          <w:rFonts w:ascii="Times New Roman" w:hAnsi="Times New Roman" w:cs="Times New Roman"/>
          <w:color w:val="000000" w:themeColor="text1"/>
          <w14:textFill>
            <w14:solidFill>
              <w14:schemeClr w14:val="tx1"/>
            </w14:solidFill>
          </w14:textFill>
        </w:rPr>
        <w:t>）素填土</w:t>
      </w:r>
      <w:r>
        <w:rPr>
          <w:rFonts w:hint="eastAsia"/>
          <w:color w:val="000000" w:themeColor="text1"/>
          <w14:textFill>
            <w14:solidFill>
              <w14:schemeClr w14:val="tx1"/>
            </w14:solidFill>
          </w14:textFill>
        </w:rPr>
        <w:t>①</w:t>
      </w:r>
      <w:r>
        <w:rPr>
          <w:rFonts w:ascii="Times New Roman" w:hAnsi="Times New Roman" w:cs="Times New Roman"/>
          <w:color w:val="000000" w:themeColor="text1"/>
          <w14:textFill>
            <w14:solidFill>
              <w14:schemeClr w14:val="tx1"/>
            </w14:solidFill>
          </w14:textFill>
        </w:rPr>
        <w:t>、淤泥质粉质黏土</w:t>
      </w:r>
      <w:r>
        <w:rPr>
          <w:rFonts w:hint="eastAsia"/>
          <w:color w:val="000000" w:themeColor="text1"/>
          <w14:textFill>
            <w14:solidFill>
              <w14:schemeClr w14:val="tx1"/>
            </w14:solidFill>
          </w14:textFill>
        </w:rPr>
        <w:t>②</w:t>
      </w:r>
      <w:r>
        <w:rPr>
          <w:rFonts w:ascii="Times New Roman" w:hAnsi="Times New Roman" w:cs="Times New Roman"/>
          <w:color w:val="000000" w:themeColor="text1"/>
          <w14:textFill>
            <w14:solidFill>
              <w14:schemeClr w14:val="tx1"/>
            </w14:solidFill>
          </w14:textFill>
        </w:rPr>
        <w:t>（Q</w:t>
      </w:r>
      <w:r>
        <w:rPr>
          <w:rFonts w:ascii="Times New Roman" w:hAnsi="Times New Roman" w:cs="Times New Roman"/>
          <w:color w:val="000000" w:themeColor="text1"/>
          <w:vertAlign w:val="subscript"/>
          <w14:textFill>
            <w14:solidFill>
              <w14:schemeClr w14:val="tx1"/>
            </w14:solidFill>
          </w14:textFill>
        </w:rPr>
        <w:t>4</w:t>
      </w:r>
      <w:r>
        <w:rPr>
          <w:rFonts w:ascii="Times New Roman" w:hAnsi="Times New Roman" w:cs="Times New Roman"/>
          <w:color w:val="000000" w:themeColor="text1"/>
          <w:vertAlign w:val="superscript"/>
          <w14:textFill>
            <w14:solidFill>
              <w14:schemeClr w14:val="tx1"/>
            </w14:solidFill>
          </w14:textFill>
        </w:rPr>
        <w:t>mc</w:t>
      </w:r>
      <w:r>
        <w:rPr>
          <w:rFonts w:ascii="Times New Roman" w:hAnsi="Times New Roman" w:cs="Times New Roman"/>
          <w:color w:val="000000" w:themeColor="text1"/>
          <w14:textFill>
            <w14:solidFill>
              <w14:schemeClr w14:val="tx1"/>
            </w14:solidFill>
          </w14:textFill>
        </w:rPr>
        <w:t>），下伏基岩为志留系下统连滩群第五组（S</w:t>
      </w:r>
      <w:r>
        <w:rPr>
          <w:rFonts w:ascii="Times New Roman" w:hAnsi="Times New Roman" w:cs="Times New Roman"/>
          <w:color w:val="000000" w:themeColor="text1"/>
          <w:vertAlign w:val="subscript"/>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ln</w:t>
      </w:r>
      <w:r>
        <w:rPr>
          <w:rFonts w:ascii="Times New Roman" w:hAnsi="Times New Roman" w:cs="Times New Roman"/>
          <w:color w:val="000000" w:themeColor="text1"/>
          <w:vertAlign w:val="superscript"/>
          <w14:textFill>
            <w14:solidFill>
              <w14:schemeClr w14:val="tx1"/>
            </w14:solidFill>
          </w14:textFill>
        </w:rPr>
        <w:t>e</w:t>
      </w:r>
      <w:r>
        <w:rPr>
          <w:rFonts w:ascii="Times New Roman" w:hAnsi="Times New Roman" w:cs="Times New Roman"/>
          <w:color w:val="000000" w:themeColor="text1"/>
          <w14:textFill>
            <w14:solidFill>
              <w14:schemeClr w14:val="tx1"/>
            </w14:solidFill>
          </w14:textFill>
        </w:rPr>
        <w:t>）沉积层强风化泥质粉砂岩</w:t>
      </w:r>
      <w:r>
        <w:rPr>
          <w:rFonts w:hint="eastAsia"/>
          <w:color w:val="000000" w:themeColor="text1"/>
          <w14:textFill>
            <w14:solidFill>
              <w14:schemeClr w14:val="tx1"/>
            </w14:solidFill>
          </w14:textFill>
        </w:rPr>
        <w:t>③</w:t>
      </w:r>
      <w:r>
        <w:rPr>
          <w:rFonts w:ascii="Times New Roman" w:hAnsi="Times New Roman" w:cs="Times New Roman"/>
          <w:color w:val="000000" w:themeColor="text1"/>
          <w14:textFill>
            <w14:solidFill>
              <w14:schemeClr w14:val="tx1"/>
            </w14:solidFill>
          </w14:textFill>
        </w:rPr>
        <w:t>、中风化泥质粉砂岩</w:t>
      </w:r>
      <w:r>
        <w:rPr>
          <w:rFonts w:hint="eastAsia"/>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层。</w:t>
      </w:r>
    </w:p>
    <w:p w14:paraId="72FBB668">
      <w:pPr>
        <w:spacing w:line="360" w:lineRule="auto"/>
        <w:ind w:firstLine="480" w:firstLineChars="200"/>
        <w:rPr>
          <w:rFonts w:ascii="Times New Roman" w:hAnsi="Times New Roman" w:cs="Times New Roman"/>
          <w:color w:val="FF0000"/>
        </w:rPr>
      </w:pPr>
      <w:r>
        <w:rPr>
          <w:rFonts w:ascii="Times New Roman" w:hAnsi="Times New Roman" w:cs="Times New Roman"/>
          <w:color w:val="000000" w:themeColor="text1"/>
          <w14:textFill>
            <w14:solidFill>
              <w14:schemeClr w14:val="tx1"/>
            </w14:solidFill>
          </w14:textFill>
        </w:rPr>
        <w:t>孔隙水主要</w:t>
      </w:r>
      <w:r>
        <w:rPr>
          <w:rFonts w:ascii="Times New Roman" w:hAnsi="Times New Roman" w:cs="Times New Roman"/>
          <w:bCs/>
          <w:color w:val="000000" w:themeColor="text1"/>
          <w14:textFill>
            <w14:solidFill>
              <w14:schemeClr w14:val="tx1"/>
            </w14:solidFill>
          </w14:textFill>
        </w:rPr>
        <w:t>赋存于素填土及淤泥质粉质黏土层中，为上层滞水，主要接收场地及附近地表水、海水、大气降水下渗补给，向钦州湾海域呈渗流排泄或蒸发，</w:t>
      </w:r>
      <w:r>
        <w:rPr>
          <w:rFonts w:ascii="Times New Roman" w:hAnsi="Times New Roman" w:cs="Times New Roman"/>
          <w:color w:val="000000" w:themeColor="text1"/>
          <w14:textFill>
            <w14:solidFill>
              <w14:schemeClr w14:val="tx1"/>
            </w14:solidFill>
          </w14:textFill>
        </w:rPr>
        <w:t>水位及水量随季节及周边地表水变化而变化。由于为填海造陆，地下水与海域的联系密切，</w:t>
      </w:r>
      <w:r>
        <w:rPr>
          <w:rFonts w:ascii="Times New Roman" w:hAnsi="Times New Roman" w:cs="Times New Roman"/>
          <w:bCs/>
          <w:color w:val="000000" w:themeColor="text1"/>
          <w14:textFill>
            <w14:solidFill>
              <w14:schemeClr w14:val="tx1"/>
            </w14:solidFill>
          </w14:textFill>
        </w:rPr>
        <w:t>水位埋深3.87</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4.33m，高程为0.03</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1.23m，该层水量较大，受季节影响明显，年水位变化幅度约为1</w:t>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bCs/>
          <w:color w:val="000000" w:themeColor="text1"/>
          <w14:textFill>
            <w14:solidFill>
              <w14:schemeClr w14:val="tx1"/>
            </w14:solidFill>
          </w14:textFill>
        </w:rPr>
        <w:t>2m。</w:t>
      </w:r>
    </w:p>
    <w:p w14:paraId="6FE19166">
      <w:pPr>
        <w:spacing w:line="360" w:lineRule="auto"/>
        <w:ind w:firstLine="480" w:firstLineChars="200"/>
        <w:rPr>
          <w:rFonts w:ascii="Times New Roman" w:hAnsi="Times New Roman" w:cs="Times New Roman"/>
          <w:snapToGrid w:val="0"/>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本项目设置</w:t>
      </w:r>
      <w:r>
        <w:rPr>
          <w:rFonts w:ascii="Times New Roman" w:hAnsi="Times New Roman" w:cs="Times New Roman"/>
          <w:snapToGrid w:val="0"/>
          <w:color w:val="000000" w:themeColor="text1"/>
          <w14:textFill>
            <w14:solidFill>
              <w14:schemeClr w14:val="tx1"/>
            </w14:solidFill>
          </w14:textFill>
        </w:rPr>
        <w:t>分散型控制系统（DCS）、安全联锁系统（SIS）等监控系统，对于运营过程中各个环节进行监控，当发生管道、输送泵、储罐等泄漏时，会第一时间关闭各输送口，防止物料大量泄漏，同时会进行报警，现场的应急人员采取应急措施，检查泄漏管道各输送口是否关闭，如储罐泄漏，采取措施封堵泄漏口。对于小量泄漏的物料，现场人员能在短时间内进行清理；对于大量泄漏的物料，企业应急人员应在24小时内进行收集，并对泄漏场地进行冲洗。在项目运营的各个环节，均有专专业的人员进行管控。根据企业的监控系统、应急响应时间及能力等，本项目物料不会发生连续泄漏， 地下水环境风险可在企业控制范围内。</w:t>
      </w:r>
    </w:p>
    <w:p w14:paraId="7DA9DF05">
      <w:pPr>
        <w:spacing w:line="360" w:lineRule="auto"/>
        <w:outlineLvl w:val="0"/>
        <w:rPr>
          <w:rFonts w:ascii="Times New Roman" w:hAnsi="Times New Roman" w:eastAsia="黑体" w:cs="Times New Roman"/>
          <w:b/>
          <w:bCs/>
          <w:color w:val="000000" w:themeColor="text1"/>
          <w:kern w:val="44"/>
          <w:sz w:val="30"/>
          <w:szCs w:val="30"/>
          <w14:textFill>
            <w14:solidFill>
              <w14:schemeClr w14:val="tx1"/>
            </w14:solidFill>
          </w14:textFill>
        </w:rPr>
        <w:sectPr>
          <w:pgSz w:w="11907" w:h="16840"/>
          <w:pgMar w:top="1440" w:right="1800" w:bottom="1440" w:left="1800" w:header="964" w:footer="964" w:gutter="0"/>
          <w:cols w:space="720" w:num="1"/>
          <w:titlePg/>
          <w:docGrid w:linePitch="326" w:charSpace="-4300"/>
        </w:sectPr>
      </w:pPr>
      <w:bookmarkStart w:id="180" w:name="_Toc144375252"/>
      <w:bookmarkStart w:id="181" w:name="_Toc95759382"/>
      <w:bookmarkStart w:id="182" w:name="_Toc144374991"/>
      <w:bookmarkStart w:id="183" w:name="_Toc146041502"/>
      <w:bookmarkStart w:id="184" w:name="_Toc95759786"/>
    </w:p>
    <w:p w14:paraId="6E1C8A23">
      <w:pPr>
        <w:spacing w:line="360" w:lineRule="auto"/>
        <w:outlineLvl w:val="0"/>
        <w:rPr>
          <w:rFonts w:ascii="Times New Roman" w:hAnsi="Times New Roman" w:eastAsia="黑体" w:cs="Times New Roman"/>
          <w:b/>
          <w:bCs/>
          <w:color w:val="000000" w:themeColor="text1"/>
          <w:kern w:val="44"/>
          <w:sz w:val="30"/>
          <w:szCs w:val="30"/>
          <w14:textFill>
            <w14:solidFill>
              <w14:schemeClr w14:val="tx1"/>
            </w14:solidFill>
          </w14:textFill>
        </w:rPr>
      </w:pPr>
      <w:r>
        <w:rPr>
          <w:rFonts w:ascii="Times New Roman" w:hAnsi="Times New Roman" w:eastAsia="黑体" w:cs="Times New Roman"/>
          <w:b/>
          <w:bCs/>
          <w:color w:val="000000" w:themeColor="text1"/>
          <w:kern w:val="44"/>
          <w:sz w:val="30"/>
          <w:szCs w:val="30"/>
          <w14:textFill>
            <w14:solidFill>
              <w14:schemeClr w14:val="tx1"/>
            </w14:solidFill>
          </w14:textFill>
        </w:rPr>
        <w:t>10、环境风险管理</w:t>
      </w:r>
      <w:bookmarkEnd w:id="179"/>
      <w:bookmarkEnd w:id="180"/>
      <w:bookmarkEnd w:id="181"/>
      <w:bookmarkEnd w:id="182"/>
      <w:bookmarkEnd w:id="183"/>
      <w:bookmarkEnd w:id="184"/>
    </w:p>
    <w:p w14:paraId="5DA1386F">
      <w:pPr>
        <w:pStyle w:val="346"/>
        <w:ind w:firstLine="482" w:firstLineChars="200"/>
        <w:rPr>
          <w:color w:val="000000" w:themeColor="text1"/>
          <w14:textFill>
            <w14:solidFill>
              <w14:schemeClr w14:val="tx1"/>
            </w14:solidFill>
          </w14:textFill>
        </w:rPr>
      </w:pPr>
      <w:bookmarkStart w:id="185" w:name="_Toc144375253"/>
      <w:bookmarkStart w:id="186" w:name="_Toc95759383"/>
      <w:r>
        <w:rPr>
          <w:color w:val="000000" w:themeColor="text1"/>
          <w14:textFill>
            <w14:solidFill>
              <w14:schemeClr w14:val="tx1"/>
            </w14:solidFill>
          </w14:textFill>
        </w:rPr>
        <w:t>10.1环境风险管理目标</w:t>
      </w:r>
      <w:bookmarkEnd w:id="185"/>
      <w:bookmarkEnd w:id="186"/>
    </w:p>
    <w:p w14:paraId="0484D7D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环境风险管理目标是采用最低合理可行原则管控环境风险。采取的环境风险防范措施应与社会经济技术发展水平相适应，运用科学的技术手段和管理方法，对环境风险进行有效</w:t>
      </w:r>
      <w:r>
        <w:rPr>
          <w:rFonts w:hint="eastAsia" w:ascii="Times New Roman" w:hAnsi="Times New Roman" w:cs="Times New Roman"/>
          <w:color w:val="000000" w:themeColor="text1"/>
          <w:lang w:eastAsia="zh-CN"/>
          <w14:textFill>
            <w14:solidFill>
              <w14:schemeClr w14:val="tx1"/>
            </w14:solidFill>
          </w14:textFill>
        </w:rPr>
        <w:t>地</w:t>
      </w:r>
      <w:r>
        <w:rPr>
          <w:rFonts w:ascii="Times New Roman" w:hAnsi="Times New Roman" w:cs="Times New Roman"/>
          <w:color w:val="000000" w:themeColor="text1"/>
          <w14:textFill>
            <w14:solidFill>
              <w14:schemeClr w14:val="tx1"/>
            </w14:solidFill>
          </w14:textFill>
        </w:rPr>
        <w:t>预防、监控、响应。</w:t>
      </w:r>
    </w:p>
    <w:p w14:paraId="426564EB">
      <w:pPr>
        <w:pStyle w:val="346"/>
        <w:ind w:firstLine="482" w:firstLineChars="200"/>
        <w:rPr>
          <w:color w:val="000000" w:themeColor="text1"/>
          <w14:textFill>
            <w14:solidFill>
              <w14:schemeClr w14:val="tx1"/>
            </w14:solidFill>
          </w14:textFill>
        </w:rPr>
      </w:pPr>
      <w:bookmarkStart w:id="187" w:name="_Toc144375254"/>
      <w:r>
        <w:rPr>
          <w:color w:val="000000" w:themeColor="text1"/>
          <w14:textFill>
            <w14:solidFill>
              <w14:schemeClr w14:val="tx1"/>
            </w14:solidFill>
          </w14:textFill>
        </w:rPr>
        <w:t>10.2环境风险防范措施</w:t>
      </w:r>
      <w:bookmarkEnd w:id="187"/>
    </w:p>
    <w:p w14:paraId="724B90C5">
      <w:pPr>
        <w:pStyle w:val="4003"/>
        <w:rPr>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.1现有</w:t>
      </w:r>
      <w:r>
        <w:rPr>
          <w:color w:val="000000" w:themeColor="text1"/>
          <w14:textFill>
            <w14:solidFill>
              <w14:schemeClr w14:val="tx1"/>
            </w14:solidFill>
          </w14:textFill>
        </w:rPr>
        <w:t>风险防范措施</w:t>
      </w:r>
    </w:p>
    <w:p w14:paraId="6B7799C1">
      <w:pPr>
        <w:spacing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根据调查，广西自贸区逸海港务有限责任公司按照最新要求编制了《企业突发环境事件应急预案》，并报钦州市生态环境局备案</w:t>
      </w:r>
      <w:r>
        <w:rPr>
          <w:color w:val="000000" w:themeColor="text1"/>
          <w14:textFill>
            <w14:solidFill>
              <w14:schemeClr w14:val="tx1"/>
            </w14:solidFill>
          </w14:textFill>
        </w:rPr>
        <w:t>。厂区</w:t>
      </w:r>
      <w:r>
        <w:rPr>
          <w:rFonts w:hint="eastAsia"/>
          <w:color w:val="000000" w:themeColor="text1"/>
          <w14:textFill>
            <w14:solidFill>
              <w14:schemeClr w14:val="tx1"/>
            </w14:solidFill>
          </w14:textFill>
        </w:rPr>
        <w:t>内设置了应急物资，消防设施较齐全，现有应急资源及能力基本满足厂区突发环境事件应急要求。</w:t>
      </w:r>
    </w:p>
    <w:p w14:paraId="5F0489CD">
      <w:pPr>
        <w:spacing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企业现有风险防范措施如下表：</w:t>
      </w:r>
    </w:p>
    <w:p w14:paraId="1F3FA12F">
      <w:pPr>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表10-1 企业现有环境风险防范、监控措施一览表</w:t>
      </w:r>
    </w:p>
    <w:tbl>
      <w:tblPr>
        <w:tblStyle w:val="2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1151"/>
        <w:gridCol w:w="6492"/>
      </w:tblGrid>
      <w:tr w14:paraId="14AE3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35" w:type="dxa"/>
            <w:gridSpan w:val="2"/>
            <w:vAlign w:val="center"/>
          </w:tcPr>
          <w:p w14:paraId="533B85B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类别</w:t>
            </w:r>
          </w:p>
        </w:tc>
        <w:tc>
          <w:tcPr>
            <w:tcW w:w="7280" w:type="dxa"/>
            <w:vAlign w:val="center"/>
          </w:tcPr>
          <w:p w14:paraId="477EDA5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现有预防、监控措施</w:t>
            </w:r>
          </w:p>
        </w:tc>
      </w:tr>
      <w:tr w14:paraId="5FCB4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35" w:type="dxa"/>
            <w:gridSpan w:val="2"/>
            <w:vAlign w:val="center"/>
          </w:tcPr>
          <w:p w14:paraId="6115438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总平面布置</w:t>
            </w:r>
          </w:p>
        </w:tc>
        <w:tc>
          <w:tcPr>
            <w:tcW w:w="7280" w:type="dxa"/>
            <w:vAlign w:val="center"/>
          </w:tcPr>
          <w:p w14:paraId="0ED04BF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总平面布置满足主体工程需要，满足《石油库设计规范》（GB50074-2014）设计要求</w:t>
            </w:r>
          </w:p>
        </w:tc>
      </w:tr>
      <w:tr w14:paraId="1085D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35" w:type="dxa"/>
            <w:gridSpan w:val="2"/>
            <w:vAlign w:val="center"/>
          </w:tcPr>
          <w:p w14:paraId="471D0E5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消防系统</w:t>
            </w:r>
          </w:p>
        </w:tc>
        <w:tc>
          <w:tcPr>
            <w:tcW w:w="7280" w:type="dxa"/>
            <w:vAlign w:val="center"/>
          </w:tcPr>
          <w:p w14:paraId="1D2B389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设置2个消防水罐（容积6</w:t>
            </w:r>
            <w:r>
              <w:rPr>
                <w:rFonts w:hint="eastAsia" w:ascii="Times New Roman" w:hAnsi="Times New Roman" w:cs="Times New Roman"/>
                <w:color w:val="000000" w:themeColor="text1"/>
                <w:sz w:val="21"/>
                <w:szCs w:val="21"/>
                <w14:textFill>
                  <w14:solidFill>
                    <w14:schemeClr w14:val="tx1"/>
                  </w14:solidFill>
                </w14:textFill>
              </w:rPr>
              <w:t>4</w:t>
            </w:r>
            <w:r>
              <w:rPr>
                <w:rFonts w:ascii="Times New Roman" w:hAnsi="Times New Roman" w:cs="Times New Roman"/>
                <w:color w:val="000000" w:themeColor="text1"/>
                <w:sz w:val="21"/>
                <w:szCs w:val="21"/>
                <w14:textFill>
                  <w14:solidFill>
                    <w14:schemeClr w14:val="tx1"/>
                  </w14:solidFill>
                </w14:textFill>
              </w:rPr>
              <w:t>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）、低倍数泡沫灭火系统，库区消防管道环状布置，泡沫混合液消防管道支状布置。在装车台、罐区、泵棚等设置一定数量的灭火器材。</w:t>
            </w:r>
          </w:p>
        </w:tc>
      </w:tr>
      <w:tr w14:paraId="66091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35" w:type="dxa"/>
            <w:gridSpan w:val="2"/>
            <w:vAlign w:val="center"/>
          </w:tcPr>
          <w:p w14:paraId="54DB8DD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泄漏监控预警系统</w:t>
            </w:r>
          </w:p>
        </w:tc>
        <w:tc>
          <w:tcPr>
            <w:tcW w:w="7280" w:type="dxa"/>
            <w:vAlign w:val="center"/>
          </w:tcPr>
          <w:p w14:paraId="6B609AA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现有库区设置有可燃气体监控报警系统</w:t>
            </w:r>
          </w:p>
        </w:tc>
      </w:tr>
      <w:tr w14:paraId="245C4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35" w:type="dxa"/>
            <w:gridSpan w:val="2"/>
            <w:vAlign w:val="center"/>
          </w:tcPr>
          <w:p w14:paraId="020C117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火灾报警系统</w:t>
            </w:r>
          </w:p>
        </w:tc>
        <w:tc>
          <w:tcPr>
            <w:tcW w:w="7280" w:type="dxa"/>
            <w:vAlign w:val="center"/>
          </w:tcPr>
          <w:p w14:paraId="30A6010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库区设有手动火灾报警系统</w:t>
            </w:r>
          </w:p>
        </w:tc>
      </w:tr>
      <w:tr w14:paraId="1E0F0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35" w:type="dxa"/>
            <w:gridSpan w:val="2"/>
            <w:vAlign w:val="center"/>
          </w:tcPr>
          <w:p w14:paraId="62FA61B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监控系统</w:t>
            </w:r>
          </w:p>
        </w:tc>
        <w:tc>
          <w:tcPr>
            <w:tcW w:w="7280" w:type="dxa"/>
            <w:vAlign w:val="center"/>
          </w:tcPr>
          <w:p w14:paraId="5504A2D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厂内有独立监控室，对全厂的情况进行监控</w:t>
            </w:r>
          </w:p>
        </w:tc>
      </w:tr>
      <w:tr w14:paraId="5A6B8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9" w:type="dxa"/>
            <w:vMerge w:val="restart"/>
            <w:vAlign w:val="center"/>
          </w:tcPr>
          <w:p w14:paraId="26AB5DB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给排水系统</w:t>
            </w:r>
          </w:p>
        </w:tc>
        <w:tc>
          <w:tcPr>
            <w:tcW w:w="1276" w:type="dxa"/>
            <w:vAlign w:val="center"/>
          </w:tcPr>
          <w:p w14:paraId="5732366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排放口</w:t>
            </w:r>
          </w:p>
        </w:tc>
        <w:tc>
          <w:tcPr>
            <w:tcW w:w="7280" w:type="dxa"/>
            <w:vAlign w:val="center"/>
          </w:tcPr>
          <w:p w14:paraId="7BACA12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雨污分流，雨水排放口、初期雨水排放口设置紧急切断阀</w:t>
            </w:r>
          </w:p>
        </w:tc>
      </w:tr>
      <w:tr w14:paraId="00F38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9" w:type="dxa"/>
            <w:vMerge w:val="continue"/>
            <w:vAlign w:val="center"/>
          </w:tcPr>
          <w:p w14:paraId="2752B6D8">
            <w:pPr>
              <w:jc w:val="center"/>
              <w:rPr>
                <w:rFonts w:ascii="Times New Roman" w:hAnsi="Times New Roman" w:cs="Times New Roman"/>
                <w:color w:val="000000" w:themeColor="text1"/>
                <w:sz w:val="21"/>
                <w:szCs w:val="21"/>
                <w14:textFill>
                  <w14:solidFill>
                    <w14:schemeClr w14:val="tx1"/>
                  </w14:solidFill>
                </w14:textFill>
              </w:rPr>
            </w:pPr>
          </w:p>
        </w:tc>
        <w:tc>
          <w:tcPr>
            <w:tcW w:w="1276" w:type="dxa"/>
            <w:vAlign w:val="center"/>
          </w:tcPr>
          <w:p w14:paraId="2347838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事故废水收集系统</w:t>
            </w:r>
          </w:p>
        </w:tc>
        <w:tc>
          <w:tcPr>
            <w:tcW w:w="7280" w:type="dxa"/>
            <w:vAlign w:val="center"/>
          </w:tcPr>
          <w:p w14:paraId="3D42DF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厂区内设有事故应急池</w:t>
            </w:r>
            <w:r>
              <w:rPr>
                <w:rFonts w:hint="eastAsia" w:ascii="Times New Roman" w:hAnsi="Times New Roman" w:cs="Times New Roman"/>
                <w:color w:val="000000" w:themeColor="text1"/>
                <w:sz w:val="21"/>
                <w:szCs w:val="21"/>
                <w14:textFill>
                  <w14:solidFill>
                    <w14:schemeClr w14:val="tx1"/>
                  </w14:solidFill>
                </w14:textFill>
              </w:rPr>
              <w:t>1</w:t>
            </w:r>
            <w:r>
              <w:rPr>
                <w:rFonts w:ascii="Times New Roman" w:hAnsi="Times New Roman" w:cs="Times New Roman"/>
                <w:color w:val="000000" w:themeColor="text1"/>
                <w:sz w:val="21"/>
                <w:szCs w:val="21"/>
                <w14:textFill>
                  <w14:solidFill>
                    <w14:schemeClr w14:val="tx1"/>
                  </w14:solidFill>
                </w14:textFill>
              </w:rPr>
              <w:t>个，总容积为6</w:t>
            </w:r>
            <w:r>
              <w:rPr>
                <w:rFonts w:hint="eastAsia" w:ascii="Times New Roman" w:hAnsi="Times New Roman" w:cs="Times New Roman"/>
                <w:color w:val="000000" w:themeColor="text1"/>
                <w:sz w:val="21"/>
                <w:szCs w:val="21"/>
                <w14:textFill>
                  <w14:solidFill>
                    <w14:schemeClr w14:val="tx1"/>
                  </w14:solidFill>
                </w14:textFill>
              </w:rPr>
              <w:t>4</w:t>
            </w:r>
            <w:r>
              <w:rPr>
                <w:rFonts w:ascii="Times New Roman" w:hAnsi="Times New Roman" w:cs="Times New Roman"/>
                <w:color w:val="000000" w:themeColor="text1"/>
                <w:sz w:val="21"/>
                <w:szCs w:val="21"/>
                <w14:textFill>
                  <w14:solidFill>
                    <w14:schemeClr w14:val="tx1"/>
                  </w14:solidFill>
                </w14:textFill>
              </w:rPr>
              <w:t>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，初期雨水池1个，容积为</w:t>
            </w:r>
            <w:r>
              <w:rPr>
                <w:rFonts w:hint="eastAsia" w:ascii="Times New Roman" w:hAnsi="Times New Roman" w:cs="Times New Roman"/>
                <w:color w:val="000000" w:themeColor="text1"/>
                <w:sz w:val="21"/>
                <w:szCs w:val="21"/>
                <w14:textFill>
                  <w14:solidFill>
                    <w14:schemeClr w14:val="tx1"/>
                  </w14:solidFill>
                </w14:textFill>
              </w:rPr>
              <w:t>850</w:t>
            </w:r>
            <w:r>
              <w:rPr>
                <w:rFonts w:ascii="Times New Roman" w:hAnsi="Times New Roman" w:cs="Times New Roman"/>
                <w:color w:val="000000" w:themeColor="text1"/>
                <w:sz w:val="21"/>
                <w:szCs w:val="21"/>
                <w14:textFill>
                  <w14:solidFill>
                    <w14:schemeClr w14:val="tx1"/>
                  </w14:solidFill>
                </w14:textFill>
              </w:rPr>
              <w:t>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。每个罐组均设有防火堤</w:t>
            </w:r>
          </w:p>
        </w:tc>
      </w:tr>
    </w:tbl>
    <w:p w14:paraId="4D42D983">
      <w:pPr>
        <w:pStyle w:val="4003"/>
        <w:rPr>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大气风险防范措施</w:t>
      </w:r>
    </w:p>
    <w:p w14:paraId="1DD78A19">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本项目大气风险防范措施包括物料泄漏挥发、废气非正常排放、火灾爆炸事故对大气的影响防范措施。</w:t>
      </w:r>
    </w:p>
    <w:p w14:paraId="2EC10982">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（1）防范措施</w:t>
      </w:r>
    </w:p>
    <w:p w14:paraId="6403F527">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rFonts w:ascii="Times New Roman" w:hAnsi="Times New Roman" w:cs="Times New Roman"/>
          <w:bCs/>
          <w:color w:val="000000" w:themeColor="text1"/>
          <w14:textFill>
            <w14:solidFill>
              <w14:schemeClr w14:val="tx1"/>
            </w14:solidFill>
          </w14:textFill>
        </w:rPr>
        <w:t>项目在运营过程中，定期检测DCS控制系统、安全联锁系统（SIS）等系统对运营过程的控制，防止在装卸过程中，由于检测系统问题造成储罐内液位过高造成的泄漏等事故。同时定期检测输送管线的密闭性，减少</w:t>
      </w:r>
      <w:r>
        <w:rPr>
          <w:rFonts w:hint="eastAsia" w:ascii="Times New Roman" w:hAnsi="Times New Roman" w:cs="Times New Roman"/>
          <w:bCs/>
          <w:color w:val="000000" w:themeColor="text1"/>
          <w14:textFill>
            <w14:solidFill>
              <w14:schemeClr w14:val="tx1"/>
            </w14:solidFill>
          </w14:textFill>
        </w:rPr>
        <w:t>硫</w:t>
      </w:r>
      <w:r>
        <w:rPr>
          <w:rFonts w:ascii="Times New Roman" w:hAnsi="Times New Roman" w:cs="Times New Roman"/>
          <w:bCs/>
          <w:color w:val="000000" w:themeColor="text1"/>
          <w14:textFill>
            <w14:solidFill>
              <w14:schemeClr w14:val="tx1"/>
            </w14:solidFill>
          </w14:textFill>
        </w:rPr>
        <w:t>酸雾等的挥发。</w:t>
      </w:r>
    </w:p>
    <w:p w14:paraId="71416966">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②</w:t>
      </w:r>
      <w:r>
        <w:rPr>
          <w:rFonts w:ascii="Times New Roman" w:hAnsi="Times New Roman" w:cs="Times New Roman"/>
          <w:bCs/>
          <w:color w:val="000000" w:themeColor="text1"/>
          <w14:textFill>
            <w14:solidFill>
              <w14:schemeClr w14:val="tx1"/>
            </w14:solidFill>
          </w14:textFill>
        </w:rPr>
        <w:t>罐区设置围堰或地沟，当发生物料泄漏后，泄漏的物料进入围堰内，经管道自流进入事故池内。</w:t>
      </w:r>
    </w:p>
    <w:p w14:paraId="6B2DEB48">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③装卸区地面及周边区域采用刚性防渗处理，装车棚四周设置截流沟和废水收集池，废水池设置切换阀接入事故应急池，防止液体外溢扩散。装卸站设置视频监控系统、紧急切断阀、有毒气体检测器、可燃气体检测器和火灾报警系统等，可在物料泄漏或火灾时快速切断及撤离。</w:t>
      </w:r>
    </w:p>
    <w:p w14:paraId="3BF7420B">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④</w:t>
      </w:r>
      <w:r>
        <w:rPr>
          <w:rFonts w:ascii="Times New Roman" w:hAnsi="Times New Roman" w:cs="Times New Roman"/>
          <w:bCs/>
          <w:color w:val="000000" w:themeColor="text1"/>
          <w14:textFill>
            <w14:solidFill>
              <w14:schemeClr w14:val="tx1"/>
            </w14:solidFill>
          </w14:textFill>
        </w:rPr>
        <w:t>定期检查电路、电线，使用符合项目作业环境的安全电压，各易燃易爆场所的电气装置设计严格按《爆炸和火灾危险环境电力装置设计规范》执行。防止因电气设备、静电装置故障引起电气火灾事故。</w:t>
      </w:r>
    </w:p>
    <w:p w14:paraId="16BC31DD">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⑤</w:t>
      </w:r>
      <w:r>
        <w:rPr>
          <w:rFonts w:ascii="Times New Roman" w:hAnsi="Times New Roman" w:cs="Times New Roman"/>
          <w:bCs/>
          <w:color w:val="000000" w:themeColor="text1"/>
          <w14:textFill>
            <w14:solidFill>
              <w14:schemeClr w14:val="tx1"/>
            </w14:solidFill>
          </w14:textFill>
        </w:rPr>
        <w:t>在有毒气体和可燃气体可泄漏的场所，根据规范设置有毒气体检测仪或可燃气体检测仪，随时检测操作环境中有害气体的浓度，以便采取必要的处理设施。</w:t>
      </w:r>
    </w:p>
    <w:p w14:paraId="282B2C8F">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⑥</w:t>
      </w:r>
      <w:r>
        <w:rPr>
          <w:rFonts w:ascii="Times New Roman" w:hAnsi="Times New Roman" w:cs="Times New Roman"/>
          <w:bCs/>
          <w:color w:val="000000" w:themeColor="text1"/>
          <w14:textFill>
            <w14:solidFill>
              <w14:schemeClr w14:val="tx1"/>
            </w14:solidFill>
          </w14:textFill>
        </w:rPr>
        <w:t>定期对废气处理装置进行日常维护保养工作，确保废气处理装置保持良好的运行状态。若发现故障，应立即进行维修并定期进行后期维护。</w:t>
      </w:r>
    </w:p>
    <w:p w14:paraId="7D7EC253">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⑦</w:t>
      </w:r>
      <w:r>
        <w:rPr>
          <w:rFonts w:ascii="Times New Roman" w:hAnsi="Times New Roman" w:cs="Times New Roman"/>
          <w:bCs/>
          <w:color w:val="000000" w:themeColor="text1"/>
          <w14:textFill>
            <w14:solidFill>
              <w14:schemeClr w14:val="tx1"/>
            </w14:solidFill>
          </w14:textFill>
        </w:rPr>
        <w:t>控制与消除火源，工作时严禁吸烟、携带火种、穿带钉皮鞋等进入易燃易爆区。动火必须按动火手续办理动火证，采取有效的防范措施。使用防爆型电器。转动设备部位要保持清洁，防止因摩擦引起杂物等燃烧。</w:t>
      </w:r>
    </w:p>
    <w:p w14:paraId="718461E3">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⑧</w:t>
      </w:r>
      <w:r>
        <w:rPr>
          <w:rFonts w:ascii="Times New Roman" w:hAnsi="Times New Roman" w:cs="Times New Roman"/>
          <w:bCs/>
          <w:color w:val="000000" w:themeColor="text1"/>
          <w14:textFill>
            <w14:solidFill>
              <w14:schemeClr w14:val="tx1"/>
            </w14:solidFill>
          </w14:textFill>
        </w:rPr>
        <w:t>加强管理、严格纪律，遵守各项规章制度和操作规程,严格执行岗位责任制，坚持巡回检查，发现问题及时处理，如通风、管线是否泄漏,消防通道、地沟是否通畅等，检修时，做好隔离，清洗干净，分析合格后，要有现场监护在通风良好的条件下方能动火。</w:t>
      </w:r>
    </w:p>
    <w:p w14:paraId="20167E8B">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（2）减缓措施</w:t>
      </w:r>
    </w:p>
    <w:p w14:paraId="05A34C13">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rFonts w:ascii="Times New Roman" w:hAnsi="Times New Roman" w:cs="Times New Roman"/>
          <w:bCs/>
          <w:color w:val="000000" w:themeColor="text1"/>
          <w14:textFill>
            <w14:solidFill>
              <w14:schemeClr w14:val="tx1"/>
            </w14:solidFill>
          </w14:textFill>
        </w:rPr>
        <w:t>罐区发生的泄漏等突发环境事件，应及时采取措施予以收集。</w:t>
      </w:r>
    </w:p>
    <w:p w14:paraId="6BBCBFD0">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②装卸区发生泄漏等突发环境事件时，应及时采取紧急切断及物料收集措施，避免物料外溢及污染影响扩大。</w:t>
      </w:r>
    </w:p>
    <w:p w14:paraId="39B82566">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③</w:t>
      </w:r>
      <w:r>
        <w:rPr>
          <w:rFonts w:ascii="Times New Roman" w:hAnsi="Times New Roman" w:cs="Times New Roman"/>
          <w:bCs/>
          <w:color w:val="000000" w:themeColor="text1"/>
          <w14:textFill>
            <w14:solidFill>
              <w14:schemeClr w14:val="tx1"/>
            </w14:solidFill>
          </w14:textFill>
        </w:rPr>
        <w:t>敞开空间内的泄漏事故发生时，应首先查找泄漏源，及时修补容器或管道，以防污染物更多</w:t>
      </w:r>
      <w:r>
        <w:rPr>
          <w:rFonts w:hint="eastAsia" w:ascii="Times New Roman" w:hAnsi="Times New Roman" w:cs="Times New Roman"/>
          <w:bCs/>
          <w:color w:val="000000" w:themeColor="text1"/>
          <w:lang w:eastAsia="zh-CN"/>
          <w14:textFill>
            <w14:solidFill>
              <w14:schemeClr w14:val="tx1"/>
            </w14:solidFill>
          </w14:textFill>
        </w:rPr>
        <w:t>地</w:t>
      </w:r>
      <w:r>
        <w:rPr>
          <w:rFonts w:ascii="Times New Roman" w:hAnsi="Times New Roman" w:cs="Times New Roman"/>
          <w:bCs/>
          <w:color w:val="000000" w:themeColor="text1"/>
          <w14:textFill>
            <w14:solidFill>
              <w14:schemeClr w14:val="tx1"/>
            </w14:solidFill>
          </w14:textFill>
        </w:rPr>
        <w:t>泄漏；为降低物料向大气中的蒸发速度，可用泡沫或其他覆盖物品覆盖外泄的物料，在其表面形成覆盖层，抑制其蒸发，以减小对环境空气的影响。极易挥发物料发生泄漏后，应对扩散至大气中的污染物采用洗消等措施，减小对环境空气的影响。</w:t>
      </w:r>
    </w:p>
    <w:p w14:paraId="7921B7D0">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④</w:t>
      </w:r>
      <w:r>
        <w:rPr>
          <w:rFonts w:ascii="Times New Roman" w:hAnsi="Times New Roman" w:cs="Times New Roman"/>
          <w:bCs/>
          <w:color w:val="000000" w:themeColor="text1"/>
          <w14:textFill>
            <w14:solidFill>
              <w14:schemeClr w14:val="tx1"/>
            </w14:solidFill>
          </w14:textFill>
        </w:rPr>
        <w:t>火灾、爆炸等事故发生时，应使用干粉或二氧化碳灭火器等扑救，灭火过程同时对邻近仓库、储罐进行冷却降温，以降低相邻仓库、储罐发生联锁爆炸的可能性。同时对扩散至空气中的未燃烧物、烟尘等污染物进行洗消，以减小对环境空气的影响。</w:t>
      </w:r>
    </w:p>
    <w:p w14:paraId="3A990FE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rFonts w:ascii="Times New Roman" w:hAnsi="Times New Roman" w:cs="Times New Roman"/>
          <w:color w:val="000000" w:themeColor="text1"/>
          <w14:textFill>
            <w14:solidFill>
              <w14:schemeClr w14:val="tx1"/>
            </w14:solidFill>
          </w14:textFill>
        </w:rPr>
        <w:t>若初始火灾会涉及到电气线路或设施设备时，则应先切断电源，然后再用干粉或者二氧化碳灭火器灭火。</w:t>
      </w:r>
    </w:p>
    <w:p w14:paraId="274B114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⑥</w:t>
      </w:r>
      <w:r>
        <w:rPr>
          <w:rFonts w:ascii="Times New Roman" w:hAnsi="Times New Roman" w:cs="Times New Roman"/>
          <w:color w:val="000000" w:themeColor="text1"/>
          <w14:textFill>
            <w14:solidFill>
              <w14:schemeClr w14:val="tx1"/>
            </w14:solidFill>
          </w14:textFill>
        </w:rPr>
        <w:t>当初始火灾威胁到邻近危险化学品时，应对受威胁的危险化学品进行转移或冷却。防止险情扩大。</w:t>
      </w:r>
    </w:p>
    <w:p w14:paraId="468DEAF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（3）疏散方式、方法</w:t>
      </w:r>
    </w:p>
    <w:p w14:paraId="6819FB2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事故状态下，根据气象条件及交通情况，选择向远离泄漏点上风向疏散。疏散过程中应注意交通情况，有序疏散，防治发生交通事故及踩踏伤害。</w:t>
      </w:r>
    </w:p>
    <w:p w14:paraId="50E578FE">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rFonts w:ascii="Times New Roman" w:hAnsi="Times New Roman" w:cs="Times New Roman"/>
          <w:bCs/>
          <w:color w:val="000000" w:themeColor="text1"/>
          <w14:textFill>
            <w14:solidFill>
              <w14:schemeClr w14:val="tx1"/>
            </w14:solidFill>
          </w14:textFill>
        </w:rPr>
        <w:t>保证疏散指示标志明显，应急疏散通道出口通畅，应急照明灯能正常使用。</w:t>
      </w:r>
    </w:p>
    <w:p w14:paraId="4ACDD4CA">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②</w:t>
      </w:r>
      <w:r>
        <w:rPr>
          <w:rFonts w:ascii="Times New Roman" w:hAnsi="Times New Roman" w:cs="Times New Roman"/>
          <w:bCs/>
          <w:color w:val="000000" w:themeColor="text1"/>
          <w14:textFill>
            <w14:solidFill>
              <w14:schemeClr w14:val="tx1"/>
            </w14:solidFill>
          </w14:textFill>
        </w:rPr>
        <w:t>明确疏散计划，由应急指挥部发出疏散命令后，应急消防组按负责部位进入指定位置，立即组织人员疏散。防止不分先后，发生拥挤影响顺利疏散。</w:t>
      </w:r>
    </w:p>
    <w:p w14:paraId="0B968AFE">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③</w:t>
      </w:r>
      <w:r>
        <w:rPr>
          <w:rFonts w:ascii="Times New Roman" w:hAnsi="Times New Roman" w:cs="Times New Roman"/>
          <w:bCs/>
          <w:color w:val="000000" w:themeColor="text1"/>
          <w14:textFill>
            <w14:solidFill>
              <w14:schemeClr w14:val="tx1"/>
            </w14:solidFill>
          </w14:textFill>
        </w:rPr>
        <w:t>应急消防组用最快速度通知现场人员，按疏散的方向通道进行疏散。积极配合好有关部门（公安消防大队）进行疏散工作，主动汇报事故现场情况。</w:t>
      </w:r>
    </w:p>
    <w:p w14:paraId="69CC648C">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④</w:t>
      </w:r>
      <w:r>
        <w:rPr>
          <w:rFonts w:ascii="Times New Roman" w:hAnsi="Times New Roman" w:cs="Times New Roman"/>
          <w:bCs/>
          <w:color w:val="000000" w:themeColor="text1"/>
          <w14:textFill>
            <w14:solidFill>
              <w14:schemeClr w14:val="tx1"/>
            </w14:solidFill>
          </w14:textFill>
        </w:rPr>
        <w:t>事故现场有被困人员时，疏导人员应劝导被困人员，服从指挥，做到有组织、有秩序地疏散。</w:t>
      </w:r>
    </w:p>
    <w:p w14:paraId="7883C961">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⑤</w:t>
      </w:r>
      <w:r>
        <w:rPr>
          <w:rFonts w:ascii="Times New Roman" w:hAnsi="Times New Roman" w:cs="Times New Roman"/>
          <w:bCs/>
          <w:color w:val="000000" w:themeColor="text1"/>
          <w14:textFill>
            <w14:solidFill>
              <w14:schemeClr w14:val="tx1"/>
            </w14:solidFill>
          </w14:textFill>
        </w:rPr>
        <w:t>对疏散出的人员，要加强脱险后的管理，防止脱险人员对财产和未撤离危险区的亲友生命担心而重新返回事故现场。必要时，在进入危险区域的关键部位配备警戒人员。</w:t>
      </w:r>
    </w:p>
    <w:p w14:paraId="57130BE1">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⑥</w:t>
      </w:r>
      <w:r>
        <w:rPr>
          <w:rFonts w:ascii="Times New Roman" w:hAnsi="Times New Roman" w:cs="Times New Roman"/>
          <w:bCs/>
          <w:color w:val="000000" w:themeColor="text1"/>
          <w14:textFill>
            <w14:solidFill>
              <w14:schemeClr w14:val="tx1"/>
            </w14:solidFill>
          </w14:textFill>
        </w:rPr>
        <w:t>专业救援队伍到达现场后，疏导人员若知晓内部被困人员情况，要迅速报告，介绍被困人员方位、数量。</w:t>
      </w:r>
    </w:p>
    <w:p w14:paraId="0224F03E">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⑦</w:t>
      </w:r>
      <w:r>
        <w:rPr>
          <w:rFonts w:ascii="Times New Roman" w:hAnsi="Times New Roman" w:cs="Times New Roman"/>
          <w:bCs/>
          <w:color w:val="000000" w:themeColor="text1"/>
          <w14:textFill>
            <w14:solidFill>
              <w14:schemeClr w14:val="tx1"/>
            </w14:solidFill>
          </w14:textFill>
        </w:rPr>
        <w:t>由专人引导和防护疏散人员到安全区，并在疏散或撤离的路线上设立哨位，还应携带小红旗等标志物，指明方向，以便于疏散人员的引导。</w:t>
      </w:r>
    </w:p>
    <w:p w14:paraId="223B52C8">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（4）紧急避难场所</w:t>
      </w:r>
    </w:p>
    <w:p w14:paraId="518DDC85">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rFonts w:ascii="Times New Roman" w:hAnsi="Times New Roman" w:cs="Times New Roman"/>
          <w:bCs/>
          <w:color w:val="000000" w:themeColor="text1"/>
          <w14:textFill>
            <w14:solidFill>
              <w14:schemeClr w14:val="tx1"/>
            </w14:solidFill>
          </w14:textFill>
        </w:rPr>
        <w:t>选择厂区大门前空地及停车场区域作为紧急避难场所。</w:t>
      </w:r>
    </w:p>
    <w:p w14:paraId="3DCCE8A4">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②</w:t>
      </w:r>
      <w:r>
        <w:rPr>
          <w:rFonts w:ascii="Times New Roman" w:hAnsi="Times New Roman" w:cs="Times New Roman"/>
          <w:bCs/>
          <w:color w:val="000000" w:themeColor="text1"/>
          <w14:textFill>
            <w14:solidFill>
              <w14:schemeClr w14:val="tx1"/>
            </w14:solidFill>
          </w14:textFill>
        </w:rPr>
        <w:t>做好宣传工作，确保所有人了解紧急避难场所的位置和功能。</w:t>
      </w:r>
    </w:p>
    <w:p w14:paraId="46618B65">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③</w:t>
      </w:r>
      <w:r>
        <w:rPr>
          <w:rFonts w:ascii="Times New Roman" w:hAnsi="Times New Roman" w:cs="Times New Roman"/>
          <w:bCs/>
          <w:color w:val="000000" w:themeColor="text1"/>
          <w14:textFill>
            <w14:solidFill>
              <w14:schemeClr w14:val="tx1"/>
            </w14:solidFill>
          </w14:textFill>
        </w:rPr>
        <w:t>紧急避难场所必须有醒目的标志牌。</w:t>
      </w:r>
    </w:p>
    <w:p w14:paraId="0B254537">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④</w:t>
      </w:r>
      <w:r>
        <w:rPr>
          <w:rFonts w:ascii="Times New Roman" w:hAnsi="Times New Roman" w:cs="Times New Roman"/>
          <w:color w:val="000000" w:themeColor="text1"/>
          <w14:textFill>
            <w14:solidFill>
              <w14:schemeClr w14:val="tx1"/>
            </w14:solidFill>
          </w14:textFill>
        </w:rPr>
        <w:t>当事故较大而厂内无法安置时，可由政府部门牵头设置安置场所。</w:t>
      </w:r>
    </w:p>
    <w:p w14:paraId="7FB5B557">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（5）周边道路隔离和交通疏导办法</w:t>
      </w:r>
    </w:p>
    <w:p w14:paraId="32C52AD1">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发生较大突发环境事件时，为配合救援工作开展需进行交通管制时，警戒维护组应配合交警进行交通管制。</w:t>
      </w:r>
    </w:p>
    <w:p w14:paraId="57D4D993">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rFonts w:ascii="Times New Roman" w:hAnsi="Times New Roman" w:cs="Times New Roman"/>
          <w:bCs/>
          <w:color w:val="000000" w:themeColor="text1"/>
          <w14:textFill>
            <w14:solidFill>
              <w14:schemeClr w14:val="tx1"/>
            </w14:solidFill>
          </w14:textFill>
        </w:rPr>
        <w:t>设置路障，封锁通往事故现场的道路，防止车辆或者人员再次进入事故现场。警戒区域的边界应设警示标志，并有专人警戒。</w:t>
      </w:r>
    </w:p>
    <w:p w14:paraId="396555F1">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②</w:t>
      </w:r>
      <w:r>
        <w:rPr>
          <w:rFonts w:ascii="Times New Roman" w:hAnsi="Times New Roman" w:cs="Times New Roman"/>
          <w:bCs/>
          <w:color w:val="000000" w:themeColor="text1"/>
          <w14:textFill>
            <w14:solidFill>
              <w14:schemeClr w14:val="tx1"/>
            </w14:solidFill>
          </w14:textFill>
        </w:rPr>
        <w:t>配合好进入事故现场的应急救援小队，确保应急救援小队进出现场自由通畅。</w:t>
      </w:r>
    </w:p>
    <w:p w14:paraId="73FE9262">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③</w:t>
      </w:r>
      <w:r>
        <w:rPr>
          <w:rFonts w:ascii="Times New Roman" w:hAnsi="Times New Roman" w:cs="Times New Roman"/>
          <w:bCs/>
          <w:color w:val="000000" w:themeColor="text1"/>
          <w14:textFill>
            <w14:solidFill>
              <w14:schemeClr w14:val="tx1"/>
            </w14:solidFill>
          </w14:textFill>
        </w:rPr>
        <w:t>引导需经过事故现场的车辆或行人临时绕道，确保车辆行人不受危险物质的伤害。</w:t>
      </w:r>
    </w:p>
    <w:p w14:paraId="62032A71">
      <w:pPr>
        <w:pStyle w:val="4003"/>
        <w:rPr>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事故废水风险防范措施</w:t>
      </w:r>
    </w:p>
    <w:p w14:paraId="44549295">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（1）构筑环境风险三级应急防范体系</w:t>
      </w:r>
    </w:p>
    <w:p w14:paraId="71DEEE13">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rFonts w:ascii="Times New Roman" w:hAnsi="Times New Roman" w:cs="Times New Roman"/>
          <w:bCs/>
          <w:color w:val="000000" w:themeColor="text1"/>
          <w14:textFill>
            <w14:solidFill>
              <w14:schemeClr w14:val="tx1"/>
            </w14:solidFill>
          </w14:textFill>
        </w:rPr>
        <w:t>第一级防控体系的功能主要是将事故废水控制在事故风险源所在区域单元，该体系主要是由储罐区防火堤</w:t>
      </w:r>
      <w:r>
        <w:rPr>
          <w:rFonts w:hint="eastAsia" w:ascii="Times New Roman" w:hAnsi="Times New Roman" w:cs="Times New Roman"/>
          <w:bCs/>
          <w:color w:val="000000" w:themeColor="text1"/>
          <w14:textFill>
            <w14:solidFill>
              <w14:schemeClr w14:val="tx1"/>
            </w14:solidFill>
          </w14:textFill>
        </w:rPr>
        <w:t>、各储罐管道阀门、装卸区的紧急切断、截流沟和废液收集池等配套基础设施组成，</w:t>
      </w:r>
      <w:r>
        <w:rPr>
          <w:rFonts w:ascii="Times New Roman" w:hAnsi="Times New Roman" w:cs="Times New Roman"/>
          <w:bCs/>
          <w:color w:val="000000" w:themeColor="text1"/>
          <w14:textFill>
            <w14:solidFill>
              <w14:schemeClr w14:val="tx1"/>
            </w14:solidFill>
          </w14:textFill>
        </w:rPr>
        <w:t>防止污染雨水和轻微事故泄漏造成的环境污染</w:t>
      </w:r>
      <w:r>
        <w:rPr>
          <w:rFonts w:hint="eastAsia" w:ascii="Times New Roman" w:hAnsi="Times New Roman" w:cs="Times New Roman"/>
          <w:bCs/>
          <w:color w:val="000000" w:themeColor="text1"/>
          <w14:textFill>
            <w14:solidFill>
              <w14:schemeClr w14:val="tx1"/>
            </w14:solidFill>
          </w14:textFill>
        </w:rPr>
        <w:t>。本项目罐区设置1.4m高的防火堤，罐区防火堤外设置的雨水系统阀门为常关。发生事故时，事故区工艺物料、消防水及雨水均被拦截在防火堤内。未发生事故的区域内雨水不会进入事故水收集系统，而是被截留在未发生事故的防火堤内，从而减少事故水的容积。装卸区装车棚四周设置截水沟以及2个废水收集池（单个容积为2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），发生泄漏事故时将泄漏的物料导入废水收集池收集。</w:t>
      </w:r>
    </w:p>
    <w:p w14:paraId="3BB1A124">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②</w:t>
      </w:r>
      <w:r>
        <w:rPr>
          <w:rFonts w:ascii="Times New Roman" w:hAnsi="Times New Roman" w:cs="Times New Roman"/>
          <w:bCs/>
          <w:color w:val="000000" w:themeColor="text1"/>
          <w14:textFill>
            <w14:solidFill>
              <w14:schemeClr w14:val="tx1"/>
            </w14:solidFill>
          </w14:textFill>
        </w:rPr>
        <w:t>第二级防控体系</w:t>
      </w:r>
      <w:r>
        <w:rPr>
          <w:rFonts w:hint="eastAsia" w:ascii="Times New Roman" w:hAnsi="Times New Roman" w:cs="Times New Roman"/>
          <w:bCs/>
          <w:color w:val="000000" w:themeColor="text1"/>
          <w14:textFill>
            <w14:solidFill>
              <w14:schemeClr w14:val="tx1"/>
            </w14:solidFill>
          </w14:textFill>
        </w:rPr>
        <w:t>雨排水切断系统、导流沟组成，本项目罐区均设置雨污水截断设施，事故状态下能有效截断，防止事故液外流。当罐区防火堤、装卸区废水收集池不能控制泄漏物料或事故废水时，关闭雨水排放口应急阀门，将风险事故控制在厂区内。打开初期雨水及事故应急池收集系统的切换阀，将事故废水收集进入初期雨水池和事故应急池中，同时导流沟将罐区外的事故废水收集进入事故应急池。</w:t>
      </w:r>
    </w:p>
    <w:p w14:paraId="5A78FCFF">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③第三级防控体系由事故应急池、初期雨水池组成，</w:t>
      </w:r>
      <w:r>
        <w:rPr>
          <w:rFonts w:ascii="Times New Roman" w:hAnsi="Times New Roman" w:cs="Times New Roman"/>
          <w:bCs/>
          <w:color w:val="000000" w:themeColor="text1"/>
          <w14:textFill>
            <w14:solidFill>
              <w14:schemeClr w14:val="tx1"/>
            </w14:solidFill>
          </w14:textFill>
        </w:rPr>
        <w:t>防止单套装置（罐区）较大事故泄漏物料和消防废水造成的环境污染。事故应急池应在突发事故状态下拦截和收集厂区范围内的事故废水，避免其危害外部环境致使事故扩大化，因此事故应急池被视为企业的关键防控设施体系。事故应急池应必需具备以下基本属性要求：专一性，禁止他用；自流式，即进水方式不依赖动力；池容足够大；地下式，防蚀防渗。</w:t>
      </w:r>
      <w:r>
        <w:rPr>
          <w:rFonts w:hint="eastAsia" w:ascii="Times New Roman" w:hAnsi="Times New Roman" w:cs="Times New Roman"/>
          <w:bCs/>
          <w:color w:val="000000" w:themeColor="text1"/>
          <w14:textFill>
            <w14:solidFill>
              <w14:schemeClr w14:val="tx1"/>
            </w14:solidFill>
          </w14:textFill>
        </w:rPr>
        <w:t>本项目设置6400m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的事故应急池和850m</w:t>
      </w:r>
      <w:r>
        <w:rPr>
          <w:rFonts w:hint="eastAsia" w:ascii="Times New Roman" w:hAnsi="Times New Roman" w:cs="Times New Roman"/>
          <w:bCs/>
          <w:color w:val="000000" w:themeColor="text1"/>
          <w:vertAlign w:val="superscript"/>
          <w14:textFill>
            <w14:solidFill>
              <w14:schemeClr w14:val="tx1"/>
            </w14:solidFill>
          </w14:textFill>
        </w:rPr>
        <w:t>3</w:t>
      </w:r>
      <w:r>
        <w:rPr>
          <w:rFonts w:hint="eastAsia" w:ascii="Times New Roman" w:hAnsi="Times New Roman" w:cs="Times New Roman"/>
          <w:bCs/>
          <w:color w:val="000000" w:themeColor="text1"/>
          <w14:textFill>
            <w14:solidFill>
              <w14:schemeClr w14:val="tx1"/>
            </w14:solidFill>
          </w14:textFill>
        </w:rPr>
        <w:t>的初期雨水池，在发生事故的情况下，能通过管道将事故废水导流进入事故应急池和初期雨水池中，将事故废水控制在厂区内</w:t>
      </w:r>
      <w:r>
        <w:rPr>
          <w:rFonts w:ascii="Times New Roman" w:hAnsi="Times New Roman" w:cs="Times New Roman"/>
          <w:bCs/>
          <w:color w:val="000000" w:themeColor="text1"/>
          <w14:textFill>
            <w14:solidFill>
              <w14:schemeClr w14:val="tx1"/>
            </w14:solidFill>
          </w14:textFill>
        </w:rPr>
        <w:t>。</w:t>
      </w:r>
    </w:p>
    <w:tbl>
      <w:tblPr>
        <w:tblStyle w:val="89"/>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410"/>
        <w:gridCol w:w="3118"/>
        <w:gridCol w:w="2268"/>
      </w:tblGrid>
      <w:tr w14:paraId="44408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4" w:hRule="atLeast"/>
        </w:trPr>
        <w:tc>
          <w:tcPr>
            <w:tcW w:w="817" w:type="dxa"/>
            <w:vMerge w:val="restart"/>
            <w:vAlign w:val="center"/>
          </w:tcPr>
          <w:p w14:paraId="13E6948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区域</w:t>
            </w:r>
          </w:p>
        </w:tc>
        <w:tc>
          <w:tcPr>
            <w:tcW w:w="2410" w:type="dxa"/>
          </w:tcPr>
          <w:p w14:paraId="00614834">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314325</wp:posOffset>
                      </wp:positionH>
                      <wp:positionV relativeFrom="paragraph">
                        <wp:posOffset>2016760</wp:posOffset>
                      </wp:positionV>
                      <wp:extent cx="1129030" cy="267335"/>
                      <wp:effectExtent l="0" t="0" r="0" b="0"/>
                      <wp:wrapNone/>
                      <wp:docPr id="32" name="矩形 32"/>
                      <wp:cNvGraphicFramePr/>
                      <a:graphic xmlns:a="http://schemas.openxmlformats.org/drawingml/2006/main">
                        <a:graphicData uri="http://schemas.microsoft.com/office/word/2010/wordprocessingShape">
                          <wps:wsp>
                            <wps:cNvSpPr/>
                            <wps:spPr>
                              <a:xfrm>
                                <a:off x="0" y="0"/>
                                <a:ext cx="1129030" cy="267335"/>
                              </a:xfrm>
                              <a:prstGeom prst="rect">
                                <a:avLst/>
                              </a:prstGeom>
                              <a:ln w="9525">
                                <a:noFill/>
                              </a:ln>
                            </wps:spPr>
                            <wps:style>
                              <a:lnRef idx="2">
                                <a:schemeClr val="dk1"/>
                              </a:lnRef>
                              <a:fillRef idx="1">
                                <a:schemeClr val="lt1"/>
                              </a:fillRef>
                              <a:effectRef idx="0">
                                <a:schemeClr val="dk1"/>
                              </a:effectRef>
                              <a:fontRef idx="minor">
                                <a:schemeClr val="dk1"/>
                              </a:fontRef>
                            </wps:style>
                            <wps:txbx>
                              <w:txbxContent>
                                <w:p w14:paraId="15ADC132">
                                  <w:pPr>
                                    <w:jc w:val="center"/>
                                  </w:pPr>
                                  <w:r>
                                    <w:rPr>
                                      <w:rFonts w:hint="eastAsia"/>
                                    </w:rPr>
                                    <w:t>罐区外事故废水</w:t>
                                  </w:r>
                                </w:p>
                              </w:txbxContent>
                            </wps:txbx>
                            <wps:bodyPr rot="0" spcFirstLastPara="0" vertOverflow="overflow" horzOverflow="overflow" vert="horz" wrap="square" lIns="10800" tIns="3600" rIns="10800" bIns="3600" numCol="1" spcCol="0" rtlCol="0" fromWordArt="0" anchor="ctr" anchorCtr="0" forceAA="0" compatLnSpc="1">
                              <a:noAutofit/>
                            </wps:bodyPr>
                          </wps:wsp>
                        </a:graphicData>
                      </a:graphic>
                    </wp:anchor>
                  </w:drawing>
                </mc:Choice>
                <mc:Fallback>
                  <w:pict>
                    <v:rect id="_x0000_s1026" o:spid="_x0000_s1026" o:spt="1" style="position:absolute;left:0pt;margin-left:24.75pt;margin-top:158.8pt;height:21.05pt;width:88.9pt;z-index:251677696;v-text-anchor:middle;mso-width-relative:page;mso-height-relative:page;" fillcolor="#FFFFFF [3201]" filled="t" stroked="f" coordsize="21600,21600" o:gfxdata="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IZZAS2wAAAAoBAAAPAAAAAAAAAAEAIAAAACIAAABkcnMvZG93bnJldi54bWxQSwEC&#10;FAAUAAAACACHTuJAltmzP2MCAAC+BAAADgAAAAAAAAABACAAAAAqAQAAZHJzL2Uyb0RvYy54bWxQ&#10;SwUGAAAAAAYABgBZAQAA/wUAAAAA&#10;">
                      <v:fill on="t" focussize="0,0"/>
                      <v:stroke on="f"/>
                      <v:imagedata o:title=""/>
                      <o:lock v:ext="edit" aspectratio="f"/>
                      <v:textbox inset="0.3mm,0.1mm,0.3mm,0.1mm">
                        <w:txbxContent>
                          <w:p w14:paraId="15ADC132">
                            <w:pPr>
                              <w:jc w:val="center"/>
                            </w:pPr>
                            <w:r>
                              <w:rPr>
                                <w:rFonts w:hint="eastAsia"/>
                              </w:rPr>
                              <w:t>罐区外事故废水</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1288415</wp:posOffset>
                      </wp:positionH>
                      <wp:positionV relativeFrom="paragraph">
                        <wp:posOffset>1609090</wp:posOffset>
                      </wp:positionV>
                      <wp:extent cx="0" cy="448310"/>
                      <wp:effectExtent l="0" t="0" r="19050" b="27940"/>
                      <wp:wrapNone/>
                      <wp:docPr id="31" name="直接箭头连接符 31"/>
                      <wp:cNvGraphicFramePr/>
                      <a:graphic xmlns:a="http://schemas.openxmlformats.org/drawingml/2006/main">
                        <a:graphicData uri="http://schemas.microsoft.com/office/word/2010/wordprocessingShape">
                          <wps:wsp>
                            <wps:cNvCnPr/>
                            <wps:spPr>
                              <a:xfrm flipV="1">
                                <a:off x="0" y="0"/>
                                <a:ext cx="0" cy="448310"/>
                              </a:xfrm>
                              <a:prstGeom prst="straightConnector1">
                                <a:avLst/>
                              </a:prstGeom>
                              <a:ln>
                                <a:solidFill>
                                  <a:srgbClr val="FFC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01.45pt;margin-top:126.7pt;height:35.3pt;width:0pt;z-index:251678720;mso-width-relative:page;mso-height-relative:page;" filled="f" stroked="t" coordsize="21600,21600" o:gfxdata="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iAEPYAAAACwEAAA8AAAAAAAAA&#10;AQAgAAAAIgAAAGRycy9kb3ducmV2LnhtbFBLAQIUABQAAAAIAIdO4kBJMWYGEQIAAA0EAAAOAAAA&#10;AAAAAAEAIAAAACcBAABkcnMvZTJvRG9jLnhtbFBLBQYAAAAABgAGAFkBAACqBQAAAAA=&#10;">
                      <v:fill on="f" focussize="0,0"/>
                      <v:stroke color="#FFC000 [32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1089660</wp:posOffset>
                      </wp:positionH>
                      <wp:positionV relativeFrom="paragraph">
                        <wp:posOffset>1546225</wp:posOffset>
                      </wp:positionV>
                      <wp:extent cx="103505" cy="137795"/>
                      <wp:effectExtent l="0" t="0" r="10795" b="14605"/>
                      <wp:wrapNone/>
                      <wp:docPr id="33" name="流程图: 对照 33"/>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85.8pt;margin-top:121.75pt;height:10.85pt;width:8.15pt;z-index:251679744;v-text-anchor:middle;mso-width-relative:page;mso-height-relative:page;" fillcolor="#FF0000" filled="t" stroked="t" coordsize="21600,21600" o:gfxdata="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IAedm2gAAAAsBAAAPAAAAAAAAAAEA&#10;IAAAACIAAABkcnMvZG93bnJldi54bWxQSwECFAAUAAAACACHTuJAEJg3+n8CAAD0BAAADgAAAAAA&#10;AAABACAAAAApAQAAZHJzL2Uyb0RvYy54bWxQSwUGAAAAAAYABgBZAQAAGgYAAAAA&#10;">
                      <v:fill on="t" focussize="0,0"/>
                      <v:stroke weight="0.5pt" color="#000000 [3213]"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935355</wp:posOffset>
                      </wp:positionH>
                      <wp:positionV relativeFrom="paragraph">
                        <wp:posOffset>1598930</wp:posOffset>
                      </wp:positionV>
                      <wp:extent cx="2707640" cy="0"/>
                      <wp:effectExtent l="0" t="76200" r="17145" b="95250"/>
                      <wp:wrapNone/>
                      <wp:docPr id="34" name="直接箭头连接符 34"/>
                      <wp:cNvGraphicFramePr/>
                      <a:graphic xmlns:a="http://schemas.openxmlformats.org/drawingml/2006/main">
                        <a:graphicData uri="http://schemas.microsoft.com/office/word/2010/wordprocessingShape">
                          <wps:wsp>
                            <wps:cNvCnPr/>
                            <wps:spPr>
                              <a:xfrm>
                                <a:off x="0" y="0"/>
                                <a:ext cx="2707574" cy="0"/>
                              </a:xfrm>
                              <a:prstGeom prst="straightConnector1">
                                <a:avLst/>
                              </a:prstGeom>
                              <a:ln>
                                <a:solidFill>
                                  <a:srgbClr val="FFC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3.65pt;margin-top:125.9pt;height:0pt;width:213.2pt;z-index:251675648;mso-width-relative:page;mso-height-relative:page;" filled="f" stroked="t" coordsize="21600,21600" o:gfxdata="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5W6GNkAAAALAQAADwAAAAAA&#10;AAABACAAAAAiAAAAZHJzL2Rvd25yZXYueG1sUEsBAhQAFAAAAAgAh07iQH2LclsSAgAACAQAAA4A&#10;AAAAAAAAAQAgAAAAKAEAAGRycy9lMm9Eb2MueG1sUEsFBgAAAAAGAAYAWQEAAKwFAAAAAA==&#10;">
                      <v:fill on="f" focussize="0,0"/>
                      <v:stroke color="#FFC000 [3204]"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927100</wp:posOffset>
                      </wp:positionH>
                      <wp:positionV relativeFrom="paragraph">
                        <wp:posOffset>874395</wp:posOffset>
                      </wp:positionV>
                      <wp:extent cx="2707640" cy="0"/>
                      <wp:effectExtent l="0" t="76200" r="17145" b="95250"/>
                      <wp:wrapNone/>
                      <wp:docPr id="24" name="直接箭头连接符 24"/>
                      <wp:cNvGraphicFramePr/>
                      <a:graphic xmlns:a="http://schemas.openxmlformats.org/drawingml/2006/main">
                        <a:graphicData uri="http://schemas.microsoft.com/office/word/2010/wordprocessingShape">
                          <wps:wsp>
                            <wps:cNvCnPr/>
                            <wps:spPr>
                              <a:xfrm>
                                <a:off x="0" y="0"/>
                                <a:ext cx="2707574" cy="0"/>
                              </a:xfrm>
                              <a:prstGeom prst="straightConnector1">
                                <a:avLst/>
                              </a:prstGeom>
                              <a:ln>
                                <a:solidFill>
                                  <a:srgbClr val="FFC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3pt;margin-top:68.85pt;height:0pt;width:213.2pt;z-index:251663360;mso-width-relative:page;mso-height-relative:page;" filled="f" stroked="t" coordsize="21600,21600" o:gfxdata="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ZBAa92AAAAAsBAAAPAAAAAAAA&#10;AAEAIAAAACIAAABkcnMvZG93bnJldi54bWxQSwECFAAUAAAACACHTuJA2M1h3xICAAAIBAAADgAA&#10;AAAAAAABACAAAAAnAQAAZHJzL2Uyb0RvYy54bWxQSwUGAAAAAAYABgBZAQAAqwUAAAAA&#10;">
                      <v:fill on="f" focussize="0,0"/>
                      <v:stroke color="#FFC000 [3204]"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35560</wp:posOffset>
                      </wp:positionH>
                      <wp:positionV relativeFrom="paragraph">
                        <wp:posOffset>43180</wp:posOffset>
                      </wp:positionV>
                      <wp:extent cx="664210" cy="215900"/>
                      <wp:effectExtent l="0" t="0" r="2540" b="0"/>
                      <wp:wrapNone/>
                      <wp:docPr id="38" name="文本框 38"/>
                      <wp:cNvGraphicFramePr/>
                      <a:graphic xmlns:a="http://schemas.openxmlformats.org/drawingml/2006/main">
                        <a:graphicData uri="http://schemas.microsoft.com/office/word/2010/wordprocessingShape">
                          <wps:wsp>
                            <wps:cNvSpPr txBox="1"/>
                            <wps:spPr>
                              <a:xfrm>
                                <a:off x="0" y="0"/>
                                <a:ext cx="664210" cy="215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713ABE">
                                  <w:r>
                                    <w:rPr>
                                      <w:rFonts w:hint="eastAsia"/>
                                    </w:rPr>
                                    <w:t>防火堤</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2.8pt;margin-top:3.4pt;height:17pt;width:52.3pt;z-index:251662336;mso-width-relative:page;mso-height-relative:page;" fillcolor="#FFFFFF [3201]" filled="t" stroked="f" coordsize="21600,21600" o:gfxdata="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6kW8y9MAAAAGAQAADwAA&#10;AAAAAAABACAAAAAiAAAAZHJzL2Rvd25yZXYueG1sUEsBAhQAFAAAAAgAh07iQDKAVFtUAgAAnAQA&#10;AA4AAAAAAAAAAQAgAAAAIgEAAGRycy9lMm9Eb2MueG1sUEsFBgAAAAAGAAYAWQEAAOgFAAAAAA==&#10;">
                      <v:fill on="t" focussize="0,0"/>
                      <v:stroke on="f" weight="0.5pt"/>
                      <v:imagedata o:title=""/>
                      <o:lock v:ext="edit" aspectratio="f"/>
                      <v:textbox inset="0.3mm,0.1mm,0.3mm,0.1mm">
                        <w:txbxContent>
                          <w:p w14:paraId="68713ABE">
                            <w:r>
                              <w:rPr>
                                <w:rFonts w:hint="eastAsia"/>
                              </w:rPr>
                              <w:t>防火堤</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371475</wp:posOffset>
                      </wp:positionH>
                      <wp:positionV relativeFrom="paragraph">
                        <wp:posOffset>258445</wp:posOffset>
                      </wp:positionV>
                      <wp:extent cx="94615" cy="180975"/>
                      <wp:effectExtent l="38100" t="38100" r="19685" b="28575"/>
                      <wp:wrapNone/>
                      <wp:docPr id="42" name="直接箭头连接符 42"/>
                      <wp:cNvGraphicFramePr/>
                      <a:graphic xmlns:a="http://schemas.openxmlformats.org/drawingml/2006/main">
                        <a:graphicData uri="http://schemas.microsoft.com/office/word/2010/wordprocessingShape">
                          <wps:wsp>
                            <wps:cNvCnPr/>
                            <wps:spPr>
                              <a:xfrm flipH="1" flipV="1">
                                <a:off x="0" y="0"/>
                                <a:ext cx="94615" cy="180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9.25pt;margin-top:20.35pt;height:14.25pt;width:7.45pt;z-index:251661312;mso-width-relative:page;mso-height-relative:page;" filled="f" stroked="t" coordsize="21600,21600" o:gfxdata="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jzdnK1AAAAAcBAAAPAAAAAAAAAAEAIAAAACIAAABkcnMv&#10;ZG93bnJldi54bWxQSwECFAAUAAAACACHTuJAxjVFnAcCAADgAwAADgAAAAAAAAABACAAAAAjAQAA&#10;ZHJzL2Uyb0RvYy54bWxQSwUGAAAAAAYABgBZAQAAnAUAAAAA&#10;">
                      <v:fill on="f" focussize="0,0"/>
                      <v:stroke color="#000000 [3213]"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86995</wp:posOffset>
                      </wp:positionH>
                      <wp:positionV relativeFrom="paragraph">
                        <wp:posOffset>436880</wp:posOffset>
                      </wp:positionV>
                      <wp:extent cx="845185" cy="1319530"/>
                      <wp:effectExtent l="0" t="0" r="12065" b="13970"/>
                      <wp:wrapNone/>
                      <wp:docPr id="43" name="矩形 43"/>
                      <wp:cNvGraphicFramePr/>
                      <a:graphic xmlns:a="http://schemas.openxmlformats.org/drawingml/2006/main">
                        <a:graphicData uri="http://schemas.microsoft.com/office/word/2010/wordprocessingShape">
                          <wps:wsp>
                            <wps:cNvSpPr/>
                            <wps:spPr>
                              <a:xfrm>
                                <a:off x="0" y="0"/>
                                <a:ext cx="845185" cy="1319530"/>
                              </a:xfrm>
                              <a:prstGeom prst="rect">
                                <a:avLst/>
                              </a:prstGeom>
                            </wps:spPr>
                            <wps:style>
                              <a:lnRef idx="2">
                                <a:schemeClr val="dk1"/>
                              </a:lnRef>
                              <a:fillRef idx="1">
                                <a:schemeClr val="lt1"/>
                              </a:fillRef>
                              <a:effectRef idx="0">
                                <a:schemeClr val="dk1"/>
                              </a:effectRef>
                              <a:fontRef idx="minor">
                                <a:schemeClr val="dk1"/>
                              </a:fontRef>
                            </wps:style>
                            <wps:txbx>
                              <w:txbxContent>
                                <w:p w14:paraId="114F270C">
                                  <w:pPr>
                                    <w:jc w:val="center"/>
                                  </w:pPr>
                                  <w:r>
                                    <w:rPr>
                                      <w:rFonts w:hint="eastAsia"/>
                                    </w:rPr>
                                    <w:t>1#、2#、4#储罐组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5pt;margin-top:34.4pt;height:103.9pt;width:66.55pt;z-index:251660288;v-text-anchor:middle;mso-width-relative:page;mso-height-relative:page;" fillcolor="#FFFFFF [3201]" filled="t" stroked="t" coordsize="21600,21600" o:gfxdata="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AAQMS9cAAAAJAQAADwAAAAAAAAABACAAAAAiAAAAZHJzL2Rvd25yZXYu&#10;eG1sUEsBAhQAFAAAAAgAh07iQFxDq0puAgAA6gQAAA4AAAAAAAAAAQAgAAAAJgEAAGRycy9lMm9E&#10;b2MueG1sUEsFBgAAAAAGAAYAWQEAAAYGAAAAAA==&#10;">
                      <v:fill on="t" focussize="0,0"/>
                      <v:stroke weight="2pt" color="#000000 [3200]" joinstyle="round"/>
                      <v:imagedata o:title=""/>
                      <o:lock v:ext="edit" aspectratio="f"/>
                      <v:textbox>
                        <w:txbxContent>
                          <w:p w14:paraId="114F270C">
                            <w:pPr>
                              <w:jc w:val="center"/>
                            </w:pPr>
                            <w:r>
                              <w:rPr>
                                <w:rFonts w:hint="eastAsia"/>
                              </w:rPr>
                              <w:t>1#、2#、4#储罐组</w:t>
                            </w:r>
                          </w:p>
                        </w:txbxContent>
                      </v:textbox>
                    </v:rect>
                  </w:pict>
                </mc:Fallback>
              </mc:AlternateContent>
            </w:r>
          </w:p>
        </w:tc>
        <w:tc>
          <w:tcPr>
            <w:tcW w:w="3118" w:type="dxa"/>
          </w:tcPr>
          <w:p w14:paraId="54B68B59">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595630</wp:posOffset>
                      </wp:positionH>
                      <wp:positionV relativeFrom="paragraph">
                        <wp:posOffset>1525270</wp:posOffset>
                      </wp:positionV>
                      <wp:extent cx="647065" cy="215265"/>
                      <wp:effectExtent l="0" t="0" r="1270" b="0"/>
                      <wp:wrapNone/>
                      <wp:docPr id="45" name="文本框 45"/>
                      <wp:cNvGraphicFramePr/>
                      <a:graphic xmlns:a="http://schemas.openxmlformats.org/drawingml/2006/main">
                        <a:graphicData uri="http://schemas.microsoft.com/office/word/2010/wordprocessingShape">
                          <wps:wsp>
                            <wps:cNvSpPr txBox="1"/>
                            <wps:spPr>
                              <a:xfrm>
                                <a:off x="0" y="0"/>
                                <a:ext cx="646981"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F7242">
                                  <w:r>
                                    <w:rPr>
                                      <w:rFonts w:hint="eastAsia"/>
                                      <w:sz w:val="21"/>
                                    </w:rPr>
                                    <w:t>事故废水</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46.9pt;margin-top:120.1pt;height:16.95pt;width:50.95pt;z-index:251676672;mso-width-relative:page;mso-height-relative:page;" fillcolor="#FFFFFF [3201]" filled="t" stroked="f" coordsize="21600,21600" o:gfxdata="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hH4lNgAAAAK&#10;AQAADwAAAAAAAAABACAAAAAiAAAAZHJzL2Rvd25yZXYueG1sUEsBAhQAFAAAAAgAh07iQCRTLjVV&#10;AgAAnAQAAA4AAAAAAAAAAQAgAAAAJwEAAGRycy9lMm9Eb2MueG1sUEsFBgAAAAAGAAYAWQEAAO4F&#10;AAAAAA==&#10;">
                      <v:fill on="t" focussize="0,0"/>
                      <v:stroke on="f" weight="0.5pt"/>
                      <v:imagedata o:title=""/>
                      <o:lock v:ext="edit" aspectratio="f"/>
                      <v:textbox inset="0.3mm,0.1mm,0.3mm,0.1mm">
                        <w:txbxContent>
                          <w:p w14:paraId="262F7242">
                            <w:r>
                              <w:rPr>
                                <w:rFonts w:hint="eastAsia"/>
                                <w:sz w:val="21"/>
                              </w:rPr>
                              <w:t>事故废水</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3810</wp:posOffset>
                      </wp:positionH>
                      <wp:positionV relativeFrom="paragraph">
                        <wp:posOffset>1546225</wp:posOffset>
                      </wp:positionV>
                      <wp:extent cx="103505" cy="137795"/>
                      <wp:effectExtent l="0" t="0" r="10795" b="14605"/>
                      <wp:wrapNone/>
                      <wp:docPr id="44" name="流程图: 对照 44"/>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0.3pt;margin-top:121.75pt;height:10.85pt;width:8.15pt;z-index:251674624;v-text-anchor:middle;mso-width-relative:page;mso-height-relative:page;" fillcolor="#FF0000" filled="t" stroked="t" coordsize="21600,21600" o:gfxdata="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ukUFbWAAAABwEAAA8AAAAAAAAAAQAgAAAA&#10;IgAAAGRycy9kb3ducmV2LnhtbFBLAQIUABQAAAAIAIdO4kDB+zlWfwIAAPQEAAAOAAAAAAAAAAEA&#10;IAAAACUBAABkcnMvZTJvRG9jLnhtbFBLBQYAAAAABgAGAFkBAAAWBgAAAAA=&#10;">
                      <v:fill on="t" focussize="0,0"/>
                      <v:stroke weight="0.5pt" color="#000000 [3213]"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519430</wp:posOffset>
                      </wp:positionH>
                      <wp:positionV relativeFrom="paragraph">
                        <wp:posOffset>445770</wp:posOffset>
                      </wp:positionV>
                      <wp:extent cx="565150" cy="215265"/>
                      <wp:effectExtent l="0" t="0" r="6350" b="0"/>
                      <wp:wrapNone/>
                      <wp:docPr id="46" name="文本框 46"/>
                      <wp:cNvGraphicFramePr/>
                      <a:graphic xmlns:a="http://schemas.openxmlformats.org/drawingml/2006/main">
                        <a:graphicData uri="http://schemas.microsoft.com/office/word/2010/wordprocessingShape">
                          <wps:wsp>
                            <wps:cNvSpPr txBox="1"/>
                            <wps:spPr>
                              <a:xfrm>
                                <a:off x="0" y="0"/>
                                <a:ext cx="565150"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B1D799">
                                  <w:pPr>
                                    <w:rPr>
                                      <w:sz w:val="20"/>
                                    </w:rPr>
                                  </w:pPr>
                                  <w:r>
                                    <w:rPr>
                                      <w:rFonts w:hint="eastAsia"/>
                                      <w:sz w:val="20"/>
                                    </w:rPr>
                                    <w:t>雨水管网</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40.9pt;margin-top:35.1pt;height:16.95pt;width:44.5pt;z-index:251667456;mso-width-relative:page;mso-height-relative:page;" fillcolor="#FFFFFF [3201]" filled="t" stroked="f" coordsize="21600,21600" o:gfxdata="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vU5Dz1gAAAAkBAAAPAAAA&#10;AAAAAAEAIAAAACIAAABkcnMvZG93bnJldi54bWxQSwECFAAUAAAACACHTuJA/xm8y1ACAACcBAAA&#10;DgAAAAAAAAABACAAAAAlAQAAZHJzL2Uyb0RvYy54bWxQSwUGAAAAAAYABgBZAQAA5wUAAAAA&#10;">
                      <v:fill on="t" focussize="0,0"/>
                      <v:stroke on="f" weight="0.5pt"/>
                      <v:imagedata o:title=""/>
                      <o:lock v:ext="edit" aspectratio="f"/>
                      <v:textbox inset="0.3mm,0.1mm,0.3mm,0.1mm">
                        <w:txbxContent>
                          <w:p w14:paraId="01B1D799">
                            <w:pPr>
                              <w:rPr>
                                <w:sz w:val="20"/>
                              </w:rPr>
                            </w:pPr>
                            <w:r>
                              <w:rPr>
                                <w:rFonts w:hint="eastAsia"/>
                                <w:sz w:val="20"/>
                              </w:rPr>
                              <w:t>雨水管网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455930</wp:posOffset>
                      </wp:positionH>
                      <wp:positionV relativeFrom="paragraph">
                        <wp:posOffset>761365</wp:posOffset>
                      </wp:positionV>
                      <wp:extent cx="841375" cy="21526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841375"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97592">
                                  <w:pPr>
                                    <w:rPr>
                                      <w:sz w:val="20"/>
                                    </w:rPr>
                                  </w:pPr>
                                  <w:r>
                                    <w:rPr>
                                      <w:rFonts w:hint="eastAsia"/>
                                      <w:sz w:val="20"/>
                                    </w:rPr>
                                    <w:t>初期雨水管网</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35.9pt;margin-top:59.95pt;height:16.95pt;width:66.25pt;z-index:251670528;mso-width-relative:page;mso-height-relative:page;" fillcolor="#FFFFFF [3201]" filled="t" stroked="f" coordsize="21600,21600" o:gfxdata="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51S1TXAAAACgEA&#10;AA8AAAAAAAAAAQAgAAAAIgAAAGRycy9kb3ducmV2LnhtbFBLAQIUABQAAAAIAIdO4kDtH0DaVAIA&#10;AJwEAAAOAAAAAAAAAAEAIAAAACYBAABkcnMvZTJvRG9jLnhtbFBLBQYAAAAABgAGAFkBAADsBQAA&#10;AAA=&#10;">
                      <v:fill on="t" focussize="0,0"/>
                      <v:stroke on="f" weight="0.5pt"/>
                      <v:imagedata o:title=""/>
                      <o:lock v:ext="edit" aspectratio="f"/>
                      <v:textbox inset="0.3mm,0.1mm,0.3mm,0.1mm">
                        <w:txbxContent>
                          <w:p w14:paraId="1A497592">
                            <w:pPr>
                              <w:rPr>
                                <w:sz w:val="20"/>
                              </w:rPr>
                            </w:pPr>
                            <w:r>
                              <w:rPr>
                                <w:rFonts w:hint="eastAsia"/>
                                <w:sz w:val="20"/>
                              </w:rPr>
                              <w:t>初期雨水管网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1670685</wp:posOffset>
                      </wp:positionH>
                      <wp:positionV relativeFrom="paragraph">
                        <wp:posOffset>439420</wp:posOffset>
                      </wp:positionV>
                      <wp:extent cx="248285" cy="21526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248285" cy="215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161597">
                                  <w:r>
                                    <w:rPr>
                                      <w:rFonts w:hint="eastAsia"/>
                                    </w:rPr>
                                    <w:t>海</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131.55pt;margin-top:34.6pt;height:16.95pt;width:19.55pt;z-index:251666432;mso-width-relative:page;mso-height-relative:page;" filled="f" stroked="f" coordsize="21600,21600" o:gfxdata="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&#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gcbOr2AAAAAoBAAAPAAAAAAAAAAEAIAAAACIAAABk&#10;cnMvZG93bnJldi54bWxQSwECFAAUAAAACACHTuJAx+hKQj8CAABzBAAADgAAAAAAAAABACAAAAAn&#10;AQAAZHJzL2Uyb0RvYy54bWxQSwUGAAAAAAYABgBZAQAA2AUAAAAA&#10;">
                      <v:fill on="f" focussize="0,0"/>
                      <v:stroke on="f" weight="0.5pt"/>
                      <v:imagedata o:title=""/>
                      <o:lock v:ext="edit" aspectratio="f"/>
                      <v:textbox inset="0.3mm,0.1mm,0.3mm,0.1mm">
                        <w:txbxContent>
                          <w:p w14:paraId="6E161597">
                            <w:r>
                              <w:rPr>
                                <w:rFonts w:hint="eastAsia"/>
                              </w:rPr>
                              <w:t>海</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1319530</wp:posOffset>
                      </wp:positionH>
                      <wp:positionV relativeFrom="paragraph">
                        <wp:posOffset>476250</wp:posOffset>
                      </wp:positionV>
                      <wp:extent cx="103505" cy="137795"/>
                      <wp:effectExtent l="0" t="0" r="10795" b="14605"/>
                      <wp:wrapNone/>
                      <wp:docPr id="49" name="流程图: 对照 49"/>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103.9pt;margin-top:37.5pt;height:10.85pt;width:8.15pt;z-index:251673600;v-text-anchor:middle;mso-width-relative:page;mso-height-relative:page;" fillcolor="#FF0000" filled="t" stroked="t" coordsize="21600,21600" o:gfxdata="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Lggj7HZAAAACQEAAA8AAAAAAAAAAQAg&#10;AAAAIgAAAGRycy9kb3ducmV2LnhtbFBLAQIUABQAAAAIAIdO4kCgys+lfwIAAPQEAAAOAAAAAAAA&#10;AAEAIAAAACgBAABkcnMvZTJvRG9jLnhtbFBLBQYAAAAABgAGAFkBAAAZBgAAAAA=&#10;">
                      <v:fill on="t" focussize="0,0"/>
                      <v:stroke weight="0.5pt" color="#000000 [3213]"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107315</wp:posOffset>
                      </wp:positionH>
                      <wp:positionV relativeFrom="paragraph">
                        <wp:posOffset>540385</wp:posOffset>
                      </wp:positionV>
                      <wp:extent cx="1564005" cy="6350"/>
                      <wp:effectExtent l="0" t="76200" r="17145" b="88900"/>
                      <wp:wrapNone/>
                      <wp:docPr id="50" name="直接箭头连接符 50"/>
                      <wp:cNvGraphicFramePr/>
                      <a:graphic xmlns:a="http://schemas.openxmlformats.org/drawingml/2006/main">
                        <a:graphicData uri="http://schemas.microsoft.com/office/word/2010/wordprocessingShape">
                          <wps:wsp>
                            <wps:cNvCnPr/>
                            <wps:spPr>
                              <a:xfrm flipV="1">
                                <a:off x="0" y="0"/>
                                <a:ext cx="1564005" cy="6350"/>
                              </a:xfrm>
                              <a:prstGeom prst="straightConnector1">
                                <a:avLst/>
                              </a:prstGeom>
                              <a:ln>
                                <a:solidFill>
                                  <a:srgbClr val="FFC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45pt;margin-top:42.55pt;height:0.5pt;width:123.15pt;z-index:251665408;mso-width-relative:page;mso-height-relative:page;" filled="f" stroked="t" coordsize="21600,21600" o:gfxdata="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eGEp3WAAAACAEA&#10;AA8AAAAAAAAAAQAgAAAAIgAAAGRycy9kb3ducmV2LnhtbFBLAQIUABQAAAAIAIdO4kCxldzTHAIA&#10;ABUEAAAOAAAAAAAAAAEAIAAAACUBAABkcnMvZTJvRG9jLnhtbFBLBQYAAAAABgAGAFkBAACzBQAA&#10;AAA=&#10;">
                      <v:fill on="f" focussize="0,0"/>
                      <v:stroke color="#FFC000 [3204]"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-51435</wp:posOffset>
                      </wp:positionH>
                      <wp:positionV relativeFrom="paragraph">
                        <wp:posOffset>975995</wp:posOffset>
                      </wp:positionV>
                      <wp:extent cx="426085" cy="17335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426346" cy="1733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EAC47B">
                                  <w:pPr>
                                    <w:rPr>
                                      <w:sz w:val="18"/>
                                    </w:rPr>
                                  </w:pPr>
                                  <w:r>
                                    <w:rPr>
                                      <w:rFonts w:hint="eastAsia"/>
                                      <w:sz w:val="18"/>
                                    </w:rPr>
                                    <w:t>切换阀</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76.85pt;height:13.65pt;width:33.55pt;z-index:251672576;mso-width-relative:page;mso-height-relative:page;" fillcolor="#FFFFFF [3201]" filled="t" stroked="f" coordsize="21600,21600" o:gfxdata="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rPNBy1gAAAAkBAAAP&#10;AAAAAAAAAAEAIAAAACIAAABkcnMvZG93bnJldi54bWxQSwECFAAUAAAACACHTuJA7AYDhlMCAACc&#10;BAAADgAAAAAAAAABACAAAAAlAQAAZHJzL2Uyb0RvYy54bWxQSwUGAAAAAAYABgBZAQAA6gUAAAAA&#10;">
                      <v:fill on="t" focussize="0,0"/>
                      <v:stroke on="f" weight="0.5pt"/>
                      <v:imagedata o:title=""/>
                      <o:lock v:ext="edit" aspectratio="f"/>
                      <v:textbox inset="0.3mm,0.1mm,0.3mm,0.1mm">
                        <w:txbxContent>
                          <w:p w14:paraId="60EAC47B">
                            <w:pPr>
                              <w:rPr>
                                <w:sz w:val="18"/>
                              </w:rPr>
                            </w:pPr>
                            <w:r>
                              <w:rPr>
                                <w:rFonts w:hint="eastAsia"/>
                                <w:sz w:val="18"/>
                              </w:rPr>
                              <w:t>切换阀</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33655</wp:posOffset>
                      </wp:positionH>
                      <wp:positionV relativeFrom="paragraph">
                        <wp:posOffset>806450</wp:posOffset>
                      </wp:positionV>
                      <wp:extent cx="103505" cy="137795"/>
                      <wp:effectExtent l="0" t="0" r="10795" b="14605"/>
                      <wp:wrapNone/>
                      <wp:docPr id="52" name="流程图: 对照 52"/>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2.65pt;margin-top:63.5pt;height:10.85pt;width:8.15pt;z-index:251668480;v-text-anchor:middle;mso-width-relative:page;mso-height-relative:page;" fillcolor="#FF0000" filled="t" stroked="t" coordsize="21600,21600" o:gfxdata="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1CJT89gAAAAIAQAADwAAAAAAAAABACAA&#10;AAAiAAAAZHJzL2Rvd25yZXYueG1sUEsBAhQAFAAAAAgAh07iQJkS6gp/AgAA9AQAAA4AAAAAAAAA&#10;AQAgAAAAJwEAAGRycy9lMm9Eb2MueG1sUEsFBgAAAAAGAAYAWQEAABgGAAAAAA==&#10;">
                      <v:fill on="t" focussize="0,0"/>
                      <v:stroke weight="0.5pt" color="#000000 [3213]"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108585</wp:posOffset>
                      </wp:positionH>
                      <wp:positionV relativeFrom="paragraph">
                        <wp:posOffset>543560</wp:posOffset>
                      </wp:positionV>
                      <wp:extent cx="0" cy="335915"/>
                      <wp:effectExtent l="0" t="0" r="19050" b="26035"/>
                      <wp:wrapNone/>
                      <wp:docPr id="53" name="直接箭头连接符 53"/>
                      <wp:cNvGraphicFramePr/>
                      <a:graphic xmlns:a="http://schemas.openxmlformats.org/drawingml/2006/main">
                        <a:graphicData uri="http://schemas.microsoft.com/office/word/2010/wordprocessingShape">
                          <wps:wsp>
                            <wps:cNvCnPr/>
                            <wps:spPr>
                              <a:xfrm flipV="1">
                                <a:off x="0" y="0"/>
                                <a:ext cx="0" cy="335915"/>
                              </a:xfrm>
                              <a:prstGeom prst="straightConnector1">
                                <a:avLst/>
                              </a:prstGeom>
                              <a:ln>
                                <a:solidFill>
                                  <a:srgbClr val="FFC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55pt;margin-top:42.8pt;height:26.45pt;width:0pt;z-index:251664384;mso-width-relative:page;mso-height-relative:page;" filled="f" stroked="t" coordsize="21600,21600" o:gfxdata="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ktQa3VAAAACAEAAA8AAAAAAAAAAQAg&#10;AAAAIgAAAGRycy9kb3ducmV2LnhtbFBLAQIUABQAAAAIAIdO4kC3MTMCEQIAAA0EAAAOAAAAAAAA&#10;AAEAIAAAACQBAABkcnMvZTJvRG9jLnhtbFBLBQYAAAAABgAGAFkBAACnBQAAAAA=&#10;">
                      <v:fill on="f" focussize="0,0"/>
                      <v:stroke color="#FFC000 [3204]" joinstyle="round"/>
                      <v:imagedata o:title=""/>
                      <o:lock v:ext="edit" aspectratio="f"/>
                    </v:shape>
                  </w:pict>
                </mc:Fallback>
              </mc:AlternateContent>
            </w:r>
          </w:p>
        </w:tc>
        <w:tc>
          <w:tcPr>
            <w:tcW w:w="2268" w:type="dxa"/>
          </w:tcPr>
          <w:p w14:paraId="1F31AB49">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220345</wp:posOffset>
                      </wp:positionH>
                      <wp:positionV relativeFrom="paragraph">
                        <wp:posOffset>1421765</wp:posOffset>
                      </wp:positionV>
                      <wp:extent cx="1035050" cy="319405"/>
                      <wp:effectExtent l="0" t="0" r="12700" b="23495"/>
                      <wp:wrapNone/>
                      <wp:docPr id="55" name="矩形 55"/>
                      <wp:cNvGraphicFramePr/>
                      <a:graphic xmlns:a="http://schemas.openxmlformats.org/drawingml/2006/main">
                        <a:graphicData uri="http://schemas.microsoft.com/office/word/2010/wordprocessingShape">
                          <wps:wsp>
                            <wps:cNvSpPr/>
                            <wps:spPr>
                              <a:xfrm>
                                <a:off x="0" y="0"/>
                                <a:ext cx="1035050" cy="319405"/>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07BA6043">
                                  <w:pPr>
                                    <w:jc w:val="center"/>
                                  </w:pPr>
                                  <w:r>
                                    <w:rPr>
                                      <w:rFonts w:hint="eastAsia"/>
                                    </w:rPr>
                                    <w:t>事故应急池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5pt;margin-top:111.95pt;height:25.15pt;width:81.5pt;z-index:251671552;v-text-anchor:middle;mso-width-relative:page;mso-height-relative:page;" fillcolor="#FFFFFF [3201]" filled="t" stroked="t" coordsize="21600,21600" o:gfxdata="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Kq8y7aAAAACgEAAA8AAAAAAAAAAQAgAAAAIgAAAGRycy9kb3ducmV2&#10;LnhtbFBLAQIUABQAAAAIAIdO4kCDSxA3bAIAAOkEAAAOAAAAAAAAAAEAIAAAACkBAABkcnMvZTJv&#10;RG9jLnhtbFBLBQYAAAAABgAGAFkBAAAHBgAAAAA=&#10;">
                      <v:fill on="t" focussize="0,0"/>
                      <v:stroke color="#000000 [3200]" joinstyle="round"/>
                      <v:imagedata o:title=""/>
                      <o:lock v:ext="edit" aspectratio="f"/>
                      <v:textbox>
                        <w:txbxContent>
                          <w:p w14:paraId="07BA6043">
                            <w:pPr>
                              <w:jc w:val="center"/>
                            </w:pPr>
                            <w:r>
                              <w:rPr>
                                <w:rFonts w:hint="eastAsia"/>
                              </w:rPr>
                              <w:t>事故应急池</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220345</wp:posOffset>
                      </wp:positionH>
                      <wp:positionV relativeFrom="paragraph">
                        <wp:posOffset>631825</wp:posOffset>
                      </wp:positionV>
                      <wp:extent cx="496570" cy="400050"/>
                      <wp:effectExtent l="0" t="0" r="17780" b="19050"/>
                      <wp:wrapNone/>
                      <wp:docPr id="54" name="矩形 54"/>
                      <wp:cNvGraphicFramePr/>
                      <a:graphic xmlns:a="http://schemas.openxmlformats.org/drawingml/2006/main">
                        <a:graphicData uri="http://schemas.microsoft.com/office/word/2010/wordprocessingShape">
                          <wps:wsp>
                            <wps:cNvSpPr/>
                            <wps:spPr>
                              <a:xfrm>
                                <a:off x="0" y="0"/>
                                <a:ext cx="496570" cy="4000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681F820B">
                                  <w:pPr>
                                    <w:jc w:val="center"/>
                                  </w:pPr>
                                  <w:r>
                                    <w:rPr>
                                      <w:rFonts w:hint="eastAsia"/>
                                    </w:rPr>
                                    <w:t>初期雨水池</w:t>
                                  </w:r>
                                </w:p>
                              </w:txbxContent>
                            </wps:txbx>
                            <wps:bodyPr rot="0" spcFirstLastPara="0" vertOverflow="overflow" horzOverflow="overflow" vert="horz" wrap="square" lIns="10800" tIns="3600" rIns="10800" bIns="3600" numCol="1" spcCol="0" rtlCol="0" fromWordArt="0" anchor="ctr" anchorCtr="0" forceAA="0" compatLnSpc="1">
                              <a:noAutofit/>
                            </wps:bodyPr>
                          </wps:wsp>
                        </a:graphicData>
                      </a:graphic>
                    </wp:anchor>
                  </w:drawing>
                </mc:Choice>
                <mc:Fallback>
                  <w:pict>
                    <v:rect id="_x0000_s1026" o:spid="_x0000_s1026" o:spt="1" style="position:absolute;left:0pt;margin-left:17.35pt;margin-top:49.75pt;height:31.5pt;width:39.1pt;z-index:251669504;v-text-anchor:middle;mso-width-relative:page;mso-height-relative:page;" fillcolor="#FFFFFF [3201]" filled="t" stroked="t" coordsize="21600,21600" o:gfxdata="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hPLS3XAAAACQEAAA8AAAAAAAAAAQAgAAAAIgAAAGRycy9kb3ducmV2LnhtbFBL&#10;AQIUABQAAAAIAIdO4kDOGxDPaQIAAOYEAAAOAAAAAAAAAAEAIAAAACYBAABkcnMvZTJvRG9jLnht&#10;bFBLBQYAAAAABgAGAFkBAAABBgAAAAA=&#10;">
                      <v:fill on="t" focussize="0,0"/>
                      <v:stroke weight="0.5pt" color="#000000 [3200]" joinstyle="round"/>
                      <v:imagedata o:title=""/>
                      <o:lock v:ext="edit" aspectratio="f"/>
                      <v:textbox inset="0.3mm,0.1mm,0.3mm,0.1mm">
                        <w:txbxContent>
                          <w:p w14:paraId="681F820B">
                            <w:pPr>
                              <w:jc w:val="center"/>
                            </w:pPr>
                            <w:r>
                              <w:rPr>
                                <w:rFonts w:hint="eastAsia"/>
                              </w:rPr>
                              <w:t>初期雨水池</w:t>
                            </w:r>
                          </w:p>
                        </w:txbxContent>
                      </v:textbox>
                    </v:rect>
                  </w:pict>
                </mc:Fallback>
              </mc:AlternateContent>
            </w:r>
          </w:p>
        </w:tc>
      </w:tr>
      <w:tr w14:paraId="1E424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4" w:hRule="atLeast"/>
        </w:trPr>
        <w:tc>
          <w:tcPr>
            <w:tcW w:w="817" w:type="dxa"/>
            <w:vMerge w:val="continue"/>
            <w:vAlign w:val="center"/>
          </w:tcPr>
          <w:p w14:paraId="057AB671">
            <w:pPr>
              <w:jc w:val="center"/>
              <w:rPr>
                <w:color w:val="000000" w:themeColor="text1"/>
                <w14:textFill>
                  <w14:solidFill>
                    <w14:schemeClr w14:val="tx1"/>
                  </w14:solidFill>
                </w14:textFill>
              </w:rPr>
            </w:pPr>
          </w:p>
        </w:tc>
        <w:tc>
          <w:tcPr>
            <w:tcW w:w="2410" w:type="dxa"/>
          </w:tcPr>
          <w:p w14:paraId="0E633D3C">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892175</wp:posOffset>
                      </wp:positionH>
                      <wp:positionV relativeFrom="paragraph">
                        <wp:posOffset>1898650</wp:posOffset>
                      </wp:positionV>
                      <wp:extent cx="496570" cy="400050"/>
                      <wp:effectExtent l="4445" t="4445" r="13335" b="14605"/>
                      <wp:wrapNone/>
                      <wp:docPr id="189" name="矩形 189"/>
                      <wp:cNvGraphicFramePr/>
                      <a:graphic xmlns:a="http://schemas.openxmlformats.org/drawingml/2006/main">
                        <a:graphicData uri="http://schemas.microsoft.com/office/word/2010/wordprocessingShape">
                          <wps:wsp>
                            <wps:cNvSpPr/>
                            <wps:spPr>
                              <a:xfrm>
                                <a:off x="0" y="0"/>
                                <a:ext cx="496570" cy="4000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50C002F2">
                                  <w:pPr>
                                    <w:jc w:val="center"/>
                                  </w:pPr>
                                  <w:r>
                                    <w:rPr>
                                      <w:rFonts w:hint="eastAsia"/>
                                    </w:rPr>
                                    <w:t>废水池</w:t>
                                  </w:r>
                                </w:p>
                              </w:txbxContent>
                            </wps:txbx>
                            <wps:bodyPr rot="0" spcFirstLastPara="0" vertOverflow="overflow" horzOverflow="overflow" vert="horz" wrap="square" lIns="10800" tIns="3600" rIns="10800" bIns="3600" numCol="1" spcCol="0" rtlCol="0" fromWordArt="0" anchor="ctr" anchorCtr="0" forceAA="0" compatLnSpc="1">
                              <a:noAutofit/>
                            </wps:bodyPr>
                          </wps:wsp>
                        </a:graphicData>
                      </a:graphic>
                    </wp:anchor>
                  </w:drawing>
                </mc:Choice>
                <mc:Fallback>
                  <w:pict>
                    <v:rect id="_x0000_s1026" o:spid="_x0000_s1026" o:spt="1" style="position:absolute;left:0pt;margin-left:70.25pt;margin-top:149.5pt;height:31.5pt;width:39.1pt;z-index:251768832;v-text-anchor:middle;mso-width-relative:page;mso-height-relative:page;" fillcolor="#FFFFFF [3201]" filled="t" stroked="t" coordsize="21600,21600" o:gfxdata="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Fw05VtgAAAALAQAADwAAAAAAAAABACAAAAAiAAAAZHJzL2Rvd25yZXYueG1s&#10;UEsBAhQAFAAAAAgAh07iQIjP93NqAgAA6AQAAA4AAAAAAAAAAQAgAAAAJwEAAGRycy9lMm9Eb2Mu&#10;eG1sUEsFBgAAAAAGAAYAWQEAAAMGAAAAAA==&#10;">
                      <v:fill on="t" focussize="0,0"/>
                      <v:stroke weight="0.5pt" color="#000000 [3200]" joinstyle="round"/>
                      <v:imagedata o:title=""/>
                      <o:lock v:ext="edit" aspectratio="f"/>
                      <v:textbox inset="0.3mm,0.1mm,0.3mm,0.1mm">
                        <w:txbxContent>
                          <w:p w14:paraId="50C002F2">
                            <w:pPr>
                              <w:jc w:val="center"/>
                            </w:pPr>
                            <w:r>
                              <w:rPr>
                                <w:rFonts w:hint="eastAsia"/>
                              </w:rPr>
                              <w:t>废水池</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1288415</wp:posOffset>
                      </wp:positionH>
                      <wp:positionV relativeFrom="paragraph">
                        <wp:posOffset>1609090</wp:posOffset>
                      </wp:positionV>
                      <wp:extent cx="0" cy="448310"/>
                      <wp:effectExtent l="4445" t="0" r="14605" b="8890"/>
                      <wp:wrapNone/>
                      <wp:docPr id="170" name="直接箭头连接符 170"/>
                      <wp:cNvGraphicFramePr/>
                      <a:graphic xmlns:a="http://schemas.openxmlformats.org/drawingml/2006/main">
                        <a:graphicData uri="http://schemas.microsoft.com/office/word/2010/wordprocessingShape">
                          <wps:wsp>
                            <wps:cNvCnPr/>
                            <wps:spPr>
                              <a:xfrm flipV="1">
                                <a:off x="0" y="0"/>
                                <a:ext cx="0" cy="448310"/>
                              </a:xfrm>
                              <a:prstGeom prst="straightConnector1">
                                <a:avLst/>
                              </a:prstGeom>
                              <a:ln>
                                <a:solidFill>
                                  <a:srgbClr val="FFC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01.45pt;margin-top:126.7pt;height:35.3pt;width:0pt;z-index:251754496;mso-width-relative:page;mso-height-relative:page;" filled="f" stroked="t" coordsize="21600,21600" o:gfxdata="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GIAQ9gAAAALAQAADwAAAAAAAAAB&#10;ACAAAAAiAAAAZHJzL2Rvd25yZXYueG1sUEsBAhQAFAAAAAgAh07iQLTkdV4QAgAADwQAAA4AAAAA&#10;AAAAAQAgAAAAJwEAAGRycy9lMm9Eb2MueG1sUEsFBgAAAAAGAAYAWQEAAKkFAAAAAA==&#10;">
                      <v:fill on="f" focussize="0,0"/>
                      <v:stroke color="#FFC000 [32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1089660</wp:posOffset>
                      </wp:positionH>
                      <wp:positionV relativeFrom="paragraph">
                        <wp:posOffset>1546225</wp:posOffset>
                      </wp:positionV>
                      <wp:extent cx="103505" cy="137795"/>
                      <wp:effectExtent l="4445" t="4445" r="6350" b="10160"/>
                      <wp:wrapNone/>
                      <wp:docPr id="171" name="流程图: 对照 171"/>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85.8pt;margin-top:121.75pt;height:10.85pt;width:8.15pt;z-index:251755520;v-text-anchor:middle;mso-width-relative:page;mso-height-relative:page;" fillcolor="#FF0000" filled="t" stroked="t" coordsize="21600,21600" o:gfxdata="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IAedm2gAAAAsBAAAPAAAAAAAAAAEA&#10;IAAAACIAAABkcnMvZG93bnJldi54bWxQSwECFAAUAAAACACHTuJA88i3cX8CAAD2BAAADgAAAAAA&#10;AAABACAAAAApAQAAZHJzL2Uyb0RvYy54bWxQSwUGAAAAAAYABgBZAQAAGgYAAAAA&#10;">
                      <v:fill on="t" focussize="0,0"/>
                      <v:stroke weight="0.5pt" color="#000000 [3213]"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935355</wp:posOffset>
                      </wp:positionH>
                      <wp:positionV relativeFrom="paragraph">
                        <wp:posOffset>1598930</wp:posOffset>
                      </wp:positionV>
                      <wp:extent cx="2707640" cy="0"/>
                      <wp:effectExtent l="0" t="38100" r="16510" b="38100"/>
                      <wp:wrapNone/>
                      <wp:docPr id="172" name="直接箭头连接符 172"/>
                      <wp:cNvGraphicFramePr/>
                      <a:graphic xmlns:a="http://schemas.openxmlformats.org/drawingml/2006/main">
                        <a:graphicData uri="http://schemas.microsoft.com/office/word/2010/wordprocessingShape">
                          <wps:wsp>
                            <wps:cNvCnPr/>
                            <wps:spPr>
                              <a:xfrm>
                                <a:off x="0" y="0"/>
                                <a:ext cx="2707574" cy="0"/>
                              </a:xfrm>
                              <a:prstGeom prst="straightConnector1">
                                <a:avLst/>
                              </a:prstGeom>
                              <a:ln>
                                <a:solidFill>
                                  <a:srgbClr val="FFC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3.65pt;margin-top:125.9pt;height:0pt;width:213.2pt;z-index:251753472;mso-width-relative:page;mso-height-relative:page;" filled="f" stroked="t" coordsize="21600,21600" o:gfxdata="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eVuhjZAAAACwEAAA8AAAAA&#10;AAAAAQAgAAAAIgAAAGRycy9kb3ducmV2LnhtbFBLAQIUABQAAAAIAIdO4kAwhCyWEwIAAAoEAAAO&#10;AAAAAAAAAAEAIAAAACgBAABkcnMvZTJvRG9jLnhtbFBLBQYAAAAABgAGAFkBAACtBQAAAAA=&#10;">
                      <v:fill on="f" focussize="0,0"/>
                      <v:stroke color="#FFC000 [3204]"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927100</wp:posOffset>
                      </wp:positionH>
                      <wp:positionV relativeFrom="paragraph">
                        <wp:posOffset>874395</wp:posOffset>
                      </wp:positionV>
                      <wp:extent cx="2707640" cy="0"/>
                      <wp:effectExtent l="0" t="38100" r="16510" b="38100"/>
                      <wp:wrapNone/>
                      <wp:docPr id="173" name="直接箭头连接符 173"/>
                      <wp:cNvGraphicFramePr/>
                      <a:graphic xmlns:a="http://schemas.openxmlformats.org/drawingml/2006/main">
                        <a:graphicData uri="http://schemas.microsoft.com/office/word/2010/wordprocessingShape">
                          <wps:wsp>
                            <wps:cNvCnPr/>
                            <wps:spPr>
                              <a:xfrm>
                                <a:off x="0" y="0"/>
                                <a:ext cx="2707574" cy="0"/>
                              </a:xfrm>
                              <a:prstGeom prst="straightConnector1">
                                <a:avLst/>
                              </a:prstGeom>
                              <a:ln>
                                <a:solidFill>
                                  <a:srgbClr val="FFC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3pt;margin-top:68.85pt;height:0pt;width:213.2pt;z-index:251752448;mso-width-relative:page;mso-height-relative:page;" filled="f" stroked="t" coordsize="21600,21600" o:gfxdata="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kEBr3YAAAACwEAAA8AAAAA&#10;AAAAAQAgAAAAIgAAAGRycy9kb3ducmV2LnhtbFBLAQIUABQAAAAIAIdO4kDf2YoiFAIAAAoEAAAO&#10;AAAAAAAAAAEAIAAAACcBAABkcnMvZTJvRG9jLnhtbFBLBQYAAAAABgAGAFkBAACtBQAAAAA=&#10;">
                      <v:fill on="f" focussize="0,0"/>
                      <v:stroke color="#FFC000 [3204]"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35560</wp:posOffset>
                      </wp:positionH>
                      <wp:positionV relativeFrom="paragraph">
                        <wp:posOffset>43180</wp:posOffset>
                      </wp:positionV>
                      <wp:extent cx="664210" cy="215900"/>
                      <wp:effectExtent l="0" t="0" r="2540" b="12700"/>
                      <wp:wrapNone/>
                      <wp:docPr id="174" name="文本框 174"/>
                      <wp:cNvGraphicFramePr/>
                      <a:graphic xmlns:a="http://schemas.openxmlformats.org/drawingml/2006/main">
                        <a:graphicData uri="http://schemas.microsoft.com/office/word/2010/wordprocessingShape">
                          <wps:wsp>
                            <wps:cNvSpPr txBox="1"/>
                            <wps:spPr>
                              <a:xfrm>
                                <a:off x="0" y="0"/>
                                <a:ext cx="664210" cy="215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C43D6C">
                                  <w:r>
                                    <w:rPr>
                                      <w:rFonts w:hint="eastAsia"/>
                                    </w:rPr>
                                    <w:t>截水沟</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2.8pt;margin-top:3.4pt;height:17pt;width:52.3pt;z-index:251751424;mso-width-relative:page;mso-height-relative:page;" fillcolor="#FFFFFF [3201]" filled="t" stroked="f" coordsize="21600,21600" o:gfxdata="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qRbzL0wAAAAYBAAAP&#10;AAAAAAAAAAEAIAAAACIAAABkcnMvZG93bnJldi54bWxQSwECFAAUAAAACACHTuJAEBuvWlYCAACe&#10;BAAADgAAAAAAAAABACAAAAAiAQAAZHJzL2Uyb0RvYy54bWxQSwUGAAAAAAYABgBZAQAA6gUAAAAA&#10;">
                      <v:fill on="t" focussize="0,0"/>
                      <v:stroke on="f" weight="0.5pt"/>
                      <v:imagedata o:title=""/>
                      <o:lock v:ext="edit" aspectratio="f"/>
                      <v:textbox inset="0.3mm,0.1mm,0.3mm,0.1mm">
                        <w:txbxContent>
                          <w:p w14:paraId="50C43D6C">
                            <w:r>
                              <w:rPr>
                                <w:rFonts w:hint="eastAsia"/>
                              </w:rPr>
                              <w:t>截水沟</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371475</wp:posOffset>
                      </wp:positionH>
                      <wp:positionV relativeFrom="paragraph">
                        <wp:posOffset>258445</wp:posOffset>
                      </wp:positionV>
                      <wp:extent cx="94615" cy="180975"/>
                      <wp:effectExtent l="4445" t="0" r="15240" b="9525"/>
                      <wp:wrapNone/>
                      <wp:docPr id="175" name="直接箭头连接符 175"/>
                      <wp:cNvGraphicFramePr/>
                      <a:graphic xmlns:a="http://schemas.openxmlformats.org/drawingml/2006/main">
                        <a:graphicData uri="http://schemas.microsoft.com/office/word/2010/wordprocessingShape">
                          <wps:wsp>
                            <wps:cNvCnPr/>
                            <wps:spPr>
                              <a:xfrm flipH="1" flipV="1">
                                <a:off x="0" y="0"/>
                                <a:ext cx="94615" cy="180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9.25pt;margin-top:20.35pt;height:14.25pt;width:7.45pt;z-index:251750400;mso-width-relative:page;mso-height-relative:page;" filled="f" stroked="t" coordsize="21600,21600" o:gfxdata="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PN2crUAAAABwEAAA8AAAAAAAAAAQAgAAAAIgAAAGRycy9k&#10;b3ducmV2LnhtbFBLAQIUABQAAAAIAIdO4kAJ9hdpBgIAAOIDAAAOAAAAAAAAAAEAIAAAACMBAABk&#10;cnMvZTJvRG9jLnhtbFBLBQYAAAAABgAGAFkBAACbBQAAAAA=&#10;">
                      <v:fill on="f" focussize="0,0"/>
                      <v:stroke color="#000000 [3213]" joinstyle="round"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86995</wp:posOffset>
                      </wp:positionH>
                      <wp:positionV relativeFrom="paragraph">
                        <wp:posOffset>436880</wp:posOffset>
                      </wp:positionV>
                      <wp:extent cx="845185" cy="1319530"/>
                      <wp:effectExtent l="12700" t="12700" r="18415" b="20320"/>
                      <wp:wrapNone/>
                      <wp:docPr id="176" name="矩形 176"/>
                      <wp:cNvGraphicFramePr/>
                      <a:graphic xmlns:a="http://schemas.openxmlformats.org/drawingml/2006/main">
                        <a:graphicData uri="http://schemas.microsoft.com/office/word/2010/wordprocessingShape">
                          <wps:wsp>
                            <wps:cNvSpPr/>
                            <wps:spPr>
                              <a:xfrm>
                                <a:off x="0" y="0"/>
                                <a:ext cx="845185" cy="1319530"/>
                              </a:xfrm>
                              <a:prstGeom prst="rect">
                                <a:avLst/>
                              </a:prstGeom>
                            </wps:spPr>
                            <wps:style>
                              <a:lnRef idx="2">
                                <a:schemeClr val="dk1"/>
                              </a:lnRef>
                              <a:fillRef idx="1">
                                <a:schemeClr val="lt1"/>
                              </a:fillRef>
                              <a:effectRef idx="0">
                                <a:schemeClr val="dk1"/>
                              </a:effectRef>
                              <a:fontRef idx="minor">
                                <a:schemeClr val="dk1"/>
                              </a:fontRef>
                            </wps:style>
                            <wps:txbx>
                              <w:txbxContent>
                                <w:p w14:paraId="7FEE3554">
                                  <w:pPr>
                                    <w:jc w:val="center"/>
                                  </w:pPr>
                                  <w:r>
                                    <w:rPr>
                                      <w:rFonts w:hint="eastAsia"/>
                                    </w:rPr>
                                    <w:t>骑车装卸区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5pt;margin-top:34.4pt;height:103.9pt;width:66.55pt;z-index:251749376;v-text-anchor:middle;mso-width-relative:page;mso-height-relative:page;" fillcolor="#FFFFFF [3201]" filled="t" stroked="t" coordsize="21600,21600" o:gfxdata="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AEDEvXAAAACQEAAA8AAAAAAAAAAQAgAAAAIgAAAGRycy9kb3ducmV2&#10;LnhtbFBLAQIUABQAAAAIAIdO4kC0vOj6bwIAAOwEAAAOAAAAAAAAAAEAIAAAACYBAABkcnMvZTJv&#10;RG9jLnhtbFBLBQYAAAAABgAGAFkBAAAHBgAAAAA=&#10;">
                      <v:fill on="t" focussize="0,0"/>
                      <v:stroke weight="2pt" color="#000000 [3200]" joinstyle="round"/>
                      <v:imagedata o:title=""/>
                      <o:lock v:ext="edit" aspectratio="f"/>
                      <v:textbox>
                        <w:txbxContent>
                          <w:p w14:paraId="7FEE3554">
                            <w:pPr>
                              <w:jc w:val="center"/>
                            </w:pPr>
                            <w:r>
                              <w:rPr>
                                <w:rFonts w:hint="eastAsia"/>
                              </w:rPr>
                              <w:t>骑车装卸区</w:t>
                            </w:r>
                          </w:p>
                        </w:txbxContent>
                      </v:textbox>
                    </v:rect>
                  </w:pict>
                </mc:Fallback>
              </mc:AlternateContent>
            </w:r>
          </w:p>
        </w:tc>
        <w:tc>
          <w:tcPr>
            <w:tcW w:w="3118" w:type="dxa"/>
          </w:tcPr>
          <w:p w14:paraId="55839C3E">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65760" behindDoc="0" locked="0" layoutInCell="1" allowOverlap="1">
                      <wp:simplePos x="0" y="0"/>
                      <wp:positionH relativeFrom="column">
                        <wp:posOffset>595630</wp:posOffset>
                      </wp:positionH>
                      <wp:positionV relativeFrom="paragraph">
                        <wp:posOffset>1525270</wp:posOffset>
                      </wp:positionV>
                      <wp:extent cx="647065" cy="215265"/>
                      <wp:effectExtent l="0" t="0" r="635" b="13335"/>
                      <wp:wrapNone/>
                      <wp:docPr id="177" name="文本框 177"/>
                      <wp:cNvGraphicFramePr/>
                      <a:graphic xmlns:a="http://schemas.openxmlformats.org/drawingml/2006/main">
                        <a:graphicData uri="http://schemas.microsoft.com/office/word/2010/wordprocessingShape">
                          <wps:wsp>
                            <wps:cNvSpPr txBox="1"/>
                            <wps:spPr>
                              <a:xfrm>
                                <a:off x="0" y="0"/>
                                <a:ext cx="646981"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1F7498">
                                  <w:r>
                                    <w:rPr>
                                      <w:rFonts w:hint="eastAsia"/>
                                      <w:sz w:val="21"/>
                                    </w:rPr>
                                    <w:t>事故废水</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46.9pt;margin-top:120.1pt;height:16.95pt;width:50.95pt;z-index:251765760;mso-width-relative:page;mso-height-relative:page;" fillcolor="#FFFFFF [3201]" filled="t" stroked="f" coordsize="21600,21600" o:gfxdata="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qEfiU2AAAAAoB&#10;AAAPAAAAAAAAAAEAIAAAACIAAABkcnMvZG93bnJldi54bWxQSwECFAAUAAAACACHTuJAIwrO0VQC&#10;AACeBAAADgAAAAAAAAABACAAAAAnAQAAZHJzL2Uyb0RvYy54bWxQSwUGAAAAAAYABgBZAQAA7QUA&#10;AAAA&#10;">
                      <v:fill on="t" focussize="0,0"/>
                      <v:stroke on="f" weight="0.5pt"/>
                      <v:imagedata o:title=""/>
                      <o:lock v:ext="edit" aspectratio="f"/>
                      <v:textbox inset="0.3mm,0.1mm,0.3mm,0.1mm">
                        <w:txbxContent>
                          <w:p w14:paraId="381F7498">
                            <w:r>
                              <w:rPr>
                                <w:rFonts w:hint="eastAsia"/>
                                <w:sz w:val="21"/>
                              </w:rPr>
                              <w:t>事故废水</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3810</wp:posOffset>
                      </wp:positionH>
                      <wp:positionV relativeFrom="paragraph">
                        <wp:posOffset>1546225</wp:posOffset>
                      </wp:positionV>
                      <wp:extent cx="103505" cy="137795"/>
                      <wp:effectExtent l="4445" t="4445" r="6350" b="10160"/>
                      <wp:wrapNone/>
                      <wp:docPr id="178" name="流程图: 对照 178"/>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0.3pt;margin-top:121.75pt;height:10.85pt;width:8.15pt;z-index:251764736;v-text-anchor:middle;mso-width-relative:page;mso-height-relative:page;" fillcolor="#FF0000" filled="t" stroked="t" coordsize="21600,21600" o:gfxdata="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LpFBW1gAAAAcBAAAPAAAAAAAAAAEAIAAA&#10;ACIAAABkcnMvZG93bnJldi54bWxQSwECFAAUAAAACACHTuJAXCizCoACAAD2BAAADgAAAAAAAAAB&#10;ACAAAAAlAQAAZHJzL2Uyb0RvYy54bWxQSwUGAAAAAAYABgBZAQAAFwYAAAAA&#10;">
                      <v:fill on="t" focussize="0,0"/>
                      <v:stroke weight="0.5pt" color="#000000 [3213]"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519430</wp:posOffset>
                      </wp:positionH>
                      <wp:positionV relativeFrom="paragraph">
                        <wp:posOffset>445770</wp:posOffset>
                      </wp:positionV>
                      <wp:extent cx="565150" cy="215265"/>
                      <wp:effectExtent l="0" t="0" r="6350" b="13335"/>
                      <wp:wrapNone/>
                      <wp:docPr id="179" name="文本框 179"/>
                      <wp:cNvGraphicFramePr/>
                      <a:graphic xmlns:a="http://schemas.openxmlformats.org/drawingml/2006/main">
                        <a:graphicData uri="http://schemas.microsoft.com/office/word/2010/wordprocessingShape">
                          <wps:wsp>
                            <wps:cNvSpPr txBox="1"/>
                            <wps:spPr>
                              <a:xfrm>
                                <a:off x="0" y="0"/>
                                <a:ext cx="565150"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F8BEB4">
                                  <w:pPr>
                                    <w:rPr>
                                      <w:sz w:val="20"/>
                                    </w:rPr>
                                  </w:pPr>
                                  <w:r>
                                    <w:rPr>
                                      <w:rFonts w:hint="eastAsia"/>
                                      <w:sz w:val="20"/>
                                    </w:rPr>
                                    <w:t>雨水管网</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40.9pt;margin-top:35.1pt;height:16.95pt;width:44.5pt;z-index:251759616;mso-width-relative:page;mso-height-relative:page;" fillcolor="#FFFFFF [3201]" filled="t" stroked="f" coordsize="21600,21600" o:gfxdata="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9TkPPWAAAACQEAAA8A&#10;AAAAAAAAAQAgAAAAIgAAAGRycy9kb3ducmV2LnhtbFBLAQIUABQAAAAIAIdO4kAHDiUqUgIAAJ4E&#10;AAAOAAAAAAAAAAEAIAAAACUBAABkcnMvZTJvRG9jLnhtbFBLBQYAAAAABgAGAFkBAADpBQAAAAA=&#10;">
                      <v:fill on="t" focussize="0,0"/>
                      <v:stroke on="f" weight="0.5pt"/>
                      <v:imagedata o:title=""/>
                      <o:lock v:ext="edit" aspectratio="f"/>
                      <v:textbox inset="0.3mm,0.1mm,0.3mm,0.1mm">
                        <w:txbxContent>
                          <w:p w14:paraId="65F8BEB4">
                            <w:pPr>
                              <w:rPr>
                                <w:sz w:val="20"/>
                              </w:rPr>
                            </w:pPr>
                            <w:r>
                              <w:rPr>
                                <w:rFonts w:hint="eastAsia"/>
                                <w:sz w:val="20"/>
                              </w:rPr>
                              <w:t>雨水管网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455930</wp:posOffset>
                      </wp:positionH>
                      <wp:positionV relativeFrom="paragraph">
                        <wp:posOffset>761365</wp:posOffset>
                      </wp:positionV>
                      <wp:extent cx="841375" cy="215265"/>
                      <wp:effectExtent l="0" t="0" r="15875" b="13335"/>
                      <wp:wrapNone/>
                      <wp:docPr id="180" name="文本框 180"/>
                      <wp:cNvGraphicFramePr/>
                      <a:graphic xmlns:a="http://schemas.openxmlformats.org/drawingml/2006/main">
                        <a:graphicData uri="http://schemas.microsoft.com/office/word/2010/wordprocessingShape">
                          <wps:wsp>
                            <wps:cNvSpPr txBox="1"/>
                            <wps:spPr>
                              <a:xfrm>
                                <a:off x="0" y="0"/>
                                <a:ext cx="841375"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BCAF31">
                                  <w:pPr>
                                    <w:rPr>
                                      <w:sz w:val="20"/>
                                    </w:rPr>
                                  </w:pPr>
                                  <w:r>
                                    <w:rPr>
                                      <w:rFonts w:hint="eastAsia"/>
                                      <w:sz w:val="20"/>
                                    </w:rPr>
                                    <w:t>初期雨水管网</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35.9pt;margin-top:59.95pt;height:16.95pt;width:66.25pt;z-index:251761664;mso-width-relative:page;mso-height-relative:page;" fillcolor="#FFFFFF [3201]" filled="t" stroked="f" coordsize="21600,21600" o:gfxdata="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fnVLVNcAAAAKAQAA&#10;DwAAAAAAAAABACAAAAAiAAAAZHJzL2Rvd25yZXYueG1sUEsBAhQAFAAAAAgAh07iQA8pT7ZTAgAA&#10;ngQAAA4AAAAAAAAAAQAgAAAAJgEAAGRycy9lMm9Eb2MueG1sUEsFBgAAAAAGAAYAWQEAAOsFAAAA&#10;AA==&#10;">
                      <v:fill on="t" focussize="0,0"/>
                      <v:stroke on="f" weight="0.5pt"/>
                      <v:imagedata o:title=""/>
                      <o:lock v:ext="edit" aspectratio="f"/>
                      <v:textbox inset="0.3mm,0.1mm,0.3mm,0.1mm">
                        <w:txbxContent>
                          <w:p w14:paraId="68BCAF31">
                            <w:pPr>
                              <w:rPr>
                                <w:sz w:val="20"/>
                              </w:rPr>
                            </w:pPr>
                            <w:r>
                              <w:rPr>
                                <w:rFonts w:hint="eastAsia"/>
                                <w:sz w:val="20"/>
                              </w:rPr>
                              <w:t>初期雨水管网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1670685</wp:posOffset>
                      </wp:positionH>
                      <wp:positionV relativeFrom="paragraph">
                        <wp:posOffset>439420</wp:posOffset>
                      </wp:positionV>
                      <wp:extent cx="248285" cy="215265"/>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248285" cy="215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11BAD">
                                  <w:r>
                                    <w:rPr>
                                      <w:rFonts w:hint="eastAsia"/>
                                    </w:rPr>
                                    <w:t>海</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131.55pt;margin-top:34.6pt;height:16.95pt;width:19.55pt;z-index:251758592;mso-width-relative:page;mso-height-relative:page;" filled="f" stroked="f" coordsize="21600,21600" o:gfxdata="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&#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gcbOr2AAAAAoBAAAPAAAAAAAAAAEAIAAAACIAAABk&#10;cnMvZG93bnJldi54bWxQSwECFAAUAAAACACHTuJAkT82jD8CAAB1BAAADgAAAAAAAAABACAAAAAn&#10;AQAAZHJzL2Uyb0RvYy54bWxQSwUGAAAAAAYABgBZAQAA2AUAAAAA&#10;">
                      <v:fill on="f" focussize="0,0"/>
                      <v:stroke on="f" weight="0.5pt"/>
                      <v:imagedata o:title=""/>
                      <o:lock v:ext="edit" aspectratio="f"/>
                      <v:textbox inset="0.3mm,0.1mm,0.3mm,0.1mm">
                        <w:txbxContent>
                          <w:p w14:paraId="48311BAD">
                            <w:r>
                              <w:rPr>
                                <w:rFonts w:hint="eastAsia"/>
                              </w:rPr>
                              <w:t>海</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1319530</wp:posOffset>
                      </wp:positionH>
                      <wp:positionV relativeFrom="paragraph">
                        <wp:posOffset>476250</wp:posOffset>
                      </wp:positionV>
                      <wp:extent cx="103505" cy="137795"/>
                      <wp:effectExtent l="4445" t="4445" r="6350" b="10160"/>
                      <wp:wrapNone/>
                      <wp:docPr id="182" name="流程图: 对照 182"/>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103.9pt;margin-top:37.5pt;height:10.85pt;width:8.15pt;z-index:251763712;v-text-anchor:middle;mso-width-relative:page;mso-height-relative:page;" fillcolor="#FF0000" filled="t" stroked="t" coordsize="21600,21600" o:gfxdata="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uCCPsdkAAAAJAQAADwAAAAAAAAAB&#10;ACAAAAAiAAAAZHJzL2Rvd25yZXYueG1sUEsBAhQAFAAAAAgAh07iQBhAQ9+BAgAA9gQAAA4AAAAA&#10;AAAAAQAgAAAAKAEAAGRycy9lMm9Eb2MueG1sUEsFBgAAAAAGAAYAWQEAABsGAAAAAA==&#10;">
                      <v:fill on="t" focussize="0,0"/>
                      <v:stroke weight="0.5pt" color="#000000 [3213]"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107315</wp:posOffset>
                      </wp:positionH>
                      <wp:positionV relativeFrom="paragraph">
                        <wp:posOffset>540385</wp:posOffset>
                      </wp:positionV>
                      <wp:extent cx="1564005" cy="6350"/>
                      <wp:effectExtent l="0" t="38100" r="17145" b="31750"/>
                      <wp:wrapNone/>
                      <wp:docPr id="183" name="直接箭头连接符 183"/>
                      <wp:cNvGraphicFramePr/>
                      <a:graphic xmlns:a="http://schemas.openxmlformats.org/drawingml/2006/main">
                        <a:graphicData uri="http://schemas.microsoft.com/office/word/2010/wordprocessingShape">
                          <wps:wsp>
                            <wps:cNvCnPr/>
                            <wps:spPr>
                              <a:xfrm flipV="1">
                                <a:off x="0" y="0"/>
                                <a:ext cx="1564005" cy="6350"/>
                              </a:xfrm>
                              <a:prstGeom prst="straightConnector1">
                                <a:avLst/>
                              </a:prstGeom>
                              <a:ln>
                                <a:solidFill>
                                  <a:srgbClr val="FFC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45pt;margin-top:42.55pt;height:0.5pt;width:123.15pt;z-index:251757568;mso-width-relative:page;mso-height-relative:page;" filled="f" stroked="t" coordsize="21600,21600" o:gfxdata="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3hhKd1gAAAAgB&#10;AAAPAAAAAAAAAAEAIAAAACIAAABkcnMvZG93bnJldi54bWxQSwECFAAUAAAACACHTuJAyvxOwh0C&#10;AAAXBAAADgAAAAAAAAABACAAAAAlAQAAZHJzL2Uyb0RvYy54bWxQSwUGAAAAAAYABgBZAQAAtAUA&#10;AAAA&#10;">
                      <v:fill on="f" focussize="0,0"/>
                      <v:stroke color="#FFC000 [3204]"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-51435</wp:posOffset>
                      </wp:positionH>
                      <wp:positionV relativeFrom="paragraph">
                        <wp:posOffset>975995</wp:posOffset>
                      </wp:positionV>
                      <wp:extent cx="426085" cy="173355"/>
                      <wp:effectExtent l="0" t="0" r="12065" b="17145"/>
                      <wp:wrapNone/>
                      <wp:docPr id="184" name="文本框 184"/>
                      <wp:cNvGraphicFramePr/>
                      <a:graphic xmlns:a="http://schemas.openxmlformats.org/drawingml/2006/main">
                        <a:graphicData uri="http://schemas.microsoft.com/office/word/2010/wordprocessingShape">
                          <wps:wsp>
                            <wps:cNvSpPr txBox="1"/>
                            <wps:spPr>
                              <a:xfrm>
                                <a:off x="0" y="0"/>
                                <a:ext cx="426346" cy="1733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B98E3F">
                                  <w:pPr>
                                    <w:rPr>
                                      <w:sz w:val="18"/>
                                    </w:rPr>
                                  </w:pPr>
                                  <w:r>
                                    <w:rPr>
                                      <w:rFonts w:hint="eastAsia"/>
                                      <w:sz w:val="18"/>
                                    </w:rPr>
                                    <w:t>切换阀</w:t>
                                  </w:r>
                                </w:p>
                              </w:txbxContent>
                            </wps:txbx>
                            <wps:bodyPr rot="0" spcFirstLastPara="0" vertOverflow="overflow" horzOverflow="overflow" vert="horz" wrap="square" lIns="10800" tIns="3600" rIns="10800" bIns="360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76.85pt;height:13.65pt;width:33.55pt;z-index:251762688;mso-width-relative:page;mso-height-relative:page;" fillcolor="#FFFFFF [3201]" filled="t" stroked="f" coordsize="21600,21600" o:gfxdata="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KzzQctYAAAAJAQAA&#10;DwAAAAAAAAABACAAAAAiAAAAZHJzL2Rvd25yZXYueG1sUEsBAhQAFAAAAAgAh07iQCx8r/pUAgAA&#10;ngQAAA4AAAAAAAAAAQAgAAAAJQEAAGRycy9lMm9Eb2MueG1sUEsFBgAAAAAGAAYAWQEAAOsFAAAA&#10;AA==&#10;">
                      <v:fill on="t" focussize="0,0"/>
                      <v:stroke on="f" weight="0.5pt"/>
                      <v:imagedata o:title=""/>
                      <o:lock v:ext="edit" aspectratio="f"/>
                      <v:textbox inset="0.3mm,0.1mm,0.3mm,0.1mm">
                        <w:txbxContent>
                          <w:p w14:paraId="31B98E3F">
                            <w:pPr>
                              <w:rPr>
                                <w:sz w:val="18"/>
                              </w:rPr>
                            </w:pPr>
                            <w:r>
                              <w:rPr>
                                <w:rFonts w:hint="eastAsia"/>
                                <w:sz w:val="18"/>
                              </w:rPr>
                              <w:t>切换阀</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33655</wp:posOffset>
                      </wp:positionH>
                      <wp:positionV relativeFrom="paragraph">
                        <wp:posOffset>806450</wp:posOffset>
                      </wp:positionV>
                      <wp:extent cx="103505" cy="137795"/>
                      <wp:effectExtent l="4445" t="4445" r="6350" b="10160"/>
                      <wp:wrapNone/>
                      <wp:docPr id="185" name="流程图: 对照 185"/>
                      <wp:cNvGraphicFramePr/>
                      <a:graphic xmlns:a="http://schemas.openxmlformats.org/drawingml/2006/main">
                        <a:graphicData uri="http://schemas.microsoft.com/office/word/2010/wordprocessingShape">
                          <wps:wsp>
                            <wps:cNvSpPr/>
                            <wps:spPr>
                              <a:xfrm>
                                <a:off x="0" y="0"/>
                                <a:ext cx="103505" cy="137795"/>
                              </a:xfrm>
                              <a:prstGeom prst="flowChartCollate">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2.65pt;margin-top:63.5pt;height:10.85pt;width:8.15pt;z-index:251760640;v-text-anchor:middle;mso-width-relative:page;mso-height-relative:page;" fillcolor="#FF0000" filled="t" stroked="t" coordsize="21600,21600" o:gfxdata="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1CJT89gAAAAIAQAADwAAAAAAAAABACAA&#10;AAAiAAAAZHJzL2Rvd25yZXYueG1sUEsBAhQAFAAAAAgAh07iQH3gQPZ/AgAA9gQAAA4AAAAAAAAA&#10;AQAgAAAAJwEAAGRycy9lMm9Eb2MueG1sUEsFBgAAAAAGAAYAWQEAABgGAAAAAA==&#10;">
                      <v:fill on="t" focussize="0,0"/>
                      <v:stroke weight="0.5pt" color="#000000 [3213]"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108585</wp:posOffset>
                      </wp:positionH>
                      <wp:positionV relativeFrom="paragraph">
                        <wp:posOffset>543560</wp:posOffset>
                      </wp:positionV>
                      <wp:extent cx="0" cy="335915"/>
                      <wp:effectExtent l="4445" t="0" r="14605" b="6985"/>
                      <wp:wrapNone/>
                      <wp:docPr id="186" name="直接箭头连接符 186"/>
                      <wp:cNvGraphicFramePr/>
                      <a:graphic xmlns:a="http://schemas.openxmlformats.org/drawingml/2006/main">
                        <a:graphicData uri="http://schemas.microsoft.com/office/word/2010/wordprocessingShape">
                          <wps:wsp>
                            <wps:cNvCnPr/>
                            <wps:spPr>
                              <a:xfrm flipV="1">
                                <a:off x="0" y="0"/>
                                <a:ext cx="0" cy="335915"/>
                              </a:xfrm>
                              <a:prstGeom prst="straightConnector1">
                                <a:avLst/>
                              </a:prstGeom>
                              <a:ln>
                                <a:solidFill>
                                  <a:srgbClr val="FFC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55pt;margin-top:42.8pt;height:26.45pt;width:0pt;z-index:251756544;mso-width-relative:page;mso-height-relative:page;" filled="f" stroked="t" coordsize="21600,21600" o:gfxdata="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aS1BrdUAAAAIAQAADwAAAAAAAAAB&#10;ACAAAAAiAAAAZHJzL2Rvd25yZXYueG1sUEsBAhQAFAAAAAgAh07iQD0YEKsTAgAADwQAAA4AAAAA&#10;AAAAAQAgAAAAJAEAAGRycy9lMm9Eb2MueG1sUEsFBgAAAAAGAAYAWQEAAKkFAAAAAA==&#10;">
                      <v:fill on="f" focussize="0,0"/>
                      <v:stroke color="#FFC000 [3204]" joinstyle="round"/>
                      <v:imagedata o:title=""/>
                      <o:lock v:ext="edit" aspectratio="f"/>
                    </v:shape>
                  </w:pict>
                </mc:Fallback>
              </mc:AlternateContent>
            </w:r>
          </w:p>
        </w:tc>
        <w:tc>
          <w:tcPr>
            <w:tcW w:w="2268" w:type="dxa"/>
          </w:tcPr>
          <w:p w14:paraId="4F6F79BB">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220345</wp:posOffset>
                      </wp:positionH>
                      <wp:positionV relativeFrom="paragraph">
                        <wp:posOffset>1421765</wp:posOffset>
                      </wp:positionV>
                      <wp:extent cx="1035050" cy="319405"/>
                      <wp:effectExtent l="4445" t="5080" r="8255" b="18415"/>
                      <wp:wrapNone/>
                      <wp:docPr id="187" name="矩形 187"/>
                      <wp:cNvGraphicFramePr/>
                      <a:graphic xmlns:a="http://schemas.openxmlformats.org/drawingml/2006/main">
                        <a:graphicData uri="http://schemas.microsoft.com/office/word/2010/wordprocessingShape">
                          <wps:wsp>
                            <wps:cNvSpPr/>
                            <wps:spPr>
                              <a:xfrm>
                                <a:off x="0" y="0"/>
                                <a:ext cx="1035050" cy="319405"/>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1C39BE55">
                                  <w:pPr>
                                    <w:jc w:val="center"/>
                                  </w:pPr>
                                  <w:r>
                                    <w:rPr>
                                      <w:rFonts w:hint="eastAsia"/>
                                    </w:rPr>
                                    <w:t>事故应急池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5pt;margin-top:111.95pt;height:25.15pt;width:81.5pt;z-index:251767808;v-text-anchor:middle;mso-width-relative:page;mso-height-relative:page;" fillcolor="#FFFFFF [3201]" filled="t" stroked="t" coordsize="21600,21600" o:gfxdata="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IqrzLtoAAAAKAQAADwAAAAAAAAABACAAAAAiAAAAZHJzL2Rvd25yZXYu&#10;eG1sUEsBAhQAFAAAAAgAh07iQKamun9rAgAA6wQAAA4AAAAAAAAAAQAgAAAAKQEAAGRycy9lMm9E&#10;b2MueG1sUEsFBgAAAAAGAAYAWQEAAAYGAAAAAA==&#10;">
                      <v:fill on="t" focussize="0,0"/>
                      <v:stroke color="#000000 [3200]" joinstyle="round"/>
                      <v:imagedata o:title=""/>
                      <o:lock v:ext="edit" aspectratio="f"/>
                      <v:textbox>
                        <w:txbxContent>
                          <w:p w14:paraId="1C39BE55">
                            <w:pPr>
                              <w:jc w:val="center"/>
                            </w:pPr>
                            <w:r>
                              <w:rPr>
                                <w:rFonts w:hint="eastAsia"/>
                              </w:rPr>
                              <w:t>事故应急池</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6784" behindDoc="0" locked="0" layoutInCell="1" allowOverlap="1">
                      <wp:simplePos x="0" y="0"/>
                      <wp:positionH relativeFrom="column">
                        <wp:posOffset>220345</wp:posOffset>
                      </wp:positionH>
                      <wp:positionV relativeFrom="paragraph">
                        <wp:posOffset>631825</wp:posOffset>
                      </wp:positionV>
                      <wp:extent cx="496570" cy="400050"/>
                      <wp:effectExtent l="4445" t="4445" r="13335" b="14605"/>
                      <wp:wrapNone/>
                      <wp:docPr id="188" name="矩形 188"/>
                      <wp:cNvGraphicFramePr/>
                      <a:graphic xmlns:a="http://schemas.openxmlformats.org/drawingml/2006/main">
                        <a:graphicData uri="http://schemas.microsoft.com/office/word/2010/wordprocessingShape">
                          <wps:wsp>
                            <wps:cNvSpPr/>
                            <wps:spPr>
                              <a:xfrm>
                                <a:off x="0" y="0"/>
                                <a:ext cx="496570" cy="40005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6B50C0ED">
                                  <w:pPr>
                                    <w:jc w:val="center"/>
                                  </w:pPr>
                                  <w:r>
                                    <w:rPr>
                                      <w:rFonts w:hint="eastAsia"/>
                                    </w:rPr>
                                    <w:t>初期雨水池</w:t>
                                  </w:r>
                                </w:p>
                              </w:txbxContent>
                            </wps:txbx>
                            <wps:bodyPr rot="0" spcFirstLastPara="0" vertOverflow="overflow" horzOverflow="overflow" vert="horz" wrap="square" lIns="10800" tIns="3600" rIns="10800" bIns="3600" numCol="1" spcCol="0" rtlCol="0" fromWordArt="0" anchor="ctr" anchorCtr="0" forceAA="0" compatLnSpc="1">
                              <a:noAutofit/>
                            </wps:bodyPr>
                          </wps:wsp>
                        </a:graphicData>
                      </a:graphic>
                    </wp:anchor>
                  </w:drawing>
                </mc:Choice>
                <mc:Fallback>
                  <w:pict>
                    <v:rect id="_x0000_s1026" o:spid="_x0000_s1026" o:spt="1" style="position:absolute;left:0pt;margin-left:17.35pt;margin-top:49.75pt;height:31.5pt;width:39.1pt;z-index:251766784;v-text-anchor:middle;mso-width-relative:page;mso-height-relative:page;" fillcolor="#FFFFFF [3201]" filled="t" stroked="t" coordsize="21600,21600" o:gfxdata="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4Ty0t1wAAAAkBAAAPAAAAAAAAAAEAIAAAACIAAABkcnMvZG93bnJldi54bWxQ&#10;SwECFAAUAAAACACHTuJA7919o2oCAADoBAAADgAAAAAAAAABACAAAAAmAQAAZHJzL2Uyb0RvYy54&#10;bWxQSwUGAAAAAAYABgBZAQAAAgYAAAAA&#10;">
                      <v:fill on="t" focussize="0,0"/>
                      <v:stroke weight="0.5pt" color="#000000 [3200]" joinstyle="round"/>
                      <v:imagedata o:title=""/>
                      <o:lock v:ext="edit" aspectratio="f"/>
                      <v:textbox inset="0.3mm,0.1mm,0.3mm,0.1mm">
                        <w:txbxContent>
                          <w:p w14:paraId="6B50C0ED">
                            <w:pPr>
                              <w:jc w:val="center"/>
                            </w:pPr>
                            <w:r>
                              <w:rPr>
                                <w:rFonts w:hint="eastAsia"/>
                              </w:rPr>
                              <w:t>初期雨水池</w:t>
                            </w:r>
                          </w:p>
                        </w:txbxContent>
                      </v:textbox>
                    </v:rect>
                  </w:pict>
                </mc:Fallback>
              </mc:AlternateContent>
            </w:r>
          </w:p>
        </w:tc>
      </w:tr>
      <w:tr w14:paraId="3E34A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87AAA3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防控级别</w:t>
            </w:r>
          </w:p>
        </w:tc>
        <w:tc>
          <w:tcPr>
            <w:tcW w:w="2410" w:type="dxa"/>
            <w:vAlign w:val="center"/>
          </w:tcPr>
          <w:p w14:paraId="3436B5E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一级防控（将事故废水控制在防火堤内）</w:t>
            </w:r>
          </w:p>
        </w:tc>
        <w:tc>
          <w:tcPr>
            <w:tcW w:w="3118" w:type="dxa"/>
            <w:vAlign w:val="center"/>
          </w:tcPr>
          <w:p w14:paraId="5618901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二级防控（关闭雨水排放口，将事故控制在厂区内）</w:t>
            </w:r>
          </w:p>
        </w:tc>
        <w:tc>
          <w:tcPr>
            <w:tcW w:w="2268" w:type="dxa"/>
            <w:vAlign w:val="center"/>
          </w:tcPr>
          <w:p w14:paraId="246DF1F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三级防控（将事故废水收集进入初期雨水池和事故应急池）</w:t>
            </w:r>
          </w:p>
        </w:tc>
      </w:tr>
    </w:tbl>
    <w:p w14:paraId="2BA48191">
      <w:pPr>
        <w:spacing w:line="360" w:lineRule="auto"/>
        <w:ind w:firstLine="480" w:firstLineChars="200"/>
        <w:rPr>
          <w:rFonts w:ascii="Times New Roman" w:hAnsi="Times New Roman" w:cs="Times New Roman"/>
          <w:bCs/>
          <w:color w:val="000000" w:themeColor="text1"/>
          <w14:textFill>
            <w14:solidFill>
              <w14:schemeClr w14:val="tx1"/>
            </w14:solidFill>
          </w14:textFill>
        </w:rPr>
      </w:pPr>
    </w:p>
    <w:p w14:paraId="0CAA5739">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（2）防范措施</w:t>
      </w:r>
    </w:p>
    <w:p w14:paraId="3CFA02DA">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rFonts w:ascii="Times New Roman" w:hAnsi="Times New Roman" w:cs="Times New Roman"/>
          <w:bCs/>
          <w:color w:val="000000" w:themeColor="text1"/>
          <w14:textFill>
            <w14:solidFill>
              <w14:schemeClr w14:val="tx1"/>
            </w14:solidFill>
          </w14:textFill>
        </w:rPr>
        <w:t>储罐要安装液位、温度、压力超限报警设施，贮存区需安装气体泄漏检测报警装置和火灾报警系统。</w:t>
      </w:r>
      <w:r>
        <w:rPr>
          <w:rFonts w:hint="eastAsia" w:ascii="Times New Roman" w:hAnsi="Times New Roman" w:cs="Times New Roman"/>
          <w:bCs/>
          <w:color w:val="000000" w:themeColor="text1"/>
          <w14:textFill>
            <w14:solidFill>
              <w14:schemeClr w14:val="tx1"/>
            </w14:solidFill>
          </w14:textFill>
        </w:rPr>
        <w:t>装卸区要设置视频监控系统、紧急切断阀、有毒气体检测器、可燃气体检测器和火灾报警系统。</w:t>
      </w:r>
    </w:p>
    <w:p w14:paraId="40140BE3">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②</w:t>
      </w:r>
      <w:r>
        <w:rPr>
          <w:rFonts w:ascii="Times New Roman" w:hAnsi="Times New Roman" w:cs="Times New Roman"/>
          <w:bCs/>
          <w:color w:val="000000" w:themeColor="text1"/>
          <w14:textFill>
            <w14:solidFill>
              <w14:schemeClr w14:val="tx1"/>
            </w14:solidFill>
          </w14:textFill>
        </w:rPr>
        <w:t>贮罐内物料的输入与输出应采用不同的泵，贮罐上应有液位显示，进各生产车间的中转罐上设有进料控制阀，由中转罐上的电子秤计量开关进料阀并与泵联锁，防止过量输料导致溢漏。</w:t>
      </w:r>
    </w:p>
    <w:p w14:paraId="578303A0">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③</w:t>
      </w:r>
      <w:r>
        <w:rPr>
          <w:rFonts w:ascii="Times New Roman" w:hAnsi="Times New Roman" w:cs="Times New Roman"/>
          <w:bCs/>
          <w:color w:val="000000" w:themeColor="text1"/>
          <w14:textFill>
            <w14:solidFill>
              <w14:schemeClr w14:val="tx1"/>
            </w14:solidFill>
          </w14:textFill>
        </w:rPr>
        <w:t>全厂所有装置、管线均设计为密闭系统，包括动设备的轴封、静设备的人孔、法兰、管线的接口处等容易泄漏的地方，在设计选型和选材上按规定特殊考虑。</w:t>
      </w:r>
    </w:p>
    <w:p w14:paraId="57AED824">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④</w:t>
      </w:r>
      <w:r>
        <w:rPr>
          <w:rFonts w:ascii="Times New Roman" w:hAnsi="Times New Roman" w:cs="Times New Roman"/>
          <w:bCs/>
          <w:color w:val="000000" w:themeColor="text1"/>
          <w14:textFill>
            <w14:solidFill>
              <w14:schemeClr w14:val="tx1"/>
            </w14:solidFill>
          </w14:textFill>
        </w:rPr>
        <w:t>定期检查各安全附件（压力表、安全阀与放空阀、温度计、单向阀等）是否灵活、准确，如有异常要及时汇报，</w:t>
      </w:r>
      <w:r>
        <w:rPr>
          <w:rFonts w:hint="eastAsia" w:ascii="Times New Roman" w:hAnsi="Times New Roman" w:cs="Times New Roman"/>
          <w:bCs/>
          <w:color w:val="000000" w:themeColor="text1"/>
          <w:lang w:eastAsia="zh-CN"/>
          <w14:textFill>
            <w14:solidFill>
              <w14:schemeClr w14:val="tx1"/>
            </w14:solidFill>
          </w14:textFill>
        </w:rPr>
        <w:t>报修</w:t>
      </w:r>
      <w:r>
        <w:rPr>
          <w:rFonts w:ascii="Times New Roman" w:hAnsi="Times New Roman" w:cs="Times New Roman"/>
          <w:bCs/>
          <w:color w:val="000000" w:themeColor="text1"/>
          <w14:textFill>
            <w14:solidFill>
              <w14:schemeClr w14:val="tx1"/>
            </w14:solidFill>
          </w14:textFill>
        </w:rPr>
        <w:t>。</w:t>
      </w:r>
    </w:p>
    <w:p w14:paraId="0460A0DF">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⑤</w:t>
      </w:r>
      <w:r>
        <w:rPr>
          <w:rFonts w:ascii="Times New Roman" w:hAnsi="Times New Roman" w:cs="Times New Roman"/>
          <w:bCs/>
          <w:color w:val="000000" w:themeColor="text1"/>
          <w14:textFill>
            <w14:solidFill>
              <w14:schemeClr w14:val="tx1"/>
            </w14:solidFill>
          </w14:textFill>
        </w:rPr>
        <w:t>由于罐区物料储存量较大，为防止罐区物料泄漏时扩散至厂区内其他地方，储罐区设置1.</w:t>
      </w:r>
      <w:r>
        <w:rPr>
          <w:rFonts w:hint="eastAsia" w:ascii="Times New Roman" w:hAnsi="Times New Roman" w:cs="Times New Roman"/>
          <w:bCs/>
          <w:color w:val="000000" w:themeColor="text1"/>
          <w14:textFill>
            <w14:solidFill>
              <w14:schemeClr w14:val="tx1"/>
            </w14:solidFill>
          </w14:textFill>
        </w:rPr>
        <w:t>4</w:t>
      </w:r>
      <w:r>
        <w:rPr>
          <w:rFonts w:ascii="Times New Roman" w:hAnsi="Times New Roman" w:cs="Times New Roman"/>
          <w:bCs/>
          <w:color w:val="000000" w:themeColor="text1"/>
          <w14:textFill>
            <w14:solidFill>
              <w14:schemeClr w14:val="tx1"/>
            </w14:solidFill>
          </w14:textFill>
        </w:rPr>
        <w:t>m高的防火堤，防止事故状态下的废水或废液扩散。</w:t>
      </w:r>
    </w:p>
    <w:p w14:paraId="0543A768">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⑥装卸区操作频繁，装车棚四周设置截水沟和废水收集池，用于收集汽车装卸过程泄漏的物料，防止废水或废液扩散。当发生大量泄漏超出废水收集池的容量时，将超出部分导入事故应急池中。</w:t>
      </w:r>
    </w:p>
    <w:p w14:paraId="6C7713D1">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⑦</w:t>
      </w:r>
      <w:r>
        <w:rPr>
          <w:rFonts w:ascii="Times New Roman" w:hAnsi="Times New Roman" w:cs="Times New Roman"/>
          <w:bCs/>
          <w:color w:val="000000" w:themeColor="text1"/>
          <w14:textFill>
            <w14:solidFill>
              <w14:schemeClr w14:val="tx1"/>
            </w14:solidFill>
          </w14:textFill>
        </w:rPr>
        <w:t>装卸台、罐区放置吸油毡、沙等吸附物质，当员工在操作过程中发生少量的跑、冒、滴、漏现象时，</w:t>
      </w:r>
      <w:r>
        <w:rPr>
          <w:rFonts w:ascii="Times New Roman" w:hAnsi="Times New Roman" w:cs="Times New Roman"/>
          <w:color w:val="000000" w:themeColor="text1"/>
          <w14:textFill>
            <w14:solidFill>
              <w14:schemeClr w14:val="tx1"/>
            </w14:solidFill>
          </w14:textFill>
        </w:rPr>
        <w:t>要及时</w:t>
      </w:r>
      <w:r>
        <w:rPr>
          <w:rFonts w:ascii="Times New Roman" w:hAnsi="Times New Roman" w:cs="Times New Roman"/>
          <w:bCs/>
          <w:color w:val="000000" w:themeColor="text1"/>
          <w14:textFill>
            <w14:solidFill>
              <w14:schemeClr w14:val="tx1"/>
            </w14:solidFill>
          </w14:textFill>
        </w:rPr>
        <w:t>利用吸油毡等吸附物质</w:t>
      </w:r>
      <w:r>
        <w:rPr>
          <w:rFonts w:ascii="Times New Roman" w:hAnsi="Times New Roman" w:cs="Times New Roman"/>
          <w:color w:val="000000" w:themeColor="text1"/>
          <w14:textFill>
            <w14:solidFill>
              <w14:schemeClr w14:val="tx1"/>
            </w14:solidFill>
          </w14:textFill>
        </w:rPr>
        <w:t>将现场泄漏物进行覆盖、收容、稀释、处理</w:t>
      </w:r>
      <w:r>
        <w:rPr>
          <w:rFonts w:ascii="Times New Roman" w:hAnsi="Times New Roman" w:cs="Times New Roman"/>
          <w:bCs/>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使泄漏物得到安全可靠的处置，防止二次事故的发生。</w:t>
      </w:r>
      <w:r>
        <w:rPr>
          <w:rFonts w:ascii="Times New Roman" w:hAnsi="Times New Roman" w:cs="Times New Roman"/>
          <w:bCs/>
          <w:color w:val="000000" w:themeColor="text1"/>
          <w14:textFill>
            <w14:solidFill>
              <w14:schemeClr w14:val="tx1"/>
            </w14:solidFill>
          </w14:textFill>
        </w:rPr>
        <w:t>吸附之后的吸油毡、沙等作为危险废物，交由有资质的危险废物处理单位处理。</w:t>
      </w:r>
    </w:p>
    <w:p w14:paraId="59186749">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⑧</w:t>
      </w:r>
      <w:r>
        <w:rPr>
          <w:rFonts w:ascii="Times New Roman" w:hAnsi="Times New Roman" w:cs="Times New Roman"/>
          <w:bCs/>
          <w:color w:val="000000" w:themeColor="text1"/>
          <w14:textFill>
            <w14:solidFill>
              <w14:schemeClr w14:val="tx1"/>
            </w14:solidFill>
          </w14:textFill>
        </w:rPr>
        <w:t>若发生泄漏，则所有排液均应尽可能收集，集中进行妥善处理，防止随意流散。企业应经常检查管道，定期系统试压、定期检漏。管道施工应按规范要求进行。</w:t>
      </w:r>
    </w:p>
    <w:p w14:paraId="241FD885">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⑨</w:t>
      </w:r>
      <w:r>
        <w:rPr>
          <w:rFonts w:ascii="Times New Roman" w:hAnsi="Times New Roman" w:cs="Times New Roman"/>
          <w:bCs/>
          <w:color w:val="000000" w:themeColor="text1"/>
          <w14:textFill>
            <w14:solidFill>
              <w14:schemeClr w14:val="tx1"/>
            </w14:solidFill>
          </w14:textFill>
        </w:rPr>
        <w:t>若罐区、装卸区等发生物料大量泄漏及发生较大火灾事故，会产生事故废水时，需要第一时间关闭雨水排放口阀门，将事故废水和废液控制在厂区内。关闭初期雨水收集阀门，防止废液和事故废水进入污水收集系统。事故废水和废液优先通过管道等排入事故应急池内，当事故应急池内容积不能满足储存要求时，利用由1.</w:t>
      </w:r>
      <w:r>
        <w:rPr>
          <w:rFonts w:hint="eastAsia" w:ascii="Times New Roman" w:hAnsi="Times New Roman" w:cs="Times New Roman"/>
          <w:bCs/>
          <w:color w:val="000000" w:themeColor="text1"/>
          <w14:textFill>
            <w14:solidFill>
              <w14:schemeClr w14:val="tx1"/>
            </w14:solidFill>
          </w14:textFill>
        </w:rPr>
        <w:t>4</w:t>
      </w:r>
      <w:r>
        <w:rPr>
          <w:rFonts w:ascii="Times New Roman" w:hAnsi="Times New Roman" w:cs="Times New Roman"/>
          <w:bCs/>
          <w:color w:val="000000" w:themeColor="text1"/>
          <w14:textFill>
            <w14:solidFill>
              <w14:schemeClr w14:val="tx1"/>
            </w14:solidFill>
          </w14:textFill>
        </w:rPr>
        <w:t>m高的防火堤围成的储罐区进行临时存放，事故结束后，事故废水和废液应交由污水处理厂或有资质的危险废物处理单位进行处理。</w:t>
      </w:r>
    </w:p>
    <w:p w14:paraId="2FC3F83F">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bCs/>
          <w:color w:val="000000" w:themeColor="text1"/>
          <w14:textFill>
            <w14:solidFill>
              <w14:schemeClr w14:val="tx1"/>
            </w14:solidFill>
          </w14:textFill>
        </w:rPr>
        <w:t>⑨</w:t>
      </w:r>
      <w:r>
        <w:rPr>
          <w:rFonts w:ascii="Times New Roman" w:hAnsi="Times New Roman" w:cs="Times New Roman"/>
          <w:bCs/>
          <w:color w:val="000000" w:themeColor="text1"/>
          <w14:textFill>
            <w14:solidFill>
              <w14:schemeClr w14:val="tx1"/>
            </w14:solidFill>
          </w14:textFill>
        </w:rPr>
        <w:t>泄漏应急处理：根据液体流动和蒸气扩散的影响区域划定警戒区，无关人员从侧风、上风向撤离至安全区。建议应急处理人员戴正压自给式呼吸器，穿防酸碱服。作业时使用的设备应接地。穿上适当的防护服前严禁接触破裂的容器和泄漏物。尽可能切断泄漏源。防止泄漏物进入水体、下水道、地下室或密闭性空间。喷雾状水抑制蒸气或改变蒸气云流向，避免水流接触泄漏物。</w:t>
      </w:r>
    </w:p>
    <w:p w14:paraId="507AF4EF">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小量泄漏：用干燥的砂土、吸油毡或</w:t>
      </w:r>
      <w:r>
        <w:rPr>
          <w:rFonts w:hint="eastAsia" w:ascii="Times New Roman" w:hAnsi="Times New Roman" w:cs="Times New Roman"/>
          <w:bCs/>
          <w:color w:val="000000" w:themeColor="text1"/>
          <w:lang w:eastAsia="zh-CN"/>
          <w14:textFill>
            <w14:solidFill>
              <w14:schemeClr w14:val="tx1"/>
            </w14:solidFill>
          </w14:textFill>
        </w:rPr>
        <w:t>其他不</w:t>
      </w:r>
      <w:r>
        <w:rPr>
          <w:rFonts w:ascii="Times New Roman" w:hAnsi="Times New Roman" w:cs="Times New Roman"/>
          <w:bCs/>
          <w:color w:val="000000" w:themeColor="text1"/>
          <w14:textFill>
            <w14:solidFill>
              <w14:schemeClr w14:val="tx1"/>
            </w14:solidFill>
          </w14:textFill>
        </w:rPr>
        <w:t>燃材料覆盖泄漏物。大量泄漏：构筑围堤或挖坑收容。用砂土、石灰粉、吸油毡等吸收。用抗溶性泡沫覆盖，减少蒸发。用耐腐蚀泵转移至</w:t>
      </w:r>
      <w:r>
        <w:rPr>
          <w:rFonts w:hint="eastAsia" w:ascii="Times New Roman" w:hAnsi="Times New Roman" w:cs="Times New Roman"/>
          <w:bCs/>
          <w:color w:val="000000" w:themeColor="text1"/>
          <w14:textFill>
            <w14:solidFill>
              <w14:schemeClr w14:val="tx1"/>
            </w14:solidFill>
          </w14:textFill>
        </w:rPr>
        <w:t>槽罐车</w:t>
      </w:r>
      <w:r>
        <w:rPr>
          <w:rFonts w:ascii="Times New Roman" w:hAnsi="Times New Roman" w:cs="Times New Roman"/>
          <w:bCs/>
          <w:color w:val="000000" w:themeColor="text1"/>
          <w14:textFill>
            <w14:solidFill>
              <w14:schemeClr w14:val="tx1"/>
            </w14:solidFill>
          </w14:textFill>
        </w:rPr>
        <w:t>或专用收集器内。</w:t>
      </w:r>
    </w:p>
    <w:p w14:paraId="1FC6E065">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事故应急池设置分析</w:t>
      </w:r>
    </w:p>
    <w:p w14:paraId="40FF1B6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的事故应急池容积的计算参照若发生火灾事故，则产生消防废水。消防废水所含物质比较复杂，一般含有燃烧物和未燃烧物的污染物、灭火水中的灭火剂污染物等，污染物浓度较高，直接排放可能产生污染事故。根据《石油化工环境保护设计规范》（SH/T3024-2017），事故应急池的计算如下：</w:t>
      </w:r>
    </w:p>
    <w:p w14:paraId="57E889B1">
      <w:pPr>
        <w:spacing w:line="360" w:lineRule="auto"/>
        <w:ind w:firstLine="480" w:firstLineChars="20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V=（V1+V2-V3)max+V4+V5</w:t>
      </w:r>
    </w:p>
    <w:p w14:paraId="54C6807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注：(V1+V2-V3)max是指对收集系统范围内不同罐组或装置分别计算V1+V2-V3，取其中最大值。</w:t>
      </w:r>
    </w:p>
    <w:p w14:paraId="07BE084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V1：收集系统范围内发生事故的一个罐组或一个装置的物料量；取V1=</w:t>
      </w:r>
      <w:r>
        <w:rPr>
          <w:rFonts w:hint="eastAsia" w:ascii="Times New Roman" w:hAnsi="Times New Roman" w:cs="Times New Roman"/>
          <w:color w:val="000000" w:themeColor="text1"/>
          <w14:textFill>
            <w14:solidFill>
              <w14:schemeClr w14:val="tx1"/>
            </w14:solidFill>
          </w14:textFill>
        </w:rPr>
        <w:t>5000</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（最大储罐的泄漏）；</w:t>
      </w:r>
    </w:p>
    <w:p w14:paraId="196C8BA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V2：发生事故的储罐或装置的消防水量，m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65DEBBC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V2=∑Q消</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t消</w:t>
      </w:r>
    </w:p>
    <w:p w14:paraId="1F0E92D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Q消：发生事故的储罐或装置的同时使用的消防设施给水流量，m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/h；t消：消防设施对应的设计消防历时，h。罐区设置固定消防冷却水系统和泡沫灭火系统，消防冷却水设计流量为</w:t>
      </w:r>
      <w:r>
        <w:rPr>
          <w:rFonts w:hint="eastAsia" w:ascii="Times New Roman" w:hAnsi="Times New Roman" w:cs="Times New Roman"/>
          <w:color w:val="000000" w:themeColor="text1"/>
          <w14:textFill>
            <w14:solidFill>
              <w14:schemeClr w14:val="tx1"/>
            </w14:solidFill>
          </w14:textFill>
        </w:rPr>
        <w:t>108</w:t>
      </w:r>
      <w:r>
        <w:rPr>
          <w:rFonts w:ascii="Times New Roman" w:hAnsi="Times New Roman" w:cs="Times New Roman"/>
          <w:color w:val="000000" w:themeColor="text1"/>
          <w14:textFill>
            <w14:solidFill>
              <w14:schemeClr w14:val="tx1"/>
            </w14:solidFill>
          </w14:textFill>
        </w:rPr>
        <w:t>L/s，最大泡沫混合液流量为</w:t>
      </w:r>
      <w:r>
        <w:rPr>
          <w:rFonts w:hint="eastAsia" w:ascii="Times New Roman" w:hAnsi="Times New Roman" w:cs="Times New Roman"/>
          <w:color w:val="000000" w:themeColor="text1"/>
          <w14:textFill>
            <w14:solidFill>
              <w14:schemeClr w14:val="tx1"/>
            </w14:solidFill>
          </w14:textFill>
        </w:rPr>
        <w:t>48</w:t>
      </w:r>
      <w:r>
        <w:rPr>
          <w:rFonts w:ascii="Times New Roman" w:hAnsi="Times New Roman" w:cs="Times New Roman"/>
          <w:color w:val="000000" w:themeColor="text1"/>
          <w14:textFill>
            <w14:solidFill>
              <w14:schemeClr w14:val="tx1"/>
            </w14:solidFill>
          </w14:textFill>
        </w:rPr>
        <w:t xml:space="preserve"> L/s，储罐火灾延续时间为6h，则罐区消防用水量为</w:t>
      </w:r>
      <w:r>
        <w:rPr>
          <w:rFonts w:hint="eastAsia" w:ascii="Times New Roman" w:hAnsi="Times New Roman" w:cs="Times New Roman"/>
          <w:color w:val="000000" w:themeColor="text1"/>
          <w14:textFill>
            <w14:solidFill>
              <w14:schemeClr w14:val="tx1"/>
            </w14:solidFill>
          </w14:textFill>
        </w:rPr>
        <w:t>2332.8</w:t>
      </w:r>
      <w:r>
        <w:rPr>
          <w:rFonts w:ascii="Times New Roman" w:hAnsi="Times New Roman" w:cs="Times New Roman"/>
          <w:color w:val="000000" w:themeColor="text1"/>
          <w14:textFill>
            <w14:solidFill>
              <w14:schemeClr w14:val="tx1"/>
            </w14:solidFill>
          </w14:textFill>
        </w:rPr>
        <w:t xml:space="preserve"> 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szCs w:val="28"/>
          <w14:textFill>
            <w14:solidFill>
              <w14:schemeClr w14:val="tx1"/>
            </w14:solidFill>
          </w14:textFill>
        </w:rPr>
        <w:t>泡沫水量为</w:t>
      </w:r>
      <w:r>
        <w:rPr>
          <w:rFonts w:hint="eastAsia" w:ascii="Times New Roman" w:hAnsi="Times New Roman" w:cs="Times New Roman"/>
          <w:color w:val="000000" w:themeColor="text1"/>
          <w:szCs w:val="28"/>
          <w14:textFill>
            <w14:solidFill>
              <w14:schemeClr w14:val="tx1"/>
            </w14:solidFill>
          </w14:textFill>
        </w:rPr>
        <w:t>1036.8</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消防废水量为3369.6m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w:t>
      </w:r>
    </w:p>
    <w:p w14:paraId="3A7B33E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V3：发生事故时可以转移到其它储存或处理设施的物料量。</w:t>
      </w:r>
      <w:r>
        <w:rPr>
          <w:rFonts w:hint="eastAsia" w:ascii="Times New Roman" w:hAnsi="Times New Roman" w:cs="Times New Roman"/>
          <w:color w:val="000000" w:themeColor="text1"/>
          <w14:textFill>
            <w14:solidFill>
              <w14:schemeClr w14:val="tx1"/>
            </w14:solidFill>
          </w14:textFill>
        </w:rPr>
        <w:t>本项目4#储罐组消防事故水通过防火堤内进行暂存，防火堤内净面积为4316m</w:t>
      </w:r>
      <w:r>
        <w:rPr>
          <w:rFonts w:hint="eastAsia"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，防火堤高度1.40m，</w:t>
      </w:r>
      <w:r>
        <w:rPr>
          <w:rFonts w:ascii="Times New Roman" w:hAnsi="Times New Roman" w:cs="Times New Roman"/>
          <w:color w:val="000000" w:themeColor="text1"/>
          <w14:textFill>
            <w14:solidFill>
              <w14:schemeClr w14:val="tx1"/>
            </w14:solidFill>
          </w14:textFill>
        </w:rPr>
        <w:t>罐区围堰容积为</w:t>
      </w:r>
      <w:r>
        <w:rPr>
          <w:rFonts w:hint="eastAsia" w:ascii="Times New Roman" w:hAnsi="Times New Roman" w:cs="Times New Roman"/>
          <w:color w:val="000000" w:themeColor="text1"/>
          <w14:textFill>
            <w14:solidFill>
              <w14:schemeClr w14:val="tx1"/>
            </w14:solidFill>
          </w14:textFill>
        </w:rPr>
        <w:t>6042.4</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，V3=</w:t>
      </w:r>
      <w:r>
        <w:rPr>
          <w:rFonts w:hint="eastAsia" w:ascii="Times New Roman" w:hAnsi="Times New Roman" w:cs="Times New Roman"/>
          <w:color w:val="000000" w:themeColor="text1"/>
          <w14:textFill>
            <w14:solidFill>
              <w14:schemeClr w14:val="tx1"/>
            </w14:solidFill>
          </w14:textFill>
        </w:rPr>
        <w:t>6042.4</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13B6289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V4：发生事故时必须进入该收集系统的生产废水量。发生事故时厂区停止运营，无生产废水排放，故V4=0m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2828D7BB">
      <w:pPr>
        <w:numPr>
          <w:ilvl w:val="0"/>
          <w:numId w:val="30"/>
        </w:numPr>
        <w:spacing w:line="360" w:lineRule="auto"/>
        <w:ind w:left="0"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发生事故时可能进入该收集系统的降雨量</w:t>
      </w:r>
    </w:p>
    <w:p w14:paraId="236EB10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V5=10Qa/n*F</w:t>
      </w:r>
    </w:p>
    <w:p w14:paraId="19B5614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Qa：年平均降雨量，mm，钦州市年均降雨量2150mm；</w:t>
      </w:r>
    </w:p>
    <w:p w14:paraId="1576D16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n：年平均降雨天数，约为175天；</w:t>
      </w:r>
    </w:p>
    <w:p w14:paraId="3E83C62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F：必须进入事故应急池的雨水汇水面积，ha。</w:t>
      </w:r>
    </w:p>
    <w:p w14:paraId="23CD1A2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火灾时可能进入项目事故水收集系统的汇水面积约0.79ha（液硫罐组围堰内），则V5=97.1m3。</w:t>
      </w:r>
    </w:p>
    <w:p w14:paraId="7E77F3B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综上所述，本项目所需事故储存设施总有效容积V总= V1+V2-V3+V4+V5　=</w:t>
      </w:r>
      <w:r>
        <w:rPr>
          <w:rFonts w:hint="eastAsia" w:ascii="Times New Roman" w:hAnsi="Times New Roman" w:cs="Times New Roman"/>
          <w:color w:val="000000" w:themeColor="text1"/>
          <w14:textFill>
            <w14:solidFill>
              <w14:schemeClr w14:val="tx1"/>
            </w14:solidFill>
          </w14:textFill>
        </w:rPr>
        <w:t>5000</w:t>
      </w:r>
      <w:r>
        <w:rPr>
          <w:rFonts w:ascii="Times New Roman" w:hAnsi="Times New Roman" w:cs="Times New Roman"/>
          <w:color w:val="000000" w:themeColor="text1"/>
          <w14:textFill>
            <w14:solidFill>
              <w14:schemeClr w14:val="tx1"/>
            </w14:solidFill>
          </w14:textFill>
        </w:rPr>
        <w:t>+3369.6-0+0+97.1=</w:t>
      </w:r>
      <w:r>
        <w:rPr>
          <w:rFonts w:hint="eastAsia" w:ascii="Times New Roman" w:hAnsi="Times New Roman" w:cs="Times New Roman"/>
          <w:color w:val="000000" w:themeColor="text1"/>
          <w14:textFill>
            <w14:solidFill>
              <w14:schemeClr w14:val="tx1"/>
            </w14:solidFill>
          </w14:textFill>
        </w:rPr>
        <w:t>8446.7</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w:t>
      </w:r>
    </w:p>
    <w:p w14:paraId="4DB5A687">
      <w:pPr>
        <w:spacing w:line="360" w:lineRule="auto"/>
        <w:ind w:firstLine="480" w:firstLineChars="200"/>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14:textFill>
            <w14:solidFill>
              <w14:schemeClr w14:val="tx1"/>
            </w14:solidFill>
          </w14:textFill>
        </w:rPr>
        <w:t>4#储</w:t>
      </w:r>
      <w:r>
        <w:rPr>
          <w:rFonts w:ascii="Times New Roman" w:hAnsi="Times New Roman" w:cs="Times New Roman"/>
          <w:color w:val="000000" w:themeColor="text1"/>
          <w14:textFill>
            <w14:solidFill>
              <w14:schemeClr w14:val="tx1"/>
            </w14:solidFill>
          </w14:textFill>
        </w:rPr>
        <w:t>罐组消防事故水通过防火堤内进行暂存，防火堤高度1.</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0米，总占地面积</w:t>
      </w:r>
      <w:r>
        <w:rPr>
          <w:rFonts w:hint="eastAsia" w:ascii="Times New Roman" w:hAnsi="Times New Roman" w:cs="Times New Roman"/>
          <w:color w:val="000000" w:themeColor="text1"/>
          <w14:textFill>
            <w14:solidFill>
              <w14:schemeClr w14:val="tx1"/>
            </w14:solidFill>
          </w14:textFill>
        </w:rPr>
        <w:t>4316</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（火灾一只最大罐破裂，其余完好），经计算液硫罐组防火堤内可存容积</w:t>
      </w:r>
      <w:r>
        <w:rPr>
          <w:rFonts w:hint="eastAsia" w:ascii="Times New Roman" w:hAnsi="Times New Roman" w:cs="Times New Roman"/>
          <w:color w:val="000000" w:themeColor="text1"/>
          <w14:textFill>
            <w14:solidFill>
              <w14:schemeClr w14:val="tx1"/>
            </w14:solidFill>
          </w14:textFill>
        </w:rPr>
        <w:t>6042.4</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，剩余不足部分约</w:t>
      </w:r>
      <w:r>
        <w:rPr>
          <w:rFonts w:hint="eastAsia" w:ascii="Times New Roman" w:hAnsi="Times New Roman" w:cs="Times New Roman"/>
          <w:color w:val="000000" w:themeColor="text1"/>
          <w14:textFill>
            <w14:solidFill>
              <w14:schemeClr w14:val="tx1"/>
            </w14:solidFill>
          </w14:textFill>
        </w:rPr>
        <w:t>2424.3</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，通过场地废水管网收集排入界区内事故水收集系统。</w:t>
      </w:r>
    </w:p>
    <w:p w14:paraId="345BF3E2">
      <w:pPr>
        <w:spacing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广西</w:t>
      </w:r>
      <w:r>
        <w:rPr>
          <w:color w:val="000000" w:themeColor="text1"/>
          <w14:textFill>
            <w14:solidFill>
              <w14:schemeClr w14:val="tx1"/>
            </w14:solidFill>
          </w14:textFill>
        </w:rPr>
        <w:t>逸海公司14号泊位工程片区内已建设</w:t>
      </w:r>
      <w:r>
        <w:rPr>
          <w:rFonts w:hint="eastAsia"/>
          <w:color w:val="000000" w:themeColor="text1"/>
          <w14:textFill>
            <w14:solidFill>
              <w14:schemeClr w14:val="tx1"/>
            </w14:solidFill>
          </w14:textFill>
        </w:rPr>
        <w:t>1座</w:t>
      </w:r>
      <w:r>
        <w:rPr>
          <w:color w:val="000000" w:themeColor="text1"/>
          <w14:textFill>
            <w14:solidFill>
              <w14:schemeClr w14:val="tx1"/>
            </w14:solidFill>
          </w14:textFill>
        </w:rPr>
        <w:t>事故应急池，有效容积6400m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。该消防事故应急池设在厂区</w:t>
      </w:r>
      <w:r>
        <w:rPr>
          <w:rFonts w:hint="eastAsia"/>
          <w:color w:val="000000" w:themeColor="text1"/>
          <w14:textFill>
            <w14:solidFill>
              <w14:schemeClr w14:val="tx1"/>
            </w14:solidFill>
          </w14:textFill>
        </w:rPr>
        <w:t>东</w:t>
      </w:r>
      <w:r>
        <w:rPr>
          <w:color w:val="000000" w:themeColor="text1"/>
          <w14:textFill>
            <w14:solidFill>
              <w14:schemeClr w14:val="tx1"/>
            </w14:solidFill>
          </w14:textFill>
        </w:rPr>
        <w:t>北侧，为地下式，厂区现有消防事故水通过低浓度生产废水管收集，经废水管末端排口管道上阀门（平时开、火灾时关闭）与消防事故水收集池进水管道上阀门（平时关闭、火灾时打开）切换后使消防事故污水进入消防事故水收集池，可确保事故污水不外排污染外部水体。已设计建设消防事故应急池能够满足本项目事故污水的接入、储存要求。待火灾事故结束后，储存在消防事故应急池内的事故污水经污水泵加压通过敷设在管架上的管道送广西恒逸污水处理厂处理达标后排放。</w:t>
      </w:r>
    </w:p>
    <w:p w14:paraId="47EA5A5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广西</w:t>
      </w:r>
      <w:r>
        <w:rPr>
          <w:color w:val="000000" w:themeColor="text1"/>
          <w14:textFill>
            <w14:solidFill>
              <w14:schemeClr w14:val="tx1"/>
            </w14:solidFill>
          </w14:textFill>
        </w:rPr>
        <w:t>逸海公司14号泊位工程片区</w:t>
      </w:r>
      <w:r>
        <w:rPr>
          <w:rFonts w:hint="eastAsia"/>
          <w:color w:val="000000" w:themeColor="text1"/>
          <w14:textFill>
            <w14:solidFill>
              <w14:schemeClr w14:val="tx1"/>
            </w14:solidFill>
          </w14:textFill>
        </w:rPr>
        <w:t>现有事故应急池及收集系统，主要服务14号泊位及后方储罐区，本项目作为14号泊位后方储罐区的组成部分，厂区内设置专用收集管道接入事故应急池。本项目4#</w:t>
      </w:r>
      <w:r>
        <w:rPr>
          <w:rFonts w:ascii="Times New Roman" w:hAnsi="Times New Roman" w:cs="Times New Roman"/>
          <w:color w:val="000000" w:themeColor="text1"/>
          <w14:textFill>
            <w14:solidFill>
              <w14:schemeClr w14:val="tx1"/>
            </w14:solidFill>
          </w14:textFill>
        </w:rPr>
        <w:t>罐组消防事故水通过防火堤内进行暂存</w:t>
      </w:r>
      <w:r>
        <w:rPr>
          <w:rFonts w:hint="eastAsia" w:ascii="Times New Roman" w:hAnsi="Times New Roman" w:cs="Times New Roman"/>
          <w:color w:val="000000" w:themeColor="text1"/>
          <w14:textFill>
            <w14:solidFill>
              <w14:schemeClr w14:val="tx1"/>
            </w14:solidFill>
          </w14:textFill>
        </w:rPr>
        <w:t>后，</w:t>
      </w:r>
      <w:r>
        <w:rPr>
          <w:rFonts w:ascii="Times New Roman" w:hAnsi="Times New Roman" w:cs="Times New Roman"/>
          <w:color w:val="000000" w:themeColor="text1"/>
          <w14:textFill>
            <w14:solidFill>
              <w14:schemeClr w14:val="tx1"/>
            </w14:solidFill>
          </w14:textFill>
        </w:rPr>
        <w:t>剩余不足部分约</w:t>
      </w:r>
      <w:r>
        <w:rPr>
          <w:rFonts w:hint="eastAsia" w:ascii="Times New Roman" w:hAnsi="Times New Roman" w:cs="Times New Roman"/>
          <w:color w:val="000000" w:themeColor="text1"/>
          <w14:textFill>
            <w14:solidFill>
              <w14:schemeClr w14:val="tx1"/>
            </w14:solidFill>
          </w14:textFill>
        </w:rPr>
        <w:t>2424.3</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，小于事故应急池有效容积（V=6400m</w:t>
      </w:r>
      <w:r>
        <w:rPr>
          <w:rFonts w:hint="eastAsia"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），因此，</w:t>
      </w:r>
      <w:r>
        <w:rPr>
          <w:rFonts w:ascii="Times New Roman" w:hAnsi="Times New Roman" w:cs="Times New Roman"/>
          <w:color w:val="000000" w:themeColor="text1"/>
          <w14:textFill>
            <w14:solidFill>
              <w14:schemeClr w14:val="tx1"/>
            </w14:solidFill>
          </w14:textFill>
        </w:rPr>
        <w:t>项目依托的</w:t>
      </w:r>
      <w:r>
        <w:rPr>
          <w:rFonts w:hint="eastAsia" w:ascii="Times New Roman" w:hAnsi="Times New Roman" w:cs="Times New Roman"/>
          <w:color w:val="000000" w:themeColor="text1"/>
          <w14:textFill>
            <w14:solidFill>
              <w14:schemeClr w14:val="tx1"/>
            </w14:solidFill>
          </w14:textFill>
        </w:rPr>
        <w:t>逸海</w:t>
      </w:r>
      <w:r>
        <w:rPr>
          <w:rFonts w:ascii="Times New Roman" w:hAnsi="Times New Roman" w:cs="Times New Roman"/>
          <w:color w:val="000000" w:themeColor="text1"/>
          <w14:textFill>
            <w14:solidFill>
              <w14:schemeClr w14:val="tx1"/>
            </w14:solidFill>
          </w14:textFill>
        </w:rPr>
        <w:t>公司现有事故应急池及本项目的罐区围堰可暂存事故废水是可行的。</w:t>
      </w:r>
    </w:p>
    <w:p w14:paraId="3B23804F">
      <w:pPr>
        <w:pStyle w:val="4003"/>
        <w:rPr>
          <w:bCs/>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地下水风险防范措施</w:t>
      </w:r>
    </w:p>
    <w:p w14:paraId="1668E0E2">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项目场地为填海造陆，场区上覆土层主要为新近人工堆积层（Q4ml）素填土、淤泥质粉质黏土（Q4mc），下伏基岩为志留系下统连滩群第五组（S1lne）沉积层强风化泥质粉砂岩、中风化泥质粉砂岩层。岩层渗透系数不能满足防渗要求，在事故状态下，地下水易受污染，本项目主要采取源头控制、地面防渗措施，防止污染物渗入地下。</w:t>
      </w:r>
    </w:p>
    <w:p w14:paraId="34CF5B0E">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在采取严格地下水风险防范措施后，项目事故状态下污染物泄露下渗对地下水环境影响不大。</w:t>
      </w:r>
    </w:p>
    <w:p w14:paraId="17B4A8A9">
      <w:pPr>
        <w:pStyle w:val="4003"/>
        <w:rPr>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其他风险防范措施</w:t>
      </w:r>
    </w:p>
    <w:p w14:paraId="2D78C56E">
      <w:pPr>
        <w:pStyle w:val="4003"/>
        <w:outlineLvl w:val="3"/>
        <w:rPr>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.1环境风险管理防范措施</w:t>
      </w:r>
    </w:p>
    <w:p w14:paraId="2DF28C8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环境风险主要是化学品储存过程发生泄漏风险事故，以及污染防治措施非正常使用引起的环境污染。事故发生后，对周围环境有着难以弥补的损害，而且对人体健康也有影响。为避免风险事故发生，避免风险事故发生后对环境造成严重污染，建设单位应建立安全的环境管理制度，在实际工作与管理过程中降低环境风险事故的发生概率。</w:t>
      </w:r>
    </w:p>
    <w:p w14:paraId="3C94B2D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（1）制定和强化各种环境管理制度，并严格予以执行。各级领导和生产管理人员必须重视安全管理，积极推广科学安全管理办法，强化安全操作制度和劳动纪律。</w:t>
      </w:r>
    </w:p>
    <w:p w14:paraId="7C161A3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严格执行我国有关劳动安全、环保等的规范和标准，在设计、施工和运行过程中必须针对可能存在的风险因素采取相应的风险防范措施，消除事故隐患。一旦发生事故，应采取有效措施，降低因事故引起的损失和环境污染。</w:t>
      </w:r>
    </w:p>
    <w:p w14:paraId="38C9B2D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加强安全环保管理。在储存、生产等过程中均有可能发生各种事故，事故发生后会对环境造成不同程度的污染，因此针对建设项目开展全面、全员、全过程的系统安全管理，把安全工作的重点放在系统的安全隐患上，并从整体和全局上促进本项目各个环节的安全操作，并建立监察、检测、管理，实行安全检查目标管理。</w:t>
      </w:r>
    </w:p>
    <w:p w14:paraId="2CADBDB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对新员工和转岗员工进行专业培训、安全教育和考核。人员的失误也是导致事故发生重要因素之一。失误的原因主要由于技术水平低下、身体状况、工作疏忽。操作事故时生产过程中发生概率较大的风险，而操作及管理人员的技术水平则直接影响到此类事故的发生。新进人员必须经过专业培训和三级安全教育，并经过考试合格后方可上岗，对转岗、复工职工应按照新职工的办法进行培训和考试。</w:t>
      </w:r>
    </w:p>
    <w:p w14:paraId="66DAE9A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加强对职工的职业培训和安全教育。贯彻“安全第一，预防为主”的方针，树立环境风险意识，强化环境风险责任，培养职工要有高度的安全生产责任心，并熟悉相应的业务，有熟练的操作技能，具备有关物料、设备、设施、工艺参数变动及泄漏的危险。危害知识，以及紧急情况下采取正确的应急办法。</w:t>
      </w:r>
    </w:p>
    <w:p w14:paraId="1D1A0BA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（6）加强检修现场的安全保卫工作。检修期间，应预先准备好必要的安全保障措施。清理设备或拆卸管理时，应有安全人员在场，负责试试各项安全措施。</w:t>
      </w:r>
    </w:p>
    <w:p w14:paraId="5B9A8BF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（7）加强数据的日常记录和管理。加强废气处理系统的各项操作参数等数据的日常记录和管理，以及废气排放的监测，以便及时发现问题并能够及时采取减缓危害的措施。</w:t>
      </w:r>
    </w:p>
    <w:p w14:paraId="37F4345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（8）从法律法规上加强管理。为确保化学品装卸、仓储安全，应严格遵守国家及有关部门制定的相法规，主要：</w:t>
      </w:r>
      <w:r>
        <w:rPr>
          <w:rFonts w:hint="eastAsia" w:ascii="Times New Roman" w:hAnsi="Times New Roman" w:cs="Times New Roman"/>
          <w:color w:val="000000" w:themeColor="text1"/>
          <w:lang w:eastAsia="zh-CN"/>
          <w14:textFill>
            <w14:solidFill>
              <w14:schemeClr w14:val="tx1"/>
            </w14:solidFill>
          </w14:textFill>
        </w:rPr>
        <w:t>《危险化学品安全管理条例》</w:t>
      </w:r>
      <w:r>
        <w:rPr>
          <w:rFonts w:ascii="Times New Roman" w:hAnsi="Times New Roman" w:cs="Times New Roman"/>
          <w:color w:val="000000" w:themeColor="text1"/>
          <w14:textFill>
            <w14:solidFill>
              <w14:schemeClr w14:val="tx1"/>
            </w14:solidFill>
          </w14:textFill>
        </w:rPr>
        <w:t>、《中华人民共和国用爆炸物品管理条例》等。</w:t>
      </w:r>
    </w:p>
    <w:p w14:paraId="314BF14D">
      <w:pPr>
        <w:pStyle w:val="4003"/>
        <w:outlineLvl w:val="3"/>
        <w:rPr>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.2平面布置风险防范措施</w:t>
      </w:r>
    </w:p>
    <w:p w14:paraId="1CBAEB95">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拟建项目位于</w:t>
      </w:r>
      <w:r>
        <w:rPr>
          <w:rFonts w:ascii="Times New Roman" w:hAnsi="Times New Roman" w:cs="Times New Roman"/>
          <w:color w:val="000000" w:themeColor="text1"/>
          <w14:textFill>
            <w14:solidFill>
              <w14:schemeClr w14:val="tx1"/>
            </w14:solidFill>
          </w14:textFill>
        </w:rPr>
        <w:t>中国（广西）自由贸易试验区钦州港片区</w:t>
      </w:r>
      <w:r>
        <w:rPr>
          <w:rFonts w:hint="eastAsia" w:ascii="Times New Roman" w:hAnsi="Times New Roman" w:cs="Times New Roman"/>
          <w:color w:val="000000" w:themeColor="text1"/>
          <w14:textFill>
            <w14:solidFill>
              <w14:schemeClr w14:val="tx1"/>
            </w14:solidFill>
          </w14:textFill>
        </w:rPr>
        <w:t>金谷港区金鼓江作业区14号泊位码头</w:t>
      </w:r>
      <w:r>
        <w:rPr>
          <w:rFonts w:ascii="Times New Roman" w:hAnsi="Times New Roman" w:cs="Times New Roman"/>
          <w:color w:val="000000" w:themeColor="text1"/>
          <w14:textFill>
            <w14:solidFill>
              <w14:schemeClr w14:val="tx1"/>
            </w14:solidFill>
          </w14:textFill>
        </w:rPr>
        <w:t>后方</w:t>
      </w:r>
      <w:r>
        <w:rPr>
          <w:rFonts w:ascii="Times New Roman" w:hAnsi="Times New Roman" w:cs="Times New Roman"/>
          <w:bCs/>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项目平面布置大致呈东西走向，分为</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罐组</w:t>
      </w:r>
      <w:r>
        <w:rPr>
          <w:rFonts w:hint="eastAsia" w:ascii="Times New Roman" w:hAnsi="Times New Roman" w:cs="Times New Roman"/>
          <w:color w:val="000000" w:themeColor="text1"/>
          <w14:textFill>
            <w14:solidFill>
              <w14:schemeClr w14:val="tx1"/>
            </w14:solidFill>
          </w14:textFill>
        </w:rPr>
        <w:t>和装卸站；辅助设施包括泵棚、硫酸废气吸收塔</w:t>
      </w:r>
      <w:r>
        <w:rPr>
          <w:rFonts w:ascii="Times New Roman" w:hAnsi="Times New Roman" w:cs="Times New Roman"/>
          <w:color w:val="000000" w:themeColor="text1"/>
          <w14:textFill>
            <w14:solidFill>
              <w14:schemeClr w14:val="tx1"/>
            </w14:solidFill>
          </w14:textFill>
        </w:rPr>
        <w:t>等。</w:t>
      </w:r>
      <w:r>
        <w:rPr>
          <w:rFonts w:ascii="Times New Roman" w:hAnsi="Times New Roman" w:cs="Times New Roman"/>
          <w:bCs/>
          <w:color w:val="000000" w:themeColor="text1"/>
          <w14:textFill>
            <w14:solidFill>
              <w14:schemeClr w14:val="tx1"/>
            </w14:solidFill>
          </w14:textFill>
        </w:rPr>
        <w:t>平面简洁规整，功能分区明确，建筑设计满足相关设计防火规范的要求，防火分区之间和分区内部保持一定的通道和距离，符合规范要求。</w:t>
      </w:r>
    </w:p>
    <w:p w14:paraId="136262FE">
      <w:pPr>
        <w:pStyle w:val="4003"/>
        <w:outlineLvl w:val="3"/>
        <w:rPr>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.3储存风险防范措施</w:t>
      </w:r>
    </w:p>
    <w:p w14:paraId="5B34571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贮存过程事故风险主要是因设备泄漏或遭雷击而造成的火灾爆炸、水质污染等事故，是风险防范的重要方面。</w:t>
      </w:r>
    </w:p>
    <w:p w14:paraId="1803083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化学品贮存的场所必须是经公安消防部门审查批准设置的专门危险化学品库房。</w:t>
      </w:r>
    </w:p>
    <w:p w14:paraId="0CD0F31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贮存化学品的仓库管理人员，必须经过专业知识培训，熟悉贮存物品的特性、事故处理办法和防护知识，持证上岗，同时，必须配备有关的个人防护用品。</w:t>
      </w:r>
    </w:p>
    <w:p w14:paraId="44A80C0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贮存的化学品必须设有明显的标志，并按国家规定标准控制不同单位面积的最大贮存限量。贮存危险化学品的库房、场所的消防设施、用电设施、防雷放静电设施那个必须符合国家规定的安全要求。</w:t>
      </w:r>
    </w:p>
    <w:p w14:paraId="74E8C27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化学品出入库必须检查验收登记，贮存期间定期养护，控制好贮存场所的温度和湿度。</w:t>
      </w:r>
    </w:p>
    <w:p w14:paraId="3B9AF8DA">
      <w:pPr>
        <w:spacing w:line="360" w:lineRule="auto"/>
        <w:ind w:firstLine="482" w:firstLineChars="200"/>
        <w:outlineLvl w:val="3"/>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10.2.</w:t>
      </w:r>
      <w:r>
        <w:rPr>
          <w:rFonts w:hint="eastAsia" w:ascii="Times New Roman" w:hAnsi="Times New Roman" w:cs="Times New Roman"/>
          <w:b/>
          <w:color w:val="000000" w:themeColor="text1"/>
          <w14:textFill>
            <w14:solidFill>
              <w14:schemeClr w14:val="tx1"/>
            </w14:solidFill>
          </w14:textFill>
        </w:rPr>
        <w:t>5</w:t>
      </w:r>
      <w:r>
        <w:rPr>
          <w:rFonts w:ascii="Times New Roman" w:hAnsi="Times New Roman" w:cs="Times New Roman"/>
          <w:b/>
          <w:color w:val="000000" w:themeColor="text1"/>
          <w14:textFill>
            <w14:solidFill>
              <w14:schemeClr w14:val="tx1"/>
            </w14:solidFill>
          </w14:textFill>
        </w:rPr>
        <w:t>.4消防和火灾报警系统风险防范措施</w:t>
      </w:r>
    </w:p>
    <w:p w14:paraId="1BDAF47F">
      <w:pPr>
        <w:spacing w:line="360" w:lineRule="auto"/>
        <w:ind w:firstLine="480" w:firstLineChars="200"/>
        <w:rPr>
          <w:rFonts w:ascii="Times New Roman" w:hAnsi="Times New Roman" w:cs="Times New Roman"/>
          <w:color w:val="000000" w:themeColor="text1"/>
          <w14:textFill>
            <w14:solidFill>
              <w14:schemeClr w14:val="tx1"/>
            </w14:solidFill>
          </w14:textFill>
        </w:rPr>
      </w:pPr>
      <w:bookmarkStart w:id="188" w:name="_Toc95759385"/>
      <w:r>
        <w:rPr>
          <w:rFonts w:ascii="Times New Roman" w:hAnsi="Times New Roman" w:cs="Times New Roman"/>
          <w:color w:val="000000" w:themeColor="text1"/>
          <w14:textFill>
            <w14:solidFill>
              <w14:schemeClr w14:val="tx1"/>
            </w14:solidFill>
          </w14:textFill>
        </w:rPr>
        <w:t>建立健全各种有关消防与安全生产的规章制度，建立岗位责任制。储罐区等区域严禁明火。根据《建筑设计防火规范》（GB50016-2014）（2018年修订）等的规定，储罐区、公用工程等场所应配置足量的泡沫、干粉等灭火器，并保持完好状态。厂区必须留有足够的消防通道。储罐区必须设置消防给水管道和消防栓。本项目消防系统由消防给水系统、泡沫灭火系统及火灾自动报警系统、小型灭火设施组成。储罐均采用固定消防冷却水系统，环绕罐区敷设消防水主干管，管径DN300，形成环状管网供水，每隔约50m设置室外消火栓1个，且每个储罐均设置固定低倍数泡沫灭火系统。项目配备的消防设施满足相应的规范要求。</w:t>
      </w:r>
    </w:p>
    <w:p w14:paraId="1DC4D7B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厂部要组织义务消防员，并进行定期的培训和训练。对有火灾危险的场所设置自动报警系统，一旦发生火灾，立即做出应急反应。厂区内的雨水管道、事故沟收集系统要严格分开，设置切换阀。火灾事故处理完毕后，消防废水应统一收集，委外处理或者妥善处理达标后方可排放。</w:t>
      </w:r>
    </w:p>
    <w:bookmarkEnd w:id="188"/>
    <w:p w14:paraId="25C92740">
      <w:pPr>
        <w:spacing w:line="360" w:lineRule="auto"/>
        <w:ind w:firstLine="482" w:firstLineChars="200"/>
        <w:outlineLvl w:val="3"/>
        <w:rPr>
          <w:rFonts w:ascii="Times New Roman" w:hAnsi="Times New Roman" w:cs="Times New Roman"/>
          <w:b/>
          <w:color w:val="000000" w:themeColor="text1"/>
          <w14:textFill>
            <w14:solidFill>
              <w14:schemeClr w14:val="tx1"/>
            </w14:solidFill>
          </w14:textFill>
        </w:rPr>
      </w:pPr>
      <w:bookmarkStart w:id="189" w:name="_Toc95759399"/>
      <w:r>
        <w:rPr>
          <w:rFonts w:ascii="Times New Roman" w:hAnsi="Times New Roman" w:cs="Times New Roman"/>
          <w:b/>
          <w:color w:val="000000" w:themeColor="text1"/>
          <w14:textFill>
            <w14:solidFill>
              <w14:schemeClr w14:val="tx1"/>
            </w14:solidFill>
          </w14:textFill>
        </w:rPr>
        <w:t>10.2.</w:t>
      </w:r>
      <w:r>
        <w:rPr>
          <w:rFonts w:hint="eastAsia" w:ascii="Times New Roman" w:hAnsi="Times New Roman" w:cs="Times New Roman"/>
          <w:b/>
          <w:color w:val="000000" w:themeColor="text1"/>
          <w14:textFill>
            <w14:solidFill>
              <w14:schemeClr w14:val="tx1"/>
            </w14:solidFill>
          </w14:textFill>
        </w:rPr>
        <w:t>5</w:t>
      </w:r>
      <w:r>
        <w:rPr>
          <w:rFonts w:ascii="Times New Roman" w:hAnsi="Times New Roman" w:cs="Times New Roman"/>
          <w:b/>
          <w:color w:val="000000" w:themeColor="text1"/>
          <w14:textFill>
            <w14:solidFill>
              <w14:schemeClr w14:val="tx1"/>
            </w14:solidFill>
          </w14:textFill>
        </w:rPr>
        <w:t>.5与园区风险应急系统联动协调防范措施</w:t>
      </w:r>
      <w:bookmarkEnd w:id="189"/>
    </w:p>
    <w:p w14:paraId="4630D35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各个危险区域均设置警报，当听到某个区域需要疏散人员的警报时，区域内的人员迅速、有序地撤离危险区域，并到指定地点结合，从而避免人员伤亡。装置负责人在撤离前，利用最短的时间，关闭该领域内可能会引起更大事故的电源和管道阀门等。</w:t>
      </w:r>
    </w:p>
    <w:p w14:paraId="18F9608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按照“企业自救、属地为主”的原则，一旦发生环境污染事件，企业可立即实行自救，采取一切措施控制事态发展，减少人员伤亡和财产损失，防止事态进一步扩大；同时及时上报园区应急指挥部、钦州市生态环境局应急指挥部等相关单位，超出本企业应急处理能力时，将启动上一级预案，由地方政府部门动用社会应急救援力量，实行分级管理、分级响应和联动，充分发挥地方政府职能作用和各部门的专业优势，加强各部门的协同和合作，提高快速反应能力。必要时召集专家组进行分析、评估，提出处置建议，根据要求派遣人员赶赴现场进行抢险救助、医疗救护、卫生防疫、交通管制、现场监控、人员疏散、安全防护、社会动员等应急工作，并组成现场应急指挥部，指挥、协调应急行动。</w:t>
      </w:r>
    </w:p>
    <w:p w14:paraId="2E21039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及时了解和掌握建设项目在发生事故后主要的大气和水污染物对周边环境的影响状况，掌握其扩散运移以及分布规律，事故发生后，要尽快组织有资质的环境监测部门对事故现场及周围环境进行监测，对环境中的污染物质及时采样监测，以迅速了解事故性质、掌握危险类型、污染物浓度、危害程度、危害人数，从而为抢险、救援及防护防爆防扩散控制措施提供科学依据。</w:t>
      </w:r>
    </w:p>
    <w:p w14:paraId="1F9B582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事故抢险、救援、现场清理完成后要将事故原因、救援处理过程、监测结果等情况编辑成册建立档案并视情况向当地政府的主管部门、安监、公安、消防、交通、卫生、环保等部门汇报，并根据实践经验，组织专业部门对应急预案进行评估，并及时修订应急预案。</w:t>
      </w:r>
    </w:p>
    <w:p w14:paraId="5F8A6F83">
      <w:pPr>
        <w:pStyle w:val="4003"/>
        <w:rPr>
          <w:color w:val="000000" w:themeColor="text1"/>
          <w14:textFill>
            <w14:solidFill>
              <w14:schemeClr w14:val="tx1"/>
            </w14:solidFill>
          </w14:textFill>
        </w:rPr>
      </w:pPr>
      <w:r>
        <w:rPr>
          <w:color w:val="000000" w:themeColor="text1"/>
          <w14:textFill>
            <w14:solidFill>
              <w14:schemeClr w14:val="tx1"/>
            </w14:solidFill>
          </w14:textFill>
        </w:rPr>
        <w:t>10.2.</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应急物资的配备情况及管理要求</w:t>
      </w:r>
    </w:p>
    <w:p w14:paraId="4EE3DFC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（1）应急物资配备情况</w:t>
      </w:r>
    </w:p>
    <w:p w14:paraId="7E8B6475">
      <w:pPr>
        <w:spacing w:line="360" w:lineRule="auto"/>
        <w:ind w:firstLine="480" w:firstLineChars="200"/>
        <w:rPr>
          <w:rFonts w:ascii="Times New Roman" w:hAnsi="Times New Roman" w:cs="Times New Roman"/>
          <w:color w:val="FF0000"/>
        </w:rPr>
      </w:pPr>
      <w:r>
        <w:rPr>
          <w:rFonts w:hint="eastAsia" w:ascii="Times New Roman" w:hAnsi="Times New Roman" w:cs="Times New Roman"/>
          <w:color w:val="000000" w:themeColor="text1"/>
          <w14:textFill>
            <w14:solidFill>
              <w14:schemeClr w14:val="tx1"/>
            </w14:solidFill>
          </w14:textFill>
        </w:rPr>
        <w:t>针对逸海公司可能发生的风险事故，目前逸海公司在陆域厂区南部、引桥旁设置应急物资库1座，公司现已配备的应急物资情况如下表：</w:t>
      </w:r>
    </w:p>
    <w:p w14:paraId="1EE022C4">
      <w:pPr>
        <w:jc w:val="center"/>
      </w:pPr>
      <w:r>
        <w:rPr>
          <w:rFonts w:hint="eastAsia" w:ascii="Times New Roman" w:hAnsi="Times New Roman" w:cs="Times New Roman"/>
          <w:b/>
          <w:bCs/>
          <w:color w:val="000000" w:themeColor="text1"/>
          <w14:textFill>
            <w14:solidFill>
              <w14:schemeClr w14:val="tx1"/>
            </w14:solidFill>
          </w14:textFill>
        </w:rPr>
        <w:t>表10-2 逸海公司现有溢油应急设施清单</w:t>
      </w:r>
      <w:r>
        <w:drawing>
          <wp:inline distT="0" distB="0" distL="114300" distR="114300">
            <wp:extent cx="5269230" cy="2447925"/>
            <wp:effectExtent l="0" t="0" r="7620" b="95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1"/>
                    <a:stretch>
                      <a:fillRect/>
                    </a:stretch>
                  </pic:blipFill>
                  <pic:spPr>
                    <a:xfrm>
                      <a:off x="0" y="0"/>
                      <a:ext cx="5269230" cy="2447925"/>
                    </a:xfrm>
                    <a:prstGeom prst="rect">
                      <a:avLst/>
                    </a:prstGeom>
                    <a:noFill/>
                    <a:ln>
                      <a:noFill/>
                    </a:ln>
                  </pic:spPr>
                </pic:pic>
              </a:graphicData>
            </a:graphic>
          </wp:inline>
        </w:drawing>
      </w:r>
      <w:r>
        <w:drawing>
          <wp:inline distT="0" distB="0" distL="114300" distR="114300">
            <wp:extent cx="5273675" cy="323342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72"/>
                    <a:srcRect t="9185"/>
                    <a:stretch>
                      <a:fillRect/>
                    </a:stretch>
                  </pic:blipFill>
                  <pic:spPr>
                    <a:xfrm>
                      <a:off x="0" y="0"/>
                      <a:ext cx="5273675" cy="3233420"/>
                    </a:xfrm>
                    <a:prstGeom prst="rect">
                      <a:avLst/>
                    </a:prstGeom>
                    <a:noFill/>
                    <a:ln>
                      <a:noFill/>
                    </a:ln>
                  </pic:spPr>
                </pic:pic>
              </a:graphicData>
            </a:graphic>
          </wp:inline>
        </w:drawing>
      </w:r>
    </w:p>
    <w:p w14:paraId="3D11DA3B">
      <w:pPr>
        <w:jc w:val="center"/>
        <w:rPr>
          <w:rFonts w:ascii="Times New Roman" w:hAnsi="Times New Roman" w:cs="Times New Roman"/>
          <w:color w:val="000000" w:themeColor="text1"/>
          <w14:textFill>
            <w14:solidFill>
              <w14:schemeClr w14:val="tx1"/>
            </w14:solidFill>
          </w14:textFill>
        </w:rPr>
        <w:sectPr>
          <w:pgSz w:w="11907" w:h="16840"/>
          <w:pgMar w:top="1440" w:right="1800" w:bottom="1440" w:left="1800" w:header="964" w:footer="964" w:gutter="0"/>
          <w:cols w:space="720" w:num="1"/>
          <w:titlePg/>
          <w:docGrid w:linePitch="326" w:charSpace="-4300"/>
        </w:sectPr>
      </w:pPr>
    </w:p>
    <w:p w14:paraId="3E0806A6">
      <w:pPr>
        <w:jc w:val="center"/>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14:textFill>
            <w14:solidFill>
              <w14:schemeClr w14:val="tx1"/>
            </w14:solidFill>
          </w14:textFill>
        </w:rPr>
        <w:t>表10-3 逸海公司现有个人防护装备清单</w:t>
      </w:r>
    </w:p>
    <w:p w14:paraId="4D21D08D">
      <w:pPr>
        <w:pStyle w:val="34"/>
      </w:pPr>
      <w:r>
        <w:drawing>
          <wp:inline distT="0" distB="0" distL="114300" distR="114300">
            <wp:extent cx="5267960" cy="3881755"/>
            <wp:effectExtent l="0" t="0" r="8890" b="4445"/>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73"/>
                    <a:stretch>
                      <a:fillRect/>
                    </a:stretch>
                  </pic:blipFill>
                  <pic:spPr>
                    <a:xfrm>
                      <a:off x="0" y="0"/>
                      <a:ext cx="5267960" cy="3881755"/>
                    </a:xfrm>
                    <a:prstGeom prst="rect">
                      <a:avLst/>
                    </a:prstGeom>
                    <a:noFill/>
                    <a:ln>
                      <a:noFill/>
                    </a:ln>
                  </pic:spPr>
                </pic:pic>
              </a:graphicData>
            </a:graphic>
          </wp:inline>
        </w:drawing>
      </w:r>
      <w:r>
        <w:drawing>
          <wp:inline distT="0" distB="0" distL="114300" distR="114300">
            <wp:extent cx="5274945" cy="2247900"/>
            <wp:effectExtent l="0" t="0" r="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74"/>
                    <a:srcRect t="12246"/>
                    <a:stretch>
                      <a:fillRect/>
                    </a:stretch>
                  </pic:blipFill>
                  <pic:spPr>
                    <a:xfrm>
                      <a:off x="0" y="0"/>
                      <a:ext cx="5274945" cy="2247900"/>
                    </a:xfrm>
                    <a:prstGeom prst="rect">
                      <a:avLst/>
                    </a:prstGeom>
                    <a:noFill/>
                    <a:ln>
                      <a:noFill/>
                    </a:ln>
                  </pic:spPr>
                </pic:pic>
              </a:graphicData>
            </a:graphic>
          </wp:inline>
        </w:drawing>
      </w:r>
    </w:p>
    <w:p w14:paraId="51B48EEA">
      <w:pPr>
        <w:pStyle w:val="34"/>
        <w:jc w:val="center"/>
        <w:rPr>
          <w:sz w:val="24"/>
          <w:szCs w:val="28"/>
        </w:rPr>
        <w:sectPr>
          <w:pgSz w:w="11907" w:h="16840"/>
          <w:pgMar w:top="1440" w:right="1800" w:bottom="1440" w:left="1800" w:header="964" w:footer="964" w:gutter="0"/>
          <w:cols w:space="720" w:num="1"/>
          <w:titlePg/>
          <w:docGrid w:linePitch="326" w:charSpace="-4300"/>
        </w:sectPr>
      </w:pPr>
    </w:p>
    <w:p w14:paraId="510C630C">
      <w:pPr>
        <w:pStyle w:val="34"/>
        <w:jc w:val="center"/>
        <w:rPr>
          <w:rFonts w:ascii="Times New Roman" w:hAnsi="Times New Roman" w:cs="Times New Roman"/>
          <w:b/>
          <w:bCs/>
          <w:sz w:val="24"/>
          <w:szCs w:val="28"/>
        </w:rPr>
      </w:pPr>
      <w:r>
        <w:rPr>
          <w:rFonts w:ascii="Times New Roman" w:hAnsi="Times New Roman" w:cs="Times New Roman"/>
          <w:b/>
          <w:bCs/>
          <w:sz w:val="24"/>
          <w:szCs w:val="28"/>
        </w:rPr>
        <w:t>表10-</w:t>
      </w:r>
      <w:r>
        <w:rPr>
          <w:rFonts w:hint="eastAsia" w:ascii="Times New Roman" w:hAnsi="Times New Roman" w:cs="Times New Roman"/>
          <w:b/>
          <w:bCs/>
          <w:sz w:val="24"/>
          <w:szCs w:val="28"/>
        </w:rPr>
        <w:t>4</w:t>
      </w:r>
      <w:r>
        <w:rPr>
          <w:rFonts w:ascii="Times New Roman" w:hAnsi="Times New Roman" w:cs="Times New Roman"/>
          <w:b/>
          <w:bCs/>
          <w:sz w:val="24"/>
          <w:szCs w:val="28"/>
        </w:rPr>
        <w:t xml:space="preserve"> 逸海公司现有抢险救援物资清单</w:t>
      </w:r>
    </w:p>
    <w:p w14:paraId="6EA5B6AC">
      <w:pPr>
        <w:pStyle w:val="34"/>
      </w:pPr>
      <w:r>
        <w:drawing>
          <wp:inline distT="0" distB="0" distL="114300" distR="114300">
            <wp:extent cx="5272405" cy="3236595"/>
            <wp:effectExtent l="0" t="0" r="4445" b="1905"/>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75"/>
                    <a:stretch>
                      <a:fillRect/>
                    </a:stretch>
                  </pic:blipFill>
                  <pic:spPr>
                    <a:xfrm>
                      <a:off x="0" y="0"/>
                      <a:ext cx="5272405" cy="3236595"/>
                    </a:xfrm>
                    <a:prstGeom prst="rect">
                      <a:avLst/>
                    </a:prstGeom>
                    <a:noFill/>
                    <a:ln>
                      <a:noFill/>
                    </a:ln>
                  </pic:spPr>
                </pic:pic>
              </a:graphicData>
            </a:graphic>
          </wp:inline>
        </w:drawing>
      </w:r>
      <w:r>
        <w:drawing>
          <wp:inline distT="0" distB="0" distL="114300" distR="114300">
            <wp:extent cx="5272405" cy="1967865"/>
            <wp:effectExtent l="0" t="0" r="4445" b="13335"/>
            <wp:docPr id="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
                    <pic:cNvPicPr>
                      <a:picLocks noChangeAspect="1"/>
                    </pic:cNvPicPr>
                  </pic:nvPicPr>
                  <pic:blipFill>
                    <a:blip r:embed="rId76"/>
                    <a:stretch>
                      <a:fillRect/>
                    </a:stretch>
                  </pic:blipFill>
                  <pic:spPr>
                    <a:xfrm>
                      <a:off x="0" y="0"/>
                      <a:ext cx="5272405" cy="1967865"/>
                    </a:xfrm>
                    <a:prstGeom prst="rect">
                      <a:avLst/>
                    </a:prstGeom>
                    <a:noFill/>
                    <a:ln>
                      <a:noFill/>
                    </a:ln>
                  </pic:spPr>
                </pic:pic>
              </a:graphicData>
            </a:graphic>
          </wp:inline>
        </w:drawing>
      </w:r>
    </w:p>
    <w:p w14:paraId="4268B867">
      <w:pPr>
        <w:pStyle w:val="34"/>
        <w:spacing w:line="360" w:lineRule="auto"/>
        <w:jc w:val="center"/>
        <w:rPr>
          <w:rFonts w:ascii="Times New Roman" w:hAnsi="Times New Roman" w:cs="Times New Roman"/>
          <w:b/>
          <w:bCs/>
          <w:sz w:val="24"/>
          <w:szCs w:val="28"/>
        </w:rPr>
      </w:pPr>
      <w:r>
        <w:rPr>
          <w:rFonts w:ascii="Times New Roman" w:hAnsi="Times New Roman" w:cs="Times New Roman"/>
          <w:b/>
          <w:bCs/>
          <w:sz w:val="24"/>
          <w:szCs w:val="28"/>
        </w:rPr>
        <w:t>图10-1 项目环境风险应急物资库</w:t>
      </w:r>
    </w:p>
    <w:p w14:paraId="2AB15633">
      <w:pPr>
        <w:pStyle w:val="34"/>
        <w:spacing w:line="360" w:lineRule="auto"/>
        <w:ind w:firstLine="480" w:firstLineChars="200"/>
        <w:jc w:val="both"/>
        <w:rPr>
          <w:rFonts w:ascii="Times New Roman" w:hAnsi="Times New Roman" w:cs="Times New Roman"/>
          <w:color w:val="000000" w:themeColor="text1"/>
          <w:sz w:val="24"/>
          <w:szCs w:val="28"/>
          <w14:textFill>
            <w14:solidFill>
              <w14:schemeClr w14:val="tx1"/>
            </w14:solidFill>
          </w14:textFill>
        </w:rPr>
      </w:pPr>
      <w:r>
        <w:rPr>
          <w:rFonts w:hint="eastAsia" w:ascii="Times New Roman" w:hAnsi="Times New Roman" w:cs="Times New Roman"/>
          <w:color w:val="000000" w:themeColor="text1"/>
          <w:sz w:val="24"/>
          <w:szCs w:val="28"/>
          <w14:textFill>
            <w14:solidFill>
              <w14:schemeClr w14:val="tx1"/>
            </w14:solidFill>
          </w14:textFill>
        </w:rPr>
        <w:t>根据本项目储运货种的理化性质、储运规模及可能发生的风险事故，建设单位应增配的环境应急物资如下表所示。</w:t>
      </w:r>
    </w:p>
    <w:p w14:paraId="574DF231">
      <w:pPr>
        <w:pStyle w:val="34"/>
        <w:spacing w:line="360" w:lineRule="auto"/>
        <w:jc w:val="center"/>
        <w:rPr>
          <w:rFonts w:ascii="Times New Roman" w:hAnsi="Times New Roman" w:cs="Times New Roman"/>
          <w:b/>
          <w:bCs/>
          <w:color w:val="000000" w:themeColor="text1"/>
          <w:sz w:val="24"/>
          <w:szCs w:val="28"/>
          <w14:textFill>
            <w14:solidFill>
              <w14:schemeClr w14:val="tx1"/>
            </w14:solidFill>
          </w14:textFill>
        </w:rPr>
      </w:pPr>
      <w:r>
        <w:rPr>
          <w:rFonts w:hint="eastAsia" w:ascii="Times New Roman" w:hAnsi="Times New Roman" w:cs="Times New Roman"/>
          <w:b/>
          <w:bCs/>
          <w:color w:val="000000" w:themeColor="text1"/>
          <w:sz w:val="24"/>
          <w:szCs w:val="28"/>
          <w14:textFill>
            <w14:solidFill>
              <w14:schemeClr w14:val="tx1"/>
            </w14:solidFill>
          </w14:textFill>
        </w:rPr>
        <w:t>表10-5  本项目需增配的应急物资一览表</w:t>
      </w:r>
    </w:p>
    <w:tbl>
      <w:tblPr>
        <w:tblStyle w:val="89"/>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2693"/>
        <w:gridCol w:w="2552"/>
        <w:gridCol w:w="3083"/>
      </w:tblGrid>
      <w:tr w14:paraId="70F3C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14:paraId="1D80D29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693" w:type="dxa"/>
            <w:vAlign w:val="center"/>
          </w:tcPr>
          <w:p w14:paraId="7CDA531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应急物资名称</w:t>
            </w:r>
          </w:p>
        </w:tc>
        <w:tc>
          <w:tcPr>
            <w:tcW w:w="2552" w:type="dxa"/>
            <w:vAlign w:val="center"/>
          </w:tcPr>
          <w:p w14:paraId="23D1511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存放地点</w:t>
            </w:r>
          </w:p>
        </w:tc>
        <w:tc>
          <w:tcPr>
            <w:tcW w:w="3083" w:type="dxa"/>
            <w:vAlign w:val="center"/>
          </w:tcPr>
          <w:p w14:paraId="1F3DF26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数量</w:t>
            </w:r>
          </w:p>
        </w:tc>
      </w:tr>
      <w:tr w14:paraId="4C6F6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14:paraId="1E243488">
            <w:pPr>
              <w:pStyle w:val="200"/>
              <w:numPr>
                <w:ilvl w:val="0"/>
                <w:numId w:val="40"/>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2693" w:type="dxa"/>
            <w:vAlign w:val="center"/>
          </w:tcPr>
          <w:p w14:paraId="08ACC1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ABC 干粉灭火器（8kg）</w:t>
            </w:r>
          </w:p>
        </w:tc>
        <w:tc>
          <w:tcPr>
            <w:tcW w:w="2552" w:type="dxa"/>
            <w:vAlign w:val="center"/>
          </w:tcPr>
          <w:p w14:paraId="4B2FF87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库区应急设备存放处</w:t>
            </w:r>
          </w:p>
        </w:tc>
        <w:tc>
          <w:tcPr>
            <w:tcW w:w="3083" w:type="dxa"/>
            <w:vAlign w:val="center"/>
          </w:tcPr>
          <w:p w14:paraId="65CFD91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16 套</w:t>
            </w:r>
          </w:p>
        </w:tc>
      </w:tr>
      <w:tr w14:paraId="649E7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14:paraId="20A67E3D">
            <w:pPr>
              <w:pStyle w:val="200"/>
              <w:numPr>
                <w:ilvl w:val="0"/>
                <w:numId w:val="40"/>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2693" w:type="dxa"/>
            <w:vAlign w:val="center"/>
          </w:tcPr>
          <w:p w14:paraId="6DF977A0">
            <w:pPr>
              <w:pStyle w:val="4012"/>
              <w:spacing w:before="40" w:beforeAutospacing="0" w:after="0" w:afterAutospacing="0" w:line="168"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推车式干粉/泡沫灭火器</w:t>
            </w:r>
          </w:p>
        </w:tc>
        <w:tc>
          <w:tcPr>
            <w:tcW w:w="2552" w:type="dxa"/>
            <w:vAlign w:val="center"/>
          </w:tcPr>
          <w:p w14:paraId="025CF04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库区应急设备存放处</w:t>
            </w:r>
          </w:p>
        </w:tc>
        <w:tc>
          <w:tcPr>
            <w:tcW w:w="3083" w:type="dxa"/>
            <w:vAlign w:val="center"/>
          </w:tcPr>
          <w:p w14:paraId="0984927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5套</w:t>
            </w:r>
          </w:p>
        </w:tc>
      </w:tr>
      <w:tr w14:paraId="0F04D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14:paraId="50C2706D">
            <w:pPr>
              <w:pStyle w:val="200"/>
              <w:numPr>
                <w:ilvl w:val="0"/>
                <w:numId w:val="40"/>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2693" w:type="dxa"/>
            <w:vAlign w:val="center"/>
          </w:tcPr>
          <w:p w14:paraId="3278A4F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带压堵漏设备</w:t>
            </w:r>
          </w:p>
        </w:tc>
        <w:tc>
          <w:tcPr>
            <w:tcW w:w="2552" w:type="dxa"/>
            <w:vAlign w:val="center"/>
          </w:tcPr>
          <w:p w14:paraId="14CB5E4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库区应急设备存放处</w:t>
            </w:r>
          </w:p>
        </w:tc>
        <w:tc>
          <w:tcPr>
            <w:tcW w:w="3083" w:type="dxa"/>
            <w:vAlign w:val="center"/>
          </w:tcPr>
          <w:p w14:paraId="32ACF127">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w:t>
            </w:r>
            <w:r>
              <w:rPr>
                <w:rFonts w:ascii="Times New Roman" w:hAnsi="Times New Roman" w:cs="Times New Roman"/>
                <w:color w:val="000000" w:themeColor="text1"/>
                <w:sz w:val="21"/>
                <w:szCs w:val="21"/>
                <w14:textFill>
                  <w14:solidFill>
                    <w14:schemeClr w14:val="tx1"/>
                  </w14:solidFill>
                </w14:textFill>
              </w:rPr>
              <w:t>套</w:t>
            </w:r>
          </w:p>
        </w:tc>
      </w:tr>
      <w:tr w14:paraId="71538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14:paraId="047BF4BE">
            <w:pPr>
              <w:pStyle w:val="200"/>
              <w:numPr>
                <w:ilvl w:val="0"/>
                <w:numId w:val="40"/>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2693" w:type="dxa"/>
            <w:vAlign w:val="center"/>
          </w:tcPr>
          <w:p w14:paraId="20B6269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可燃气体4合1检测仪</w:t>
            </w:r>
          </w:p>
        </w:tc>
        <w:tc>
          <w:tcPr>
            <w:tcW w:w="2552" w:type="dxa"/>
            <w:vAlign w:val="center"/>
          </w:tcPr>
          <w:p w14:paraId="033BDAA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库区应急设备存放处</w:t>
            </w:r>
          </w:p>
        </w:tc>
        <w:tc>
          <w:tcPr>
            <w:tcW w:w="3083" w:type="dxa"/>
            <w:vAlign w:val="center"/>
          </w:tcPr>
          <w:p w14:paraId="17E9A4A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w:t>
            </w:r>
            <w:r>
              <w:rPr>
                <w:rFonts w:ascii="Times New Roman" w:hAnsi="Times New Roman" w:cs="Times New Roman"/>
                <w:color w:val="000000" w:themeColor="text1"/>
                <w:sz w:val="21"/>
                <w:szCs w:val="21"/>
                <w14:textFill>
                  <w14:solidFill>
                    <w14:schemeClr w14:val="tx1"/>
                  </w14:solidFill>
                </w14:textFill>
              </w:rPr>
              <w:t>个</w:t>
            </w:r>
          </w:p>
        </w:tc>
      </w:tr>
      <w:tr w14:paraId="468BE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14:paraId="66B44726">
            <w:pPr>
              <w:pStyle w:val="200"/>
              <w:numPr>
                <w:ilvl w:val="0"/>
                <w:numId w:val="40"/>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2693" w:type="dxa"/>
            <w:vAlign w:val="center"/>
          </w:tcPr>
          <w:p w14:paraId="2532980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沙包</w:t>
            </w:r>
          </w:p>
        </w:tc>
        <w:tc>
          <w:tcPr>
            <w:tcW w:w="2552" w:type="dxa"/>
            <w:vAlign w:val="center"/>
          </w:tcPr>
          <w:p w14:paraId="4A99FFD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库区应急设备存放处</w:t>
            </w:r>
          </w:p>
        </w:tc>
        <w:tc>
          <w:tcPr>
            <w:tcW w:w="3083" w:type="dxa"/>
            <w:vAlign w:val="center"/>
          </w:tcPr>
          <w:p w14:paraId="5F3AF22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适量</w:t>
            </w:r>
          </w:p>
        </w:tc>
      </w:tr>
      <w:tr w14:paraId="16FF0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14:paraId="74025DEC">
            <w:pPr>
              <w:pStyle w:val="200"/>
              <w:numPr>
                <w:ilvl w:val="0"/>
                <w:numId w:val="40"/>
              </w:numPr>
              <w:ind w:firstLineChars="0"/>
              <w:jc w:val="center"/>
              <w:rPr>
                <w:rFonts w:ascii="Times New Roman" w:hAnsi="Times New Roman" w:cs="Times New Roman"/>
                <w:color w:val="000000" w:themeColor="text1"/>
                <w:sz w:val="21"/>
                <w:szCs w:val="21"/>
                <w14:textFill>
                  <w14:solidFill>
                    <w14:schemeClr w14:val="tx1"/>
                  </w14:solidFill>
                </w14:textFill>
              </w:rPr>
            </w:pPr>
          </w:p>
        </w:tc>
        <w:tc>
          <w:tcPr>
            <w:tcW w:w="2693" w:type="dxa"/>
            <w:vAlign w:val="center"/>
          </w:tcPr>
          <w:p w14:paraId="31CD318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消防沙</w:t>
            </w:r>
          </w:p>
        </w:tc>
        <w:tc>
          <w:tcPr>
            <w:tcW w:w="2552" w:type="dxa"/>
            <w:vAlign w:val="center"/>
          </w:tcPr>
          <w:p w14:paraId="21D4410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库区应急设备存放处</w:t>
            </w:r>
          </w:p>
        </w:tc>
        <w:tc>
          <w:tcPr>
            <w:tcW w:w="3083" w:type="dxa"/>
            <w:vAlign w:val="center"/>
          </w:tcPr>
          <w:p w14:paraId="34397B8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适量</w:t>
            </w:r>
          </w:p>
        </w:tc>
      </w:tr>
    </w:tbl>
    <w:p w14:paraId="0BCF9381">
      <w:pPr>
        <w:pStyle w:val="34"/>
        <w:spacing w:line="360" w:lineRule="auto"/>
        <w:ind w:firstLine="480" w:firstLineChars="200"/>
        <w:jc w:val="both"/>
        <w:rPr>
          <w:rFonts w:ascii="Times New Roman" w:hAnsi="Times New Roman" w:cs="Times New Roman"/>
          <w:color w:val="000000" w:themeColor="text1"/>
          <w:sz w:val="24"/>
          <w:szCs w:val="28"/>
          <w:u w:val="single"/>
          <w14:textFill>
            <w14:solidFill>
              <w14:schemeClr w14:val="tx1"/>
            </w14:solidFill>
          </w14:textFill>
        </w:rPr>
      </w:pPr>
    </w:p>
    <w:p w14:paraId="0652351F">
      <w:pPr>
        <w:spacing w:before="120" w:beforeLines="50"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（2）管理要求</w:t>
      </w:r>
    </w:p>
    <w:p w14:paraId="2422A6D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应急物资是突发环境事故应急救援和处置的重要物质支撑。</w:t>
      </w:r>
    </w:p>
    <w:p w14:paraId="4090ADB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1）应急物资必须由专人管理和维护，非主管、监管人员不得随意进入库房使用应急设备。</w:t>
      </w:r>
    </w:p>
    <w:p w14:paraId="41461C6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2）建立《应急物资清单》、</w:t>
      </w:r>
      <w:r>
        <w:rPr>
          <w:rFonts w:ascii="Times New Roman" w:hAnsi="Times New Roman" w:cs="Times New Roman"/>
          <w:color w:val="000000" w:themeColor="text1"/>
          <w14:textFill>
            <w14:solidFill>
              <w14:schemeClr w14:val="tx1"/>
            </w14:solidFill>
          </w14:textFill>
        </w:rPr>
        <w:t>《应急物资消耗记录》等物资管理台账，实行动态管理，定期补充更换</w:t>
      </w:r>
      <w:r>
        <w:rPr>
          <w:rFonts w:hint="eastAsia" w:ascii="Times New Roman" w:hAnsi="Times New Roman" w:cs="Times New Roman"/>
          <w:color w:val="000000" w:themeColor="text1"/>
          <w14:textFill>
            <w14:solidFill>
              <w14:schemeClr w14:val="tx1"/>
            </w14:solidFill>
          </w14:textFill>
        </w:rPr>
        <w:t>。</w:t>
      </w:r>
    </w:p>
    <w:p w14:paraId="3BB179E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3）应急物资负责人应定期对库存的物资进行清点，将账、物进行核对，如出现账、物不清或数量不明要查明原因并及时更正。</w:t>
      </w:r>
    </w:p>
    <w:p w14:paraId="5D53BFB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4）并检查库存应急物资的质量状态，确保完好，做到随要随取。出现质量问题的，及时更换。</w:t>
      </w:r>
    </w:p>
    <w:p w14:paraId="2DC091A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5）对使用中的应急物资，每次使用前后，负责人均需检查外观、质地等情况，保证应急物资处于良好状态，出现质量问题的，应及时作更换处理。</w:t>
      </w:r>
    </w:p>
    <w:p w14:paraId="66161564">
      <w:pPr>
        <w:pStyle w:val="200"/>
        <w:tabs>
          <w:tab w:val="left" w:pos="5387"/>
        </w:tabs>
        <w:spacing w:line="360" w:lineRule="auto"/>
        <w:ind w:firstLine="0" w:firstLineChars="0"/>
        <w:outlineLvl w:val="0"/>
        <w:rPr>
          <w:rFonts w:ascii="Times New Roman" w:hAnsi="Times New Roman" w:eastAsia="黑体" w:cs="Times New Roman"/>
          <w:b/>
          <w:bCs/>
          <w:color w:val="000000" w:themeColor="text1"/>
          <w:kern w:val="44"/>
          <w:sz w:val="30"/>
          <w:szCs w:val="30"/>
          <w14:textFill>
            <w14:solidFill>
              <w14:schemeClr w14:val="tx1"/>
            </w14:solidFill>
          </w14:textFill>
        </w:rPr>
        <w:sectPr>
          <w:pgSz w:w="11907" w:h="16840"/>
          <w:pgMar w:top="1440" w:right="1800" w:bottom="1440" w:left="1800" w:header="964" w:footer="964" w:gutter="0"/>
          <w:cols w:space="720" w:num="1"/>
          <w:titlePg/>
          <w:docGrid w:linePitch="326" w:charSpace="-4300"/>
        </w:sectPr>
      </w:pPr>
      <w:bookmarkStart w:id="190" w:name="_Toc146041503"/>
      <w:bookmarkStart w:id="191" w:name="_Toc144375255"/>
      <w:bookmarkStart w:id="192" w:name="_Toc144374992"/>
      <w:bookmarkStart w:id="193" w:name="_Toc95759401"/>
      <w:bookmarkStart w:id="194" w:name="_Toc360780159"/>
      <w:bookmarkStart w:id="195" w:name="_Toc360780594"/>
      <w:bookmarkStart w:id="196" w:name="_Toc339442377"/>
      <w:bookmarkStart w:id="197" w:name="_Toc360023281"/>
      <w:bookmarkStart w:id="198" w:name="_Toc143320374"/>
      <w:bookmarkStart w:id="199" w:name="_Toc360022777"/>
      <w:bookmarkStart w:id="200" w:name="_Toc446919704"/>
    </w:p>
    <w:p w14:paraId="59C2C975">
      <w:pPr>
        <w:pStyle w:val="200"/>
        <w:tabs>
          <w:tab w:val="left" w:pos="5387"/>
        </w:tabs>
        <w:spacing w:line="360" w:lineRule="auto"/>
        <w:ind w:firstLine="0" w:firstLineChars="0"/>
        <w:outlineLvl w:val="0"/>
        <w:rPr>
          <w:rFonts w:ascii="Times New Roman" w:hAnsi="Times New Roman" w:eastAsia="黑体" w:cs="Times New Roman"/>
          <w:b/>
          <w:bCs/>
          <w:color w:val="000000" w:themeColor="text1"/>
          <w:kern w:val="44"/>
          <w:sz w:val="30"/>
          <w:szCs w:val="30"/>
          <w14:textFill>
            <w14:solidFill>
              <w14:schemeClr w14:val="tx1"/>
            </w14:solidFill>
          </w14:textFill>
        </w:rPr>
      </w:pPr>
      <w:r>
        <w:rPr>
          <w:rFonts w:ascii="Times New Roman" w:hAnsi="Times New Roman" w:eastAsia="黑体" w:cs="Times New Roman"/>
          <w:b/>
          <w:bCs/>
          <w:color w:val="000000" w:themeColor="text1"/>
          <w:kern w:val="44"/>
          <w:sz w:val="30"/>
          <w:szCs w:val="30"/>
          <w14:textFill>
            <w14:solidFill>
              <w14:schemeClr w14:val="tx1"/>
            </w14:solidFill>
          </w14:textFill>
        </w:rPr>
        <w:t>11、突发环境事件应急预案</w:t>
      </w:r>
      <w:bookmarkEnd w:id="190"/>
      <w:bookmarkEnd w:id="191"/>
      <w:bookmarkEnd w:id="192"/>
    </w:p>
    <w:p w14:paraId="5CFB817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为防止突发事故的发生，控制灾害事故的蔓延，减少突发事故带来的损失，企业在正常运营过程中应根据《企业事业单位突发环境事件应急预案备案管理办法》（环发[2015] 4号）、《国家突发环境事件应急预案》（国办函﹝2014﹞119号）、《突发环境事件应急管理办法》（环境保护部令第34号）等的相关要求，制定企业突发环境事件应急预案。</w:t>
      </w:r>
    </w:p>
    <w:p w14:paraId="0FD7A848">
      <w:pPr>
        <w:spacing w:line="360" w:lineRule="auto"/>
        <w:ind w:firstLine="480" w:firstLineChars="200"/>
        <w:rPr>
          <w:rFonts w:ascii="Times New Roman" w:hAnsi="Times New Roman" w:cs="Times New Roman"/>
          <w:color w:val="FF0000"/>
          <w:u w:val="single"/>
        </w:rPr>
      </w:pPr>
      <w:r>
        <w:rPr>
          <w:rFonts w:hint="eastAsia" w:ascii="Times New Roman" w:hAnsi="Times New Roman" w:cs="Times New Roman"/>
          <w:color w:val="000000" w:themeColor="text1"/>
          <w14:textFill>
            <w14:solidFill>
              <w14:schemeClr w14:val="tx1"/>
            </w14:solidFill>
          </w14:textFill>
        </w:rPr>
        <w:t>本项目建设完成后，企业应将本项目建设内容纳入企业现有应急预案，及时进行突发环境事件应急预案修编，并报钦州市生态环境局备案。</w:t>
      </w:r>
    </w:p>
    <w:p w14:paraId="6D8BB38B">
      <w:pPr>
        <w:pStyle w:val="346"/>
        <w:ind w:firstLine="482" w:firstLineChars="200"/>
        <w:rPr>
          <w:color w:val="000000" w:themeColor="text1"/>
          <w14:textFill>
            <w14:solidFill>
              <w14:schemeClr w14:val="tx1"/>
            </w14:solidFill>
          </w14:textFill>
        </w:rPr>
      </w:pPr>
      <w:bookmarkStart w:id="201" w:name="_Toc144375256"/>
      <w:r>
        <w:rPr>
          <w:color w:val="000000" w:themeColor="text1"/>
          <w14:textFill>
            <w14:solidFill>
              <w14:schemeClr w14:val="tx1"/>
            </w14:solidFill>
          </w14:textFill>
        </w:rPr>
        <w:t>11.1应急预案编制要求</w:t>
      </w:r>
      <w:bookmarkEnd w:id="193"/>
      <w:bookmarkEnd w:id="201"/>
    </w:p>
    <w:p w14:paraId="673E8986">
      <w:pPr>
        <w:pStyle w:val="28"/>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企业应自行或委托有关单位严格按照《企业突发环境事件风险分级方法》（HJ941-2018）、《环境应急资源调查指南（征求意见稿）》、《突发环境事件应急监测技术规范》等文件的相关要求编制本项目的环境风险应急预案，并在环保行政主管部门进行备案。</w:t>
      </w:r>
    </w:p>
    <w:p w14:paraId="696698AF">
      <w:pPr>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表11-1环境风险应急预案主要内容及要求</w:t>
      </w:r>
    </w:p>
    <w:tbl>
      <w:tblPr>
        <w:tblStyle w:val="88"/>
        <w:tblW w:w="5000" w:type="pct"/>
        <w:jc w:val="center"/>
        <w:tblLayout w:type="fixed"/>
        <w:tblCellMar>
          <w:top w:w="0" w:type="dxa"/>
          <w:left w:w="11" w:type="dxa"/>
          <w:bottom w:w="0" w:type="dxa"/>
          <w:right w:w="11" w:type="dxa"/>
        </w:tblCellMar>
      </w:tblPr>
      <w:tblGrid>
        <w:gridCol w:w="550"/>
        <w:gridCol w:w="1150"/>
        <w:gridCol w:w="6629"/>
      </w:tblGrid>
      <w:tr w14:paraId="60DA6576">
        <w:tblPrEx>
          <w:tblCellMar>
            <w:top w:w="0" w:type="dxa"/>
            <w:left w:w="11" w:type="dxa"/>
            <w:bottom w:w="0" w:type="dxa"/>
            <w:right w:w="11" w:type="dxa"/>
          </w:tblCellMar>
        </w:tblPrEx>
        <w:trPr>
          <w:trHeight w:val="340" w:hRule="atLeast"/>
          <w:tblHeader/>
          <w:jc w:val="center"/>
        </w:trPr>
        <w:tc>
          <w:tcPr>
            <w:tcW w:w="597" w:type="dxa"/>
            <w:tcBorders>
              <w:top w:val="single" w:color="auto" w:sz="4" w:space="0"/>
              <w:left w:val="single" w:color="auto" w:sz="4" w:space="0"/>
              <w:bottom w:val="single" w:color="auto" w:sz="4" w:space="0"/>
              <w:right w:val="single" w:color="auto" w:sz="4" w:space="0"/>
            </w:tcBorders>
            <w:vAlign w:val="center"/>
          </w:tcPr>
          <w:p w14:paraId="4F087964">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序号</w:t>
            </w:r>
          </w:p>
        </w:tc>
        <w:tc>
          <w:tcPr>
            <w:tcW w:w="1253" w:type="dxa"/>
            <w:tcBorders>
              <w:top w:val="single" w:color="auto" w:sz="4" w:space="0"/>
              <w:left w:val="nil"/>
              <w:bottom w:val="single" w:color="auto" w:sz="4" w:space="0"/>
              <w:right w:val="single" w:color="auto" w:sz="4" w:space="0"/>
            </w:tcBorders>
            <w:vAlign w:val="center"/>
          </w:tcPr>
          <w:p w14:paraId="40DFAD5F">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项目</w:t>
            </w:r>
          </w:p>
        </w:tc>
        <w:tc>
          <w:tcPr>
            <w:tcW w:w="7243" w:type="dxa"/>
            <w:tcBorders>
              <w:top w:val="single" w:color="auto" w:sz="4" w:space="0"/>
              <w:left w:val="nil"/>
              <w:bottom w:val="single" w:color="auto" w:sz="4" w:space="0"/>
              <w:right w:val="single" w:color="auto" w:sz="4" w:space="0"/>
            </w:tcBorders>
            <w:vAlign w:val="center"/>
          </w:tcPr>
          <w:p w14:paraId="211B56F7">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内容及要求</w:t>
            </w:r>
          </w:p>
        </w:tc>
      </w:tr>
      <w:tr w14:paraId="36E29C4F">
        <w:tblPrEx>
          <w:tblCellMar>
            <w:top w:w="0" w:type="dxa"/>
            <w:left w:w="11" w:type="dxa"/>
            <w:bottom w:w="0" w:type="dxa"/>
            <w:right w:w="11" w:type="dxa"/>
          </w:tblCellMar>
        </w:tblPrEx>
        <w:trPr>
          <w:trHeight w:val="340" w:hRule="atLeast"/>
          <w:jc w:val="center"/>
        </w:trPr>
        <w:tc>
          <w:tcPr>
            <w:tcW w:w="597" w:type="dxa"/>
            <w:tcBorders>
              <w:top w:val="nil"/>
              <w:left w:val="single" w:color="auto" w:sz="4" w:space="0"/>
              <w:bottom w:val="single" w:color="auto" w:sz="4" w:space="0"/>
              <w:right w:val="single" w:color="auto" w:sz="4" w:space="0"/>
            </w:tcBorders>
            <w:vAlign w:val="center"/>
          </w:tcPr>
          <w:p w14:paraId="679A6D8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1253" w:type="dxa"/>
            <w:tcBorders>
              <w:top w:val="nil"/>
              <w:left w:val="nil"/>
              <w:bottom w:val="single" w:color="auto" w:sz="4" w:space="0"/>
              <w:right w:val="single" w:color="auto" w:sz="4" w:space="0"/>
            </w:tcBorders>
            <w:vAlign w:val="center"/>
          </w:tcPr>
          <w:p w14:paraId="1B72DD6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适用范围</w:t>
            </w:r>
          </w:p>
        </w:tc>
        <w:tc>
          <w:tcPr>
            <w:tcW w:w="7243" w:type="dxa"/>
            <w:tcBorders>
              <w:top w:val="nil"/>
              <w:left w:val="nil"/>
              <w:bottom w:val="single" w:color="auto" w:sz="4" w:space="0"/>
              <w:right w:val="single" w:color="auto" w:sz="4" w:space="0"/>
            </w:tcBorders>
            <w:vAlign w:val="center"/>
          </w:tcPr>
          <w:p w14:paraId="5EF45B00">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针对本项目仓储各环节的突发环境事件应急响应</w:t>
            </w:r>
          </w:p>
        </w:tc>
      </w:tr>
      <w:tr w14:paraId="5F4A6788">
        <w:tblPrEx>
          <w:tblCellMar>
            <w:top w:w="0" w:type="dxa"/>
            <w:left w:w="11" w:type="dxa"/>
            <w:bottom w:w="0" w:type="dxa"/>
            <w:right w:w="11" w:type="dxa"/>
          </w:tblCellMar>
        </w:tblPrEx>
        <w:trPr>
          <w:trHeight w:val="340" w:hRule="atLeast"/>
          <w:jc w:val="center"/>
        </w:trPr>
        <w:tc>
          <w:tcPr>
            <w:tcW w:w="597" w:type="dxa"/>
            <w:tcBorders>
              <w:top w:val="nil"/>
              <w:left w:val="single" w:color="auto" w:sz="4" w:space="0"/>
              <w:bottom w:val="single" w:color="auto" w:sz="4" w:space="0"/>
              <w:right w:val="single" w:color="auto" w:sz="4" w:space="0"/>
            </w:tcBorders>
            <w:vAlign w:val="center"/>
          </w:tcPr>
          <w:p w14:paraId="6F8D0CB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1253" w:type="dxa"/>
            <w:tcBorders>
              <w:top w:val="nil"/>
              <w:left w:val="nil"/>
              <w:bottom w:val="single" w:color="auto" w:sz="4" w:space="0"/>
              <w:right w:val="single" w:color="auto" w:sz="4" w:space="0"/>
            </w:tcBorders>
            <w:vAlign w:val="center"/>
          </w:tcPr>
          <w:p w14:paraId="2053553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环境事件分类和分级</w:t>
            </w:r>
          </w:p>
        </w:tc>
        <w:tc>
          <w:tcPr>
            <w:tcW w:w="7243" w:type="dxa"/>
            <w:tcBorders>
              <w:top w:val="nil"/>
              <w:left w:val="nil"/>
              <w:bottom w:val="single" w:color="auto" w:sz="4" w:space="0"/>
              <w:right w:val="single" w:color="auto" w:sz="4" w:space="0"/>
            </w:tcBorders>
            <w:vAlign w:val="center"/>
          </w:tcPr>
          <w:p w14:paraId="32338513">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根据《突发环境事件信息报告办法》（环保部令第17号，2011年5月1日）的分级方法，再结合公司的实际情况对公司环境事件进行分级。</w:t>
            </w:r>
          </w:p>
        </w:tc>
      </w:tr>
      <w:tr w14:paraId="0D158F59">
        <w:tblPrEx>
          <w:tblCellMar>
            <w:top w:w="0" w:type="dxa"/>
            <w:left w:w="11" w:type="dxa"/>
            <w:bottom w:w="0" w:type="dxa"/>
            <w:right w:w="11" w:type="dxa"/>
          </w:tblCellMar>
        </w:tblPrEx>
        <w:trPr>
          <w:trHeight w:val="340" w:hRule="atLeast"/>
          <w:jc w:val="center"/>
        </w:trPr>
        <w:tc>
          <w:tcPr>
            <w:tcW w:w="597" w:type="dxa"/>
            <w:tcBorders>
              <w:top w:val="nil"/>
              <w:left w:val="single" w:color="auto" w:sz="4" w:space="0"/>
              <w:bottom w:val="single" w:color="auto" w:sz="4" w:space="0"/>
              <w:right w:val="single" w:color="auto" w:sz="4" w:space="0"/>
            </w:tcBorders>
            <w:vAlign w:val="center"/>
          </w:tcPr>
          <w:p w14:paraId="0277C33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1253" w:type="dxa"/>
            <w:tcBorders>
              <w:top w:val="nil"/>
              <w:left w:val="nil"/>
              <w:bottom w:val="single" w:color="auto" w:sz="4" w:space="0"/>
              <w:right w:val="single" w:color="auto" w:sz="4" w:space="0"/>
            </w:tcBorders>
            <w:vAlign w:val="center"/>
          </w:tcPr>
          <w:p w14:paraId="51DF63B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组织机构与职责</w:t>
            </w:r>
          </w:p>
        </w:tc>
        <w:tc>
          <w:tcPr>
            <w:tcW w:w="7243" w:type="dxa"/>
            <w:tcBorders>
              <w:top w:val="nil"/>
              <w:left w:val="nil"/>
              <w:bottom w:val="single" w:color="auto" w:sz="4" w:space="0"/>
              <w:right w:val="single" w:color="auto" w:sz="4" w:space="0"/>
            </w:tcBorders>
            <w:vAlign w:val="center"/>
          </w:tcPr>
          <w:p w14:paraId="532319B6">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明确事故报警、响应、善后处置等环节的主管部门与协作部门及其职责。要建立应急协调人制度。应急协调人必须常驻单位/厂区内或能够迅速到达单位/厂区应对紧急状态，必须经过专业培训，具备相应的知识和技能，熟悉应急预案。</w:t>
            </w:r>
          </w:p>
        </w:tc>
      </w:tr>
      <w:tr w14:paraId="770015E7">
        <w:tblPrEx>
          <w:tblCellMar>
            <w:top w:w="0" w:type="dxa"/>
            <w:left w:w="11" w:type="dxa"/>
            <w:bottom w:w="0" w:type="dxa"/>
            <w:right w:w="11" w:type="dxa"/>
          </w:tblCellMar>
        </w:tblPrEx>
        <w:trPr>
          <w:trHeight w:val="340" w:hRule="atLeast"/>
          <w:jc w:val="center"/>
        </w:trPr>
        <w:tc>
          <w:tcPr>
            <w:tcW w:w="597" w:type="dxa"/>
            <w:tcBorders>
              <w:top w:val="nil"/>
              <w:left w:val="single" w:color="auto" w:sz="4" w:space="0"/>
              <w:bottom w:val="single" w:color="auto" w:sz="4" w:space="0"/>
              <w:right w:val="single" w:color="auto" w:sz="4" w:space="0"/>
            </w:tcBorders>
            <w:vAlign w:val="center"/>
          </w:tcPr>
          <w:p w14:paraId="272F12B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w:t>
            </w:r>
          </w:p>
        </w:tc>
        <w:tc>
          <w:tcPr>
            <w:tcW w:w="1253" w:type="dxa"/>
            <w:tcBorders>
              <w:top w:val="nil"/>
              <w:left w:val="nil"/>
              <w:bottom w:val="single" w:color="auto" w:sz="4" w:space="0"/>
              <w:right w:val="single" w:color="auto" w:sz="4" w:space="0"/>
            </w:tcBorders>
            <w:vAlign w:val="center"/>
          </w:tcPr>
          <w:p w14:paraId="12549D1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监控和预警</w:t>
            </w:r>
          </w:p>
        </w:tc>
        <w:tc>
          <w:tcPr>
            <w:tcW w:w="7243" w:type="dxa"/>
            <w:tcBorders>
              <w:top w:val="nil"/>
              <w:left w:val="nil"/>
              <w:bottom w:val="single" w:color="auto" w:sz="4" w:space="0"/>
              <w:right w:val="single" w:color="auto" w:sz="4" w:space="0"/>
            </w:tcBorders>
            <w:vAlign w:val="center"/>
          </w:tcPr>
          <w:p w14:paraId="31BF287C">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明确发现事故时，应当采取的措施及有关报警、求援、报告等程序、方式、时限要求、内容等。</w:t>
            </w:r>
          </w:p>
        </w:tc>
      </w:tr>
      <w:tr w14:paraId="1CA12269">
        <w:tblPrEx>
          <w:tblCellMar>
            <w:top w:w="0" w:type="dxa"/>
            <w:left w:w="11" w:type="dxa"/>
            <w:bottom w:w="0" w:type="dxa"/>
            <w:right w:w="11" w:type="dxa"/>
          </w:tblCellMar>
        </w:tblPrEx>
        <w:trPr>
          <w:trHeight w:val="340" w:hRule="atLeast"/>
          <w:jc w:val="center"/>
        </w:trPr>
        <w:tc>
          <w:tcPr>
            <w:tcW w:w="597" w:type="dxa"/>
            <w:tcBorders>
              <w:top w:val="nil"/>
              <w:left w:val="single" w:color="auto" w:sz="4" w:space="0"/>
              <w:bottom w:val="single" w:color="auto" w:sz="4" w:space="0"/>
              <w:right w:val="single" w:color="auto" w:sz="4" w:space="0"/>
            </w:tcBorders>
            <w:vAlign w:val="center"/>
          </w:tcPr>
          <w:p w14:paraId="0A8A038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p>
        </w:tc>
        <w:tc>
          <w:tcPr>
            <w:tcW w:w="1253" w:type="dxa"/>
            <w:tcBorders>
              <w:top w:val="nil"/>
              <w:left w:val="nil"/>
              <w:bottom w:val="single" w:color="auto" w:sz="4" w:space="0"/>
              <w:right w:val="single" w:color="auto" w:sz="4" w:space="0"/>
            </w:tcBorders>
            <w:vAlign w:val="center"/>
          </w:tcPr>
          <w:p w14:paraId="73A6926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应急响应</w:t>
            </w:r>
          </w:p>
        </w:tc>
        <w:tc>
          <w:tcPr>
            <w:tcW w:w="7243" w:type="dxa"/>
            <w:tcBorders>
              <w:top w:val="nil"/>
              <w:left w:val="nil"/>
              <w:bottom w:val="single" w:color="auto" w:sz="4" w:space="0"/>
              <w:right w:val="single" w:color="auto" w:sz="4" w:space="0"/>
            </w:tcBorders>
            <w:vAlign w:val="center"/>
          </w:tcPr>
          <w:p w14:paraId="6FE7BC50">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1、明确发生事故后，各应急机构应当采取的具体行动措施。包括响应分级、警戒治安、应急监测、现场处置等。</w:t>
            </w:r>
          </w:p>
          <w:p w14:paraId="04ED5D13">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2、明确事故的响应级别。可根据事故的影响范围和可控性，分成完全紧急状态、有限的紧急状态和潜在的紧急状态等三级。</w:t>
            </w:r>
          </w:p>
          <w:p w14:paraId="208B9003">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3、明确事故状态下的监测方案，包括监测泄漏、压力集聚情况以及污染物的排放情况等。</w:t>
            </w:r>
          </w:p>
          <w:p w14:paraId="7E2F1740">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4、明确各事故类型的现场应急处置的工作方案。包括控制污染扩散和消除污染的紧急措施；预防和控制污染事故扩大或恶化的措施；污染事故可能扩大后的应对措施等。</w:t>
            </w:r>
          </w:p>
          <w:p w14:paraId="3EECDF3F">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明确事故得到控制后的工作内容。如组织进行后期污染监测和治理；确保不在被影响的区域进行任何与泄漏材料性质不相容的废物处理贮存活动，确保所有应急设备进行清洁处理并且恢复原有功能后方可恢复运营等安全措施。</w:t>
            </w:r>
          </w:p>
        </w:tc>
      </w:tr>
      <w:tr w14:paraId="23BD1C75">
        <w:tblPrEx>
          <w:tblCellMar>
            <w:top w:w="0" w:type="dxa"/>
            <w:left w:w="11" w:type="dxa"/>
            <w:bottom w:w="0" w:type="dxa"/>
            <w:right w:w="11" w:type="dxa"/>
          </w:tblCellMar>
        </w:tblPrEx>
        <w:trPr>
          <w:trHeight w:val="340" w:hRule="atLeast"/>
          <w:jc w:val="center"/>
        </w:trPr>
        <w:tc>
          <w:tcPr>
            <w:tcW w:w="597" w:type="dxa"/>
            <w:tcBorders>
              <w:top w:val="nil"/>
              <w:left w:val="single" w:color="auto" w:sz="4" w:space="0"/>
              <w:bottom w:val="single" w:color="auto" w:sz="4" w:space="0"/>
              <w:right w:val="single" w:color="auto" w:sz="4" w:space="0"/>
            </w:tcBorders>
            <w:vAlign w:val="center"/>
          </w:tcPr>
          <w:p w14:paraId="0BC9C6A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6</w:t>
            </w:r>
          </w:p>
        </w:tc>
        <w:tc>
          <w:tcPr>
            <w:tcW w:w="1253" w:type="dxa"/>
            <w:tcBorders>
              <w:top w:val="nil"/>
              <w:left w:val="nil"/>
              <w:bottom w:val="single" w:color="auto" w:sz="4" w:space="0"/>
              <w:right w:val="single" w:color="auto" w:sz="4" w:space="0"/>
            </w:tcBorders>
            <w:vAlign w:val="center"/>
          </w:tcPr>
          <w:p w14:paraId="497A2D8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应急保障</w:t>
            </w:r>
          </w:p>
        </w:tc>
        <w:tc>
          <w:tcPr>
            <w:tcW w:w="7243" w:type="dxa"/>
            <w:tcBorders>
              <w:top w:val="nil"/>
              <w:left w:val="nil"/>
              <w:bottom w:val="single" w:color="auto" w:sz="4" w:space="0"/>
              <w:right w:val="single" w:color="auto" w:sz="4" w:space="0"/>
            </w:tcBorders>
            <w:vAlign w:val="center"/>
          </w:tcPr>
          <w:p w14:paraId="01B4B6CB">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1、明确紧急状态下，对伤员现场急救、安全转送、人员撤离以及危害区域内人员防护等方案。撤离方案应明确什么状态下应当建议撤离。</w:t>
            </w:r>
          </w:p>
          <w:p w14:paraId="7E8C7C70">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2、列明应急装备、设施和器材清单，包括种类、名称、数量、存放位置、规格、性能、用途和用法等信息。</w:t>
            </w:r>
          </w:p>
        </w:tc>
      </w:tr>
      <w:tr w14:paraId="635B608D">
        <w:tblPrEx>
          <w:tblCellMar>
            <w:top w:w="0" w:type="dxa"/>
            <w:left w:w="11" w:type="dxa"/>
            <w:bottom w:w="0" w:type="dxa"/>
            <w:right w:w="11" w:type="dxa"/>
          </w:tblCellMar>
        </w:tblPrEx>
        <w:trPr>
          <w:trHeight w:val="340" w:hRule="atLeast"/>
          <w:jc w:val="center"/>
        </w:trPr>
        <w:tc>
          <w:tcPr>
            <w:tcW w:w="597" w:type="dxa"/>
            <w:tcBorders>
              <w:top w:val="nil"/>
              <w:left w:val="single" w:color="auto" w:sz="4" w:space="0"/>
              <w:bottom w:val="single" w:color="auto" w:sz="4" w:space="0"/>
              <w:right w:val="single" w:color="auto" w:sz="4" w:space="0"/>
            </w:tcBorders>
            <w:vAlign w:val="center"/>
          </w:tcPr>
          <w:p w14:paraId="26DA115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7</w:t>
            </w:r>
          </w:p>
        </w:tc>
        <w:tc>
          <w:tcPr>
            <w:tcW w:w="1253" w:type="dxa"/>
            <w:tcBorders>
              <w:top w:val="nil"/>
              <w:left w:val="nil"/>
              <w:bottom w:val="single" w:color="auto" w:sz="4" w:space="0"/>
              <w:right w:val="single" w:color="auto" w:sz="4" w:space="0"/>
            </w:tcBorders>
            <w:vAlign w:val="center"/>
          </w:tcPr>
          <w:p w14:paraId="07720B7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善后处置</w:t>
            </w:r>
          </w:p>
        </w:tc>
        <w:tc>
          <w:tcPr>
            <w:tcW w:w="7243" w:type="dxa"/>
            <w:tcBorders>
              <w:top w:val="nil"/>
              <w:left w:val="nil"/>
              <w:bottom w:val="single" w:color="auto" w:sz="4" w:space="0"/>
              <w:right w:val="single" w:color="auto" w:sz="4" w:space="0"/>
            </w:tcBorders>
            <w:vAlign w:val="center"/>
          </w:tcPr>
          <w:p w14:paraId="1F7E1A54">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1、积极组织进行突发环境事件现场清理工作，使事发现场恢复到相对稳定、安全的基本状态，防止发生二次污染事故。</w:t>
            </w:r>
          </w:p>
        </w:tc>
      </w:tr>
      <w:tr w14:paraId="3700B8E6">
        <w:tblPrEx>
          <w:tblCellMar>
            <w:top w:w="0" w:type="dxa"/>
            <w:left w:w="11" w:type="dxa"/>
            <w:bottom w:w="0" w:type="dxa"/>
            <w:right w:w="11" w:type="dxa"/>
          </w:tblCellMar>
        </w:tblPrEx>
        <w:trPr>
          <w:trHeight w:val="340" w:hRule="atLeast"/>
          <w:jc w:val="center"/>
        </w:trPr>
        <w:tc>
          <w:tcPr>
            <w:tcW w:w="597" w:type="dxa"/>
            <w:tcBorders>
              <w:top w:val="nil"/>
              <w:left w:val="single" w:color="auto" w:sz="4" w:space="0"/>
              <w:bottom w:val="single" w:color="auto" w:sz="4" w:space="0"/>
              <w:right w:val="single" w:color="auto" w:sz="4" w:space="0"/>
            </w:tcBorders>
            <w:vAlign w:val="center"/>
          </w:tcPr>
          <w:p w14:paraId="3F2656D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8</w:t>
            </w:r>
          </w:p>
        </w:tc>
        <w:tc>
          <w:tcPr>
            <w:tcW w:w="1253" w:type="dxa"/>
            <w:tcBorders>
              <w:top w:val="nil"/>
              <w:left w:val="nil"/>
              <w:bottom w:val="single" w:color="auto" w:sz="4" w:space="0"/>
              <w:right w:val="single" w:color="auto" w:sz="4" w:space="0"/>
            </w:tcBorders>
            <w:vAlign w:val="center"/>
          </w:tcPr>
          <w:p w14:paraId="3E8D65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预案管理与演练</w:t>
            </w:r>
          </w:p>
        </w:tc>
        <w:tc>
          <w:tcPr>
            <w:tcW w:w="7243" w:type="dxa"/>
            <w:tcBorders>
              <w:top w:val="nil"/>
              <w:left w:val="nil"/>
              <w:bottom w:val="single" w:color="auto" w:sz="4" w:space="0"/>
              <w:right w:val="single" w:color="auto" w:sz="4" w:space="0"/>
            </w:tcBorders>
            <w:vAlign w:val="center"/>
          </w:tcPr>
          <w:p w14:paraId="07CAD58D">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1、当企业经营内容发生重大变化时，需要重新组织评审，以确保预案的持续适宜性，评审间隔不宜过长，应3年评审一次。</w:t>
            </w:r>
          </w:p>
          <w:p w14:paraId="6D7219B2">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2、公司应将最新版本应急预案应当在本公司主要负责人签署之日起20日内报环保部门备案。</w:t>
            </w:r>
          </w:p>
          <w:p w14:paraId="587856BC">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3、公司应急预案经评审和专家评估后，由经理签署发布；负责预案的管理发放，发放应建立发放记录，并及时对已发放预案进行更新，确保各部门获得最新版本的应急预案。</w:t>
            </w:r>
          </w:p>
          <w:p w14:paraId="3D8A0525">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4、对全体员工，特别是对应急工作组进行培训和演练。一般应当针对事故易发环节</w:t>
            </w:r>
          </w:p>
        </w:tc>
      </w:tr>
    </w:tbl>
    <w:p w14:paraId="2C10367B">
      <w:pPr>
        <w:pStyle w:val="346"/>
        <w:ind w:firstLine="482" w:firstLineChars="200"/>
        <w:rPr>
          <w:color w:val="000000" w:themeColor="text1"/>
          <w14:textFill>
            <w14:solidFill>
              <w14:schemeClr w14:val="tx1"/>
            </w14:solidFill>
          </w14:textFill>
        </w:rPr>
      </w:pPr>
      <w:bookmarkStart w:id="202" w:name="_Toc144375257"/>
      <w:bookmarkStart w:id="203" w:name="_Toc95759402"/>
      <w:r>
        <w:rPr>
          <w:color w:val="000000" w:themeColor="text1"/>
          <w14:textFill>
            <w14:solidFill>
              <w14:schemeClr w14:val="tx1"/>
            </w14:solidFill>
          </w14:textFill>
        </w:rPr>
        <w:t>11.2环境应急预案体系</w:t>
      </w:r>
      <w:bookmarkEnd w:id="202"/>
      <w:bookmarkEnd w:id="203"/>
    </w:p>
    <w:p w14:paraId="3318EEF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企业建立的应急预案与钦州市突发环境事件应急预案为上下级关系。当公司突发环境事件超出公司自身应对能力时，及时向钦州市人民政府、生态环境部门及外部有关单位求援。当由政府或生态环境部门等有关部门介入或主导公司突发环境事件的应急处置工作时，公司内部应急组织机构成员不变，职责由负责应急处置转变为服从指挥，配合相关部门参与处置工作。</w:t>
      </w:r>
    </w:p>
    <w:p w14:paraId="06AC156A">
      <w:pPr>
        <w:pStyle w:val="346"/>
        <w:ind w:firstLine="482" w:firstLineChars="200"/>
        <w:rPr>
          <w:color w:val="000000" w:themeColor="text1"/>
          <w14:textFill>
            <w14:solidFill>
              <w14:schemeClr w14:val="tx1"/>
            </w14:solidFill>
          </w14:textFill>
        </w:rPr>
      </w:pPr>
      <w:bookmarkStart w:id="204" w:name="_Toc95759404"/>
      <w:bookmarkStart w:id="205" w:name="_Toc144375258"/>
      <w:r>
        <w:rPr>
          <w:color w:val="000000" w:themeColor="text1"/>
          <w14:textFill>
            <w14:solidFill>
              <w14:schemeClr w14:val="tx1"/>
            </w14:solidFill>
          </w14:textFill>
        </w:rPr>
        <w:t>11.3</w:t>
      </w:r>
      <w:bookmarkEnd w:id="204"/>
      <w:r>
        <w:rPr>
          <w:color w:val="000000" w:themeColor="text1"/>
          <w14:textFill>
            <w14:solidFill>
              <w14:schemeClr w14:val="tx1"/>
            </w14:solidFill>
          </w14:textFill>
        </w:rPr>
        <w:t>突发环境事件分级</w:t>
      </w:r>
      <w:bookmarkEnd w:id="205"/>
    </w:p>
    <w:p w14:paraId="1D20394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（1）国家突发环境事件分级</w:t>
      </w:r>
    </w:p>
    <w:p w14:paraId="3AC65C4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国务院办公厅《关于印发国家突发环境事件应急预案的通知》（国办函（2014）119号》，突发环境事件分级标准：按照突发事件严重性和紧急程度，突发环境事件分为特别重大环境事件（I级）、重大环境事件（</w:t>
      </w:r>
      <w:r>
        <w:rPr>
          <w:rFonts w:hint="eastAsia"/>
          <w:color w:val="000000" w:themeColor="text1"/>
          <w14:textFill>
            <w14:solidFill>
              <w14:schemeClr w14:val="tx1"/>
            </w14:solidFill>
          </w14:textFill>
        </w:rPr>
        <w:t>Ⅱ</w:t>
      </w:r>
      <w:r>
        <w:rPr>
          <w:rFonts w:ascii="Times New Roman" w:hAnsi="Times New Roman" w:cs="Times New Roman"/>
          <w:color w:val="000000" w:themeColor="text1"/>
          <w14:textFill>
            <w14:solidFill>
              <w14:schemeClr w14:val="tx1"/>
            </w14:solidFill>
          </w14:textFill>
        </w:rPr>
        <w:t>级）、较大环境事件（</w:t>
      </w:r>
      <w:r>
        <w:rPr>
          <w:rFonts w:hint="eastAsia"/>
          <w:color w:val="000000" w:themeColor="text1"/>
          <w14:textFill>
            <w14:solidFill>
              <w14:schemeClr w14:val="tx1"/>
            </w14:solidFill>
          </w14:textFill>
        </w:rPr>
        <w:t>Ⅲ</w:t>
      </w:r>
      <w:r>
        <w:rPr>
          <w:rFonts w:ascii="Times New Roman" w:hAnsi="Times New Roman" w:cs="Times New Roman"/>
          <w:color w:val="000000" w:themeColor="text1"/>
          <w14:textFill>
            <w14:solidFill>
              <w14:schemeClr w14:val="tx1"/>
            </w14:solidFill>
          </w14:textFill>
        </w:rPr>
        <w:t>级）和一般环境事件（IV级）四级。</w:t>
      </w:r>
    </w:p>
    <w:p w14:paraId="7DA434C8">
      <w:pPr>
        <w:pStyle w:val="4003"/>
        <w:widowControl/>
        <w:ind w:firstLine="480"/>
        <w:jc w:val="left"/>
        <w:outlineLvl w:val="9"/>
        <w:rPr>
          <w:b w:val="0"/>
          <w:color w:val="000000" w:themeColor="text1"/>
          <w14:textFill>
            <w14:solidFill>
              <w14:schemeClr w14:val="tx1"/>
            </w14:solidFill>
          </w14:textFill>
        </w:rPr>
      </w:pPr>
      <w:r>
        <w:rPr>
          <w:b w:val="0"/>
          <w:color w:val="000000" w:themeColor="text1"/>
          <w14:textFill>
            <w14:solidFill>
              <w14:schemeClr w14:val="tx1"/>
            </w14:solidFill>
          </w14:textFill>
        </w:rPr>
        <w:t>（2）钦州市突发环境事件分级</w:t>
      </w:r>
    </w:p>
    <w:p w14:paraId="101F963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针对突发环境事件严重性、紧急程度、危害程度、影响范围、企业内部（工作时段、车间）控制事态的能力以及需要调动的应急资源，根据《钦州市突发环境事件应急预案》，突发环境事件实行四级预警制度。等级由高到低依次为</w:t>
      </w:r>
      <w:r>
        <w:rPr>
          <w:rFonts w:hint="eastAsia"/>
          <w:color w:val="000000" w:themeColor="text1"/>
          <w14:textFill>
            <w14:solidFill>
              <w14:schemeClr w14:val="tx1"/>
            </w14:solidFill>
          </w14:textFill>
        </w:rPr>
        <w:t>Ⅰ</w:t>
      </w:r>
      <w:r>
        <w:rPr>
          <w:rFonts w:ascii="Times New Roman" w:hAnsi="Times New Roman" w:cs="Times New Roman"/>
          <w:color w:val="000000" w:themeColor="text1"/>
          <w14:textFill>
            <w14:solidFill>
              <w14:schemeClr w14:val="tx1"/>
            </w14:solidFill>
          </w14:textFill>
        </w:rPr>
        <w:t>级（特大环境事件）、</w:t>
      </w:r>
      <w:r>
        <w:rPr>
          <w:rFonts w:hint="eastAsia"/>
          <w:color w:val="000000" w:themeColor="text1"/>
          <w14:textFill>
            <w14:solidFill>
              <w14:schemeClr w14:val="tx1"/>
            </w14:solidFill>
          </w14:textFill>
        </w:rPr>
        <w:t>Ⅱ</w:t>
      </w:r>
      <w:r>
        <w:rPr>
          <w:rFonts w:ascii="Times New Roman" w:hAnsi="Times New Roman" w:cs="Times New Roman"/>
          <w:color w:val="000000" w:themeColor="text1"/>
          <w14:textFill>
            <w14:solidFill>
              <w14:schemeClr w14:val="tx1"/>
            </w14:solidFill>
          </w14:textFill>
        </w:rPr>
        <w:t>级（重大环境事件）、</w:t>
      </w:r>
      <w:r>
        <w:rPr>
          <w:rFonts w:hint="eastAsia"/>
          <w:color w:val="000000" w:themeColor="text1"/>
          <w14:textFill>
            <w14:solidFill>
              <w14:schemeClr w14:val="tx1"/>
            </w14:solidFill>
          </w14:textFill>
        </w:rPr>
        <w:t>Ⅲ</w:t>
      </w:r>
      <w:r>
        <w:rPr>
          <w:rFonts w:ascii="Times New Roman" w:hAnsi="Times New Roman" w:cs="Times New Roman"/>
          <w:color w:val="000000" w:themeColor="text1"/>
          <w14:textFill>
            <w14:solidFill>
              <w14:schemeClr w14:val="tx1"/>
            </w14:solidFill>
          </w14:textFill>
        </w:rPr>
        <w:t>级（较大环境事件）、</w:t>
      </w:r>
      <w:r>
        <w:rPr>
          <w:rFonts w:hint="eastAsia"/>
          <w:color w:val="000000" w:themeColor="text1"/>
          <w14:textFill>
            <w14:solidFill>
              <w14:schemeClr w14:val="tx1"/>
            </w14:solidFill>
          </w14:textFill>
        </w:rPr>
        <w:t>Ⅳ</w:t>
      </w:r>
      <w:r>
        <w:rPr>
          <w:rFonts w:ascii="Times New Roman" w:hAnsi="Times New Roman" w:cs="Times New Roman"/>
          <w:color w:val="000000" w:themeColor="text1"/>
          <w14:textFill>
            <w14:solidFill>
              <w14:schemeClr w14:val="tx1"/>
            </w14:solidFill>
          </w14:textFill>
        </w:rPr>
        <w:t>级（一般环境事件），预警颜色分别用红、橙、黄、蓝表示。根据不同级别的预警，采取相应的应急响应措施。</w:t>
      </w:r>
    </w:p>
    <w:p w14:paraId="7792274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蓝色预警由县区人民政府负责发布。黄色预警由市人民政府负责发布。橙色预警由自治区人民政府发布。红色预警由自治区人民政府根据国务院授权负责发布。</w:t>
      </w:r>
    </w:p>
    <w:p w14:paraId="6BC1878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（3）公司突发环境事件分级</w:t>
      </w:r>
    </w:p>
    <w:p w14:paraId="228263E9">
      <w:pPr>
        <w:spacing w:line="360" w:lineRule="auto"/>
        <w:ind w:firstLine="480" w:firstLineChars="200"/>
        <w:rPr>
          <w:rFonts w:ascii="Times New Roman" w:hAnsi="Times New Roman" w:cs="Times New Roman"/>
          <w:color w:val="000000" w:themeColor="text1"/>
          <w:lang w:val="zh-CN"/>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结</w:t>
      </w:r>
      <w:r>
        <w:rPr>
          <w:rFonts w:ascii="Times New Roman" w:hAnsi="Times New Roman" w:cs="Times New Roman"/>
          <w:color w:val="000000" w:themeColor="text1"/>
          <w:lang w:val="zh-CN"/>
          <w14:textFill>
            <w14:solidFill>
              <w14:schemeClr w14:val="tx1"/>
            </w14:solidFill>
          </w14:textFill>
        </w:rPr>
        <w:t>合公司实际情况，针对突发环境事件危害程度、影响范围、控制事态的能力以及需要调动的应急资源将突发环境事件划分为</w:t>
      </w:r>
      <w:r>
        <w:rPr>
          <w:rFonts w:hint="eastAsia"/>
          <w:color w:val="000000" w:themeColor="text1"/>
          <w14:textFill>
            <w14:solidFill>
              <w14:schemeClr w14:val="tx1"/>
            </w14:solidFill>
          </w14:textFill>
        </w:rPr>
        <w:t>Ⅰ</w:t>
      </w:r>
      <w:r>
        <w:rPr>
          <w:rFonts w:ascii="Times New Roman" w:hAnsi="Times New Roman" w:cs="Times New Roman"/>
          <w:color w:val="000000" w:themeColor="text1"/>
          <w14:textFill>
            <w14:solidFill>
              <w14:schemeClr w14:val="tx1"/>
            </w14:solidFill>
          </w14:textFill>
        </w:rPr>
        <w:t>级事件（社会级）、</w:t>
      </w:r>
      <w:r>
        <w:rPr>
          <w:rFonts w:hint="eastAsia"/>
          <w:color w:val="000000" w:themeColor="text1"/>
          <w14:textFill>
            <w14:solidFill>
              <w14:schemeClr w14:val="tx1"/>
            </w14:solidFill>
          </w14:textFill>
        </w:rPr>
        <w:t>Ⅱ</w:t>
      </w:r>
      <w:r>
        <w:rPr>
          <w:rFonts w:ascii="Times New Roman" w:hAnsi="Times New Roman" w:cs="Times New Roman"/>
          <w:color w:val="000000" w:themeColor="text1"/>
          <w14:textFill>
            <w14:solidFill>
              <w14:schemeClr w14:val="tx1"/>
            </w14:solidFill>
          </w14:textFill>
        </w:rPr>
        <w:t>级事件（企业级）和</w:t>
      </w:r>
      <w:r>
        <w:rPr>
          <w:rFonts w:hint="eastAsia"/>
          <w:color w:val="000000" w:themeColor="text1"/>
          <w14:textFill>
            <w14:solidFill>
              <w14:schemeClr w14:val="tx1"/>
            </w14:solidFill>
          </w14:textFill>
        </w:rPr>
        <w:t>Ⅲ</w:t>
      </w:r>
      <w:r>
        <w:rPr>
          <w:rFonts w:ascii="Times New Roman" w:hAnsi="Times New Roman" w:cs="Times New Roman"/>
          <w:color w:val="000000" w:themeColor="text1"/>
          <w14:textFill>
            <w14:solidFill>
              <w14:schemeClr w14:val="tx1"/>
            </w14:solidFill>
          </w14:textFill>
        </w:rPr>
        <w:t>级事件（部门级）三</w:t>
      </w:r>
      <w:r>
        <w:rPr>
          <w:rFonts w:ascii="Times New Roman" w:hAnsi="Times New Roman" w:cs="Times New Roman"/>
          <w:color w:val="000000" w:themeColor="text1"/>
          <w:lang w:val="zh-CN"/>
          <w14:textFill>
            <w14:solidFill>
              <w14:schemeClr w14:val="tx1"/>
            </w14:solidFill>
          </w14:textFill>
        </w:rPr>
        <w:t>个等级并实行相应的预警级别。</w:t>
      </w:r>
    </w:p>
    <w:p w14:paraId="19511CFC">
      <w:pPr>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表11-2 公司突发环境事件影响分级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624"/>
        <w:gridCol w:w="2657"/>
        <w:gridCol w:w="2311"/>
        <w:gridCol w:w="2761"/>
      </w:tblGrid>
      <w:tr w14:paraId="525D8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3" w:hRule="atLeast"/>
          <w:jc w:val="center"/>
        </w:trPr>
        <w:tc>
          <w:tcPr>
            <w:tcW w:w="685" w:type="dxa"/>
            <w:vAlign w:val="center"/>
          </w:tcPr>
          <w:p w14:paraId="5A6482D8">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预警</w:t>
            </w:r>
          </w:p>
          <w:p w14:paraId="5DFB0CA3">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级别</w:t>
            </w:r>
          </w:p>
        </w:tc>
        <w:tc>
          <w:tcPr>
            <w:tcW w:w="2935" w:type="dxa"/>
            <w:vAlign w:val="center"/>
          </w:tcPr>
          <w:p w14:paraId="1476BD02">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突发环境事件情形</w:t>
            </w:r>
          </w:p>
        </w:tc>
        <w:tc>
          <w:tcPr>
            <w:tcW w:w="2552" w:type="dxa"/>
            <w:vAlign w:val="center"/>
          </w:tcPr>
          <w:p w14:paraId="48691475">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储罐环境风险事故</w:t>
            </w:r>
          </w:p>
        </w:tc>
        <w:tc>
          <w:tcPr>
            <w:tcW w:w="3050" w:type="dxa"/>
            <w:vAlign w:val="center"/>
          </w:tcPr>
          <w:p w14:paraId="70560506">
            <w:pPr>
              <w:jc w:val="center"/>
              <w:rPr>
                <w:rFonts w:ascii="Times New Roman" w:hAnsi="Times New Roman" w:cs="Times New Roman"/>
                <w:b/>
                <w:color w:val="000000" w:themeColor="text1"/>
                <w:sz w:val="21"/>
                <w:szCs w:val="21"/>
                <w14:textFill>
                  <w14:solidFill>
                    <w14:schemeClr w14:val="tx1"/>
                  </w14:solidFill>
                </w14:textFill>
              </w:rPr>
            </w:pPr>
            <w:r>
              <w:rPr>
                <w:rFonts w:hint="eastAsia" w:ascii="Times New Roman" w:hAnsi="Times New Roman" w:cs="Times New Roman"/>
                <w:b/>
                <w:color w:val="000000" w:themeColor="text1"/>
                <w:sz w:val="21"/>
                <w:szCs w:val="21"/>
                <w14:textFill>
                  <w14:solidFill>
                    <w14:schemeClr w14:val="tx1"/>
                  </w14:solidFill>
                </w14:textFill>
              </w:rPr>
              <w:t>装卸车台</w:t>
            </w:r>
            <w:r>
              <w:rPr>
                <w:rFonts w:ascii="Times New Roman" w:hAnsi="Times New Roman" w:cs="Times New Roman"/>
                <w:b/>
                <w:color w:val="000000" w:themeColor="text1"/>
                <w:sz w:val="21"/>
                <w:szCs w:val="21"/>
                <w14:textFill>
                  <w14:solidFill>
                    <w14:schemeClr w14:val="tx1"/>
                  </w14:solidFill>
                </w14:textFill>
              </w:rPr>
              <w:t>环境风险事故</w:t>
            </w:r>
          </w:p>
        </w:tc>
      </w:tr>
      <w:tr w14:paraId="0D5BF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3" w:hRule="atLeast"/>
          <w:jc w:val="center"/>
        </w:trPr>
        <w:tc>
          <w:tcPr>
            <w:tcW w:w="685" w:type="dxa"/>
            <w:vAlign w:val="center"/>
          </w:tcPr>
          <w:p w14:paraId="66BCC589">
            <w:pPr>
              <w:jc w:val="center"/>
              <w:rPr>
                <w:rFonts w:ascii="Times New Roman" w:hAnsi="Times New Roman" w:cs="Times New Roman"/>
                <w:bCs/>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Ⅰ</w:t>
            </w:r>
            <w:r>
              <w:rPr>
                <w:rFonts w:ascii="Times New Roman" w:hAnsi="Times New Roman" w:cs="Times New Roman"/>
                <w:bCs/>
                <w:color w:val="000000" w:themeColor="text1"/>
                <w:sz w:val="21"/>
                <w:szCs w:val="21"/>
                <w14:textFill>
                  <w14:solidFill>
                    <w14:schemeClr w14:val="tx1"/>
                  </w14:solidFill>
                </w14:textFill>
              </w:rPr>
              <w:t>级预警</w:t>
            </w:r>
          </w:p>
        </w:tc>
        <w:tc>
          <w:tcPr>
            <w:tcW w:w="2935" w:type="dxa"/>
            <w:vAlign w:val="center"/>
          </w:tcPr>
          <w:p w14:paraId="0340F739">
            <w:pP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 xml:space="preserve">重大污染事件，污染超出公司范围，公司难以控制，须请求外部救援，并立即报告海沧生态环境、应急管理局。 </w:t>
            </w:r>
          </w:p>
        </w:tc>
        <w:tc>
          <w:tcPr>
            <w:tcW w:w="2552" w:type="dxa"/>
            <w:vAlign w:val="center"/>
          </w:tcPr>
          <w:p w14:paraId="765DF978">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①</w:t>
            </w:r>
            <w:r>
              <w:rPr>
                <w:rFonts w:ascii="Times New Roman" w:hAnsi="Times New Roman" w:cs="Times New Roman"/>
                <w:bCs/>
                <w:color w:val="000000" w:themeColor="text1"/>
                <w:sz w:val="21"/>
                <w:szCs w:val="21"/>
                <w14:textFill>
                  <w14:solidFill>
                    <w14:schemeClr w14:val="tx1"/>
                  </w14:solidFill>
                </w14:textFill>
              </w:rPr>
              <w:t>危险化学品连续泄漏，泄漏量较小，还在事故部门可控范围内；</w:t>
            </w:r>
          </w:p>
          <w:p w14:paraId="3C1DFCB3">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②</w:t>
            </w:r>
            <w:r>
              <w:rPr>
                <w:rFonts w:ascii="Times New Roman" w:hAnsi="Times New Roman" w:cs="Times New Roman"/>
                <w:bCs/>
                <w:color w:val="000000" w:themeColor="text1"/>
                <w:sz w:val="21"/>
                <w:szCs w:val="21"/>
                <w14:textFill>
                  <w14:solidFill>
                    <w14:schemeClr w14:val="tx1"/>
                  </w14:solidFill>
                </w14:textFill>
              </w:rPr>
              <w:t>发现消防设施全部无法正常运行。</w:t>
            </w:r>
          </w:p>
        </w:tc>
        <w:tc>
          <w:tcPr>
            <w:tcW w:w="3050" w:type="dxa"/>
            <w:vAlign w:val="center"/>
          </w:tcPr>
          <w:p w14:paraId="428D4CD1">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①</w:t>
            </w:r>
            <w:r>
              <w:rPr>
                <w:rFonts w:ascii="Times New Roman" w:hAnsi="Times New Roman" w:cs="Times New Roman"/>
                <w:bCs/>
                <w:color w:val="000000" w:themeColor="text1"/>
                <w:sz w:val="21"/>
                <w:szCs w:val="21"/>
                <w14:textFill>
                  <w14:solidFill>
                    <w14:schemeClr w14:val="tx1"/>
                  </w14:solidFill>
                </w14:textFill>
              </w:rPr>
              <w:t>危险化学品连续泄漏，泄漏量较小，还在事故部门可控范围内；</w:t>
            </w:r>
          </w:p>
          <w:p w14:paraId="6E663D12">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②</w:t>
            </w:r>
            <w:r>
              <w:rPr>
                <w:rFonts w:ascii="Times New Roman" w:hAnsi="Times New Roman" w:cs="Times New Roman"/>
                <w:bCs/>
                <w:color w:val="000000" w:themeColor="text1"/>
                <w:sz w:val="21"/>
                <w:szCs w:val="21"/>
                <w14:textFill>
                  <w14:solidFill>
                    <w14:schemeClr w14:val="tx1"/>
                  </w14:solidFill>
                </w14:textFill>
              </w:rPr>
              <w:t>发现消防设施全部无法正常运行。</w:t>
            </w:r>
          </w:p>
        </w:tc>
      </w:tr>
      <w:tr w14:paraId="17C13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3" w:hRule="atLeast"/>
          <w:jc w:val="center"/>
        </w:trPr>
        <w:tc>
          <w:tcPr>
            <w:tcW w:w="685" w:type="dxa"/>
            <w:vAlign w:val="center"/>
          </w:tcPr>
          <w:p w14:paraId="7809819A">
            <w:pPr>
              <w:jc w:val="center"/>
              <w:rPr>
                <w:rFonts w:ascii="Times New Roman" w:hAnsi="Times New Roman" w:cs="Times New Roman"/>
                <w:bCs/>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Ⅱ</w:t>
            </w:r>
            <w:r>
              <w:rPr>
                <w:rFonts w:ascii="Times New Roman" w:hAnsi="Times New Roman" w:cs="Times New Roman"/>
                <w:bCs/>
                <w:color w:val="000000" w:themeColor="text1"/>
                <w:sz w:val="21"/>
                <w:szCs w:val="21"/>
                <w14:textFill>
                  <w14:solidFill>
                    <w14:schemeClr w14:val="tx1"/>
                  </w14:solidFill>
                </w14:textFill>
              </w:rPr>
              <w:t>级预警</w:t>
            </w:r>
          </w:p>
        </w:tc>
        <w:tc>
          <w:tcPr>
            <w:tcW w:w="2935" w:type="dxa"/>
            <w:vAlign w:val="center"/>
          </w:tcPr>
          <w:p w14:paraId="3F48CDF2">
            <w:pP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 xml:space="preserve">较大污染事件，需公司各部门统一调 度处置，但能在公司控制内消除的污 染及相应的污染事故。事后 4h 内报告钦州市生态环境局、应急管理局。 </w:t>
            </w:r>
          </w:p>
        </w:tc>
        <w:tc>
          <w:tcPr>
            <w:tcW w:w="2552" w:type="dxa"/>
            <w:vAlign w:val="center"/>
          </w:tcPr>
          <w:p w14:paraId="5C0A1674">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①</w:t>
            </w:r>
            <w:r>
              <w:rPr>
                <w:rFonts w:ascii="Times New Roman" w:hAnsi="Times New Roman" w:cs="Times New Roman"/>
                <w:bCs/>
                <w:color w:val="000000" w:themeColor="text1"/>
                <w:sz w:val="21"/>
                <w:szCs w:val="21"/>
                <w14:textFill>
                  <w14:solidFill>
                    <w14:schemeClr w14:val="tx1"/>
                  </w14:solidFill>
                </w14:textFill>
              </w:rPr>
              <w:t>气体探测仪报警器报警；</w:t>
            </w:r>
          </w:p>
          <w:p w14:paraId="5D76C06E">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②</w:t>
            </w:r>
            <w:r>
              <w:rPr>
                <w:rFonts w:ascii="Times New Roman" w:hAnsi="Times New Roman" w:cs="Times New Roman"/>
                <w:bCs/>
                <w:color w:val="000000" w:themeColor="text1"/>
                <w:sz w:val="21"/>
                <w:szCs w:val="21"/>
                <w14:textFill>
                  <w14:solidFill>
                    <w14:schemeClr w14:val="tx1"/>
                  </w14:solidFill>
                </w14:textFill>
              </w:rPr>
              <w:t>管道、储罐存在跑、冒、滴、漏；</w:t>
            </w:r>
          </w:p>
          <w:p w14:paraId="4CEB4CFC">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③</w:t>
            </w:r>
            <w:r>
              <w:rPr>
                <w:rFonts w:ascii="Times New Roman" w:hAnsi="Times New Roman" w:cs="Times New Roman"/>
                <w:bCs/>
                <w:color w:val="000000" w:themeColor="text1"/>
                <w:sz w:val="21"/>
                <w:szCs w:val="21"/>
                <w14:textFill>
                  <w14:solidFill>
                    <w14:schemeClr w14:val="tx1"/>
                  </w14:solidFill>
                </w14:textFill>
              </w:rPr>
              <w:t>消防设施试运行发现部分设备故障；</w:t>
            </w:r>
          </w:p>
          <w:p w14:paraId="254526A9">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④</w:t>
            </w:r>
            <w:r>
              <w:rPr>
                <w:rFonts w:ascii="Times New Roman" w:hAnsi="Times New Roman" w:cs="Times New Roman"/>
                <w:bCs/>
                <w:color w:val="000000" w:themeColor="text1"/>
                <w:sz w:val="21"/>
                <w:szCs w:val="21"/>
                <w14:textFill>
                  <w14:solidFill>
                    <w14:schemeClr w14:val="tx1"/>
                  </w14:solidFill>
                </w14:textFill>
              </w:rPr>
              <w:t>遇雷雨、强台风、极端高温、汛涝等恶劣气候。</w:t>
            </w:r>
          </w:p>
        </w:tc>
        <w:tc>
          <w:tcPr>
            <w:tcW w:w="3050" w:type="dxa"/>
            <w:vAlign w:val="center"/>
          </w:tcPr>
          <w:p w14:paraId="24AE7718">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①</w:t>
            </w:r>
            <w:r>
              <w:rPr>
                <w:rFonts w:ascii="Times New Roman" w:hAnsi="Times New Roman" w:cs="Times New Roman"/>
                <w:bCs/>
                <w:color w:val="000000" w:themeColor="text1"/>
                <w:sz w:val="21"/>
                <w:szCs w:val="21"/>
                <w14:textFill>
                  <w14:solidFill>
                    <w14:schemeClr w14:val="tx1"/>
                  </w14:solidFill>
                </w14:textFill>
              </w:rPr>
              <w:t>气体探测仪报警器报警；</w:t>
            </w:r>
          </w:p>
          <w:p w14:paraId="2C7F633A">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②</w:t>
            </w:r>
            <w:r>
              <w:rPr>
                <w:rFonts w:ascii="Times New Roman" w:hAnsi="Times New Roman" w:cs="Times New Roman"/>
                <w:bCs/>
                <w:color w:val="000000" w:themeColor="text1"/>
                <w:sz w:val="21"/>
                <w:szCs w:val="21"/>
                <w14:textFill>
                  <w14:solidFill>
                    <w14:schemeClr w14:val="tx1"/>
                  </w14:solidFill>
                </w14:textFill>
              </w:rPr>
              <w:t>管道、储罐存在跑、冒、滴、漏；</w:t>
            </w:r>
          </w:p>
          <w:p w14:paraId="749FBD54">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③</w:t>
            </w:r>
            <w:r>
              <w:rPr>
                <w:rFonts w:ascii="Times New Roman" w:hAnsi="Times New Roman" w:cs="Times New Roman"/>
                <w:bCs/>
                <w:color w:val="000000" w:themeColor="text1"/>
                <w:sz w:val="21"/>
                <w:szCs w:val="21"/>
                <w14:textFill>
                  <w14:solidFill>
                    <w14:schemeClr w14:val="tx1"/>
                  </w14:solidFill>
                </w14:textFill>
              </w:rPr>
              <w:t>消防设施试运行发现部分设备故障；</w:t>
            </w:r>
          </w:p>
          <w:p w14:paraId="0C324295">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④</w:t>
            </w:r>
            <w:r>
              <w:rPr>
                <w:rFonts w:ascii="Times New Roman" w:hAnsi="Times New Roman" w:cs="Times New Roman"/>
                <w:bCs/>
                <w:color w:val="000000" w:themeColor="text1"/>
                <w:sz w:val="21"/>
                <w:szCs w:val="21"/>
                <w14:textFill>
                  <w14:solidFill>
                    <w14:schemeClr w14:val="tx1"/>
                  </w14:solidFill>
                </w14:textFill>
              </w:rPr>
              <w:t>遇雷雨、强台风、极端高温、汛涝等恶劣气候。</w:t>
            </w:r>
          </w:p>
        </w:tc>
      </w:tr>
      <w:tr w14:paraId="1BE65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3" w:hRule="atLeast"/>
          <w:jc w:val="center"/>
        </w:trPr>
        <w:tc>
          <w:tcPr>
            <w:tcW w:w="685" w:type="dxa"/>
            <w:vAlign w:val="center"/>
          </w:tcPr>
          <w:p w14:paraId="39F4D8E6">
            <w:pPr>
              <w:jc w:val="cente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Ⅲ</w:t>
            </w:r>
            <w:r>
              <w:rPr>
                <w:rFonts w:ascii="Times New Roman" w:hAnsi="Times New Roman" w:cs="Times New Roman"/>
                <w:bCs/>
                <w:color w:val="000000" w:themeColor="text1"/>
                <w:sz w:val="21"/>
                <w:szCs w:val="21"/>
                <w14:textFill>
                  <w14:solidFill>
                    <w14:schemeClr w14:val="tx1"/>
                  </w14:solidFill>
                </w14:textFill>
              </w:rPr>
              <w:t>级预警</w:t>
            </w:r>
          </w:p>
        </w:tc>
        <w:tc>
          <w:tcPr>
            <w:tcW w:w="2935" w:type="dxa"/>
            <w:vAlign w:val="center"/>
          </w:tcPr>
          <w:p w14:paraId="059070C5">
            <w:pP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 xml:space="preserve">一般污染事件，事故轻微， 无扩大征兆，无人员伤亡，生产运行未受影响，并且可在事故车间或部门内迅速消除影响的污染事故 </w:t>
            </w:r>
          </w:p>
        </w:tc>
        <w:tc>
          <w:tcPr>
            <w:tcW w:w="2552" w:type="dxa"/>
            <w:vAlign w:val="center"/>
          </w:tcPr>
          <w:p w14:paraId="696CEC92">
            <w:pP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设备、设施运行参数异常、少量泄漏事故，不会对厂区人员及外界环境造成影响。</w:t>
            </w:r>
          </w:p>
        </w:tc>
        <w:tc>
          <w:tcPr>
            <w:tcW w:w="3050" w:type="dxa"/>
            <w:vAlign w:val="center"/>
          </w:tcPr>
          <w:p w14:paraId="5C980F3E">
            <w:pP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设备、设施运行参数异常、少量泄漏事故，不会对厂区人员及外界环境造成影响。</w:t>
            </w:r>
          </w:p>
        </w:tc>
      </w:tr>
    </w:tbl>
    <w:p w14:paraId="1E63E43C">
      <w:pPr>
        <w:pStyle w:val="346"/>
        <w:ind w:firstLine="482" w:firstLineChars="200"/>
        <w:rPr>
          <w:color w:val="000000" w:themeColor="text1"/>
          <w14:textFill>
            <w14:solidFill>
              <w14:schemeClr w14:val="tx1"/>
            </w14:solidFill>
          </w14:textFill>
        </w:rPr>
      </w:pPr>
      <w:bookmarkStart w:id="206" w:name="_Toc144375259"/>
      <w:r>
        <w:rPr>
          <w:color w:val="000000" w:themeColor="text1"/>
          <w14:textFill>
            <w14:solidFill>
              <w14:schemeClr w14:val="tx1"/>
            </w14:solidFill>
          </w14:textFill>
        </w:rPr>
        <w:t>11.4组织机构和职责</w:t>
      </w:r>
      <w:bookmarkEnd w:id="206"/>
    </w:p>
    <w:p w14:paraId="45E2D7FA">
      <w:pPr>
        <w:spacing w:line="360" w:lineRule="auto"/>
        <w:ind w:firstLine="480" w:firstLineChars="200"/>
        <w:rPr>
          <w:color w:val="FF0000"/>
          <w:u w:val="single"/>
        </w:rPr>
      </w:pPr>
      <w:r>
        <w:rPr>
          <w:rFonts w:hint="eastAsia"/>
          <w:color w:val="000000" w:themeColor="text1"/>
          <w14:textFill>
            <w14:solidFill>
              <w14:schemeClr w14:val="tx1"/>
            </w14:solidFill>
          </w14:textFill>
        </w:rPr>
        <w:t>目前广西自贸区逸海港务有限责任公司已经组建应急事故救援小组，本次新建项目建成后，本项目新增员工，主要领导机构依托现有的应急指挥部，应急抢险组由本项目员工组成，其他应急小组依托现有应急小组。企业应急组织体系如下：</w:t>
      </w:r>
    </w:p>
    <w:p w14:paraId="553DF70B">
      <w:pPr>
        <w:pStyle w:val="4003"/>
        <w:rPr>
          <w:color w:val="000000" w:themeColor="text1"/>
          <w14:textFill>
            <w14:solidFill>
              <w14:schemeClr w14:val="tx1"/>
            </w14:solidFill>
          </w14:textFill>
        </w:rPr>
      </w:pPr>
      <w:r>
        <w:rPr>
          <w:color w:val="000000" w:themeColor="text1"/>
          <w14:textFill>
            <w14:solidFill>
              <w14:schemeClr w14:val="tx1"/>
            </w14:solidFill>
          </w14:textFill>
        </w:rPr>
        <w:t>11.4.1应急组织体系</w:t>
      </w:r>
    </w:p>
    <w:p w14:paraId="44EA55E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公司成立应急组织机构，专门负责突发环境事件的应对与处置。应急组织机构由总经理任总指挥长，应急救援小组由公司相关部门及其员工组成，形成以公司应急领导小组为核心，与地方政府（上级）和企业（平级）应急救援小组形成联动机制的三级应急救援管理体系。</w:t>
      </w:r>
    </w:p>
    <w:p w14:paraId="06E7F08A">
      <w:pPr>
        <w:widowControl w:val="0"/>
        <w:autoSpaceDE w:val="0"/>
        <w:autoSpaceDN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公司应急组织体系图：</w:t>
      </w:r>
    </w:p>
    <w:p w14:paraId="54D5F0FE">
      <w:pPr>
        <w:widowControl w:val="0"/>
        <w:autoSpaceDE w:val="0"/>
        <w:autoSpaceDN w:val="0"/>
        <w:spacing w:line="360" w:lineRule="auto"/>
        <w:jc w:val="both"/>
        <w:rPr>
          <w:rFonts w:ascii="Times New Roman" w:hAnsi="Times New Roman" w:cs="Times New Roman"/>
          <w:color w:val="FF0000"/>
        </w:rPr>
      </w:pPr>
      <w:r>
        <w:rPr>
          <w:rFonts w:ascii="Times New Roman" w:hAnsi="Times New Roman" w:cs="Times New Roman"/>
          <w:color w:val="FF0000"/>
        </w:rPr>
        <mc:AlternateContent>
          <mc:Choice Requires="wpc">
            <w:drawing>
              <wp:inline distT="0" distB="0" distL="0" distR="0">
                <wp:extent cx="5562600" cy="2009775"/>
                <wp:effectExtent l="0" t="0" r="0" b="9525"/>
                <wp:docPr id="35" name="画布 3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2" name="文本框 39"/>
                        <wps:cNvSpPr txBox="1"/>
                        <wps:spPr>
                          <a:xfrm>
                            <a:off x="1359252" y="101685"/>
                            <a:ext cx="3010925" cy="2674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9A727F">
                              <w:pPr>
                                <w:spacing w:line="360" w:lineRule="auto"/>
                                <w:contextualSpacing/>
                                <w:jc w:val="center"/>
                                <w:rPr>
                                  <w:bCs/>
                                  <w:sz w:val="21"/>
                                  <w:szCs w:val="21"/>
                                </w:rPr>
                              </w:pPr>
                              <w:r>
                                <w:rPr>
                                  <w:rFonts w:hint="eastAsia"/>
                                  <w:bCs/>
                                  <w:sz w:val="21"/>
                                  <w:szCs w:val="21"/>
                                </w:rPr>
                                <w:t>广西自贸区逸海港务有限责任公司应急指挥部</w:t>
                              </w:r>
                            </w:p>
                            <w:p w14:paraId="6FBF3AB3"/>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2" name="直接箭头连接符 40"/>
                        <wps:cNvCnPr/>
                        <wps:spPr>
                          <a:xfrm>
                            <a:off x="2714625" y="369110"/>
                            <a:ext cx="0" cy="24049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4" name="直接连接符 41"/>
                        <wps:cNvCnPr/>
                        <wps:spPr>
                          <a:xfrm>
                            <a:off x="342900" y="638175"/>
                            <a:ext cx="4648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 name="文本框 39"/>
                        <wps:cNvSpPr txBox="1"/>
                        <wps:spPr>
                          <a:xfrm>
                            <a:off x="199045" y="990599"/>
                            <a:ext cx="353405" cy="1000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5C4B8A">
                              <w:pPr>
                                <w:pStyle w:val="81"/>
                                <w:spacing w:before="0" w:beforeAutospacing="0" w:after="0" w:afterAutospacing="0"/>
                                <w:jc w:val="center"/>
                              </w:pPr>
                              <w:r>
                                <w:rPr>
                                  <w:rFonts w:hint="eastAsia"/>
                                  <w:sz w:val="21"/>
                                  <w:szCs w:val="21"/>
                                </w:rPr>
                                <w:t>疏散保卫组</w:t>
                              </w:r>
                            </w:p>
                            <w:p w14:paraId="0FF07FA9">
                              <w:pPr>
                                <w:pStyle w:val="81"/>
                                <w:spacing w:before="0" w:beforeAutospacing="0" w:after="0" w:afterAutospacing="0"/>
                              </w:pPr>
                              <w:r>
                                <w:rPr>
                                  <w:rFonts w:hint="eastAsia"/>
                                </w:rPr>
                                <w:t> </w:t>
                              </w:r>
                            </w:p>
                          </w:txbxContent>
                        </wps:txbx>
                        <wps:bodyPr rot="0" spcFirstLastPara="0" vert="horz" wrap="square" lIns="91440" tIns="45720" rIns="91440" bIns="45720" numCol="1" spcCol="0" rtlCol="0" fromWordArt="0" anchor="t" anchorCtr="0" forceAA="0" compatLnSpc="1">
                          <a:noAutofit/>
                        </wps:bodyPr>
                      </wps:wsp>
                      <wps:wsp>
                        <wps:cNvPr id="83" name="文本框 39"/>
                        <wps:cNvSpPr txBox="1"/>
                        <wps:spPr>
                          <a:xfrm>
                            <a:off x="2085975" y="1008152"/>
                            <a:ext cx="371476" cy="9825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BBE45D">
                              <w:pPr>
                                <w:pStyle w:val="81"/>
                                <w:spacing w:before="0" w:beforeAutospacing="0" w:after="0" w:afterAutospacing="0"/>
                                <w:jc w:val="center"/>
                              </w:pPr>
                              <w:r>
                                <w:rPr>
                                  <w:rFonts w:hint="eastAsia"/>
                                  <w:sz w:val="21"/>
                                  <w:szCs w:val="21"/>
                                </w:rPr>
                                <w:t>应急监测组</w:t>
                              </w:r>
                            </w:p>
                            <w:p w14:paraId="5B378F7D">
                              <w:pPr>
                                <w:pStyle w:val="81"/>
                                <w:spacing w:before="0" w:beforeAutospacing="0" w:after="0" w:afterAutospacing="0"/>
                              </w:pPr>
                              <w:r>
                                <w:rPr>
                                  <w:rFonts w:hint="eastAsia"/>
                                </w:rPr>
                                <w:t> </w:t>
                              </w:r>
                            </w:p>
                          </w:txbxContent>
                        </wps:txbx>
                        <wps:bodyPr rot="0" spcFirstLastPara="0" vert="horz" wrap="square" lIns="91440" tIns="45720" rIns="91440" bIns="45720" numCol="1" spcCol="0" rtlCol="0" fromWordArt="0" anchor="t" anchorCtr="0" forceAA="0" compatLnSpc="1">
                          <a:noAutofit/>
                        </wps:bodyPr>
                      </wps:wsp>
                      <wps:wsp>
                        <wps:cNvPr id="92" name="文本框 39"/>
                        <wps:cNvSpPr txBox="1"/>
                        <wps:spPr>
                          <a:xfrm>
                            <a:off x="1035444" y="990600"/>
                            <a:ext cx="323808" cy="10001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52C6BE">
                              <w:pPr>
                                <w:pStyle w:val="81"/>
                                <w:spacing w:before="0" w:beforeAutospacing="0" w:after="0" w:afterAutospacing="0"/>
                                <w:jc w:val="center"/>
                              </w:pPr>
                              <w:r>
                                <w:rPr>
                                  <w:rFonts w:hint="eastAsia"/>
                                  <w:sz w:val="21"/>
                                  <w:szCs w:val="21"/>
                                </w:rPr>
                                <w:t>应急抢险组</w:t>
                              </w:r>
                            </w:p>
                            <w:p w14:paraId="082ED7C0">
                              <w:pPr>
                                <w:pStyle w:val="81"/>
                                <w:spacing w:before="0" w:beforeAutospacing="0" w:after="0" w:afterAutospacing="0"/>
                              </w:pPr>
                              <w:r>
                                <w:rPr>
                                  <w:rFonts w:hint="eastAsia"/>
                                </w:rPr>
                                <w:t> </w:t>
                              </w:r>
                            </w:p>
                          </w:txbxContent>
                        </wps:txbx>
                        <wps:bodyPr rot="0" spcFirstLastPara="0" vert="horz" wrap="square" lIns="91440" tIns="45720" rIns="91440" bIns="45720" numCol="1" spcCol="0" rtlCol="0" fromWordArt="0" anchor="t" anchorCtr="0" forceAA="0" compatLnSpc="1">
                          <a:noAutofit/>
                        </wps:bodyPr>
                      </wps:wsp>
                      <wps:wsp>
                        <wps:cNvPr id="101" name="文本框 39"/>
                        <wps:cNvSpPr txBox="1"/>
                        <wps:spPr>
                          <a:xfrm>
                            <a:off x="3009246" y="998626"/>
                            <a:ext cx="353079" cy="99209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E97C54">
                              <w:pPr>
                                <w:pStyle w:val="81"/>
                                <w:spacing w:before="0" w:beforeAutospacing="0" w:after="0" w:afterAutospacing="0"/>
                                <w:jc w:val="center"/>
                              </w:pPr>
                              <w:r>
                                <w:rPr>
                                  <w:rFonts w:hint="eastAsia"/>
                                  <w:sz w:val="21"/>
                                  <w:szCs w:val="21"/>
                                </w:rPr>
                                <w:t>现场处置组</w:t>
                              </w:r>
                            </w:p>
                            <w:p w14:paraId="7C4C4D65">
                              <w:pPr>
                                <w:pStyle w:val="81"/>
                                <w:spacing w:before="0" w:beforeAutospacing="0" w:after="0" w:afterAutospacing="0"/>
                              </w:pPr>
                              <w:r>
                                <w:rPr>
                                  <w:rFonts w:hint="eastAsia"/>
                                </w:rPr>
                                <w:t> </w:t>
                              </w:r>
                            </w:p>
                          </w:txbxContent>
                        </wps:txbx>
                        <wps:bodyPr rot="0" spcFirstLastPara="0" vert="horz" wrap="square" lIns="91440" tIns="45720" rIns="91440" bIns="45720" numCol="1" spcCol="0" rtlCol="0" fromWordArt="0" anchor="t" anchorCtr="0" forceAA="0" compatLnSpc="1">
                          <a:noAutofit/>
                        </wps:bodyPr>
                      </wps:wsp>
                      <wps:wsp>
                        <wps:cNvPr id="102" name="文本框 39"/>
                        <wps:cNvSpPr txBox="1"/>
                        <wps:spPr>
                          <a:xfrm>
                            <a:off x="3988505" y="1008152"/>
                            <a:ext cx="353097" cy="9825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3AD5A1">
                              <w:pPr>
                                <w:pStyle w:val="81"/>
                                <w:spacing w:before="0" w:beforeAutospacing="0" w:after="0" w:afterAutospacing="0"/>
                                <w:jc w:val="center"/>
                              </w:pPr>
                              <w:r>
                                <w:rPr>
                                  <w:rFonts w:hint="eastAsia"/>
                                  <w:sz w:val="21"/>
                                  <w:szCs w:val="21"/>
                                </w:rPr>
                                <w:t>后勤保障组</w:t>
                              </w:r>
                            </w:p>
                            <w:p w14:paraId="3AAA3F23">
                              <w:pPr>
                                <w:pStyle w:val="81"/>
                                <w:spacing w:before="0" w:beforeAutospacing="0" w:after="0" w:afterAutospacing="0"/>
                              </w:pPr>
                              <w:r>
                                <w:rPr>
                                  <w:rFonts w:hint="eastAsia"/>
                                </w:rPr>
                                <w:t> </w:t>
                              </w:r>
                            </w:p>
                          </w:txbxContent>
                        </wps:txbx>
                        <wps:bodyPr rot="0" spcFirstLastPara="0" vert="horz" wrap="square" lIns="91440" tIns="45720" rIns="91440" bIns="45720" numCol="1" spcCol="0" rtlCol="0" fromWordArt="0" anchor="t" anchorCtr="0" forceAA="0" compatLnSpc="1">
                          <a:noAutofit/>
                        </wps:bodyPr>
                      </wps:wsp>
                      <wps:wsp>
                        <wps:cNvPr id="104" name="直接箭头连接符 101"/>
                        <wps:cNvCnPr/>
                        <wps:spPr>
                          <a:xfrm flipH="1">
                            <a:off x="342900" y="638120"/>
                            <a:ext cx="62" cy="35248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5" name="直接箭头连接符 102"/>
                        <wps:cNvCnPr/>
                        <wps:spPr>
                          <a:xfrm>
                            <a:off x="1206893" y="638189"/>
                            <a:ext cx="0" cy="35241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6" name="直接箭头连接符 104"/>
                        <wps:cNvCnPr/>
                        <wps:spPr>
                          <a:xfrm>
                            <a:off x="2247880" y="638189"/>
                            <a:ext cx="0" cy="35241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7" name="直接箭头连接符 105"/>
                        <wps:cNvCnPr/>
                        <wps:spPr>
                          <a:xfrm>
                            <a:off x="3152755" y="646215"/>
                            <a:ext cx="0" cy="352412"/>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8" name="直接箭头连接符 106"/>
                        <wps:cNvCnPr/>
                        <wps:spPr>
                          <a:xfrm>
                            <a:off x="4124288" y="646216"/>
                            <a:ext cx="0" cy="35241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2" name="直接箭头连接符 107"/>
                        <wps:cNvCnPr/>
                        <wps:spPr>
                          <a:xfrm>
                            <a:off x="4991100" y="646216"/>
                            <a:ext cx="0" cy="35241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3" name="文本框 39"/>
                        <wps:cNvSpPr txBox="1"/>
                        <wps:spPr>
                          <a:xfrm>
                            <a:off x="4818996" y="1008152"/>
                            <a:ext cx="353079" cy="9825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B5D394">
                              <w:pPr>
                                <w:pStyle w:val="81"/>
                                <w:spacing w:before="0" w:beforeAutospacing="0" w:after="0" w:afterAutospacing="0"/>
                                <w:jc w:val="center"/>
                              </w:pPr>
                              <w:r>
                                <w:rPr>
                                  <w:rFonts w:hint="eastAsia"/>
                                  <w:sz w:val="21"/>
                                  <w:szCs w:val="21"/>
                                </w:rPr>
                                <w:t>对外联络组</w:t>
                              </w:r>
                            </w:p>
                            <w:p w14:paraId="422D4BAE">
                              <w:pPr>
                                <w:pStyle w:val="81"/>
                                <w:spacing w:before="0" w:beforeAutospacing="0" w:after="0" w:afterAutospacing="0"/>
                              </w:pPr>
                              <w:r>
                                <w:rPr>
                                  <w:rFonts w:hint="eastAsia"/>
                                </w:rPr>
                                <w:t> </w:t>
                              </w:r>
                            </w:p>
                          </w:txbxContent>
                        </wps:txbx>
                        <wps:bodyPr rot="0" spcFirstLastPara="0"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158.25pt;width:438pt;" coordsize="5562600,2009775" editas="canvas" o:gfxdata="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">
                <o:lock v:ext="edit" aspectratio="f"/>
                <v:shape id="_x0000_s1026" o:spid="_x0000_s1026" style="position:absolute;left:0;top:0;height:2009775;width:5562600;" filled="f" stroked="f" coordsize="21600,21600" o:gfxdata="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">
                  <v:fill on="f" focussize="0,0"/>
                  <v:stroke on="f"/>
                  <v:imagedata o:title=""/>
                  <o:lock v:ext="edit" aspectratio="t"/>
                </v:shape>
                <v:shape id="文本框 39" o:spid="_x0000_s1026" o:spt="202" type="#_x0000_t202" style="position:absolute;left:1359252;top:101685;height:267447;width:3010925;" fillcolor="#FFFFFF [3201]" filled="t" stroked="t" coordsize="21600,21600" o:gfxdata="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FjiM7TAAAABQEAAA8AAAAAAAAAAQAgAAAAIgAAAGRycy9kb3ducmV2LnhtbFBLAQIUABQA&#10;AAAIAIdO4kDfqjZjZwIAANIEAAAOAAAAAAAAAAEAIAAAACIBAABkcnMvZTJvRG9jLnhtbFBLBQYA&#10;AAAABgAGAFkBAAD7BQAAAAA=&#10;">
                  <v:fill on="t" focussize="0,0"/>
                  <v:stroke weight="0.5pt" color="#000000 [3204]" joinstyle="round"/>
                  <v:imagedata o:title=""/>
                  <o:lock v:ext="edit" aspectratio="f"/>
                  <v:textbox>
                    <w:txbxContent>
                      <w:p w14:paraId="359A727F">
                        <w:pPr>
                          <w:spacing w:line="360" w:lineRule="auto"/>
                          <w:contextualSpacing/>
                          <w:jc w:val="center"/>
                          <w:rPr>
                            <w:bCs/>
                            <w:sz w:val="21"/>
                            <w:szCs w:val="21"/>
                          </w:rPr>
                        </w:pPr>
                        <w:r>
                          <w:rPr>
                            <w:rFonts w:hint="eastAsia"/>
                            <w:bCs/>
                            <w:sz w:val="21"/>
                            <w:szCs w:val="21"/>
                          </w:rPr>
                          <w:t>广西自贸区逸海港务有限责任公司应急指挥部</w:t>
                        </w:r>
                      </w:p>
                      <w:p w14:paraId="6FBF3AB3"/>
                    </w:txbxContent>
                  </v:textbox>
                </v:shape>
                <v:shape id="直接箭头连接符 40" o:spid="_x0000_s1026" o:spt="32" type="#_x0000_t32" style="position:absolute;left:2714625;top:369110;height:240490;width:0;" filled="f" stroked="t" coordsize="21600,21600" o:gfxdata="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yx0Mz1gAAAAUB&#10;AAAPAAAAAAAAAAEAIAAAACIAAABkcnMvZG93bnJldi54bWxQSwECFAAUAAAACACHTuJA6ZmySx0C&#10;AAASBAAADgAAAAAAAAABACAAAAAlAQAAZHJzL2Uyb0RvYy54bWxQSwUGAAAAAAYABgBZAQAAtAUA&#10;AAAA&#10;">
                  <v:fill on="f" focussize="0,0"/>
                  <v:stroke color="#000000 [3213]" joinstyle="round" endarrow="block"/>
                  <v:imagedata o:title=""/>
                  <o:lock v:ext="edit" aspectratio="f"/>
                </v:shape>
                <v:line id="直接连接符 41" o:spid="_x0000_s1026" o:spt="20" style="position:absolute;left:342900;top:638175;height:0;width:4648200;" filled="f" stroked="t" coordsize="21600,21600" o:gfxdata="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LvfminUAAAA&#10;BQEAAA8AAAAAAAAAAQAgAAAAIgAAAGRycy9kb3ducmV2LnhtbFBLAQIUABQAAAAIAIdO4kDksO73&#10;6AEAAKYDAAAOAAAAAAAAAAEAIAAAACMBAABkcnMvZTJvRG9jLnhtbFBLBQYAAAAABgAGAFkBAAB9&#10;BQAAAAA=&#10;">
                  <v:fill on="f" focussize="0,0"/>
                  <v:stroke color="#000000 [3213]" joinstyle="round"/>
                  <v:imagedata o:title=""/>
                  <o:lock v:ext="edit" aspectratio="f"/>
                </v:line>
                <v:shape id="文本框 39" o:spid="_x0000_s1026" o:spt="202" type="#_x0000_t202" style="position:absolute;left:199045;top:990599;height:1000125;width:353405;" fillcolor="#FFFFFF [3201]" filled="t" stroked="t" coordsize="21600,21600" o:gfxdata="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WOIztMAAAAFAQAA&#10;DwAAAAAAAAABACAAAAAiAAAAZHJzL2Rvd25yZXYueG1sUEsBAhQAFAAAAAgAh07iQEYuX0lXAgAA&#10;oQQAAA4AAAAAAAAAAQAgAAAAIgEAAGRycy9lMm9Eb2MueG1sUEsFBgAAAAAGAAYAWQEAAOsFAAAA&#10;AA==&#10;">
                  <v:fill on="t" focussize="0,0"/>
                  <v:stroke weight="0.5pt" color="#000000 [3204]" joinstyle="round"/>
                  <v:imagedata o:title=""/>
                  <o:lock v:ext="edit" aspectratio="f"/>
                  <v:textbox>
                    <w:txbxContent>
                      <w:p w14:paraId="3F5C4B8A">
                        <w:pPr>
                          <w:pStyle w:val="81"/>
                          <w:spacing w:before="0" w:beforeAutospacing="0" w:after="0" w:afterAutospacing="0"/>
                          <w:jc w:val="center"/>
                        </w:pPr>
                        <w:r>
                          <w:rPr>
                            <w:rFonts w:hint="eastAsia"/>
                            <w:sz w:val="21"/>
                            <w:szCs w:val="21"/>
                          </w:rPr>
                          <w:t>疏散保卫组</w:t>
                        </w:r>
                      </w:p>
                      <w:p w14:paraId="0FF07FA9">
                        <w:pPr>
                          <w:pStyle w:val="81"/>
                          <w:spacing w:before="0" w:beforeAutospacing="0" w:after="0" w:afterAutospacing="0"/>
                        </w:pPr>
                        <w:r>
                          <w:rPr>
                            <w:rFonts w:hint="eastAsia"/>
                          </w:rPr>
                          <w:t> </w:t>
                        </w:r>
                      </w:p>
                    </w:txbxContent>
                  </v:textbox>
                </v:shape>
                <v:shape id="文本框 39" o:spid="_x0000_s1026" o:spt="202" type="#_x0000_t202" style="position:absolute;left:2085975;top:1008152;height:982591;width:371476;" fillcolor="#FFFFFF [3201]" filled="t" stroked="t" coordsize="21600,21600" o:gfxdata="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xY4jO0wAA&#10;AAUBAAAPAAAAAAAAAAEAIAAAACIAAABkcnMvZG93bnJldi54bWxQSwECFAAUAAAACACHTuJAl5HV&#10;7VwCAACiBAAADgAAAAAAAAABACAAAAAiAQAAZHJzL2Uyb0RvYy54bWxQSwUGAAAAAAYABgBZAQAA&#10;8AUAAAAA&#10;">
                  <v:fill on="t" focussize="0,0"/>
                  <v:stroke weight="0.5pt" color="#000000 [3204]" joinstyle="round"/>
                  <v:imagedata o:title=""/>
                  <o:lock v:ext="edit" aspectratio="f"/>
                  <v:textbox>
                    <w:txbxContent>
                      <w:p w14:paraId="38BBE45D">
                        <w:pPr>
                          <w:pStyle w:val="81"/>
                          <w:spacing w:before="0" w:beforeAutospacing="0" w:after="0" w:afterAutospacing="0"/>
                          <w:jc w:val="center"/>
                        </w:pPr>
                        <w:r>
                          <w:rPr>
                            <w:rFonts w:hint="eastAsia"/>
                            <w:sz w:val="21"/>
                            <w:szCs w:val="21"/>
                          </w:rPr>
                          <w:t>应急监测组</w:t>
                        </w:r>
                      </w:p>
                      <w:p w14:paraId="5B378F7D">
                        <w:pPr>
                          <w:pStyle w:val="81"/>
                          <w:spacing w:before="0" w:beforeAutospacing="0" w:after="0" w:afterAutospacing="0"/>
                        </w:pPr>
                        <w:r>
                          <w:rPr>
                            <w:rFonts w:hint="eastAsia"/>
                          </w:rPr>
                          <w:t> </w:t>
                        </w:r>
                      </w:p>
                    </w:txbxContent>
                  </v:textbox>
                </v:shape>
                <v:shape id="文本框 39" o:spid="_x0000_s1026" o:spt="202" type="#_x0000_t202" style="position:absolute;left:1035444;top:990600;height:1000143;width:323808;" fillcolor="#FFFFFF [3201]" filled="t" stroked="t" coordsize="21600,21600" o:gfxdata="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xY4jO0wAAAAUB&#10;AAAPAAAAAAAAAAEAIAAAACIAAABkcnMvZG93bnJldi54bWxQSwECFAAUAAAACACHTuJANWZMuVkC&#10;AACiBAAADgAAAAAAAAABACAAAAAiAQAAZHJzL2Uyb0RvYy54bWxQSwUGAAAAAAYABgBZAQAA7QUA&#10;AAAA&#10;">
                  <v:fill on="t" focussize="0,0"/>
                  <v:stroke weight="0.5pt" color="#000000 [3204]" joinstyle="round"/>
                  <v:imagedata o:title=""/>
                  <o:lock v:ext="edit" aspectratio="f"/>
                  <v:textbox>
                    <w:txbxContent>
                      <w:p w14:paraId="4C52C6BE">
                        <w:pPr>
                          <w:pStyle w:val="81"/>
                          <w:spacing w:before="0" w:beforeAutospacing="0" w:after="0" w:afterAutospacing="0"/>
                          <w:jc w:val="center"/>
                        </w:pPr>
                        <w:r>
                          <w:rPr>
                            <w:rFonts w:hint="eastAsia"/>
                            <w:sz w:val="21"/>
                            <w:szCs w:val="21"/>
                          </w:rPr>
                          <w:t>应急抢险组</w:t>
                        </w:r>
                      </w:p>
                      <w:p w14:paraId="082ED7C0">
                        <w:pPr>
                          <w:pStyle w:val="81"/>
                          <w:spacing w:before="0" w:beforeAutospacing="0" w:after="0" w:afterAutospacing="0"/>
                        </w:pPr>
                        <w:r>
                          <w:rPr>
                            <w:rFonts w:hint="eastAsia"/>
                          </w:rPr>
                          <w:t> </w:t>
                        </w:r>
                      </w:p>
                    </w:txbxContent>
                  </v:textbox>
                </v:shape>
                <v:shape id="文本框 39" o:spid="_x0000_s1026" o:spt="202" type="#_x0000_t202" style="position:absolute;left:3009246;top:998626;height:992097;width:353079;" fillcolor="#FFFFFF [3201]" filled="t" stroked="t" coordsize="21600,21600" o:gfxdata="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WOIztMAAAAFAQAA&#10;DwAAAAAAAAABACAAAAAiAAAAZHJzL2Rvd25yZXYueG1sUEsBAhQAFAAAAAgAh07iQH59MrtXAgAA&#10;ogQAAA4AAAAAAAAAAQAgAAAAIgEAAGRycy9lMm9Eb2MueG1sUEsFBgAAAAAGAAYAWQEAAOsFAAAA&#10;AA==&#10;">
                  <v:fill on="t" focussize="0,0"/>
                  <v:stroke weight="0.5pt" color="#000000 [3204]" joinstyle="round"/>
                  <v:imagedata o:title=""/>
                  <o:lock v:ext="edit" aspectratio="f"/>
                  <v:textbox>
                    <w:txbxContent>
                      <w:p w14:paraId="38E97C54">
                        <w:pPr>
                          <w:pStyle w:val="81"/>
                          <w:spacing w:before="0" w:beforeAutospacing="0" w:after="0" w:afterAutospacing="0"/>
                          <w:jc w:val="center"/>
                        </w:pPr>
                        <w:r>
                          <w:rPr>
                            <w:rFonts w:hint="eastAsia"/>
                            <w:sz w:val="21"/>
                            <w:szCs w:val="21"/>
                          </w:rPr>
                          <w:t>现场处置组</w:t>
                        </w:r>
                      </w:p>
                      <w:p w14:paraId="7C4C4D65">
                        <w:pPr>
                          <w:pStyle w:val="81"/>
                          <w:spacing w:before="0" w:beforeAutospacing="0" w:after="0" w:afterAutospacing="0"/>
                        </w:pPr>
                        <w:r>
                          <w:rPr>
                            <w:rFonts w:hint="eastAsia"/>
                          </w:rPr>
                          <w:t> </w:t>
                        </w:r>
                      </w:p>
                    </w:txbxContent>
                  </v:textbox>
                </v:shape>
                <v:shape id="文本框 39" o:spid="_x0000_s1026" o:spt="202" type="#_x0000_t202" style="position:absolute;left:3988505;top:1008152;height:982572;width:353097;" fillcolor="#FFFFFF [3201]" filled="t" stroked="t" coordsize="21600,21600" o:gfxdata="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HFjiM7TAAAA&#10;BQEAAA8AAAAAAAAAAQAgAAAAIgAAAGRycy9kb3ducmV2LnhtbFBLAQIUABQAAAAIAIdO4kBsBvT0&#10;WwIAAKMEAAAOAAAAAAAAAAEAIAAAACIBAABkcnMvZTJvRG9jLnhtbFBLBQYAAAAABgAGAFkBAADv&#10;BQAAAAA=&#10;">
                  <v:fill on="t" focussize="0,0"/>
                  <v:stroke weight="0.5pt" color="#000000 [3204]" joinstyle="round"/>
                  <v:imagedata o:title=""/>
                  <o:lock v:ext="edit" aspectratio="f"/>
                  <v:textbox>
                    <w:txbxContent>
                      <w:p w14:paraId="7F3AD5A1">
                        <w:pPr>
                          <w:pStyle w:val="81"/>
                          <w:spacing w:before="0" w:beforeAutospacing="0" w:after="0" w:afterAutospacing="0"/>
                          <w:jc w:val="center"/>
                        </w:pPr>
                        <w:r>
                          <w:rPr>
                            <w:rFonts w:hint="eastAsia"/>
                            <w:sz w:val="21"/>
                            <w:szCs w:val="21"/>
                          </w:rPr>
                          <w:t>后勤保障组</w:t>
                        </w:r>
                      </w:p>
                      <w:p w14:paraId="3AAA3F23">
                        <w:pPr>
                          <w:pStyle w:val="81"/>
                          <w:spacing w:before="0" w:beforeAutospacing="0" w:after="0" w:afterAutospacing="0"/>
                        </w:pPr>
                        <w:r>
                          <w:rPr>
                            <w:rFonts w:hint="eastAsia"/>
                          </w:rPr>
                          <w:t> </w:t>
                        </w:r>
                      </w:p>
                    </w:txbxContent>
                  </v:textbox>
                </v:shape>
                <v:shape id="直接箭头连接符 101" o:spid="_x0000_s1026" o:spt="32" type="#_x0000_t32" style="position:absolute;left:342900;top:638120;flip:x;height:352480;width:62;" filled="f" stroked="t" coordsize="21600,21600" o:gfxdata="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ltrTdYAAAAFAQAADwAAAAAAAAABACAAAAAiAAAAZHJzL2Rvd25yZXYueG1sUEsBAhQAFAAAAAgA&#10;h07iQC0CjDknAgAAHgQAAA4AAAAAAAAAAQAgAAAAJQEAAGRycy9lMm9Eb2MueG1sUEsFBgAAAAAG&#10;AAYAWQEAAL4FAAAAAA==&#10;">
                  <v:fill on="f" focussize="0,0"/>
                  <v:stroke color="#000000 [3213]" joinstyle="round" endarrow="block"/>
                  <v:imagedata o:title=""/>
                  <o:lock v:ext="edit" aspectratio="f"/>
                </v:shape>
                <v:shape id="直接箭头连接符 102" o:spid="_x0000_s1026" o:spt="32" type="#_x0000_t32" style="position:absolute;left:1206893;top:638189;height:352411;width:0;" filled="f" stroked="t" coordsize="21600,21600" o:gfxdata="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csdDM9YAAAAF&#10;AQAADwAAAAAAAAABACAAAAAiAAAAZHJzL2Rvd25yZXYueG1sUEsBAhQAFAAAAAgAh07iQJ3sPj8e&#10;AgAAFAQAAA4AAAAAAAAAAQAgAAAAJQEAAGRycy9lMm9Eb2MueG1sUEsFBgAAAAAGAAYAWQEAALUF&#10;AAAAAA==&#10;">
                  <v:fill on="f" focussize="0,0"/>
                  <v:stroke color="#000000 [3213]" joinstyle="round" endarrow="block"/>
                  <v:imagedata o:title=""/>
                  <o:lock v:ext="edit" aspectratio="f"/>
                </v:shape>
                <v:shape id="直接箭头连接符 104" o:spid="_x0000_s1026" o:spt="32" type="#_x0000_t32" style="position:absolute;left:2247880;top:638189;height:352411;width:0;" filled="f" stroked="t" coordsize="21600,21600" o:gfxdata="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LHQzPWAAAA&#10;BQEAAA8AAAAAAAAAAQAgAAAAIgAAAGRycy9kb3ducmV2LnhtbFBLAQIUABQAAAAIAIdO4kAZwmB7&#10;HwIAABQEAAAOAAAAAAAAAAEAIAAAACUBAABkcnMvZTJvRG9jLnhtbFBLBQYAAAAABgAGAFkBAAC2&#10;BQAAAAA=&#10;">
                  <v:fill on="f" focussize="0,0"/>
                  <v:stroke color="#000000 [3213]" joinstyle="round" endarrow="block"/>
                  <v:imagedata o:title=""/>
                  <o:lock v:ext="edit" aspectratio="f"/>
                </v:shape>
                <v:shape id="直接箭头连接符 105" o:spid="_x0000_s1026" o:spt="32" type="#_x0000_t32" style="position:absolute;left:3152755;top:646215;height:352412;width:0;" filled="f" stroked="t" coordsize="21600,21600" o:gfxdata="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yx0Mz1gAA&#10;AAUBAAAPAAAAAAAAAAEAIAAAACIAAABkcnMvZG93bnJldi54bWxQSwECFAAUAAAACACHTuJAg8Sm&#10;VSACAAAUBAAADgAAAAAAAAABACAAAAAlAQAAZHJzL2Uyb0RvYy54bWxQSwUGAAAAAAYABgBZAQAA&#10;twUAAAAA&#10;">
                  <v:fill on="f" focussize="0,0"/>
                  <v:stroke color="#000000 [3213]" joinstyle="round" endarrow="block"/>
                  <v:imagedata o:title=""/>
                  <o:lock v:ext="edit" aspectratio="f"/>
                </v:shape>
                <v:shape id="直接箭头连接符 106" o:spid="_x0000_s1026" o:spt="32" type="#_x0000_t32" style="position:absolute;left:4124288;top:646216;height:352411;width:0;" filled="f" stroked="t" coordsize="21600,21600" o:gfxdata="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LHQzPWAAAA&#10;BQEAAA8AAAAAAAAAAQAgAAAAIgAAAGRycy9kb3ducmV2LnhtbFBLAQIUABQAAAAIAIdO4kAV6UOD&#10;HwIAABQEAAAOAAAAAAAAAAEAIAAAACUBAABkcnMvZTJvRG9jLnhtbFBLBQYAAAAABgAGAFkBAAC2&#10;BQAAAAA=&#10;">
                  <v:fill on="f" focussize="0,0"/>
                  <v:stroke color="#000000 [3213]" joinstyle="round" endarrow="block"/>
                  <v:imagedata o:title=""/>
                  <o:lock v:ext="edit" aspectratio="f"/>
                </v:shape>
                <v:shape id="直接箭头连接符 107" o:spid="_x0000_s1026" o:spt="32" type="#_x0000_t32" style="position:absolute;left:4991100;top:646216;height:352411;width:0;" filled="f" stroked="t" coordsize="21600,21600" o:gfxdata="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csdDM9YAAAAF&#10;AQAADwAAAAAAAAABACAAAAAiAAAAZHJzL2Rvd25yZXYueG1sUEsBAhQAFAAAAAgAh07iQJS1JiMe&#10;AgAAFAQAAA4AAAAAAAAAAQAgAAAAJQEAAGRycy9lMm9Eb2MueG1sUEsFBgAAAAAGAAYAWQEAALUF&#10;AAAAAA==&#10;">
                  <v:fill on="f" focussize="0,0"/>
                  <v:stroke color="#000000 [3213]" joinstyle="round" endarrow="block"/>
                  <v:imagedata o:title=""/>
                  <o:lock v:ext="edit" aspectratio="f"/>
                </v:shape>
                <v:shape id="文本框 39" o:spid="_x0000_s1026" o:spt="202" type="#_x0000_t202" style="position:absolute;left:4818996;top:1008152;height:982572;width:353079;" fillcolor="#FFFFFF [3201]" filled="t" stroked="t" coordsize="21600,21600" o:gfxdata="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xY4jO0wAA&#10;AAUBAAAPAAAAAAAAAAEAIAAAACIAAABkcnMvZG93bnJldi54bWxQSwECFAAUAAAACACHTuJApJRY&#10;61wCAACjBAAADgAAAAAAAAABACAAAAAiAQAAZHJzL2Uyb0RvYy54bWxQSwUGAAAAAAYABgBZAQAA&#10;8AUAAAAA&#10;">
                  <v:fill on="t" focussize="0,0"/>
                  <v:stroke weight="0.5pt" color="#000000 [3204]" joinstyle="round"/>
                  <v:imagedata o:title=""/>
                  <o:lock v:ext="edit" aspectratio="f"/>
                  <v:textbox>
                    <w:txbxContent>
                      <w:p w14:paraId="74B5D394">
                        <w:pPr>
                          <w:pStyle w:val="81"/>
                          <w:spacing w:before="0" w:beforeAutospacing="0" w:after="0" w:afterAutospacing="0"/>
                          <w:jc w:val="center"/>
                        </w:pPr>
                        <w:r>
                          <w:rPr>
                            <w:rFonts w:hint="eastAsia"/>
                            <w:sz w:val="21"/>
                            <w:szCs w:val="21"/>
                          </w:rPr>
                          <w:t>对外联络组</w:t>
                        </w:r>
                      </w:p>
                      <w:p w14:paraId="422D4BAE">
                        <w:pPr>
                          <w:pStyle w:val="81"/>
                          <w:spacing w:before="0" w:beforeAutospacing="0" w:after="0" w:afterAutospacing="0"/>
                        </w:pPr>
                        <w:r>
                          <w:rPr>
                            <w:rFonts w:hint="eastAsia"/>
                          </w:rPr>
                          <w:t> </w:t>
                        </w:r>
                      </w:p>
                    </w:txbxContent>
                  </v:textbox>
                </v:shape>
                <w10:wrap type="none"/>
                <w10:anchorlock/>
              </v:group>
            </w:pict>
          </mc:Fallback>
        </mc:AlternateContent>
      </w:r>
    </w:p>
    <w:p w14:paraId="5458FB07">
      <w:pPr>
        <w:pStyle w:val="168"/>
        <w:spacing w:after="0" w:line="36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图11-1公司应急组织体系图</w:t>
      </w:r>
    </w:p>
    <w:p w14:paraId="27E42C31">
      <w:pPr>
        <w:pStyle w:val="4003"/>
        <w:rPr>
          <w:color w:val="000000" w:themeColor="text1"/>
          <w14:textFill>
            <w14:solidFill>
              <w14:schemeClr w14:val="tx1"/>
            </w14:solidFill>
          </w14:textFill>
        </w:rPr>
      </w:pPr>
      <w:r>
        <w:rPr>
          <w:color w:val="000000" w:themeColor="text1"/>
          <w14:textFill>
            <w14:solidFill>
              <w14:schemeClr w14:val="tx1"/>
            </w14:solidFill>
          </w14:textFill>
        </w:rPr>
        <w:t>11.4.2应急组织机构职责</w:t>
      </w:r>
    </w:p>
    <w:p w14:paraId="4C76006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在发生事故时，各应急小组按各自职责分工开展应急救援工作。通过平时的演习、训练，完善事故应急预案。各应急主要职责职下：</w:t>
      </w:r>
    </w:p>
    <w:p w14:paraId="2C4549E3">
      <w:pPr>
        <w:widowControl w:val="0"/>
        <w:autoSpaceDE w:val="0"/>
        <w:autoSpaceDN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（1）指挥部</w:t>
      </w:r>
    </w:p>
    <w:p w14:paraId="20B795C4">
      <w:pPr>
        <w:widowControl w:val="0"/>
        <w:autoSpaceDE w:val="0"/>
        <w:autoSpaceDN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应急领导小组由公司管理层组成，是生产安全事故应急管理工作的领导机构，担任应急指挥部的总指挥和副总指挥。指挥部的职责如下：</w:t>
      </w:r>
    </w:p>
    <w:p w14:paraId="784B3FF0">
      <w:pPr>
        <w:pStyle w:val="200"/>
        <w:numPr>
          <w:ilvl w:val="0"/>
          <w:numId w:val="4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组织编制、修改（订）、审核和批准应急预案；</w:t>
      </w:r>
    </w:p>
    <w:p w14:paraId="5CF5247D">
      <w:pPr>
        <w:pStyle w:val="200"/>
        <w:numPr>
          <w:ilvl w:val="0"/>
          <w:numId w:val="4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对应急管理重大事项进行决策；</w:t>
      </w:r>
    </w:p>
    <w:p w14:paraId="622F6C9A">
      <w:pPr>
        <w:pStyle w:val="200"/>
        <w:numPr>
          <w:ilvl w:val="0"/>
          <w:numId w:val="4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检查、督促和全面管理企业日常应急准备工作；</w:t>
      </w:r>
    </w:p>
    <w:p w14:paraId="76480655">
      <w:pPr>
        <w:pStyle w:val="200"/>
        <w:numPr>
          <w:ilvl w:val="0"/>
          <w:numId w:val="4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为应急救援队伍建设、救援装备配备等提供资金保障；</w:t>
      </w:r>
    </w:p>
    <w:p w14:paraId="15840A88">
      <w:pPr>
        <w:pStyle w:val="200"/>
        <w:numPr>
          <w:ilvl w:val="0"/>
          <w:numId w:val="4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分析紧急状态，判断是否可能或已经发生的重大事故，确定事故应急救援级别（企业应急、社会应急）和相应报警级别，负责重大事故信息的上报工作。</w:t>
      </w:r>
    </w:p>
    <w:p w14:paraId="6CCACA46">
      <w:pPr>
        <w:pStyle w:val="200"/>
        <w:numPr>
          <w:ilvl w:val="0"/>
          <w:numId w:val="4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组织全面演习，并对企业应急能力进行定期评审</w:t>
      </w:r>
    </w:p>
    <w:p w14:paraId="47506B05">
      <w:pPr>
        <w:pStyle w:val="200"/>
        <w:numPr>
          <w:ilvl w:val="0"/>
          <w:numId w:val="4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发布或解除应急救援信号，批准本预案的启动、升级与终止。</w:t>
      </w:r>
    </w:p>
    <w:p w14:paraId="7C24CE6D">
      <w:pPr>
        <w:widowControl w:val="0"/>
        <w:autoSpaceDE w:val="0"/>
        <w:autoSpaceDN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（2）总指挥</w:t>
      </w:r>
    </w:p>
    <w:p w14:paraId="4B7260DA">
      <w:pPr>
        <w:pStyle w:val="200"/>
        <w:numPr>
          <w:ilvl w:val="0"/>
          <w:numId w:val="42"/>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组织编制、修改（订）、审核和批准应急预案；</w:t>
      </w:r>
    </w:p>
    <w:p w14:paraId="60B81BEB">
      <w:pPr>
        <w:pStyle w:val="200"/>
        <w:numPr>
          <w:ilvl w:val="0"/>
          <w:numId w:val="42"/>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领导公司级安全生产事故应急响应和处理工作，担任公司级安全生产应急管理的最高指挥；</w:t>
      </w:r>
    </w:p>
    <w:p w14:paraId="356EC7B0">
      <w:pPr>
        <w:pStyle w:val="200"/>
        <w:numPr>
          <w:ilvl w:val="0"/>
          <w:numId w:val="42"/>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发布或解除应急救援信号，批准本预案的启动、升级与终止；</w:t>
      </w:r>
    </w:p>
    <w:p w14:paraId="665BF570">
      <w:pPr>
        <w:pStyle w:val="200"/>
        <w:numPr>
          <w:ilvl w:val="0"/>
          <w:numId w:val="42"/>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批准重大应急决策；</w:t>
      </w:r>
    </w:p>
    <w:p w14:paraId="34A7D769">
      <w:pPr>
        <w:pStyle w:val="200"/>
        <w:numPr>
          <w:ilvl w:val="0"/>
          <w:numId w:val="42"/>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带领或指派现场工作组，赶赴现场处置突发事件；</w:t>
      </w:r>
    </w:p>
    <w:p w14:paraId="41946588">
      <w:pPr>
        <w:pStyle w:val="200"/>
        <w:numPr>
          <w:ilvl w:val="0"/>
          <w:numId w:val="42"/>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决定向政府有关部门报告，审定并签发报告；</w:t>
      </w:r>
    </w:p>
    <w:p w14:paraId="0EA6E818">
      <w:pPr>
        <w:pStyle w:val="200"/>
        <w:numPr>
          <w:ilvl w:val="0"/>
          <w:numId w:val="42"/>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审定应急事件上报材料，授权相关人员协助政府有关部门对外新闻发布工作；</w:t>
      </w:r>
    </w:p>
    <w:p w14:paraId="2CEC7FE8">
      <w:pPr>
        <w:pStyle w:val="200"/>
        <w:numPr>
          <w:ilvl w:val="0"/>
          <w:numId w:val="42"/>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检查、督促和全面管理企业日常应急准备工作。</w:t>
      </w:r>
    </w:p>
    <w:p w14:paraId="216B4343">
      <w:pPr>
        <w:widowControl w:val="0"/>
        <w:autoSpaceDE w:val="0"/>
        <w:autoSpaceDN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（3）副总指挥</w:t>
      </w:r>
    </w:p>
    <w:p w14:paraId="2198E7E1">
      <w:pPr>
        <w:pStyle w:val="200"/>
        <w:widowControl w:val="0"/>
        <w:numPr>
          <w:ilvl w:val="0"/>
          <w:numId w:val="43"/>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协助应急领导小组组长指挥安全生产事故应急工作；</w:t>
      </w:r>
    </w:p>
    <w:p w14:paraId="3437149C">
      <w:pPr>
        <w:pStyle w:val="200"/>
        <w:widowControl w:val="0"/>
        <w:numPr>
          <w:ilvl w:val="0"/>
          <w:numId w:val="43"/>
        </w:numPr>
        <w:autoSpaceDE w:val="0"/>
        <w:autoSpaceDN w:val="0"/>
        <w:spacing w:line="360" w:lineRule="auto"/>
        <w:ind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根据应急领导小组组长的授权，代行组长职责，实施应急指挥工作；</w:t>
      </w:r>
    </w:p>
    <w:p w14:paraId="59E844C2">
      <w:pPr>
        <w:pStyle w:val="200"/>
        <w:widowControl w:val="0"/>
        <w:numPr>
          <w:ilvl w:val="0"/>
          <w:numId w:val="43"/>
        </w:numPr>
        <w:autoSpaceDE w:val="0"/>
        <w:autoSpaceDN w:val="0"/>
        <w:spacing w:line="360" w:lineRule="auto"/>
        <w:ind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负责具体现场指挥、事故报警、事故抢险、事故处置等工作；</w:t>
      </w:r>
    </w:p>
    <w:p w14:paraId="37845C86">
      <w:pPr>
        <w:pStyle w:val="200"/>
        <w:widowControl w:val="0"/>
        <w:numPr>
          <w:ilvl w:val="0"/>
          <w:numId w:val="43"/>
        </w:numPr>
        <w:autoSpaceDE w:val="0"/>
        <w:autoSpaceDN w:val="0"/>
        <w:spacing w:line="360" w:lineRule="auto"/>
        <w:ind w:firstLineChars="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负责公司日常应急管理工作。</w:t>
      </w:r>
    </w:p>
    <w:p w14:paraId="11286E8A">
      <w:pPr>
        <w:widowControl w:val="0"/>
        <w:autoSpaceDE w:val="0"/>
        <w:autoSpaceDN w:val="0"/>
        <w:spacing w:line="360" w:lineRule="auto"/>
        <w:ind w:firstLine="482"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（4）疏散保卫组</w:t>
      </w:r>
    </w:p>
    <w:p w14:paraId="767C1726">
      <w:pPr>
        <w:pStyle w:val="200"/>
        <w:widowControl w:val="0"/>
        <w:numPr>
          <w:ilvl w:val="0"/>
          <w:numId w:val="44"/>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负责交通管制和现场警戒，控制无关人员进入事故现场和事故危险区域，维持现场秩序；</w:t>
      </w:r>
    </w:p>
    <w:p w14:paraId="064A9F94">
      <w:pPr>
        <w:pStyle w:val="200"/>
        <w:widowControl w:val="0"/>
        <w:numPr>
          <w:ilvl w:val="0"/>
          <w:numId w:val="44"/>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负责事故可能危及的地区内的职工、涉及群众疏散和撤离；</w:t>
      </w:r>
    </w:p>
    <w:p w14:paraId="6A137471">
      <w:pPr>
        <w:pStyle w:val="200"/>
        <w:widowControl w:val="0"/>
        <w:numPr>
          <w:ilvl w:val="0"/>
          <w:numId w:val="44"/>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负责火灾扑救、预防火灾扩大；</w:t>
      </w:r>
    </w:p>
    <w:p w14:paraId="5F0D8C68">
      <w:pPr>
        <w:pStyle w:val="200"/>
        <w:widowControl w:val="0"/>
        <w:numPr>
          <w:ilvl w:val="0"/>
          <w:numId w:val="44"/>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负责现场受火灾威胁的储油罐、储气罐、生产装置等重要设施冷却、降温消防掩护，保护事故现场重要设施消防安全；</w:t>
      </w:r>
    </w:p>
    <w:p w14:paraId="6C708CEA">
      <w:pPr>
        <w:pStyle w:val="200"/>
        <w:widowControl w:val="0"/>
        <w:numPr>
          <w:ilvl w:val="0"/>
          <w:numId w:val="44"/>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协助配合前来救援的其他消防救援力量进行应急救援抢险工作。</w:t>
      </w:r>
    </w:p>
    <w:p w14:paraId="59041FCE">
      <w:pPr>
        <w:widowControl w:val="0"/>
        <w:autoSpaceDE w:val="0"/>
        <w:autoSpaceDN w:val="0"/>
        <w:spacing w:line="360" w:lineRule="auto"/>
        <w:ind w:firstLine="482"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（5）应急抢险组</w:t>
      </w:r>
    </w:p>
    <w:p w14:paraId="6E6B7329">
      <w:pPr>
        <w:pStyle w:val="200"/>
        <w:widowControl w:val="0"/>
        <w:numPr>
          <w:ilvl w:val="0"/>
          <w:numId w:val="45"/>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发生事故后，及时报告调度和相关主管部门，做到不瞒报、不漏报、不延报；</w:t>
      </w:r>
    </w:p>
    <w:p w14:paraId="7E001BAF">
      <w:pPr>
        <w:pStyle w:val="200"/>
        <w:widowControl w:val="0"/>
        <w:numPr>
          <w:ilvl w:val="0"/>
          <w:numId w:val="45"/>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按照操作规程事故处理预案采取相应工艺技术措施或临时措施切断物料、控制泄漏源，防止事故进一步扩大；</w:t>
      </w:r>
    </w:p>
    <w:p w14:paraId="11941E2F">
      <w:pPr>
        <w:pStyle w:val="200"/>
        <w:widowControl w:val="0"/>
        <w:numPr>
          <w:ilvl w:val="0"/>
          <w:numId w:val="45"/>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掌握基本消防安全常识和技能，迅速扑灭初期火灾；</w:t>
      </w:r>
    </w:p>
    <w:p w14:paraId="7DC5E99B">
      <w:pPr>
        <w:pStyle w:val="200"/>
        <w:widowControl w:val="0"/>
        <w:numPr>
          <w:ilvl w:val="0"/>
          <w:numId w:val="45"/>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负责现场火情侦察，查清水源位置、燃烧物质性质、范围及火灾类型，并及时向现场指挥部、公司指挥部报告；</w:t>
      </w:r>
    </w:p>
    <w:p w14:paraId="5B5EA86B">
      <w:pPr>
        <w:pStyle w:val="200"/>
        <w:widowControl w:val="0"/>
        <w:numPr>
          <w:ilvl w:val="0"/>
          <w:numId w:val="45"/>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负责协助消防救援力量进行战斗部署，引导外部消防车进入消防作战位置，协助消防力量进行消防救援和抢险工作；</w:t>
      </w:r>
    </w:p>
    <w:p w14:paraId="4C7AA242">
      <w:pPr>
        <w:pStyle w:val="200"/>
        <w:widowControl w:val="0"/>
        <w:numPr>
          <w:ilvl w:val="0"/>
          <w:numId w:val="45"/>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负责装置紧急停车和恢复生产工作，为应急救援队伍创造有利条件；</w:t>
      </w:r>
    </w:p>
    <w:p w14:paraId="2DA5CE68">
      <w:pPr>
        <w:pStyle w:val="200"/>
        <w:widowControl w:val="0"/>
        <w:numPr>
          <w:ilvl w:val="0"/>
          <w:numId w:val="45"/>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负责现场清理、消洗和恢复工作等。</w:t>
      </w:r>
    </w:p>
    <w:p w14:paraId="3223D5B5">
      <w:pPr>
        <w:widowControl w:val="0"/>
        <w:autoSpaceDE w:val="0"/>
        <w:autoSpaceDN w:val="0"/>
        <w:spacing w:line="360" w:lineRule="auto"/>
        <w:ind w:firstLine="482"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（6）应急监测组</w:t>
      </w:r>
    </w:p>
    <w:p w14:paraId="2428C106">
      <w:pPr>
        <w:pStyle w:val="200"/>
        <w:widowControl w:val="0"/>
        <w:numPr>
          <w:ilvl w:val="0"/>
          <w:numId w:val="46"/>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当发生突发环境事件时，负责配合第三方有检测资质单位采样、分析人员对公司雨水排口、污水排口、事故区域空气质量进行监测，确定事故影响范围； </w:t>
      </w:r>
    </w:p>
    <w:p w14:paraId="782AFF1D">
      <w:pPr>
        <w:pStyle w:val="200"/>
        <w:widowControl w:val="0"/>
        <w:numPr>
          <w:ilvl w:val="0"/>
          <w:numId w:val="46"/>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负责在突发环境事件处理过程中所产生的“三废”的收集、记录，事故处理后委托第三方有资质单位对事故处理过程中收集的废物进行转移、处置； </w:t>
      </w:r>
    </w:p>
    <w:p w14:paraId="6D64A016">
      <w:pPr>
        <w:pStyle w:val="200"/>
        <w:widowControl w:val="0"/>
        <w:numPr>
          <w:ilvl w:val="0"/>
          <w:numId w:val="46"/>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事故处理后，负责配合第三方有监测资质单位对事故区域空气质量、雨水管网排口雨水、污水管网排口水污水水体质量进行监测，确保影响消除； </w:t>
      </w:r>
    </w:p>
    <w:p w14:paraId="791D1AE3">
      <w:pPr>
        <w:pStyle w:val="200"/>
        <w:widowControl w:val="0"/>
        <w:numPr>
          <w:ilvl w:val="0"/>
          <w:numId w:val="46"/>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负责将监测数据及时上报应急指挥部，减少事故影响范围。</w:t>
      </w:r>
    </w:p>
    <w:p w14:paraId="2F59F076">
      <w:pPr>
        <w:widowControl w:val="0"/>
        <w:autoSpaceDE w:val="0"/>
        <w:autoSpaceDN w:val="0"/>
        <w:spacing w:line="360" w:lineRule="auto"/>
        <w:ind w:firstLine="482"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（7）工艺处置组</w:t>
      </w:r>
    </w:p>
    <w:p w14:paraId="12AFEADB">
      <w:pPr>
        <w:pStyle w:val="200"/>
        <w:widowControl w:val="0"/>
        <w:numPr>
          <w:ilvl w:val="0"/>
          <w:numId w:val="47"/>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负责关闭与火灾相连油管线及储罐的阀门；</w:t>
      </w:r>
    </w:p>
    <w:p w14:paraId="4B1A075B">
      <w:pPr>
        <w:pStyle w:val="200"/>
        <w:widowControl w:val="0"/>
        <w:numPr>
          <w:ilvl w:val="0"/>
          <w:numId w:val="47"/>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负责检查排污井、排水井的阀门是否关闭；</w:t>
      </w:r>
    </w:p>
    <w:p w14:paraId="3872B702">
      <w:pPr>
        <w:pStyle w:val="200"/>
        <w:widowControl w:val="0"/>
        <w:numPr>
          <w:ilvl w:val="0"/>
          <w:numId w:val="47"/>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负责打开事故应急池的阀门，引导油污水排进事故应急池；</w:t>
      </w:r>
    </w:p>
    <w:p w14:paraId="5C292073">
      <w:pPr>
        <w:pStyle w:val="200"/>
        <w:widowControl w:val="0"/>
        <w:numPr>
          <w:ilvl w:val="0"/>
          <w:numId w:val="47"/>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负责检查排水沟内有无污油，防止污油外排到海面上；</w:t>
      </w:r>
    </w:p>
    <w:p w14:paraId="333E729E">
      <w:pPr>
        <w:pStyle w:val="200"/>
        <w:widowControl w:val="0"/>
        <w:numPr>
          <w:ilvl w:val="0"/>
          <w:numId w:val="47"/>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负责事故后油污水的处理。 </w:t>
      </w:r>
    </w:p>
    <w:p w14:paraId="12D8BEF3">
      <w:pPr>
        <w:widowControl w:val="0"/>
        <w:autoSpaceDE w:val="0"/>
        <w:autoSpaceDN w:val="0"/>
        <w:spacing w:line="360" w:lineRule="auto"/>
        <w:ind w:firstLine="482"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（8）后勤保障组</w:t>
      </w:r>
    </w:p>
    <w:p w14:paraId="40A17C8D">
      <w:pPr>
        <w:pStyle w:val="200"/>
        <w:widowControl w:val="0"/>
        <w:numPr>
          <w:ilvl w:val="0"/>
          <w:numId w:val="48"/>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负责应急车辆的调配、协助当地医疗机构运送病人；</w:t>
      </w:r>
    </w:p>
    <w:p w14:paraId="6DCC0400">
      <w:pPr>
        <w:pStyle w:val="200"/>
        <w:widowControl w:val="0"/>
        <w:numPr>
          <w:ilvl w:val="0"/>
          <w:numId w:val="48"/>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负责应急救援人员的后勤生活保障；</w:t>
      </w:r>
    </w:p>
    <w:p w14:paraId="36201F57">
      <w:pPr>
        <w:pStyle w:val="200"/>
        <w:widowControl w:val="0"/>
        <w:numPr>
          <w:ilvl w:val="0"/>
          <w:numId w:val="48"/>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负责做好伤亡人员的善后及医疗救护保障工作；</w:t>
      </w:r>
    </w:p>
    <w:p w14:paraId="42FE4F9A">
      <w:pPr>
        <w:pStyle w:val="200"/>
        <w:widowControl w:val="0"/>
        <w:numPr>
          <w:ilvl w:val="0"/>
          <w:numId w:val="48"/>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做好员工的安抚及灾害事故的宣传报道工作；</w:t>
      </w:r>
    </w:p>
    <w:p w14:paraId="75F6D325">
      <w:pPr>
        <w:pStyle w:val="200"/>
        <w:widowControl w:val="0"/>
        <w:numPr>
          <w:ilvl w:val="0"/>
          <w:numId w:val="48"/>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负责应急救援物资的供应与补充，保障应急通讯设施完好和充足，确保通讯联络畅通；</w:t>
      </w:r>
    </w:p>
    <w:p w14:paraId="41ADC822">
      <w:pPr>
        <w:pStyle w:val="200"/>
        <w:widowControl w:val="0"/>
        <w:numPr>
          <w:ilvl w:val="0"/>
          <w:numId w:val="48"/>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负责保障受伤人员医疗费用、家属安抚、接待等的资金保障；</w:t>
      </w:r>
    </w:p>
    <w:p w14:paraId="5B6BA035">
      <w:pPr>
        <w:pStyle w:val="200"/>
        <w:widowControl w:val="0"/>
        <w:numPr>
          <w:ilvl w:val="0"/>
          <w:numId w:val="48"/>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负责应急处理使用各类物资及相关支出的资金保证；</w:t>
      </w:r>
    </w:p>
    <w:p w14:paraId="6ABE911D">
      <w:pPr>
        <w:pStyle w:val="200"/>
        <w:widowControl w:val="0"/>
        <w:numPr>
          <w:ilvl w:val="0"/>
          <w:numId w:val="48"/>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负责对事故所造成的直接或间接损失进行统计和评估，协调保险公司核查，做好保险索赔工作。</w:t>
      </w:r>
    </w:p>
    <w:p w14:paraId="23B5AF60">
      <w:pPr>
        <w:widowControl w:val="0"/>
        <w:autoSpaceDE w:val="0"/>
        <w:autoSpaceDN w:val="0"/>
        <w:spacing w:line="360" w:lineRule="auto"/>
        <w:ind w:firstLine="482" w:firstLineChars="200"/>
        <w:jc w:val="both"/>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（8）对外联络组</w:t>
      </w:r>
    </w:p>
    <w:p w14:paraId="669B3571">
      <w:pPr>
        <w:pStyle w:val="200"/>
        <w:widowControl w:val="0"/>
        <w:numPr>
          <w:ilvl w:val="0"/>
          <w:numId w:val="49"/>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负责向钦州管理局、安监、海事、环保、消防、技术监督、特检院等政府有关部门报告事故及应急处置情况；</w:t>
      </w:r>
    </w:p>
    <w:p w14:paraId="23E47CAD">
      <w:pPr>
        <w:pStyle w:val="200"/>
        <w:widowControl w:val="0"/>
        <w:numPr>
          <w:ilvl w:val="0"/>
          <w:numId w:val="49"/>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负责扩大应急实施政企联动时与外部救援单位就应急指挥及职责分工进行接洽和统筹协调；</w:t>
      </w:r>
    </w:p>
    <w:p w14:paraId="56A57583">
      <w:pPr>
        <w:pStyle w:val="200"/>
        <w:widowControl w:val="0"/>
        <w:numPr>
          <w:ilvl w:val="0"/>
          <w:numId w:val="49"/>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负责与供电、供水、医院、周边企业等社会救援力量联络和引导，并分配应急救援任务；</w:t>
      </w:r>
    </w:p>
    <w:p w14:paraId="516996EB">
      <w:pPr>
        <w:pStyle w:val="200"/>
        <w:widowControl w:val="0"/>
        <w:numPr>
          <w:ilvl w:val="0"/>
          <w:numId w:val="49"/>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负责政府和社会其他增援力量接待和统筹协调工作；</w:t>
      </w:r>
    </w:p>
    <w:p w14:paraId="5EEA510E">
      <w:pPr>
        <w:pStyle w:val="200"/>
        <w:widowControl w:val="0"/>
        <w:numPr>
          <w:ilvl w:val="0"/>
          <w:numId w:val="49"/>
        </w:numPr>
        <w:autoSpaceDE w:val="0"/>
        <w:autoSpaceDN w:val="0"/>
        <w:spacing w:line="360" w:lineRule="auto"/>
        <w:ind w:left="0"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负责新闻媒体记者的接待和采访，并通过媒体向社会发布真实的应急救援有关信息，澄清不实谣言等。</w:t>
      </w:r>
    </w:p>
    <w:p w14:paraId="222CB362">
      <w:pPr>
        <w:pStyle w:val="4003"/>
        <w:ind w:left="480" w:firstLine="0" w:firstLineChars="0"/>
        <w:rPr>
          <w:color w:val="000000" w:themeColor="text1"/>
          <w14:textFill>
            <w14:solidFill>
              <w14:schemeClr w14:val="tx1"/>
            </w14:solidFill>
          </w14:textFill>
        </w:rPr>
      </w:pPr>
      <w:r>
        <w:rPr>
          <w:color w:val="000000" w:themeColor="text1"/>
          <w14:textFill>
            <w14:solidFill>
              <w14:schemeClr w14:val="tx1"/>
            </w14:solidFill>
          </w14:textFill>
        </w:rPr>
        <w:t>11.4.3替岗制度</w:t>
      </w:r>
    </w:p>
    <w:p w14:paraId="75A75490">
      <w:pPr>
        <w:widowControl w:val="0"/>
        <w:autoSpaceDE w:val="0"/>
        <w:autoSpaceDN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为保证突发环境事件时不致因人员不在岗而耽误抢险救援工作，特规定以下人员替岗制度： </w:t>
      </w:r>
    </w:p>
    <w:p w14:paraId="65314C89">
      <w:pPr>
        <w:widowControl w:val="0"/>
        <w:autoSpaceDE w:val="0"/>
        <w:autoSpaceDN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（1）突发环境事件时，根据人员在岗的情况，确定人选暂时担任总指挥职务，如同时不在岗时，由指挥中心成员依序代行总指挥职务； </w:t>
      </w:r>
    </w:p>
    <w:p w14:paraId="2ACFE647">
      <w:pPr>
        <w:widowControl w:val="0"/>
        <w:autoSpaceDE w:val="0"/>
        <w:autoSpaceDN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（2）应急指挥办公室人员不得同时离开岗位； </w:t>
      </w:r>
    </w:p>
    <w:p w14:paraId="5A130B18">
      <w:pPr>
        <w:widowControl w:val="0"/>
        <w:autoSpaceDE w:val="0"/>
        <w:autoSpaceDN w:val="0"/>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（3）应急工作组组长离开岗位时，必须指定一人代行组长职务。</w:t>
      </w:r>
    </w:p>
    <w:p w14:paraId="16FE147E">
      <w:pPr>
        <w:pStyle w:val="4003"/>
        <w:ind w:left="480" w:firstLine="0" w:firstLineChars="0"/>
        <w:rPr>
          <w:color w:val="000000" w:themeColor="text1"/>
          <w14:textFill>
            <w14:solidFill>
              <w14:schemeClr w14:val="tx1"/>
            </w14:solidFill>
          </w14:textFill>
        </w:rPr>
      </w:pPr>
      <w:r>
        <w:rPr>
          <w:color w:val="000000" w:themeColor="text1"/>
          <w14:textFill>
            <w14:solidFill>
              <w14:schemeClr w14:val="tx1"/>
            </w14:solidFill>
          </w14:textFill>
        </w:rPr>
        <w:t>11.4.4外部应急救援资源</w:t>
      </w:r>
    </w:p>
    <w:p w14:paraId="664B383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公司与钦州市生态环境局、钦州市公安局、消防大队等部门之间建立应急联动机制，在突发环境事件时，公司突发环境事件应急指挥中心启动相应级别应急预案进行救援，在政府相关部门介入公司突发环境事件处置时，公司应急指挥部移交指挥权，公司各应急工作组将无条件听从调配，并按要求和能力配置应急救援人员、队伍、装备、物资等，提供所需的用品。</w:t>
      </w:r>
    </w:p>
    <w:p w14:paraId="394E1479">
      <w:pPr>
        <w:pStyle w:val="346"/>
        <w:ind w:firstLine="482" w:firstLineChars="200"/>
        <w:rPr>
          <w:color w:val="000000" w:themeColor="text1"/>
          <w14:textFill>
            <w14:solidFill>
              <w14:schemeClr w14:val="tx1"/>
            </w14:solidFill>
          </w14:textFill>
        </w:rPr>
      </w:pPr>
      <w:bookmarkStart w:id="207" w:name="_Toc144375260"/>
      <w:r>
        <w:rPr>
          <w:color w:val="000000" w:themeColor="text1"/>
          <w14:textFill>
            <w14:solidFill>
              <w14:schemeClr w14:val="tx1"/>
            </w14:solidFill>
          </w14:textFill>
        </w:rPr>
        <w:t>11.5监控和预警</w:t>
      </w:r>
      <w:bookmarkEnd w:id="207"/>
    </w:p>
    <w:p w14:paraId="24178801">
      <w:pPr>
        <w:pStyle w:val="4003"/>
        <w:rPr>
          <w:color w:val="000000" w:themeColor="text1"/>
          <w14:textFill>
            <w14:solidFill>
              <w14:schemeClr w14:val="tx1"/>
            </w14:solidFill>
          </w14:textFill>
        </w:rPr>
      </w:pPr>
      <w:r>
        <w:rPr>
          <w:color w:val="000000" w:themeColor="text1"/>
          <w14:textFill>
            <w14:solidFill>
              <w14:schemeClr w14:val="tx1"/>
            </w14:solidFill>
          </w14:textFill>
        </w:rPr>
        <w:t>11.5.1监控</w:t>
      </w:r>
    </w:p>
    <w:p w14:paraId="68C2E4EF">
      <w:pPr>
        <w:pStyle w:val="200"/>
        <w:spacing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根据实际情况进行监控，力求做到早发现、早报告、早处置，使危险源处于常控状态中。</w:t>
      </w:r>
    </w:p>
    <w:p w14:paraId="2EEE01DD">
      <w:pPr>
        <w:pStyle w:val="200"/>
        <w:numPr>
          <w:ilvl w:val="0"/>
          <w:numId w:val="5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对危险源采用视频监控，并辅与危险物质泄漏报警器（可燃气体报警）以及压力指示报警和液位显示等；</w:t>
      </w:r>
    </w:p>
    <w:p w14:paraId="4845A8F4">
      <w:pPr>
        <w:pStyle w:val="200"/>
        <w:numPr>
          <w:ilvl w:val="0"/>
          <w:numId w:val="5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建立危险源管理制度、台帐、档案；</w:t>
      </w:r>
    </w:p>
    <w:p w14:paraId="34A9652B">
      <w:pPr>
        <w:pStyle w:val="200"/>
        <w:numPr>
          <w:ilvl w:val="0"/>
          <w:numId w:val="5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压力管道、压力表、安全附件等按规定定期检测；</w:t>
      </w:r>
    </w:p>
    <w:p w14:paraId="31CA7685">
      <w:pPr>
        <w:pStyle w:val="200"/>
        <w:numPr>
          <w:ilvl w:val="0"/>
          <w:numId w:val="5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建立24小时值班制度，制订日常点检表，专人巡检，做好点检记录，定时填写操作记录报表一次，做交接班记录；</w:t>
      </w:r>
    </w:p>
    <w:p w14:paraId="5E956E28">
      <w:pPr>
        <w:pStyle w:val="200"/>
        <w:numPr>
          <w:ilvl w:val="0"/>
          <w:numId w:val="5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做好重大作业、两特带班制度、重要部位监控制度。</w:t>
      </w:r>
    </w:p>
    <w:p w14:paraId="161B095D">
      <w:pPr>
        <w:pStyle w:val="200"/>
        <w:numPr>
          <w:ilvl w:val="0"/>
          <w:numId w:val="50"/>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制定完善的安全消防措施，配备完善消防系统，设固定泡沫灭火系统及冷却水喷淋系统。</w:t>
      </w:r>
    </w:p>
    <w:p w14:paraId="427FA89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根据本项目第7章节风险识别，针对可能发生的环境风险，参考第10.2章节针对性</w:t>
      </w:r>
      <w:r>
        <w:rPr>
          <w:rFonts w:hint="eastAsia" w:ascii="Times New Roman" w:hAnsi="Times New Roman" w:cs="Times New Roman"/>
          <w:color w:val="000000" w:themeColor="text1"/>
          <w:lang w:eastAsia="zh-CN"/>
          <w14:textFill>
            <w14:solidFill>
              <w14:schemeClr w14:val="tx1"/>
            </w14:solidFill>
          </w14:textFill>
        </w:rPr>
        <w:t>地</w:t>
      </w:r>
      <w:r>
        <w:rPr>
          <w:rFonts w:ascii="Times New Roman" w:hAnsi="Times New Roman" w:cs="Times New Roman"/>
          <w:color w:val="000000" w:themeColor="text1"/>
          <w14:textFill>
            <w14:solidFill>
              <w14:schemeClr w14:val="tx1"/>
            </w14:solidFill>
          </w14:textFill>
        </w:rPr>
        <w:t>采取防范措施。</w:t>
      </w:r>
    </w:p>
    <w:p w14:paraId="1E4A9D10">
      <w:pPr>
        <w:pStyle w:val="4003"/>
        <w:rPr>
          <w:color w:val="000000" w:themeColor="text1"/>
          <w14:textFill>
            <w14:solidFill>
              <w14:schemeClr w14:val="tx1"/>
            </w14:solidFill>
          </w14:textFill>
        </w:rPr>
      </w:pPr>
      <w:r>
        <w:rPr>
          <w:color w:val="000000" w:themeColor="text1"/>
          <w14:textFill>
            <w14:solidFill>
              <w14:schemeClr w14:val="tx1"/>
            </w14:solidFill>
          </w14:textFill>
        </w:rPr>
        <w:t>11.5.2预警</w:t>
      </w:r>
    </w:p>
    <w:p w14:paraId="7A0807F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（1）接警</w:t>
      </w:r>
    </w:p>
    <w:p w14:paraId="18F8ED3E">
      <w:pPr>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公司应急办公室采取24小时值班制度，以便及时接收突发事件信息。当发现厂区内各生产系统或污染物处理系统发生异常或视频监控画面发生异常或现场操作人员发现泄漏等情况时，第一发现事件的员工立即报告部门值班或生产调度值班人员；部门值班或调度室值班接到事件报告后，立即逐级上报事件情况；情况紧急时，可越级上报。事件发生后必须在1小时内完成信息报告。</w:t>
      </w:r>
    </w:p>
    <w:p w14:paraId="0A430ACE">
      <w:pPr>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公司当班值班领导接到报告后，立即赶赴事件现场，做出初始评估，确定响应级别，启动相应的应急预案，并通知单位应急救援队伍。应急救援小组收到通知的15分钟内必须到达事故现场，迅速了解事故情况，接受总指挥长命令，开展救援行动。</w:t>
      </w:r>
    </w:p>
    <w:p w14:paraId="070138E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（2）预警研判</w:t>
      </w:r>
    </w:p>
    <w:p w14:paraId="499ED31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我公司安全环保部通过员工上报、电视、网络、报纸等各种方式接到可能导致突发环境事件的预警信息后（比如极端天气等自然灾害、生产安全事故等事故灾难、相关监控监测信息等），上报给应急领导小组。应急领导小组对信息真实性进行核实、初步研判，若为假警，则针对进行信息处置，解除预警；若信息属实，则采取电话咨询现场情况、咨询相关部门或专家、现场核实等方式，详细了解预警信息，组织应急会议讨论、分析事件潜在的危害程度、紧急程度和发展态势，判断警情，确定预警级别，发布预警，提出启动突发环境事件应急预案，预警研判用时控制在1小时内。</w:t>
      </w:r>
    </w:p>
    <w:p w14:paraId="2AAAE99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若事故已发生或将要发生，则同时安排人员进行先期处置，采取相应防范措施，避免事态进一步恶化。当事态发展有影响至企业引发突发环境事件的风险时， 立即通知各部门负责人，按照预案做好应急准备和预防，密切关注事态进展，根据事故级别进行预警发布。</w:t>
      </w:r>
    </w:p>
    <w:p w14:paraId="35BFEDA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（3）预警分级</w:t>
      </w:r>
    </w:p>
    <w:p w14:paraId="396478E7">
      <w:pPr>
        <w:spacing w:line="360" w:lineRule="auto"/>
        <w:ind w:firstLine="480" w:firstLineChars="200"/>
        <w:rPr>
          <w:rFonts w:ascii="Times New Roman" w:hAnsi="Times New Roman" w:cs="Times New Roman"/>
          <w:color w:val="000000" w:themeColor="text1"/>
          <w:lang w:val="zh-CN"/>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针对突发环境事件严重性、紧急程度、危害程度、影响范围、各公司控制事态的能力以及需要调动的应急资源，</w:t>
      </w:r>
      <w:r>
        <w:rPr>
          <w:rFonts w:ascii="Times New Roman" w:hAnsi="Times New Roman" w:cs="Times New Roman"/>
          <w:color w:val="000000" w:themeColor="text1"/>
          <w:lang w:val="zh-CN"/>
          <w14:textFill>
            <w14:solidFill>
              <w14:schemeClr w14:val="tx1"/>
            </w14:solidFill>
          </w14:textFill>
        </w:rPr>
        <w:t>将突发环境事件划分为</w:t>
      </w:r>
      <w:r>
        <w:rPr>
          <w:rFonts w:hint="eastAsia"/>
          <w:color w:val="000000" w:themeColor="text1"/>
          <w14:textFill>
            <w14:solidFill>
              <w14:schemeClr w14:val="tx1"/>
            </w14:solidFill>
          </w14:textFill>
        </w:rPr>
        <w:t>Ⅰ</w:t>
      </w:r>
      <w:r>
        <w:rPr>
          <w:rFonts w:ascii="Times New Roman" w:hAnsi="Times New Roman" w:cs="Times New Roman"/>
          <w:color w:val="000000" w:themeColor="text1"/>
          <w14:textFill>
            <w14:solidFill>
              <w14:schemeClr w14:val="tx1"/>
            </w14:solidFill>
          </w14:textFill>
        </w:rPr>
        <w:t>级事件（社会级）、</w:t>
      </w:r>
      <w:r>
        <w:rPr>
          <w:rFonts w:hint="eastAsia"/>
          <w:color w:val="000000" w:themeColor="text1"/>
          <w14:textFill>
            <w14:solidFill>
              <w14:schemeClr w14:val="tx1"/>
            </w14:solidFill>
          </w14:textFill>
        </w:rPr>
        <w:t>Ⅱ</w:t>
      </w:r>
      <w:r>
        <w:rPr>
          <w:rFonts w:ascii="Times New Roman" w:hAnsi="Times New Roman" w:cs="Times New Roman"/>
          <w:color w:val="000000" w:themeColor="text1"/>
          <w14:textFill>
            <w14:solidFill>
              <w14:schemeClr w14:val="tx1"/>
            </w14:solidFill>
          </w14:textFill>
        </w:rPr>
        <w:t>级事件（企业级）和</w:t>
      </w:r>
      <w:r>
        <w:rPr>
          <w:rFonts w:hint="eastAsia"/>
          <w:color w:val="000000" w:themeColor="text1"/>
          <w14:textFill>
            <w14:solidFill>
              <w14:schemeClr w14:val="tx1"/>
            </w14:solidFill>
          </w14:textFill>
        </w:rPr>
        <w:t>Ⅲ</w:t>
      </w:r>
      <w:r>
        <w:rPr>
          <w:rFonts w:ascii="Times New Roman" w:hAnsi="Times New Roman" w:cs="Times New Roman"/>
          <w:color w:val="000000" w:themeColor="text1"/>
          <w14:textFill>
            <w14:solidFill>
              <w14:schemeClr w14:val="tx1"/>
            </w14:solidFill>
          </w14:textFill>
        </w:rPr>
        <w:t>级事件（部门级）三</w:t>
      </w:r>
      <w:r>
        <w:rPr>
          <w:rFonts w:ascii="Times New Roman" w:hAnsi="Times New Roman" w:cs="Times New Roman"/>
          <w:color w:val="000000" w:themeColor="text1"/>
          <w:lang w:val="zh-CN"/>
          <w14:textFill>
            <w14:solidFill>
              <w14:schemeClr w14:val="tx1"/>
            </w14:solidFill>
          </w14:textFill>
        </w:rPr>
        <w:t>个等级并实行相应的预警级别。</w:t>
      </w:r>
    </w:p>
    <w:p w14:paraId="6B95527A">
      <w:pPr>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表11-3 预警分级和事故响应对应表</w:t>
      </w:r>
    </w:p>
    <w:tbl>
      <w:tblPr>
        <w:tblStyle w:val="88"/>
        <w:tblW w:w="501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24"/>
        <w:gridCol w:w="2801"/>
        <w:gridCol w:w="2801"/>
        <w:gridCol w:w="857"/>
        <w:gridCol w:w="1054"/>
      </w:tblGrid>
      <w:tr w14:paraId="16316C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822" w:type="dxa"/>
            <w:tcBorders>
              <w:tl2br w:val="nil"/>
              <w:tr2bl w:val="nil"/>
            </w:tcBorders>
            <w:vAlign w:val="center"/>
          </w:tcPr>
          <w:p w14:paraId="59E5C88D">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预警</w:t>
            </w:r>
          </w:p>
          <w:p w14:paraId="22A1526B">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级别</w:t>
            </w:r>
          </w:p>
        </w:tc>
        <w:tc>
          <w:tcPr>
            <w:tcW w:w="2798" w:type="dxa"/>
            <w:tcBorders>
              <w:tl2br w:val="nil"/>
              <w:tr2bl w:val="nil"/>
            </w:tcBorders>
            <w:vAlign w:val="center"/>
          </w:tcPr>
          <w:p w14:paraId="2D27D7AF">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突发环境事件</w:t>
            </w:r>
          </w:p>
        </w:tc>
        <w:tc>
          <w:tcPr>
            <w:tcW w:w="2798" w:type="dxa"/>
            <w:tcBorders>
              <w:tl2br w:val="nil"/>
              <w:tr2bl w:val="nil"/>
            </w:tcBorders>
            <w:vAlign w:val="center"/>
          </w:tcPr>
          <w:p w14:paraId="25D4058C">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影响程度和范围</w:t>
            </w:r>
          </w:p>
        </w:tc>
        <w:tc>
          <w:tcPr>
            <w:tcW w:w="856" w:type="dxa"/>
            <w:tcBorders>
              <w:tl2br w:val="nil"/>
              <w:tr2bl w:val="nil"/>
            </w:tcBorders>
            <w:vAlign w:val="center"/>
          </w:tcPr>
          <w:p w14:paraId="359082C7">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预警</w:t>
            </w:r>
          </w:p>
          <w:p w14:paraId="07930CDF">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标识</w:t>
            </w:r>
          </w:p>
        </w:tc>
        <w:tc>
          <w:tcPr>
            <w:tcW w:w="1053" w:type="dxa"/>
            <w:tcBorders>
              <w:tl2br w:val="nil"/>
              <w:tr2bl w:val="nil"/>
            </w:tcBorders>
            <w:vAlign w:val="center"/>
          </w:tcPr>
          <w:p w14:paraId="2A80B8F0">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对应应急</w:t>
            </w:r>
          </w:p>
          <w:p w14:paraId="155E6DE2">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响应级别</w:t>
            </w:r>
          </w:p>
        </w:tc>
      </w:tr>
      <w:tr w14:paraId="37F9D2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6" w:hRule="atLeast"/>
          <w:jc w:val="center"/>
        </w:trPr>
        <w:tc>
          <w:tcPr>
            <w:tcW w:w="822" w:type="dxa"/>
            <w:tcBorders>
              <w:tl2br w:val="nil"/>
              <w:tr2bl w:val="nil"/>
            </w:tcBorders>
            <w:vAlign w:val="center"/>
          </w:tcPr>
          <w:p w14:paraId="05E0FD83">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Ⅰ</w:t>
            </w:r>
            <w:r>
              <w:rPr>
                <w:rFonts w:ascii="Times New Roman" w:hAnsi="Times New Roman" w:cs="Times New Roman"/>
                <w:bCs/>
                <w:color w:val="000000" w:themeColor="text1"/>
                <w:sz w:val="21"/>
                <w:szCs w:val="21"/>
                <w14:textFill>
                  <w14:solidFill>
                    <w14:schemeClr w14:val="tx1"/>
                  </w14:solidFill>
                </w14:textFill>
              </w:rPr>
              <w:t>级预警</w:t>
            </w:r>
          </w:p>
        </w:tc>
        <w:tc>
          <w:tcPr>
            <w:tcW w:w="2798" w:type="dxa"/>
            <w:tcBorders>
              <w:tl2br w:val="nil"/>
              <w:tr2bl w:val="nil"/>
            </w:tcBorders>
            <w:vAlign w:val="center"/>
          </w:tcPr>
          <w:p w14:paraId="688FC83F">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储罐区的危险化学品发生泄漏，难以控制在厂区内，但可控制在港区内</w:t>
            </w:r>
          </w:p>
        </w:tc>
        <w:tc>
          <w:tcPr>
            <w:tcW w:w="2798" w:type="dxa"/>
            <w:tcBorders>
              <w:tl2br w:val="nil"/>
              <w:tr2bl w:val="nil"/>
            </w:tcBorders>
            <w:vAlign w:val="center"/>
          </w:tcPr>
          <w:p w14:paraId="45F695DC">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污染厂区内外的土壤环境、地下水环境、地表水环境、环境空气</w:t>
            </w:r>
          </w:p>
        </w:tc>
        <w:tc>
          <w:tcPr>
            <w:tcW w:w="856" w:type="dxa"/>
            <w:tcBorders>
              <w:tl2br w:val="nil"/>
              <w:tr2bl w:val="nil"/>
            </w:tcBorders>
            <w:vAlign w:val="center"/>
          </w:tcPr>
          <w:p w14:paraId="04990EAA">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红色预警</w:t>
            </w:r>
          </w:p>
        </w:tc>
        <w:tc>
          <w:tcPr>
            <w:tcW w:w="1053" w:type="dxa"/>
            <w:tcBorders>
              <w:tl2br w:val="nil"/>
              <w:tr2bl w:val="nil"/>
            </w:tcBorders>
            <w:vAlign w:val="center"/>
          </w:tcPr>
          <w:p w14:paraId="470071D4">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一级响应</w:t>
            </w:r>
          </w:p>
        </w:tc>
      </w:tr>
      <w:tr w14:paraId="12AD79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5" w:hRule="atLeast"/>
          <w:jc w:val="center"/>
        </w:trPr>
        <w:tc>
          <w:tcPr>
            <w:tcW w:w="822" w:type="dxa"/>
            <w:vMerge w:val="restart"/>
            <w:tcBorders>
              <w:tl2br w:val="nil"/>
              <w:tr2bl w:val="nil"/>
            </w:tcBorders>
            <w:vAlign w:val="center"/>
          </w:tcPr>
          <w:p w14:paraId="0384AB3D">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Ⅱ</w:t>
            </w:r>
            <w:r>
              <w:rPr>
                <w:rFonts w:ascii="Times New Roman" w:hAnsi="Times New Roman" w:cs="Times New Roman"/>
                <w:bCs/>
                <w:color w:val="000000" w:themeColor="text1"/>
                <w:sz w:val="21"/>
                <w:szCs w:val="21"/>
                <w14:textFill>
                  <w14:solidFill>
                    <w14:schemeClr w14:val="tx1"/>
                  </w14:solidFill>
                </w14:textFill>
              </w:rPr>
              <w:t>级预警</w:t>
            </w:r>
          </w:p>
        </w:tc>
        <w:tc>
          <w:tcPr>
            <w:tcW w:w="2798" w:type="dxa"/>
            <w:tcBorders>
              <w:tl2br w:val="nil"/>
              <w:tr2bl w:val="nil"/>
            </w:tcBorders>
            <w:vAlign w:val="center"/>
          </w:tcPr>
          <w:p w14:paraId="45F652E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储罐区的危险化学品发生泄漏，难以控制在储罐区，但可控制在厂区内</w:t>
            </w:r>
          </w:p>
        </w:tc>
        <w:tc>
          <w:tcPr>
            <w:tcW w:w="2798" w:type="dxa"/>
            <w:tcBorders>
              <w:tl2br w:val="nil"/>
              <w:tr2bl w:val="nil"/>
            </w:tcBorders>
            <w:vAlign w:val="center"/>
          </w:tcPr>
          <w:p w14:paraId="75127FE9">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港区环境空气、土壤环境、地下水环境受到一定影响</w:t>
            </w:r>
          </w:p>
        </w:tc>
        <w:tc>
          <w:tcPr>
            <w:tcW w:w="856" w:type="dxa"/>
            <w:vMerge w:val="restart"/>
            <w:tcBorders>
              <w:tl2br w:val="nil"/>
              <w:tr2bl w:val="nil"/>
            </w:tcBorders>
            <w:vAlign w:val="center"/>
          </w:tcPr>
          <w:p w14:paraId="4FA65E2E">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橙色预警</w:t>
            </w:r>
          </w:p>
        </w:tc>
        <w:tc>
          <w:tcPr>
            <w:tcW w:w="1053" w:type="dxa"/>
            <w:vMerge w:val="restart"/>
            <w:tcBorders>
              <w:tl2br w:val="nil"/>
              <w:tr2bl w:val="nil"/>
            </w:tcBorders>
            <w:vAlign w:val="center"/>
          </w:tcPr>
          <w:p w14:paraId="602C674E">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二级响应</w:t>
            </w:r>
          </w:p>
        </w:tc>
      </w:tr>
      <w:tr w14:paraId="7A011F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9" w:hRule="atLeast"/>
          <w:jc w:val="center"/>
        </w:trPr>
        <w:tc>
          <w:tcPr>
            <w:tcW w:w="822" w:type="dxa"/>
            <w:vMerge w:val="continue"/>
            <w:tcBorders>
              <w:tl2br w:val="nil"/>
              <w:tr2bl w:val="nil"/>
            </w:tcBorders>
            <w:vAlign w:val="center"/>
          </w:tcPr>
          <w:p w14:paraId="5858FAFB">
            <w:pPr>
              <w:jc w:val="center"/>
              <w:rPr>
                <w:rFonts w:ascii="Times New Roman" w:hAnsi="Times New Roman" w:cs="Times New Roman"/>
                <w:bCs/>
                <w:color w:val="000000" w:themeColor="text1"/>
                <w:sz w:val="21"/>
                <w:szCs w:val="21"/>
                <w14:textFill>
                  <w14:solidFill>
                    <w14:schemeClr w14:val="tx1"/>
                  </w14:solidFill>
                </w14:textFill>
              </w:rPr>
            </w:pPr>
          </w:p>
        </w:tc>
        <w:tc>
          <w:tcPr>
            <w:tcW w:w="2798" w:type="dxa"/>
            <w:tcBorders>
              <w:tl2br w:val="nil"/>
              <w:tr2bl w:val="nil"/>
            </w:tcBorders>
            <w:vAlign w:val="center"/>
          </w:tcPr>
          <w:p w14:paraId="4B799CF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企业发生火灾，火势影响到周边企业，难以控制在厂内</w:t>
            </w:r>
          </w:p>
        </w:tc>
        <w:tc>
          <w:tcPr>
            <w:tcW w:w="2798" w:type="dxa"/>
            <w:tcBorders>
              <w:tl2br w:val="nil"/>
              <w:tr2bl w:val="nil"/>
            </w:tcBorders>
            <w:vAlign w:val="center"/>
          </w:tcPr>
          <w:p w14:paraId="7C7C2C62">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港区环境空气受到一定影响，消防废水未影响到海洋环境，有经济损失</w:t>
            </w:r>
          </w:p>
        </w:tc>
        <w:tc>
          <w:tcPr>
            <w:tcW w:w="856" w:type="dxa"/>
            <w:vMerge w:val="continue"/>
            <w:tcBorders>
              <w:tl2br w:val="nil"/>
              <w:tr2bl w:val="nil"/>
            </w:tcBorders>
            <w:vAlign w:val="center"/>
          </w:tcPr>
          <w:p w14:paraId="42E8413E">
            <w:pPr>
              <w:jc w:val="center"/>
              <w:rPr>
                <w:rFonts w:ascii="Times New Roman" w:hAnsi="Times New Roman" w:cs="Times New Roman"/>
                <w:bCs/>
                <w:color w:val="000000" w:themeColor="text1"/>
                <w:sz w:val="21"/>
                <w:szCs w:val="21"/>
                <w14:textFill>
                  <w14:solidFill>
                    <w14:schemeClr w14:val="tx1"/>
                  </w14:solidFill>
                </w14:textFill>
              </w:rPr>
            </w:pPr>
          </w:p>
        </w:tc>
        <w:tc>
          <w:tcPr>
            <w:tcW w:w="1053" w:type="dxa"/>
            <w:vMerge w:val="continue"/>
            <w:tcBorders>
              <w:tl2br w:val="nil"/>
              <w:tr2bl w:val="nil"/>
            </w:tcBorders>
            <w:vAlign w:val="center"/>
          </w:tcPr>
          <w:p w14:paraId="0D0EF693">
            <w:pPr>
              <w:jc w:val="center"/>
              <w:rPr>
                <w:rFonts w:ascii="Times New Roman" w:hAnsi="Times New Roman" w:cs="Times New Roman"/>
                <w:bCs/>
                <w:color w:val="000000" w:themeColor="text1"/>
                <w:sz w:val="21"/>
                <w:szCs w:val="21"/>
                <w14:textFill>
                  <w14:solidFill>
                    <w14:schemeClr w14:val="tx1"/>
                  </w14:solidFill>
                </w14:textFill>
              </w:rPr>
            </w:pPr>
          </w:p>
        </w:tc>
      </w:tr>
      <w:tr w14:paraId="4B87ED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822" w:type="dxa"/>
            <w:vMerge w:val="restart"/>
            <w:tcBorders>
              <w:tl2br w:val="nil"/>
              <w:tr2bl w:val="nil"/>
            </w:tcBorders>
            <w:vAlign w:val="center"/>
          </w:tcPr>
          <w:p w14:paraId="404E12DE">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Ⅲ</w:t>
            </w:r>
            <w:r>
              <w:rPr>
                <w:rFonts w:ascii="Times New Roman" w:hAnsi="Times New Roman" w:cs="Times New Roman"/>
                <w:bCs/>
                <w:color w:val="000000" w:themeColor="text1"/>
                <w:sz w:val="21"/>
                <w:szCs w:val="21"/>
                <w14:textFill>
                  <w14:solidFill>
                    <w14:schemeClr w14:val="tx1"/>
                  </w14:solidFill>
                </w14:textFill>
              </w:rPr>
              <w:t>级预警</w:t>
            </w:r>
          </w:p>
        </w:tc>
        <w:tc>
          <w:tcPr>
            <w:tcW w:w="2798" w:type="dxa"/>
            <w:tcBorders>
              <w:tl2br w:val="nil"/>
              <w:tr2bl w:val="nil"/>
            </w:tcBorders>
            <w:vAlign w:val="center"/>
          </w:tcPr>
          <w:p w14:paraId="6D92BEAE">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储罐区的危险化学品发生泄漏，可控制在罐区内</w:t>
            </w:r>
          </w:p>
        </w:tc>
        <w:tc>
          <w:tcPr>
            <w:tcW w:w="2798" w:type="dxa"/>
            <w:tcBorders>
              <w:tl2br w:val="nil"/>
              <w:tr2bl w:val="nil"/>
            </w:tcBorders>
            <w:vAlign w:val="center"/>
          </w:tcPr>
          <w:p w14:paraId="773E0AFE">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事故可控制在罐区内，不产生外泄的，对环境影响小</w:t>
            </w:r>
          </w:p>
        </w:tc>
        <w:tc>
          <w:tcPr>
            <w:tcW w:w="856" w:type="dxa"/>
            <w:vMerge w:val="restart"/>
            <w:tcBorders>
              <w:tl2br w:val="nil"/>
              <w:tr2bl w:val="nil"/>
            </w:tcBorders>
            <w:vAlign w:val="center"/>
          </w:tcPr>
          <w:p w14:paraId="7B72973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黄色预警</w:t>
            </w:r>
          </w:p>
        </w:tc>
        <w:tc>
          <w:tcPr>
            <w:tcW w:w="1053" w:type="dxa"/>
            <w:vMerge w:val="restart"/>
            <w:tcBorders>
              <w:tl2br w:val="nil"/>
              <w:tr2bl w:val="nil"/>
            </w:tcBorders>
            <w:vAlign w:val="center"/>
          </w:tcPr>
          <w:p w14:paraId="64C3322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三级响应</w:t>
            </w:r>
          </w:p>
        </w:tc>
      </w:tr>
      <w:tr w14:paraId="400AB9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jc w:val="center"/>
        </w:trPr>
        <w:tc>
          <w:tcPr>
            <w:tcW w:w="822" w:type="dxa"/>
            <w:vMerge w:val="continue"/>
            <w:tcBorders>
              <w:tl2br w:val="nil"/>
              <w:tr2bl w:val="nil"/>
            </w:tcBorders>
            <w:vAlign w:val="center"/>
          </w:tcPr>
          <w:p w14:paraId="62DAFC5C">
            <w:pPr>
              <w:jc w:val="center"/>
              <w:rPr>
                <w:rFonts w:ascii="Times New Roman" w:hAnsi="Times New Roman" w:cs="Times New Roman"/>
                <w:bCs/>
                <w:color w:val="000000" w:themeColor="text1"/>
                <w:sz w:val="21"/>
                <w:szCs w:val="21"/>
                <w14:textFill>
                  <w14:solidFill>
                    <w14:schemeClr w14:val="tx1"/>
                  </w14:solidFill>
                </w14:textFill>
              </w:rPr>
            </w:pPr>
          </w:p>
        </w:tc>
        <w:tc>
          <w:tcPr>
            <w:tcW w:w="2798" w:type="dxa"/>
            <w:tcBorders>
              <w:tl2br w:val="nil"/>
              <w:tr2bl w:val="nil"/>
            </w:tcBorders>
            <w:vAlign w:val="center"/>
          </w:tcPr>
          <w:p w14:paraId="79543902">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企业发生火灾，火势影响到周边企业，可控制在罐区内</w:t>
            </w:r>
          </w:p>
        </w:tc>
        <w:tc>
          <w:tcPr>
            <w:tcW w:w="2798" w:type="dxa"/>
            <w:tcBorders>
              <w:tl2br w:val="nil"/>
              <w:tr2bl w:val="nil"/>
            </w:tcBorders>
            <w:vAlign w:val="center"/>
          </w:tcPr>
          <w:p w14:paraId="0241513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事故影响可控制在罐区内</w:t>
            </w:r>
          </w:p>
        </w:tc>
        <w:tc>
          <w:tcPr>
            <w:tcW w:w="856" w:type="dxa"/>
            <w:vMerge w:val="continue"/>
            <w:tcBorders>
              <w:tl2br w:val="nil"/>
              <w:tr2bl w:val="nil"/>
            </w:tcBorders>
            <w:vAlign w:val="center"/>
          </w:tcPr>
          <w:p w14:paraId="25DC254B">
            <w:pPr>
              <w:jc w:val="center"/>
              <w:rPr>
                <w:rFonts w:ascii="Times New Roman" w:hAnsi="Times New Roman" w:cs="Times New Roman"/>
                <w:bCs/>
                <w:color w:val="000000" w:themeColor="text1"/>
                <w:sz w:val="21"/>
                <w:szCs w:val="21"/>
                <w14:textFill>
                  <w14:solidFill>
                    <w14:schemeClr w14:val="tx1"/>
                  </w14:solidFill>
                </w14:textFill>
              </w:rPr>
            </w:pPr>
          </w:p>
        </w:tc>
        <w:tc>
          <w:tcPr>
            <w:tcW w:w="1053" w:type="dxa"/>
            <w:vMerge w:val="continue"/>
            <w:tcBorders>
              <w:tl2br w:val="nil"/>
              <w:tr2bl w:val="nil"/>
            </w:tcBorders>
            <w:vAlign w:val="center"/>
          </w:tcPr>
          <w:p w14:paraId="571B0068">
            <w:pPr>
              <w:jc w:val="center"/>
              <w:rPr>
                <w:rFonts w:ascii="Times New Roman" w:hAnsi="Times New Roman" w:cs="Times New Roman"/>
                <w:bCs/>
                <w:color w:val="000000" w:themeColor="text1"/>
                <w:sz w:val="21"/>
                <w:szCs w:val="21"/>
                <w14:textFill>
                  <w14:solidFill>
                    <w14:schemeClr w14:val="tx1"/>
                  </w14:solidFill>
                </w14:textFill>
              </w:rPr>
            </w:pPr>
          </w:p>
        </w:tc>
      </w:tr>
    </w:tbl>
    <w:p w14:paraId="3320F16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（4）预警发布与行动</w:t>
      </w:r>
    </w:p>
    <w:p w14:paraId="1D14FF24">
      <w:pPr>
        <w:pStyle w:val="168"/>
        <w:spacing w:after="0"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在确认进入预警状态之后，根据预警相应级别公司应急指挥部按照相关程序可采取以下行动：</w:t>
      </w:r>
    </w:p>
    <w:p w14:paraId="698D658D">
      <w:pPr>
        <w:spacing w:line="360" w:lineRule="auto"/>
        <w:ind w:firstLine="480" w:firstLineChars="200"/>
        <w:rPr>
          <w:rFonts w:ascii="Times New Roman" w:hAnsi="Times New Roman" w:cs="Times New Roman"/>
          <w:bCs/>
          <w:color w:val="000000" w:themeColor="text1"/>
          <w14:textFill>
            <w14:solidFill>
              <w14:schemeClr w14:val="tx1"/>
            </w14:solidFill>
          </w14:textFill>
        </w:rPr>
      </w:pPr>
      <w:r>
        <w:rPr>
          <w:rFonts w:hint="eastAsia"/>
          <w:color w:val="000000" w:themeColor="text1"/>
          <w14:textFill>
            <w14:solidFill>
              <w14:schemeClr w14:val="tx1"/>
            </w14:solidFill>
          </w14:textFill>
        </w:rPr>
        <w:t>Ⅰ</w:t>
      </w:r>
      <w:r>
        <w:rPr>
          <w:rFonts w:ascii="Times New Roman" w:hAnsi="Times New Roman" w:cs="Times New Roman"/>
          <w:bCs/>
          <w:color w:val="000000" w:themeColor="text1"/>
          <w14:textFill>
            <w14:solidFill>
              <w14:schemeClr w14:val="tx1"/>
            </w14:solidFill>
          </w14:textFill>
        </w:rPr>
        <w:t>级预警：现场人员报告当值班长，班长核实情况后立即报告公司应急指挥部，公司应急指挥部确认现场情况后，启动公司突发环境事件应急预案，并及时向钦州市应急办公室报告，由钦州市人民政府决定后发布预警等级。</w:t>
      </w:r>
    </w:p>
    <w:p w14:paraId="71E0FD73">
      <w:pPr>
        <w:pStyle w:val="168"/>
        <w:spacing w:after="0" w:line="360" w:lineRule="auto"/>
        <w:ind w:firstLine="480"/>
        <w:rPr>
          <w:rFonts w:ascii="Times New Roman" w:hAnsi="Times New Roman"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Ⅱ</w:t>
      </w:r>
      <w:r>
        <w:rPr>
          <w:rFonts w:ascii="Times New Roman" w:hAnsi="Times New Roman" w:cs="Times New Roman"/>
          <w:color w:val="000000" w:themeColor="text1"/>
          <w14:textFill>
            <w14:solidFill>
              <w14:schemeClr w14:val="tx1"/>
            </w14:solidFill>
          </w14:textFill>
        </w:rPr>
        <w:t>级预警：现场人员向当值班长报告，由当值班长负责上报事故情况，公司应急指挥部宣布启动预案。</w:t>
      </w:r>
    </w:p>
    <w:p w14:paraId="5796D966">
      <w:pPr>
        <w:pStyle w:val="168"/>
        <w:spacing w:after="0" w:line="360" w:lineRule="auto"/>
        <w:ind w:firstLine="480"/>
        <w:rPr>
          <w:rFonts w:ascii="Times New Roman" w:hAnsi="Times New Roman" w:cs="Times New Roman"/>
          <w:color w:val="000000" w:themeColor="text1"/>
          <w14:textFill>
            <w14:solidFill>
              <w14:schemeClr w14:val="tx1"/>
            </w14:solidFill>
          </w14:textFill>
        </w:rPr>
      </w:pPr>
      <w:r>
        <w:rPr>
          <w:rFonts w:hint="eastAsia"/>
          <w:bCs/>
          <w:color w:val="000000" w:themeColor="text1"/>
          <w14:textFill>
            <w14:solidFill>
              <w14:schemeClr w14:val="tx1"/>
            </w14:solidFill>
          </w14:textFill>
        </w:rPr>
        <w:t>Ⅲ</w:t>
      </w:r>
      <w:r>
        <w:rPr>
          <w:rFonts w:ascii="Times New Roman" w:hAnsi="Times New Roman" w:cs="Times New Roman"/>
          <w:color w:val="000000" w:themeColor="text1"/>
          <w14:textFill>
            <w14:solidFill>
              <w14:schemeClr w14:val="tx1"/>
            </w14:solidFill>
          </w14:textFill>
        </w:rPr>
        <w:t>级预警：现场人员立即报告部门负责人和当值班长并通知应急救援小组组长，由其调动组员负责相关部门进行现场处置，落实巡查、监控措施；如隐患未消除，应通知相关应急部门、人员作好应急准备。遇非工作日时，通知当值班长，并及时报告应急指挥部总指挥和有关人员。</w:t>
      </w:r>
    </w:p>
    <w:p w14:paraId="2F9CC682">
      <w:pPr>
        <w:pStyle w:val="168"/>
        <w:spacing w:after="0" w:line="360" w:lineRule="auto"/>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预警发布方式：可通过生产调度电话、广播系统、内部网络、对讲机、电信短信等形式，在确认预警状态10分钟内发布。</w:t>
      </w:r>
    </w:p>
    <w:p w14:paraId="062E2FD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（5）预警解除与升级</w:t>
      </w:r>
    </w:p>
    <w:p w14:paraId="2716065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预警解除与升级指令由应急总指挥长发布，当应急总指挥长不在岗时，由应急副总指挥长替代，传达方式有口头、电话、对讲机等。预警解除与升级程序有以下几种：</w:t>
      </w:r>
    </w:p>
    <w:p w14:paraId="24850D4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已发布预警，但事故未发生。由事故现场人员上传信息，应急总指挥长发布预警解除指令，应急办公室组长传达指令至各职能部门。</w:t>
      </w:r>
    </w:p>
    <w:p w14:paraId="103C427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已发布预警，事故已发生，但</w:t>
      </w:r>
      <w:bookmarkStart w:id="236" w:name="_GoBack"/>
      <w:r>
        <w:rPr>
          <w:rFonts w:ascii="Times New Roman" w:hAnsi="Times New Roman" w:cs="Times New Roman"/>
          <w:color w:val="000000" w:themeColor="text1"/>
          <w14:textFill>
            <w14:solidFill>
              <w14:schemeClr w14:val="tx1"/>
            </w14:solidFill>
          </w14:textFill>
        </w:rPr>
        <w:t>经</w:t>
      </w:r>
      <w:bookmarkEnd w:id="236"/>
      <w:r>
        <w:rPr>
          <w:rFonts w:ascii="Times New Roman" w:hAnsi="Times New Roman" w:cs="Times New Roman"/>
          <w:color w:val="000000" w:themeColor="text1"/>
          <w14:textFill>
            <w14:solidFill>
              <w14:schemeClr w14:val="tx1"/>
            </w14:solidFill>
          </w14:textFill>
        </w:rPr>
        <w:t>现场人员的努力得到快速控制，消除事故影响，未造成人员伤害、环境影响。由事故现场人员上传信息，应急办公室组长评估确认后，应急总指挥长发布预警解除指令，应急办公室组长传达指令至各职能部门。</w:t>
      </w:r>
    </w:p>
    <w:p w14:paraId="0E9859B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已发布预警，事故已发生，但事故难以短时间控制，并且有扩大趋势。应急办公室传达信息，应急总指挥长根据事故现场情况，提高预警等级，应急办公室组长传达指令至应急救援队伍，应急救援队伍采取更有力的现场应急处置措施。</w:t>
      </w:r>
    </w:p>
    <w:p w14:paraId="766D781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已发布预警，事故已发生，经多方努力将事故控制在相对安全、稳定的状态，消除突发环境事件的危险，应急办公室组长评估确认事故现场潜在危险已消除后上传信息至应急总指挥长，由应急总指挥长预警解除（即应急终止），应急办公室组长传达指令至应急救援队伍。</w:t>
      </w:r>
    </w:p>
    <w:p w14:paraId="517C8CA5">
      <w:pPr>
        <w:pStyle w:val="346"/>
        <w:ind w:firstLine="482" w:firstLineChars="200"/>
        <w:rPr>
          <w:color w:val="000000" w:themeColor="text1"/>
          <w14:textFill>
            <w14:solidFill>
              <w14:schemeClr w14:val="tx1"/>
            </w14:solidFill>
          </w14:textFill>
        </w:rPr>
      </w:pPr>
      <w:bookmarkStart w:id="208" w:name="_Toc95759405"/>
      <w:bookmarkStart w:id="209" w:name="_Toc144375261"/>
      <w:r>
        <w:rPr>
          <w:color w:val="000000" w:themeColor="text1"/>
          <w14:textFill>
            <w14:solidFill>
              <w14:schemeClr w14:val="tx1"/>
            </w14:solidFill>
          </w14:textFill>
        </w:rPr>
        <w:t>11.6</w:t>
      </w:r>
      <w:bookmarkEnd w:id="208"/>
      <w:r>
        <w:rPr>
          <w:color w:val="000000" w:themeColor="text1"/>
          <w14:textFill>
            <w14:solidFill>
              <w14:schemeClr w14:val="tx1"/>
            </w14:solidFill>
          </w14:textFill>
        </w:rPr>
        <w:t>应急响应</w:t>
      </w:r>
      <w:bookmarkEnd w:id="209"/>
    </w:p>
    <w:p w14:paraId="036BB2C6">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针对突发环境事件严重性、紧急程度、危害程度、影响范围、各公司控制事态的能力以及需要调动的应急资源，将突发环境事件划分为</w:t>
      </w:r>
      <w:r>
        <w:rPr>
          <w:rFonts w:hint="eastAsia"/>
          <w:color w:val="000000" w:themeColor="text1"/>
          <w14:textFill>
            <w14:solidFill>
              <w14:schemeClr w14:val="tx1"/>
            </w14:solidFill>
          </w14:textFill>
        </w:rPr>
        <w:t>Ⅰ</w:t>
      </w:r>
      <w:r>
        <w:rPr>
          <w:rFonts w:ascii="Times New Roman" w:hAnsi="Times New Roman" w:cs="Times New Roman"/>
          <w:color w:val="000000" w:themeColor="text1"/>
          <w14:textFill>
            <w14:solidFill>
              <w14:schemeClr w14:val="tx1"/>
            </w14:solidFill>
          </w14:textFill>
        </w:rPr>
        <w:t>级事件（社会级）、</w:t>
      </w:r>
      <w:r>
        <w:rPr>
          <w:rFonts w:hint="eastAsia"/>
          <w:color w:val="000000" w:themeColor="text1"/>
          <w14:textFill>
            <w14:solidFill>
              <w14:schemeClr w14:val="tx1"/>
            </w14:solidFill>
          </w14:textFill>
        </w:rPr>
        <w:t>Ⅱ</w:t>
      </w:r>
      <w:r>
        <w:rPr>
          <w:rFonts w:ascii="Times New Roman" w:hAnsi="Times New Roman" w:cs="Times New Roman"/>
          <w:color w:val="000000" w:themeColor="text1"/>
          <w14:textFill>
            <w14:solidFill>
              <w14:schemeClr w14:val="tx1"/>
            </w14:solidFill>
          </w14:textFill>
        </w:rPr>
        <w:t>级事件（企业级）和</w:t>
      </w:r>
      <w:r>
        <w:rPr>
          <w:rFonts w:hint="eastAsia"/>
          <w:color w:val="000000" w:themeColor="text1"/>
          <w14:textFill>
            <w14:solidFill>
              <w14:schemeClr w14:val="tx1"/>
            </w14:solidFill>
          </w14:textFill>
        </w:rPr>
        <w:t>Ⅲ</w:t>
      </w:r>
      <w:r>
        <w:rPr>
          <w:rFonts w:ascii="Times New Roman" w:hAnsi="Times New Roman" w:cs="Times New Roman"/>
          <w:color w:val="000000" w:themeColor="text1"/>
          <w14:textFill>
            <w14:solidFill>
              <w14:schemeClr w14:val="tx1"/>
            </w14:solidFill>
          </w14:textFill>
        </w:rPr>
        <w:t>级事件（部门级）三个等级并实行相应的预警级别。对于不同级别的突发环境事件启动不同等级的应急响应。应急响应的程序可分为应急响应响应级别、应急响应行动、信息报送和处理、指挥和协调、应急处置、信息发布、应急结束7个过程。</w:t>
      </w:r>
    </w:p>
    <w:p w14:paraId="1E00BF85">
      <w:pPr>
        <w:pStyle w:val="4003"/>
        <w:rPr>
          <w:color w:val="000000" w:themeColor="text1"/>
          <w14:textFill>
            <w14:solidFill>
              <w14:schemeClr w14:val="tx1"/>
            </w14:solidFill>
          </w14:textFill>
        </w:rPr>
      </w:pPr>
      <w:r>
        <w:rPr>
          <w:color w:val="000000" w:themeColor="text1"/>
          <w14:textFill>
            <w14:solidFill>
              <w14:schemeClr w14:val="tx1"/>
            </w14:solidFill>
          </w14:textFill>
        </w:rPr>
        <w:t>11.6.1应急响应响应级别</w:t>
      </w:r>
    </w:p>
    <w:p w14:paraId="2D58638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突发环境事件发生事态的发展需要启动应急预案时，公司应急救援指挥部应根据表11-2的内容确定应急响应的级别，并通知相关团队或单位采取应急响应行动。各应急响应等级可能会由于现场形势的发展而发生改变，指挥部具体需根据事故态势变化及时预测与调整。当事件超出控制能力时，当级总指挥及时向上级总指挥提出启动上一级应急响应的要求，并做好指挥权的交接。</w:t>
      </w:r>
    </w:p>
    <w:p w14:paraId="5180C448">
      <w:pPr>
        <w:contextualSpacing/>
        <w:jc w:val="center"/>
        <w:rPr>
          <w:rFonts w:ascii="Times New Roman" w:hAnsi="Times New Roman" w:cs="Times New Roman"/>
          <w:bCs/>
          <w:color w:val="000000" w:themeColor="text1"/>
          <w:szCs w:val="21"/>
          <w:lang w:val="zh-CN"/>
          <w14:textFill>
            <w14:solidFill>
              <w14:schemeClr w14:val="tx1"/>
            </w14:solidFill>
          </w14:textFill>
        </w:rPr>
        <w:sectPr>
          <w:pgSz w:w="11907" w:h="16840"/>
          <w:pgMar w:top="1440" w:right="1800" w:bottom="1440" w:left="1800" w:header="964" w:footer="964" w:gutter="0"/>
          <w:cols w:space="720" w:num="1"/>
          <w:titlePg/>
          <w:docGrid w:linePitch="326" w:charSpace="-4300"/>
        </w:sectPr>
      </w:pPr>
    </w:p>
    <w:p w14:paraId="1A40C846">
      <w:pPr>
        <w:contextualSpacing/>
        <w:jc w:val="center"/>
        <w:rPr>
          <w:rFonts w:ascii="Times New Roman" w:hAnsi="Times New Roman" w:cs="Times New Roman"/>
          <w:b/>
          <w:color w:val="000000" w:themeColor="text1"/>
          <w:szCs w:val="21"/>
          <w:lang w:val="zh-CN"/>
          <w14:textFill>
            <w14:solidFill>
              <w14:schemeClr w14:val="tx1"/>
            </w14:solidFill>
          </w14:textFill>
        </w:rPr>
      </w:pPr>
      <w:r>
        <w:rPr>
          <w:rFonts w:ascii="Times New Roman" w:hAnsi="Times New Roman" w:cs="Times New Roman"/>
          <w:b/>
          <w:color w:val="000000" w:themeColor="text1"/>
          <w:szCs w:val="21"/>
          <w:lang w:val="zh-CN"/>
          <w14:textFill>
            <w14:solidFill>
              <w14:schemeClr w14:val="tx1"/>
            </w14:solidFill>
          </w14:textFill>
        </w:rPr>
        <w:t>表</w:t>
      </w:r>
      <w:r>
        <w:rPr>
          <w:rFonts w:ascii="Times New Roman" w:hAnsi="Times New Roman" w:cs="Times New Roman"/>
          <w:b/>
          <w:color w:val="000000" w:themeColor="text1"/>
          <w:szCs w:val="21"/>
          <w14:textFill>
            <w14:solidFill>
              <w14:schemeClr w14:val="tx1"/>
            </w14:solidFill>
          </w14:textFill>
        </w:rPr>
        <w:t>11-4</w:t>
      </w:r>
      <w:r>
        <w:rPr>
          <w:rFonts w:ascii="Times New Roman" w:hAnsi="Times New Roman" w:cs="Times New Roman"/>
          <w:b/>
          <w:color w:val="000000" w:themeColor="text1"/>
          <w:szCs w:val="21"/>
          <w:lang w:val="zh-CN"/>
          <w14:textFill>
            <w14:solidFill>
              <w14:schemeClr w14:val="tx1"/>
            </w14:solidFill>
          </w14:textFill>
        </w:rPr>
        <w:t xml:space="preserve"> </w:t>
      </w:r>
      <w:r>
        <w:rPr>
          <w:rFonts w:ascii="Times New Roman" w:hAnsi="Times New Roman" w:cs="Times New Roman"/>
          <w:b/>
          <w:color w:val="000000" w:themeColor="text1"/>
          <w:szCs w:val="21"/>
          <w14:textFill>
            <w14:solidFill>
              <w14:schemeClr w14:val="tx1"/>
            </w14:solidFill>
          </w14:textFill>
        </w:rPr>
        <w:t>企业</w:t>
      </w:r>
      <w:r>
        <w:rPr>
          <w:rFonts w:ascii="Times New Roman" w:hAnsi="Times New Roman" w:cs="Times New Roman"/>
          <w:b/>
          <w:color w:val="000000" w:themeColor="text1"/>
          <w:szCs w:val="21"/>
          <w:lang w:val="zh-CN"/>
          <w14:textFill>
            <w14:solidFill>
              <w14:schemeClr w14:val="tx1"/>
            </w14:solidFill>
          </w14:textFill>
        </w:rPr>
        <w:t>突发环境事件预警分级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660"/>
        <w:gridCol w:w="2399"/>
        <w:gridCol w:w="2410"/>
        <w:gridCol w:w="961"/>
        <w:gridCol w:w="961"/>
        <w:gridCol w:w="962"/>
      </w:tblGrid>
      <w:tr w14:paraId="64CB0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604" w:hRule="atLeast"/>
          <w:jc w:val="center"/>
        </w:trPr>
        <w:tc>
          <w:tcPr>
            <w:tcW w:w="687" w:type="dxa"/>
            <w:vAlign w:val="center"/>
          </w:tcPr>
          <w:p w14:paraId="01988A2E">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预警</w:t>
            </w:r>
          </w:p>
          <w:p w14:paraId="394D029D">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级别</w:t>
            </w:r>
          </w:p>
        </w:tc>
        <w:tc>
          <w:tcPr>
            <w:tcW w:w="2503" w:type="dxa"/>
            <w:vAlign w:val="center"/>
          </w:tcPr>
          <w:p w14:paraId="715D5AE0">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14:textFill>
                  <w14:solidFill>
                    <w14:schemeClr w14:val="tx1"/>
                  </w14:solidFill>
                </w14:textFill>
              </w:rPr>
              <w:t>环境风险事件</w:t>
            </w:r>
          </w:p>
        </w:tc>
        <w:tc>
          <w:tcPr>
            <w:tcW w:w="2515" w:type="dxa"/>
            <w:vAlign w:val="center"/>
          </w:tcPr>
          <w:p w14:paraId="4EB1A8E4">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14:textFill>
                  <w14:solidFill>
                    <w14:schemeClr w14:val="tx1"/>
                  </w14:solidFill>
                </w14:textFill>
              </w:rPr>
              <w:t>响应程序</w:t>
            </w:r>
          </w:p>
        </w:tc>
        <w:tc>
          <w:tcPr>
            <w:tcW w:w="1001" w:type="dxa"/>
            <w:vAlign w:val="center"/>
          </w:tcPr>
          <w:p w14:paraId="5F09FD5C">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指挥权</w:t>
            </w:r>
          </w:p>
        </w:tc>
        <w:tc>
          <w:tcPr>
            <w:tcW w:w="1001" w:type="dxa"/>
            <w:vAlign w:val="center"/>
          </w:tcPr>
          <w:p w14:paraId="5E173C57">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分级响应</w:t>
            </w:r>
          </w:p>
        </w:tc>
        <w:tc>
          <w:tcPr>
            <w:tcW w:w="1002" w:type="dxa"/>
            <w:vAlign w:val="center"/>
          </w:tcPr>
          <w:p w14:paraId="6F53FE49">
            <w:pPr>
              <w:jc w:val="center"/>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响应人员</w:t>
            </w:r>
          </w:p>
        </w:tc>
      </w:tr>
      <w:tr w14:paraId="394ED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916" w:hRule="atLeast"/>
          <w:jc w:val="center"/>
        </w:trPr>
        <w:tc>
          <w:tcPr>
            <w:tcW w:w="687" w:type="dxa"/>
            <w:vAlign w:val="center"/>
          </w:tcPr>
          <w:p w14:paraId="04343829">
            <w:pPr>
              <w:jc w:val="cente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Ⅰ</w:t>
            </w:r>
            <w:r>
              <w:rPr>
                <w:rFonts w:ascii="Times New Roman" w:hAnsi="Times New Roman" w:cs="Times New Roman"/>
                <w:bCs/>
                <w:color w:val="000000" w:themeColor="text1"/>
                <w:sz w:val="21"/>
                <w:szCs w:val="21"/>
                <w14:textFill>
                  <w14:solidFill>
                    <w14:schemeClr w14:val="tx1"/>
                  </w14:solidFill>
                </w14:textFill>
              </w:rPr>
              <w:t>级</w:t>
            </w:r>
          </w:p>
        </w:tc>
        <w:tc>
          <w:tcPr>
            <w:tcW w:w="2503" w:type="dxa"/>
            <w:vAlign w:val="center"/>
          </w:tcPr>
          <w:p w14:paraId="5A215E0F">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属于</w:t>
            </w:r>
            <w:r>
              <w:rPr>
                <w:rFonts w:hint="eastAsia"/>
                <w:b/>
                <w:color w:val="000000" w:themeColor="text1"/>
                <w:sz w:val="21"/>
                <w:szCs w:val="21"/>
                <w14:textFill>
                  <w14:solidFill>
                    <w14:schemeClr w14:val="tx1"/>
                  </w14:solidFill>
                </w14:textFill>
              </w:rPr>
              <w:t>Ⅰ</w:t>
            </w:r>
            <w:r>
              <w:rPr>
                <w:rFonts w:ascii="Times New Roman" w:hAnsi="Times New Roman" w:cs="Times New Roman"/>
                <w:b/>
                <w:color w:val="000000" w:themeColor="text1"/>
                <w:sz w:val="21"/>
                <w:szCs w:val="21"/>
                <w14:textFill>
                  <w14:solidFill>
                    <w14:schemeClr w14:val="tx1"/>
                  </w14:solidFill>
                </w14:textFill>
              </w:rPr>
              <w:t>级突发环境事件。</w:t>
            </w:r>
            <w:r>
              <w:rPr>
                <w:rFonts w:ascii="Times New Roman" w:hAnsi="Times New Roman" w:cs="Times New Roman"/>
                <w:bCs/>
                <w:color w:val="000000" w:themeColor="text1"/>
                <w:sz w:val="21"/>
                <w:szCs w:val="21"/>
                <w14:textFill>
                  <w14:solidFill>
                    <w14:schemeClr w14:val="tx1"/>
                  </w14:solidFill>
                </w14:textFill>
              </w:rPr>
              <w:t>事故范围大，难以控制，如超出了本单位的范围，使临近的单位受到影响，或者产生连锁反应，影响事故现场之外的周围地区；或危害严重，对生命和财产构成极端威胁，可能需要大范围撤离；或需要外部力量，如政府派专家、资源进行支援的事故。例如：罐区发生火灾、爆炸，无法控制。</w:t>
            </w:r>
          </w:p>
        </w:tc>
        <w:tc>
          <w:tcPr>
            <w:tcW w:w="2515" w:type="dxa"/>
            <w:vAlign w:val="center"/>
          </w:tcPr>
          <w:p w14:paraId="6F5B3F7F">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①</w:t>
            </w:r>
            <w:r>
              <w:rPr>
                <w:rFonts w:ascii="Times New Roman" w:hAnsi="Times New Roman" w:cs="Times New Roman"/>
                <w:bCs/>
                <w:color w:val="000000" w:themeColor="text1"/>
                <w:sz w:val="21"/>
                <w:szCs w:val="21"/>
                <w14:textFill>
                  <w14:solidFill>
                    <w14:schemeClr w14:val="tx1"/>
                  </w14:solidFill>
                </w14:textFill>
              </w:rPr>
              <w:t xml:space="preserve"> 启动并实施本应急预案，并在第一时间内向钦州市生态环境局报告，请求支援，然后由钦州市生态环境局视事故情况逐级向区、市、省人民政府或市、省生态环境局报告；</w:t>
            </w:r>
          </w:p>
          <w:p w14:paraId="69A84AAF">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②</w:t>
            </w:r>
            <w:r>
              <w:rPr>
                <w:rFonts w:ascii="Times New Roman" w:hAnsi="Times New Roman" w:cs="Times New Roman"/>
                <w:bCs/>
                <w:color w:val="000000" w:themeColor="text1"/>
                <w:sz w:val="21"/>
                <w:szCs w:val="21"/>
                <w14:textFill>
                  <w14:solidFill>
                    <w14:schemeClr w14:val="tx1"/>
                  </w14:solidFill>
                </w14:textFill>
              </w:rPr>
              <w:t>启动本单位应急指挥机构；</w:t>
            </w:r>
          </w:p>
          <w:p w14:paraId="20784BFF">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③</w:t>
            </w:r>
            <w:r>
              <w:rPr>
                <w:rFonts w:ascii="Times New Roman" w:hAnsi="Times New Roman" w:cs="Times New Roman"/>
                <w:bCs/>
                <w:color w:val="000000" w:themeColor="text1"/>
                <w:sz w:val="21"/>
                <w:szCs w:val="21"/>
                <w14:textFill>
                  <w14:solidFill>
                    <w14:schemeClr w14:val="tx1"/>
                  </w14:solidFill>
                </w14:textFill>
              </w:rPr>
              <w:t>根据应急预案或外部的有关指示，协调组织应急救援力量开展应急救援工作；</w:t>
            </w:r>
          </w:p>
          <w:p w14:paraId="3A678274">
            <w:pP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④</w:t>
            </w:r>
            <w:r>
              <w:rPr>
                <w:rFonts w:ascii="Times New Roman" w:hAnsi="Times New Roman" w:cs="Times New Roman"/>
                <w:bCs/>
                <w:color w:val="000000" w:themeColor="text1"/>
                <w:sz w:val="21"/>
                <w:szCs w:val="21"/>
                <w14:textFill>
                  <w14:solidFill>
                    <w14:schemeClr w14:val="tx1"/>
                  </w14:solidFill>
                </w14:textFill>
              </w:rPr>
              <w:t>外部应急、救援力量到达现场后，同本单位处置事件。</w:t>
            </w:r>
          </w:p>
        </w:tc>
        <w:tc>
          <w:tcPr>
            <w:tcW w:w="1001" w:type="dxa"/>
            <w:vAlign w:val="center"/>
          </w:tcPr>
          <w:p w14:paraId="3EB24AE7">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政府有关部门</w:t>
            </w:r>
          </w:p>
        </w:tc>
        <w:tc>
          <w:tcPr>
            <w:tcW w:w="1001" w:type="dxa"/>
            <w:vAlign w:val="center"/>
          </w:tcPr>
          <w:p w14:paraId="7EF61E81">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救援、警戒 、 求援 、 发布 、 汇报、其它工作</w:t>
            </w:r>
          </w:p>
        </w:tc>
        <w:tc>
          <w:tcPr>
            <w:tcW w:w="1002" w:type="dxa"/>
            <w:vAlign w:val="center"/>
          </w:tcPr>
          <w:p w14:paraId="2A161CBD">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全公司、周边企业和社会力量等人员</w:t>
            </w:r>
          </w:p>
        </w:tc>
      </w:tr>
      <w:tr w14:paraId="0A8C6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11" w:hRule="atLeast"/>
          <w:jc w:val="center"/>
        </w:trPr>
        <w:tc>
          <w:tcPr>
            <w:tcW w:w="687" w:type="dxa"/>
            <w:vAlign w:val="center"/>
          </w:tcPr>
          <w:p w14:paraId="5E5E1E86">
            <w:pPr>
              <w:jc w:val="cente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Ⅱ</w:t>
            </w:r>
            <w:r>
              <w:rPr>
                <w:rFonts w:ascii="Times New Roman" w:hAnsi="Times New Roman" w:cs="Times New Roman"/>
                <w:bCs/>
                <w:color w:val="000000" w:themeColor="text1"/>
                <w:sz w:val="21"/>
                <w:szCs w:val="21"/>
                <w14:textFill>
                  <w14:solidFill>
                    <w14:schemeClr w14:val="tx1"/>
                  </w14:solidFill>
                </w14:textFill>
              </w:rPr>
              <w:t>级</w:t>
            </w:r>
          </w:p>
        </w:tc>
        <w:tc>
          <w:tcPr>
            <w:tcW w:w="2503" w:type="dxa"/>
            <w:vAlign w:val="center"/>
          </w:tcPr>
          <w:p w14:paraId="3829C5D9">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属于</w:t>
            </w:r>
            <w:r>
              <w:rPr>
                <w:rFonts w:hint="eastAsia"/>
                <w:b/>
                <w:color w:val="000000" w:themeColor="text1"/>
                <w:sz w:val="21"/>
                <w:szCs w:val="21"/>
                <w14:textFill>
                  <w14:solidFill>
                    <w14:schemeClr w14:val="tx1"/>
                  </w14:solidFill>
                </w14:textFill>
              </w:rPr>
              <w:t>Ⅱ</w:t>
            </w:r>
            <w:r>
              <w:rPr>
                <w:rFonts w:ascii="Times New Roman" w:hAnsi="Times New Roman" w:cs="Times New Roman"/>
                <w:b/>
                <w:color w:val="000000" w:themeColor="text1"/>
                <w:sz w:val="21"/>
                <w:szCs w:val="21"/>
                <w14:textFill>
                  <w14:solidFill>
                    <w14:schemeClr w14:val="tx1"/>
                  </w14:solidFill>
                </w14:textFill>
              </w:rPr>
              <w:t>级突发环境事件。</w:t>
            </w:r>
            <w:r>
              <w:rPr>
                <w:rFonts w:ascii="Times New Roman" w:hAnsi="Times New Roman" w:cs="Times New Roman"/>
                <w:bCs/>
                <w:color w:val="000000" w:themeColor="text1"/>
                <w:sz w:val="21"/>
                <w:szCs w:val="21"/>
                <w14:textFill>
                  <w14:solidFill>
                    <w14:schemeClr w14:val="tx1"/>
                  </w14:solidFill>
                </w14:textFill>
              </w:rPr>
              <w:t>较大范围的事故，如限制在单位内的现场周边地区或只有有限的扩散范围，影响到相邻的生产单元；或较大威胁的事故，该事故对生命和财产构成潜在威胁，周边区域的人员需要有限撤离。例如：罐区、装卸区发生火灾、泄漏，事故可控制在园区范围内。</w:t>
            </w:r>
          </w:p>
        </w:tc>
        <w:tc>
          <w:tcPr>
            <w:tcW w:w="2515" w:type="dxa"/>
            <w:vAlign w:val="center"/>
          </w:tcPr>
          <w:p w14:paraId="75AEA3C2">
            <w:pPr>
              <w:pStyle w:val="146"/>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①</w:t>
            </w:r>
            <w:r>
              <w:rPr>
                <w:rFonts w:ascii="Times New Roman" w:hAnsi="Times New Roman" w:cs="Times New Roman"/>
                <w:bCs/>
                <w:color w:val="000000" w:themeColor="text1"/>
                <w:sz w:val="21"/>
                <w:szCs w:val="21"/>
                <w14:textFill>
                  <w14:solidFill>
                    <w14:schemeClr w14:val="tx1"/>
                  </w14:solidFill>
                </w14:textFill>
              </w:rPr>
              <w:t>启动并实施本单位应急预案，同时通知港区启动港区应急预案，必要时向钦州市生态环境局报告；</w:t>
            </w:r>
          </w:p>
          <w:p w14:paraId="22A664E6">
            <w:pPr>
              <w:pStyle w:val="146"/>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②</w:t>
            </w:r>
            <w:r>
              <w:rPr>
                <w:rFonts w:ascii="Times New Roman" w:hAnsi="Times New Roman" w:cs="Times New Roman"/>
                <w:bCs/>
                <w:color w:val="000000" w:themeColor="text1"/>
                <w:sz w:val="21"/>
                <w:szCs w:val="21"/>
                <w14:textFill>
                  <w14:solidFill>
                    <w14:schemeClr w14:val="tx1"/>
                  </w14:solidFill>
                </w14:textFill>
              </w:rPr>
              <w:t>启动本单位应急指挥机构；</w:t>
            </w:r>
          </w:p>
          <w:p w14:paraId="28E60FCE">
            <w:pPr>
              <w:pStyle w:val="146"/>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③</w:t>
            </w:r>
            <w:r>
              <w:rPr>
                <w:rFonts w:ascii="Times New Roman" w:hAnsi="Times New Roman" w:cs="Times New Roman"/>
                <w:bCs/>
                <w:color w:val="000000" w:themeColor="text1"/>
                <w:sz w:val="21"/>
                <w:szCs w:val="21"/>
                <w14:textFill>
                  <w14:solidFill>
                    <w14:schemeClr w14:val="tx1"/>
                  </w14:solidFill>
                </w14:textFill>
              </w:rPr>
              <w:t>协调组织应急救援力量开展应急救援工作；</w:t>
            </w:r>
          </w:p>
          <w:p w14:paraId="1401CAC0">
            <w:pPr>
              <w:pStyle w:val="146"/>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④</w:t>
            </w:r>
            <w:r>
              <w:rPr>
                <w:rFonts w:ascii="Times New Roman" w:hAnsi="Times New Roman" w:cs="Times New Roman"/>
                <w:bCs/>
                <w:color w:val="000000" w:themeColor="text1"/>
                <w:sz w:val="21"/>
                <w:szCs w:val="21"/>
                <w14:textFill>
                  <w14:solidFill>
                    <w14:schemeClr w14:val="tx1"/>
                  </w14:solidFill>
                </w14:textFill>
              </w:rPr>
              <w:t>需要其他应急救援力量支援时，由钦州市生态环境局向人民政府提出请求。</w:t>
            </w:r>
          </w:p>
        </w:tc>
        <w:tc>
          <w:tcPr>
            <w:tcW w:w="1001" w:type="dxa"/>
            <w:vAlign w:val="center"/>
          </w:tcPr>
          <w:p w14:paraId="5ADDFD3B">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港区总指挥长</w:t>
            </w:r>
          </w:p>
        </w:tc>
        <w:tc>
          <w:tcPr>
            <w:tcW w:w="1001" w:type="dxa"/>
            <w:vAlign w:val="center"/>
          </w:tcPr>
          <w:p w14:paraId="76DEE87F">
            <w:pPr>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救援、警戒 、 求援 、 发布、汇报</w:t>
            </w:r>
          </w:p>
        </w:tc>
        <w:tc>
          <w:tcPr>
            <w:tcW w:w="1002" w:type="dxa"/>
            <w:vAlign w:val="center"/>
          </w:tcPr>
          <w:p w14:paraId="25658DC4">
            <w:pPr>
              <w:jc w:val="center"/>
              <w:rPr>
                <w:rFonts w:ascii="Times New Roman" w:hAnsi="Times New Roman" w:cs="Times New Roman"/>
                <w:bCs/>
                <w:color w:val="000000" w:themeColor="text1"/>
                <w:sz w:val="21"/>
                <w:szCs w:val="21"/>
                <w:lang w:val="zh-CN"/>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全公司、周边企业和社会力量等人员</w:t>
            </w:r>
          </w:p>
        </w:tc>
      </w:tr>
      <w:tr w14:paraId="12558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111" w:hRule="atLeast"/>
          <w:jc w:val="center"/>
        </w:trPr>
        <w:tc>
          <w:tcPr>
            <w:tcW w:w="687" w:type="dxa"/>
            <w:vAlign w:val="center"/>
          </w:tcPr>
          <w:p w14:paraId="3415B3C9">
            <w:pPr>
              <w:jc w:val="center"/>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Ⅲ</w:t>
            </w:r>
            <w:r>
              <w:rPr>
                <w:rFonts w:ascii="Times New Roman" w:hAnsi="Times New Roman" w:cs="Times New Roman"/>
                <w:bCs/>
                <w:color w:val="000000" w:themeColor="text1"/>
                <w:sz w:val="21"/>
                <w:szCs w:val="21"/>
                <w14:textFill>
                  <w14:solidFill>
                    <w14:schemeClr w14:val="tx1"/>
                  </w14:solidFill>
                </w14:textFill>
              </w:rPr>
              <w:t>级</w:t>
            </w:r>
          </w:p>
        </w:tc>
        <w:tc>
          <w:tcPr>
            <w:tcW w:w="2503" w:type="dxa"/>
          </w:tcPr>
          <w:p w14:paraId="7A2261D2">
            <w:pPr>
              <w:pStyle w:val="146"/>
              <w:jc w:val="both"/>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属于</w:t>
            </w:r>
            <w:r>
              <w:rPr>
                <w:rFonts w:hint="eastAsia"/>
                <w:b/>
                <w:color w:val="000000" w:themeColor="text1"/>
                <w:sz w:val="21"/>
                <w:szCs w:val="21"/>
                <w14:textFill>
                  <w14:solidFill>
                    <w14:schemeClr w14:val="tx1"/>
                  </w14:solidFill>
                </w14:textFill>
              </w:rPr>
              <w:t>Ⅲ</w:t>
            </w:r>
            <w:r>
              <w:rPr>
                <w:rFonts w:ascii="Times New Roman" w:hAnsi="Times New Roman" w:cs="Times New Roman"/>
                <w:b/>
                <w:color w:val="000000" w:themeColor="text1"/>
                <w:sz w:val="21"/>
                <w:szCs w:val="21"/>
                <w14:textFill>
                  <w14:solidFill>
                    <w14:schemeClr w14:val="tx1"/>
                  </w14:solidFill>
                </w14:textFill>
              </w:rPr>
              <w:t>级突发环境事件。</w:t>
            </w:r>
            <w:r>
              <w:rPr>
                <w:rFonts w:ascii="Times New Roman" w:hAnsi="Times New Roman" w:cs="Times New Roman"/>
                <w:bCs/>
                <w:color w:val="000000" w:themeColor="text1"/>
                <w:sz w:val="21"/>
                <w:szCs w:val="21"/>
                <w14:textFill>
                  <w14:solidFill>
                    <w14:schemeClr w14:val="tx1"/>
                  </w14:solidFill>
                </w14:textFill>
              </w:rPr>
              <w:t>某个事故或泄漏可以被公司和公司职工控制。除所涉及的设施及其邻近设施的人员外，不需要额外撤离其他人员。事故限制在本单位区域范围内，不立即对生命财产构成威胁。例如：储罐发生少量泄漏；危险废物泄漏但未传向外界，可通过车间现场应急处置的。</w:t>
            </w:r>
          </w:p>
        </w:tc>
        <w:tc>
          <w:tcPr>
            <w:tcW w:w="2515" w:type="dxa"/>
            <w:vAlign w:val="center"/>
          </w:tcPr>
          <w:p w14:paraId="226FF9B5">
            <w:pPr>
              <w:pStyle w:val="146"/>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①</w:t>
            </w:r>
            <w:r>
              <w:rPr>
                <w:rFonts w:ascii="Times New Roman" w:hAnsi="Times New Roman" w:cs="Times New Roman"/>
                <w:bCs/>
                <w:color w:val="000000" w:themeColor="text1"/>
                <w:sz w:val="21"/>
                <w:szCs w:val="21"/>
                <w14:textFill>
                  <w14:solidFill>
                    <w14:schemeClr w14:val="tx1"/>
                  </w14:solidFill>
                </w14:textFill>
              </w:rPr>
              <w:t>启动并实施本单位应急预案，视情况向生态环境局报告；</w:t>
            </w:r>
          </w:p>
          <w:p w14:paraId="653EA34F">
            <w:pPr>
              <w:pStyle w:val="146"/>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②</w:t>
            </w:r>
            <w:r>
              <w:rPr>
                <w:rFonts w:ascii="Times New Roman" w:hAnsi="Times New Roman" w:cs="Times New Roman"/>
                <w:bCs/>
                <w:color w:val="000000" w:themeColor="text1"/>
                <w:sz w:val="21"/>
                <w:szCs w:val="21"/>
                <w14:textFill>
                  <w14:solidFill>
                    <w14:schemeClr w14:val="tx1"/>
                  </w14:solidFill>
                </w14:textFill>
              </w:rPr>
              <w:t>启动本公司应急指挥机构；</w:t>
            </w:r>
          </w:p>
          <w:p w14:paraId="1967A647">
            <w:pPr>
              <w:pStyle w:val="146"/>
              <w:rPr>
                <w:rFonts w:ascii="Times New Roman" w:hAnsi="Times New Roman" w:cs="Times New Roman"/>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③</w:t>
            </w:r>
            <w:r>
              <w:rPr>
                <w:rFonts w:ascii="Times New Roman" w:hAnsi="Times New Roman" w:cs="Times New Roman"/>
                <w:bCs/>
                <w:color w:val="000000" w:themeColor="text1"/>
                <w:sz w:val="21"/>
                <w:szCs w:val="21"/>
                <w14:textFill>
                  <w14:solidFill>
                    <w14:schemeClr w14:val="tx1"/>
                  </w14:solidFill>
                </w14:textFill>
              </w:rPr>
              <w:t>协调组织应急救援力量开展应急救援工作。</w:t>
            </w:r>
          </w:p>
        </w:tc>
        <w:tc>
          <w:tcPr>
            <w:tcW w:w="1001" w:type="dxa"/>
            <w:vAlign w:val="center"/>
          </w:tcPr>
          <w:p w14:paraId="67ABB10C">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公司总指挥长</w:t>
            </w:r>
          </w:p>
        </w:tc>
        <w:tc>
          <w:tcPr>
            <w:tcW w:w="1001" w:type="dxa"/>
            <w:vAlign w:val="center"/>
          </w:tcPr>
          <w:p w14:paraId="7470BA96">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救援、警</w:t>
            </w:r>
          </w:p>
          <w:p w14:paraId="539634FE">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戒 、 发</w:t>
            </w:r>
          </w:p>
          <w:p w14:paraId="4B5EC812">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布、汇报</w:t>
            </w:r>
          </w:p>
        </w:tc>
        <w:tc>
          <w:tcPr>
            <w:tcW w:w="1002" w:type="dxa"/>
            <w:vAlign w:val="center"/>
          </w:tcPr>
          <w:p w14:paraId="59A95092">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 xml:space="preserve">一线关 </w:t>
            </w:r>
          </w:p>
          <w:p w14:paraId="25DCE1AC">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键人员、</w:t>
            </w:r>
          </w:p>
          <w:p w14:paraId="6003C8A2">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 xml:space="preserve">安全环 </w:t>
            </w:r>
          </w:p>
          <w:p w14:paraId="291FAD1F">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保员、专</w:t>
            </w:r>
          </w:p>
          <w:p w14:paraId="7247D858">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 xml:space="preserve">业工程 </w:t>
            </w:r>
          </w:p>
          <w:p w14:paraId="1711A16B">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 xml:space="preserve">师和主 </w:t>
            </w:r>
          </w:p>
          <w:p w14:paraId="5CA05852">
            <w:pPr>
              <w:pStyle w:val="146"/>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管</w:t>
            </w:r>
          </w:p>
        </w:tc>
      </w:tr>
    </w:tbl>
    <w:p w14:paraId="2FEE6DDA">
      <w:pPr>
        <w:pStyle w:val="4003"/>
        <w:rPr>
          <w:color w:val="000000" w:themeColor="text1"/>
          <w14:textFill>
            <w14:solidFill>
              <w14:schemeClr w14:val="tx1"/>
            </w14:solidFill>
          </w14:textFill>
        </w:rPr>
      </w:pPr>
      <w:r>
        <w:rPr>
          <w:rStyle w:val="4006"/>
          <w:b/>
          <w:color w:val="000000" w:themeColor="text1"/>
          <w14:textFill>
            <w14:solidFill>
              <w14:schemeClr w14:val="tx1"/>
            </w14:solidFill>
          </w14:textFill>
        </w:rPr>
        <w:t>11.6.2</w:t>
      </w:r>
      <w:r>
        <w:rPr>
          <w:color w:val="000000" w:themeColor="text1"/>
          <w14:textFill>
            <w14:solidFill>
              <w14:schemeClr w14:val="tx1"/>
            </w14:solidFill>
          </w14:textFill>
        </w:rPr>
        <w:t>信息报送和处理</w:t>
      </w:r>
    </w:p>
    <w:p w14:paraId="1EDA9028">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（1）报告程序</w:t>
      </w:r>
    </w:p>
    <w:p w14:paraId="510DEB3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事故信息报告流程如下：</w:t>
      </w:r>
    </w:p>
    <w:p w14:paraId="7D2CA33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现场人员发现突发环境事件隐患或征兆时及时报告值班组长（严重时直接报告总指挥），值班组长及时上报消防监控中心，消防监控中心上报应急指挥部，在指挥部对事件级别进行研判后，相应级别的总指挥通知相应的应急队伍。在事件达到II级以上时，由总指挥上报钦州市生态环境局（电话：0777-2822097）。在紧急情况下，可以越级上报，或拨打110或119，有人员严重受伤时拨打120。</w:t>
      </w:r>
    </w:p>
    <w:p w14:paraId="5E1914C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（2）报告内容和形式</w:t>
      </w:r>
    </w:p>
    <w:p w14:paraId="1D2717A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信息报告形式可分为两种：口头汇报与正式的书面报告。</w:t>
      </w:r>
    </w:p>
    <w:p w14:paraId="29B6C3D7">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对于</w:t>
      </w:r>
      <w:r>
        <w:rPr>
          <w:rFonts w:hint="eastAsia"/>
          <w:color w:val="000000" w:themeColor="text1"/>
          <w14:textFill>
            <w14:solidFill>
              <w14:schemeClr w14:val="tx1"/>
            </w14:solidFill>
          </w14:textFill>
        </w:rPr>
        <w:t>Ⅲ</w:t>
      </w:r>
      <w:r>
        <w:rPr>
          <w:rFonts w:ascii="Times New Roman" w:hAnsi="Times New Roman" w:cs="Times New Roman"/>
          <w:color w:val="000000" w:themeColor="text1"/>
          <w14:textFill>
            <w14:solidFill>
              <w14:schemeClr w14:val="tx1"/>
            </w14:solidFill>
          </w14:textFill>
        </w:rPr>
        <w:t>级、</w:t>
      </w:r>
      <w:r>
        <w:rPr>
          <w:rFonts w:hint="eastAsia"/>
          <w:color w:val="000000" w:themeColor="text1"/>
          <w14:textFill>
            <w14:solidFill>
              <w14:schemeClr w14:val="tx1"/>
            </w14:solidFill>
          </w14:textFill>
        </w:rPr>
        <w:t>Ⅱ</w:t>
      </w:r>
      <w:r>
        <w:rPr>
          <w:rFonts w:ascii="Times New Roman" w:hAnsi="Times New Roman" w:cs="Times New Roman"/>
          <w:color w:val="000000" w:themeColor="text1"/>
          <w14:textFill>
            <w14:solidFill>
              <w14:schemeClr w14:val="tx1"/>
            </w14:solidFill>
          </w14:textFill>
        </w:rPr>
        <w:t>事件，报告人员应口头或电话上报上一级领导。</w:t>
      </w:r>
    </w:p>
    <w:p w14:paraId="6C1F7B5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对于I级事件，总指挥在事件发生初期就应该进行口头上的通知钦州市生态环境局，随后补上初报、续报以及处理结果报三类正式的书面报告。</w:t>
      </w:r>
    </w:p>
    <w:p w14:paraId="226C911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初报在发现事件后1小时内上报；续报在查清有关基本情况后随时上报，处理结果报告在事件处理完毕后及时上报。</w:t>
      </w:r>
    </w:p>
    <w:p w14:paraId="5D3F5D3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初报可用电话直接报告，初报一般应包括但不限于以下内容：</w:t>
      </w:r>
    </w:p>
    <w:p w14:paraId="76E10C2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a、事件发生的时间和地点；</w:t>
      </w:r>
    </w:p>
    <w:p w14:paraId="4E47EC5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b、事件类型：泄漏、火灾、爆炸或环保措施的故障事故排放等；</w:t>
      </w:r>
    </w:p>
    <w:p w14:paraId="3780128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c、估计造成事件的泄漏量；</w:t>
      </w:r>
    </w:p>
    <w:p w14:paraId="3D61DB45">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d、已采取的应急措施；</w:t>
      </w:r>
    </w:p>
    <w:p w14:paraId="1CAD951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e、已污染的范围、潜在的危害程度、转化方式趋向；</w:t>
      </w:r>
    </w:p>
    <w:p w14:paraId="5590CBEA">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f、健康危害与必要的医疗措施；</w:t>
      </w:r>
    </w:p>
    <w:p w14:paraId="4DEBA30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g、联系人姓名和电话；</w:t>
      </w:r>
    </w:p>
    <w:p w14:paraId="4554161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h、对于I级事件需要补上书面报告。</w:t>
      </w:r>
    </w:p>
    <w:p w14:paraId="2AC82611">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续报可通过网络或书面报告（传真），在初报的基础上报告有关确切数据，事件发生的原因、过程、进展情况及采取的应急措施等基本情况。</w:t>
      </w:r>
    </w:p>
    <w:p w14:paraId="4CEA7FDE">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处理结果报告采用书面报告（传真），在初报和续报的基础上，主要报告处理事件的措施、过程和结果，污染的范围和程度、事件潜在或间接的危害、社会影响、处理后的遗留问题，参加处理工作的有关部门和工作内容，出具有关危害与损失的证明文件等详细情况。</w:t>
      </w:r>
    </w:p>
    <w:p w14:paraId="168897E7">
      <w:pPr>
        <w:pStyle w:val="4003"/>
        <w:rPr>
          <w:color w:val="000000" w:themeColor="text1"/>
          <w14:textFill>
            <w14:solidFill>
              <w14:schemeClr w14:val="tx1"/>
            </w14:solidFill>
          </w14:textFill>
        </w:rPr>
      </w:pPr>
      <w:r>
        <w:rPr>
          <w:color w:val="000000" w:themeColor="text1"/>
          <w14:textFill>
            <w14:solidFill>
              <w14:schemeClr w14:val="tx1"/>
            </w14:solidFill>
          </w14:textFill>
        </w:rPr>
        <w:t>11.6.3应急处置</w:t>
      </w:r>
    </w:p>
    <w:p w14:paraId="1EC4BD7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根据本项目第7章节风险识别，针对发生的环境风险，参考第10.2章节针对性</w:t>
      </w:r>
      <w:r>
        <w:rPr>
          <w:rFonts w:hint="eastAsia" w:ascii="Times New Roman" w:hAnsi="Times New Roman" w:cs="Times New Roman"/>
          <w:color w:val="000000" w:themeColor="text1"/>
          <w:lang w:eastAsia="zh-CN"/>
          <w14:textFill>
            <w14:solidFill>
              <w14:schemeClr w14:val="tx1"/>
            </w14:solidFill>
          </w14:textFill>
        </w:rPr>
        <w:t>地</w:t>
      </w:r>
      <w:r>
        <w:rPr>
          <w:rFonts w:ascii="Times New Roman" w:hAnsi="Times New Roman" w:cs="Times New Roman"/>
          <w:color w:val="000000" w:themeColor="text1"/>
          <w14:textFill>
            <w14:solidFill>
              <w14:schemeClr w14:val="tx1"/>
            </w14:solidFill>
          </w14:textFill>
        </w:rPr>
        <w:t>采取应急措施。</w:t>
      </w:r>
    </w:p>
    <w:p w14:paraId="374791A3">
      <w:pPr>
        <w:pStyle w:val="4003"/>
        <w:rPr>
          <w:color w:val="000000" w:themeColor="text1"/>
          <w14:textFill>
            <w14:solidFill>
              <w14:schemeClr w14:val="tx1"/>
            </w14:solidFill>
          </w14:textFill>
        </w:rPr>
      </w:pPr>
      <w:r>
        <w:rPr>
          <w:color w:val="000000" w:themeColor="text1"/>
          <w14:textFill>
            <w14:solidFill>
              <w14:schemeClr w14:val="tx1"/>
            </w14:solidFill>
          </w14:textFill>
        </w:rPr>
        <w:t>11.6.4应急结束</w:t>
      </w:r>
    </w:p>
    <w:p w14:paraId="70E1210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临时应急恢复，事故现场得以控制，环境符合有关标准，导致次生、衍生事故隐患消除后，经事故现场应急指挥机构批准后，现场应急结束。应急结束后，还应明确事故情况上报事项，需向事故调查处理小组移交的相关事项，事故应急救援工作总结报告等。</w:t>
      </w:r>
    </w:p>
    <w:p w14:paraId="4E4C20C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应急状态终止后，现场应急指挥部根据实际情况，继续组织进行环境监测和评价工作，直至其他补救措施无需继续进行为止</w:t>
      </w:r>
    </w:p>
    <w:p w14:paraId="1FEA048C">
      <w:pPr>
        <w:pStyle w:val="346"/>
        <w:ind w:firstLine="482" w:firstLineChars="200"/>
        <w:rPr>
          <w:color w:val="000000" w:themeColor="text1"/>
          <w14:textFill>
            <w14:solidFill>
              <w14:schemeClr w14:val="tx1"/>
            </w14:solidFill>
          </w14:textFill>
        </w:rPr>
      </w:pPr>
      <w:bookmarkStart w:id="210" w:name="_Toc144375262"/>
      <w:r>
        <w:rPr>
          <w:color w:val="000000" w:themeColor="text1"/>
          <w14:textFill>
            <w14:solidFill>
              <w14:schemeClr w14:val="tx1"/>
            </w14:solidFill>
          </w14:textFill>
        </w:rPr>
        <w:t>11.7应急保障</w:t>
      </w:r>
      <w:bookmarkEnd w:id="210"/>
    </w:p>
    <w:p w14:paraId="66A8FF3C">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环境污染事故应急指挥值班室应具备如下应急救援保障条件：</w:t>
      </w:r>
    </w:p>
    <w:p w14:paraId="4A38BC0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（1）配备完善的通讯设备（包括内外线电话、无线通讯电话），并醒目公示对内、外的通讯联络电话；凡设有厂行政电话分机的用户均可报警；二是火灾报警信号报警。</w:t>
      </w:r>
    </w:p>
    <w:p w14:paraId="39265102">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（2）提供供水、供电、消防、排污的系统图和运营流程图。</w:t>
      </w:r>
    </w:p>
    <w:p w14:paraId="3D2E7CD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（3）配备路障及指示标志、手提话筒、紧急照明灯具和现场事故管理人员的特殊穿着或标志，同时配备救援、救生的防护用品（必要临时救急药品、防毒面具、化学防护工作服、手套、氧气袋等）。</w:t>
      </w:r>
    </w:p>
    <w:p w14:paraId="5E4E3F5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（4）建立训练有素、保障有力的应急救援队伍，充分掌握各类突发环境污染事件处置措施的预备应急力量，保证在突发事故发生后，能迅速参与并完成疏散、救援、排险、消毒、监测等现场处置工作。</w:t>
      </w:r>
    </w:p>
    <w:p w14:paraId="375DA0F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（5）救援医疗保障，与钦州市第一人民医院港区分院建立紧密联系，在突发环境事件发生时，能够第一时间赶到现场。</w:t>
      </w:r>
    </w:p>
    <w:p w14:paraId="3ECA6853">
      <w:pPr>
        <w:pStyle w:val="346"/>
        <w:ind w:firstLine="482" w:firstLineChars="200"/>
        <w:rPr>
          <w:color w:val="000000" w:themeColor="text1"/>
          <w14:textFill>
            <w14:solidFill>
              <w14:schemeClr w14:val="tx1"/>
            </w14:solidFill>
          </w14:textFill>
        </w:rPr>
      </w:pPr>
      <w:bookmarkStart w:id="211" w:name="_Toc144375263"/>
      <w:r>
        <w:rPr>
          <w:color w:val="000000" w:themeColor="text1"/>
          <w14:textFill>
            <w14:solidFill>
              <w14:schemeClr w14:val="tx1"/>
            </w14:solidFill>
          </w14:textFill>
        </w:rPr>
        <w:t>11.8善后处置</w:t>
      </w:r>
      <w:bookmarkEnd w:id="211"/>
    </w:p>
    <w:p w14:paraId="25BCF5AF">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应急处置工作终止后，立即成立善后工作组负责事故的后期处置工作， 恢复生产生活秩序。</w:t>
      </w:r>
    </w:p>
    <w:p w14:paraId="58785A9D">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（1）做好现场交接。包括人员清点，清查装备、器材；核算污染事故处置发生的费用，整理应急处置记录，完成现场交接。</w:t>
      </w:r>
    </w:p>
    <w:p w14:paraId="2B1C0104">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（2）开展现场清理。包括污染物清理与处理等事项，尽快恢复正常秩序，消除事故后果的影响，安抚受影响人员。</w:t>
      </w:r>
    </w:p>
    <w:p w14:paraId="45CE44D0">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（3）开展事故理赔。根据突发环境事故对周围环境、人群造成的影响程度，核算事故造成的直接和间接损失，对受害人员给予相应的赔偿。</w:t>
      </w:r>
    </w:p>
    <w:p w14:paraId="6BAEAA0B">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（4）开展长期恢复规划。重点围绕经济、社会、环境和生活等方面做好恢复规划。</w:t>
      </w:r>
    </w:p>
    <w:p w14:paraId="0DABCAC9">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5）开展事故调查。认真调查分析污染事故发生的经过、查明事故原因和事故性质，深刻总结、吸取污染事故教训，提出防范和整改措施，加大投入，认真落实责任制，落实防范和整改措施，加强管理，防止污染事故再次发生。</w:t>
      </w:r>
    </w:p>
    <w:p w14:paraId="675A9484">
      <w:pPr>
        <w:pStyle w:val="346"/>
        <w:ind w:firstLine="482" w:firstLineChars="200"/>
        <w:rPr>
          <w:color w:val="000000" w:themeColor="text1"/>
          <w14:textFill>
            <w14:solidFill>
              <w14:schemeClr w14:val="tx1"/>
            </w14:solidFill>
          </w14:textFill>
        </w:rPr>
      </w:pPr>
      <w:bookmarkStart w:id="212" w:name="_Toc144375264"/>
      <w:r>
        <w:rPr>
          <w:color w:val="000000" w:themeColor="text1"/>
          <w14:textFill>
            <w14:solidFill>
              <w14:schemeClr w14:val="tx1"/>
            </w14:solidFill>
          </w14:textFill>
        </w:rPr>
        <w:t>11.9预案管理与演练</w:t>
      </w:r>
      <w:bookmarkEnd w:id="212"/>
    </w:p>
    <w:p w14:paraId="12DCE8E3">
      <w:pPr>
        <w:spacing w:line="360" w:lineRule="auto"/>
        <w:ind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本项目纳入公司应急管理后，应针对本项目的特点，对可能发生的风险事故进行培训与演练，增加员工对风险事故的应急处置能力。</w:t>
      </w:r>
    </w:p>
    <w:bookmarkEnd w:id="194"/>
    <w:bookmarkEnd w:id="195"/>
    <w:bookmarkEnd w:id="196"/>
    <w:bookmarkEnd w:id="197"/>
    <w:bookmarkEnd w:id="198"/>
    <w:bookmarkEnd w:id="199"/>
    <w:bookmarkEnd w:id="200"/>
    <w:p w14:paraId="1164C8E5">
      <w:pPr>
        <w:tabs>
          <w:tab w:val="left" w:pos="5387"/>
        </w:tabs>
        <w:spacing w:line="360" w:lineRule="auto"/>
        <w:outlineLvl w:val="0"/>
        <w:rPr>
          <w:rFonts w:ascii="Times New Roman" w:hAnsi="Times New Roman" w:eastAsia="黑体" w:cs="Times New Roman"/>
          <w:b/>
          <w:bCs/>
          <w:color w:val="000000" w:themeColor="text1"/>
          <w:kern w:val="44"/>
          <w:sz w:val="30"/>
          <w:szCs w:val="30"/>
          <w14:textFill>
            <w14:solidFill>
              <w14:schemeClr w14:val="tx1"/>
            </w14:solidFill>
          </w14:textFill>
        </w:rPr>
        <w:sectPr>
          <w:pgSz w:w="11907" w:h="16840"/>
          <w:pgMar w:top="1440" w:right="1800" w:bottom="1440" w:left="1800" w:header="964" w:footer="964" w:gutter="0"/>
          <w:cols w:space="720" w:num="1"/>
          <w:titlePg/>
          <w:docGrid w:linePitch="326" w:charSpace="-4300"/>
        </w:sectPr>
      </w:pPr>
      <w:bookmarkStart w:id="213" w:name="_Toc144375265"/>
      <w:bookmarkStart w:id="214" w:name="_Toc144374993"/>
      <w:bookmarkStart w:id="215" w:name="_Toc146041504"/>
      <w:bookmarkStart w:id="216" w:name="_Toc84835310"/>
      <w:bookmarkStart w:id="217" w:name="_Toc95759415"/>
      <w:bookmarkStart w:id="218" w:name="_Toc95759787"/>
      <w:bookmarkStart w:id="219" w:name="_Toc505711249"/>
      <w:bookmarkStart w:id="220" w:name="_Toc2790008"/>
    </w:p>
    <w:p w14:paraId="75EFD629">
      <w:pPr>
        <w:tabs>
          <w:tab w:val="left" w:pos="5387"/>
        </w:tabs>
        <w:spacing w:line="360" w:lineRule="auto"/>
        <w:outlineLvl w:val="0"/>
        <w:rPr>
          <w:rFonts w:ascii="Times New Roman" w:hAnsi="Times New Roman" w:eastAsia="黑体" w:cs="Times New Roman"/>
          <w:b/>
          <w:bCs/>
          <w:color w:val="000000" w:themeColor="text1"/>
          <w:kern w:val="44"/>
          <w:sz w:val="30"/>
          <w:szCs w:val="30"/>
          <w14:textFill>
            <w14:solidFill>
              <w14:schemeClr w14:val="tx1"/>
            </w14:solidFill>
          </w14:textFill>
        </w:rPr>
      </w:pPr>
      <w:r>
        <w:rPr>
          <w:rFonts w:ascii="Times New Roman" w:hAnsi="Times New Roman" w:eastAsia="黑体" w:cs="Times New Roman"/>
          <w:b/>
          <w:bCs/>
          <w:color w:val="000000" w:themeColor="text1"/>
          <w:kern w:val="44"/>
          <w:sz w:val="30"/>
          <w:szCs w:val="30"/>
          <w14:textFill>
            <w14:solidFill>
              <w14:schemeClr w14:val="tx1"/>
            </w14:solidFill>
          </w14:textFill>
        </w:rPr>
        <w:t>12、评价结论与建议</w:t>
      </w:r>
      <w:bookmarkEnd w:id="213"/>
      <w:bookmarkEnd w:id="214"/>
      <w:bookmarkEnd w:id="215"/>
    </w:p>
    <w:bookmarkEnd w:id="216"/>
    <w:bookmarkEnd w:id="217"/>
    <w:bookmarkEnd w:id="218"/>
    <w:bookmarkEnd w:id="219"/>
    <w:bookmarkEnd w:id="220"/>
    <w:p w14:paraId="43E28ACE">
      <w:pPr>
        <w:pStyle w:val="346"/>
        <w:ind w:firstLine="482" w:firstLineChars="200"/>
        <w:rPr>
          <w:color w:val="000000" w:themeColor="text1"/>
          <w14:textFill>
            <w14:solidFill>
              <w14:schemeClr w14:val="tx1"/>
            </w14:solidFill>
          </w14:textFill>
        </w:rPr>
      </w:pPr>
      <w:bookmarkStart w:id="221" w:name="_Toc144375266"/>
      <w:r>
        <w:rPr>
          <w:color w:val="000000" w:themeColor="text1"/>
          <w14:textFill>
            <w14:solidFill>
              <w14:schemeClr w14:val="tx1"/>
            </w14:solidFill>
          </w14:textFill>
        </w:rPr>
        <w:t>12.1项目危险因素</w:t>
      </w:r>
      <w:bookmarkEnd w:id="221"/>
    </w:p>
    <w:p w14:paraId="324CFACD">
      <w:pPr>
        <w:pStyle w:val="35"/>
        <w:spacing w:after="0" w:line="360" w:lineRule="auto"/>
        <w:ind w:left="0" w:leftChars="0"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根据《建设项目环境风险评价技术导则》（HJ169-2018）附录B的风险物质，本项目危险物质主要为</w:t>
      </w:r>
      <w:r>
        <w:rPr>
          <w:rFonts w:hint="eastAsia" w:ascii="Times New Roman" w:hAnsi="Times New Roman" w:cs="Times New Roman"/>
          <w:color w:val="000000" w:themeColor="text1"/>
          <w14:textFill>
            <w14:solidFill>
              <w14:schemeClr w14:val="tx1"/>
            </w14:solidFill>
          </w14:textFill>
        </w:rPr>
        <w:t>液硫、发烟硫酸、硫酸、液碱、苯酚、己内酰胺</w:t>
      </w:r>
      <w:r>
        <w:rPr>
          <w:rFonts w:ascii="Times New Roman" w:hAnsi="Times New Roman" w:cs="Times New Roman"/>
          <w:color w:val="000000" w:themeColor="text1"/>
          <w14:textFill>
            <w14:solidFill>
              <w14:schemeClr w14:val="tx1"/>
            </w14:solidFill>
          </w14:textFill>
        </w:rPr>
        <w:t>等。项目风险物质主要分布在储罐区域，主要分析为泄漏及泄漏引起的火灾爆炸发生的次生/伴生对大气的影响、物料泄漏进入雨水管网进入钦州湾海域的影响、物料泄漏后下渗对地下水的影响。企业在建设过程中，需合理优化布局，储罐区尽量选择远离周边敏感目标进行布置，控制危险物质的最大储存量，降低存储过程中的风险。</w:t>
      </w:r>
    </w:p>
    <w:p w14:paraId="2DF39648">
      <w:pPr>
        <w:pStyle w:val="346"/>
        <w:ind w:firstLine="482" w:firstLineChars="200"/>
        <w:rPr>
          <w:color w:val="000000" w:themeColor="text1"/>
          <w14:textFill>
            <w14:solidFill>
              <w14:schemeClr w14:val="tx1"/>
            </w14:solidFill>
          </w14:textFill>
        </w:rPr>
      </w:pPr>
      <w:bookmarkStart w:id="222" w:name="_Toc144375267"/>
      <w:r>
        <w:rPr>
          <w:color w:val="000000" w:themeColor="text1"/>
          <w14:textFill>
            <w14:solidFill>
              <w14:schemeClr w14:val="tx1"/>
            </w14:solidFill>
          </w14:textFill>
        </w:rPr>
        <w:t>12.2环境敏感性及事故环境影响</w:t>
      </w:r>
      <w:bookmarkEnd w:id="222"/>
    </w:p>
    <w:p w14:paraId="3FB2D04C">
      <w:pPr>
        <w:pStyle w:val="35"/>
        <w:spacing w:after="0" w:line="360" w:lineRule="auto"/>
        <w:ind w:left="0" w:leftChars="0"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（1）环境敏感性</w:t>
      </w:r>
    </w:p>
    <w:p w14:paraId="5975726B">
      <w:pPr>
        <w:pStyle w:val="108"/>
        <w:spacing w:after="0" w:line="360" w:lineRule="auto"/>
        <w:ind w:left="77" w:firstLine="480"/>
        <w:rPr>
          <w:rFonts w:cs="Times New Roman"/>
          <w:bCs/>
          <w:color w:val="000000" w:themeColor="text1"/>
          <w:sz w:val="24"/>
          <w:szCs w:val="21"/>
          <w14:textFill>
            <w14:solidFill>
              <w14:schemeClr w14:val="tx1"/>
            </w14:solidFill>
          </w14:textFill>
        </w:rPr>
      </w:pPr>
      <w:r>
        <w:rPr>
          <w:rFonts w:cs="Times New Roman"/>
          <w:bCs/>
          <w:color w:val="000000" w:themeColor="text1"/>
          <w:sz w:val="24"/>
          <w:szCs w:val="21"/>
          <w14:textFill>
            <w14:solidFill>
              <w14:schemeClr w14:val="tx1"/>
            </w14:solidFill>
          </w14:textFill>
        </w:rPr>
        <w:t>本项目厂界外5km范围内居住区、医疗卫生、文化教育、科研、行政办公等机构人口总数约为26050人，500m范围内均为工业区，无居住区、医疗卫生、文化教育、科研、行政办公等机构，大气、地表水环境敏感程度为中度敏感区。地下水为环境低敏度敏感区。</w:t>
      </w:r>
    </w:p>
    <w:p w14:paraId="768AD981">
      <w:pPr>
        <w:pStyle w:val="108"/>
        <w:spacing w:after="0" w:line="360" w:lineRule="auto"/>
        <w:ind w:left="77" w:firstLine="480"/>
        <w:rPr>
          <w:rFonts w:cs="Times New Roman"/>
          <w:bCs/>
          <w:color w:val="000000" w:themeColor="text1"/>
          <w:sz w:val="24"/>
          <w:szCs w:val="21"/>
          <w14:textFill>
            <w14:solidFill>
              <w14:schemeClr w14:val="tx1"/>
            </w14:solidFill>
          </w14:textFill>
        </w:rPr>
      </w:pPr>
      <w:r>
        <w:rPr>
          <w:rFonts w:cs="Times New Roman"/>
          <w:bCs/>
          <w:color w:val="000000" w:themeColor="text1"/>
          <w:sz w:val="24"/>
          <w:szCs w:val="21"/>
          <w14:textFill>
            <w14:solidFill>
              <w14:schemeClr w14:val="tx1"/>
            </w14:solidFill>
          </w14:textFill>
        </w:rPr>
        <w:t>（2）事故环境影响</w:t>
      </w:r>
    </w:p>
    <w:p w14:paraId="6C54E2A8">
      <w:pPr>
        <w:pStyle w:val="108"/>
        <w:spacing w:after="0" w:line="360" w:lineRule="auto"/>
        <w:ind w:left="77" w:firstLine="480"/>
        <w:rPr>
          <w:rFonts w:cs="Times New Roman"/>
          <w:bCs/>
          <w:color w:val="000000" w:themeColor="text1"/>
          <w:sz w:val="24"/>
          <w:szCs w:val="21"/>
          <w14:textFill>
            <w14:solidFill>
              <w14:schemeClr w14:val="tx1"/>
            </w14:solidFill>
          </w14:textFill>
        </w:rPr>
      </w:pPr>
      <w:r>
        <w:rPr>
          <w:rFonts w:cs="Times New Roman"/>
          <w:bCs/>
          <w:color w:val="000000" w:themeColor="text1"/>
          <w:sz w:val="24"/>
          <w:szCs w:val="21"/>
          <w14:textFill>
            <w14:solidFill>
              <w14:schemeClr w14:val="tx1"/>
            </w14:solidFill>
          </w14:textFill>
        </w:rPr>
        <w:t>根据对泄漏及火灾爆炸事故次生污染物的预测，可知事故的后果影响如下：</w:t>
      </w:r>
    </w:p>
    <w:p w14:paraId="1EC75F1A">
      <w:pPr>
        <w:pStyle w:val="108"/>
        <w:spacing w:after="0" w:line="360" w:lineRule="auto"/>
        <w:ind w:left="77" w:firstLine="480"/>
        <w:rPr>
          <w:rFonts w:cs="Times New Roman"/>
          <w:bCs/>
          <w:color w:val="000000" w:themeColor="text1"/>
          <w:sz w:val="24"/>
          <w:szCs w:val="21"/>
          <w14:textFill>
            <w14:solidFill>
              <w14:schemeClr w14:val="tx1"/>
            </w14:solidFill>
          </w14:textFill>
        </w:rPr>
      </w:pPr>
      <w:r>
        <w:rPr>
          <w:rFonts w:cs="Times New Roman"/>
          <w:bCs/>
          <w:color w:val="000000" w:themeColor="text1"/>
          <w:sz w:val="24"/>
          <w:szCs w:val="21"/>
          <w14:textFill>
            <w14:solidFill>
              <w14:schemeClr w14:val="tx1"/>
            </w14:solidFill>
          </w14:textFill>
        </w:rPr>
        <w:t>①大气</w:t>
      </w:r>
    </w:p>
    <w:p w14:paraId="11408E04">
      <w:pPr>
        <w:pStyle w:val="108"/>
        <w:spacing w:after="0" w:line="360" w:lineRule="auto"/>
        <w:ind w:left="77" w:firstLine="480"/>
        <w:rPr>
          <w:rFonts w:cs="Times New Roman"/>
          <w:bCs/>
          <w:color w:val="FF0000"/>
          <w:sz w:val="24"/>
          <w:szCs w:val="21"/>
        </w:rPr>
      </w:pPr>
      <w:r>
        <w:rPr>
          <w:rFonts w:cs="Times New Roman"/>
          <w:bCs/>
          <w:color w:val="000000" w:themeColor="text1"/>
          <w:sz w:val="24"/>
          <w:szCs w:val="21"/>
          <w14:textFill>
            <w14:solidFill>
              <w14:schemeClr w14:val="tx1"/>
            </w14:solidFill>
          </w14:textFill>
        </w:rPr>
        <w:t>在设定事故源项及大气预测参数条件下，根据预测，泄漏、火灾、爆炸事故产生的有毒有害物质在大气中的扩散浓度、火灾、爆炸事故引发次生/伴生影响产生的污染物浓度最远影响距离为4500米。</w:t>
      </w:r>
    </w:p>
    <w:p w14:paraId="34FE73E1">
      <w:pPr>
        <w:pStyle w:val="108"/>
        <w:spacing w:after="0" w:line="360" w:lineRule="auto"/>
        <w:ind w:left="77" w:firstLine="480"/>
        <w:rPr>
          <w:rFonts w:cs="Times New Roman"/>
          <w:bCs/>
          <w:color w:val="000000" w:themeColor="text1"/>
          <w:sz w:val="24"/>
          <w:szCs w:val="21"/>
          <w14:textFill>
            <w14:solidFill>
              <w14:schemeClr w14:val="tx1"/>
            </w14:solidFill>
          </w14:textFill>
        </w:rPr>
      </w:pPr>
      <w:r>
        <w:rPr>
          <w:rFonts w:cs="Times New Roman"/>
          <w:bCs/>
          <w:color w:val="000000" w:themeColor="text1"/>
          <w:sz w:val="24"/>
          <w:szCs w:val="21"/>
          <w14:textFill>
            <w14:solidFill>
              <w14:schemeClr w14:val="tx1"/>
            </w14:solidFill>
          </w14:textFill>
        </w:rPr>
        <w:t>通过加强对液硫、发烟硫酸、硫酸、液碱等的储存、装卸过程的管理，氮封、安装可燃和有毒气体报警装置、配备足够的灭火设施、加强员工操作培训等，可有效降低液硫、发烟硫酸、硫酸、液碱等泄漏事故以及火灾、爆炸事故的发生。</w:t>
      </w:r>
    </w:p>
    <w:p w14:paraId="55E75F01">
      <w:pPr>
        <w:pStyle w:val="108"/>
        <w:spacing w:after="0" w:line="360" w:lineRule="auto"/>
        <w:ind w:left="77" w:firstLine="480"/>
        <w:rPr>
          <w:rFonts w:cs="Times New Roman"/>
          <w:bCs/>
          <w:color w:val="000000" w:themeColor="text1"/>
          <w:sz w:val="24"/>
          <w:szCs w:val="21"/>
          <w14:textFill>
            <w14:solidFill>
              <w14:schemeClr w14:val="tx1"/>
            </w14:solidFill>
          </w14:textFill>
        </w:rPr>
      </w:pPr>
      <w:r>
        <w:rPr>
          <w:rFonts w:cs="Times New Roman"/>
          <w:bCs/>
          <w:color w:val="000000" w:themeColor="text1"/>
          <w:sz w:val="24"/>
          <w14:textFill>
            <w14:solidFill>
              <w14:schemeClr w14:val="tx1"/>
            </w14:solidFill>
          </w14:textFill>
        </w:rPr>
        <w:t>本项目位于</w:t>
      </w:r>
      <w:r>
        <w:rPr>
          <w:rFonts w:cs="Times New Roman"/>
          <w:color w:val="000000" w:themeColor="text1"/>
          <w:sz w:val="24"/>
          <w14:textFill>
            <w14:solidFill>
              <w14:schemeClr w14:val="tx1"/>
            </w14:solidFill>
          </w14:textFill>
        </w:rPr>
        <w:t>金鼓江作业区14号泊位工程储罐区</w:t>
      </w:r>
      <w:r>
        <w:rPr>
          <w:rFonts w:cs="Times New Roman"/>
          <w:bCs/>
          <w:color w:val="000000" w:themeColor="text1"/>
          <w:sz w:val="24"/>
          <w14:textFill>
            <w14:solidFill>
              <w14:schemeClr w14:val="tx1"/>
            </w14:solidFill>
          </w14:textFill>
        </w:rPr>
        <w:t>，</w:t>
      </w:r>
      <w:r>
        <w:rPr>
          <w:rFonts w:cs="Times New Roman"/>
          <w:color w:val="000000" w:themeColor="text1"/>
          <w:sz w:val="24"/>
          <w14:textFill>
            <w14:solidFill>
              <w14:schemeClr w14:val="tx1"/>
            </w14:solidFill>
          </w14:textFill>
        </w:rPr>
        <w:t>北面为金鼓江作业区13号泊位及预留用地，南面为广西华谊新材料有限公司，西面为园区临海大道，东面临江。</w:t>
      </w:r>
      <w:r>
        <w:rPr>
          <w:rFonts w:cs="Times New Roman"/>
          <w:bCs/>
          <w:color w:val="000000" w:themeColor="text1"/>
          <w:sz w:val="24"/>
          <w:szCs w:val="21"/>
          <w14:textFill>
            <w14:solidFill>
              <w14:schemeClr w14:val="tx1"/>
            </w14:solidFill>
          </w14:textFill>
        </w:rPr>
        <w:t>距离最近的企业为东北方向0.52km的广西钦州澄星化工科技有限公司，距离最近的敏感点为东北方向1.98km的淡水湾村。发生泄漏、火灾、爆炸事故时，主要影响人群为厂内职工、周边企业职工以及居民。因此，当发生泄漏、火灾、爆炸事故时，应当通知相关人员及时疏散、撤离，确保健康，尽快启动应急预案，最大限度降低人身及财产损失。</w:t>
      </w:r>
    </w:p>
    <w:p w14:paraId="43D21D69">
      <w:pPr>
        <w:pStyle w:val="108"/>
        <w:spacing w:after="0" w:line="360" w:lineRule="auto"/>
        <w:ind w:left="77"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②地表水</w:t>
      </w:r>
    </w:p>
    <w:p w14:paraId="12B72147">
      <w:pPr>
        <w:pStyle w:val="108"/>
        <w:spacing w:after="0" w:line="360" w:lineRule="auto"/>
        <w:ind w:left="77"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当泄漏的物料随地面径流进入雨水管网，进入附近地表水体钦州湾海域。由于该类废水产水量小，且属于瞬时事故排放，这种影响是短期的，一般不至于产生灾难性后果。本项目在储罐区、装卸区均设置废液收集及防渗漏措施，雨水排放口设置应急阀门，可有效</w:t>
      </w:r>
      <w:r>
        <w:rPr>
          <w:rFonts w:hint="eastAsia" w:cs="Times New Roman"/>
          <w:color w:val="000000" w:themeColor="text1"/>
          <w:sz w:val="24"/>
          <w:lang w:eastAsia="zh-CN"/>
          <w14:textFill>
            <w14:solidFill>
              <w14:schemeClr w14:val="tx1"/>
            </w14:solidFill>
          </w14:textFill>
        </w:rPr>
        <w:t>地</w:t>
      </w:r>
      <w:r>
        <w:rPr>
          <w:rFonts w:cs="Times New Roman"/>
          <w:color w:val="000000" w:themeColor="text1"/>
          <w:sz w:val="24"/>
          <w14:textFill>
            <w14:solidFill>
              <w14:schemeClr w14:val="tx1"/>
            </w14:solidFill>
          </w14:textFill>
        </w:rPr>
        <w:t>截留泄漏的物料，厂内设置三级防控措施，厂区污水及雨水总排口设置应急阀门，事故废水经有效截流后不会出厂流入周边水体，因此基本不会周边水体产生影响。</w:t>
      </w:r>
    </w:p>
    <w:p w14:paraId="285F3C0E">
      <w:pPr>
        <w:pStyle w:val="108"/>
        <w:spacing w:after="0" w:line="360" w:lineRule="auto"/>
        <w:ind w:left="77"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③地下水</w:t>
      </w:r>
    </w:p>
    <w:p w14:paraId="3701B84E">
      <w:pPr>
        <w:pStyle w:val="108"/>
        <w:spacing w:after="0" w:line="360" w:lineRule="auto"/>
        <w:ind w:left="77" w:firstLine="480"/>
        <w:rPr>
          <w:rFonts w:cs="Times New Roman"/>
          <w:color w:val="FF0000"/>
          <w:sz w:val="24"/>
          <w:u w:val="single"/>
        </w:rPr>
      </w:pPr>
      <w:r>
        <w:rPr>
          <w:rFonts w:cs="Times New Roman"/>
          <w:color w:val="000000" w:themeColor="text1"/>
          <w:sz w:val="24"/>
          <w14:textFill>
            <w14:solidFill>
              <w14:schemeClr w14:val="tx1"/>
            </w14:solidFill>
          </w14:textFill>
        </w:rPr>
        <w:t>本项目地下水采用分区防控措施，重点防渗区罐区</w:t>
      </w:r>
      <w:r>
        <w:rPr>
          <w:rFonts w:hint="eastAsia" w:cs="Times New Roman"/>
          <w:color w:val="000000" w:themeColor="text1"/>
          <w:sz w:val="24"/>
          <w14:textFill>
            <w14:solidFill>
              <w14:schemeClr w14:val="tx1"/>
            </w14:solidFill>
          </w14:textFill>
        </w:rPr>
        <w:t>、汽车装卸区</w:t>
      </w:r>
      <w:r>
        <w:rPr>
          <w:rFonts w:cs="Times New Roman"/>
          <w:color w:val="000000" w:themeColor="text1"/>
          <w:sz w:val="24"/>
          <w14:textFill>
            <w14:solidFill>
              <w14:schemeClr w14:val="tx1"/>
            </w14:solidFill>
          </w14:textFill>
        </w:rPr>
        <w:t>和危废间均做好相应的防渗措施，满足地下水防渗要求，罐区防渗厚度大于1m，基本不会发生防渗失效的情况。在企业运营过程中，从源头做好监控，建立地下水监控体系，可以有效减免对周围地下水环境造成不利影响。</w:t>
      </w:r>
    </w:p>
    <w:p w14:paraId="14603F31">
      <w:pPr>
        <w:pStyle w:val="346"/>
        <w:ind w:firstLine="482" w:firstLineChars="200"/>
        <w:rPr>
          <w:color w:val="000000" w:themeColor="text1"/>
          <w14:textFill>
            <w14:solidFill>
              <w14:schemeClr w14:val="tx1"/>
            </w14:solidFill>
          </w14:textFill>
        </w:rPr>
      </w:pPr>
      <w:bookmarkStart w:id="223" w:name="_Toc144375268"/>
      <w:r>
        <w:rPr>
          <w:color w:val="000000" w:themeColor="text1"/>
          <w14:textFill>
            <w14:solidFill>
              <w14:schemeClr w14:val="tx1"/>
            </w14:solidFill>
          </w14:textFill>
        </w:rPr>
        <w:t>12.3环境风险防范措施和应急预案</w:t>
      </w:r>
      <w:bookmarkEnd w:id="223"/>
    </w:p>
    <w:p w14:paraId="74FF13D8">
      <w:pPr>
        <w:pStyle w:val="108"/>
        <w:spacing w:after="0" w:line="360" w:lineRule="auto"/>
        <w:ind w:left="77"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企业运营过程中落实各项风险防范措施，配置各项应急物资，包括各项应急救援设施、事故池、消防设施设备等，定期对应急物资进行检查，确保应急有效；配置应急预警设备，包括火灾报警器等。定期由安全管理部组织对公司环境风险点源进行专项检查，对各项环保设施进行巡查和定期保养，确保环境风险得到有效控制。</w:t>
      </w:r>
    </w:p>
    <w:p w14:paraId="0D7192AC">
      <w:pPr>
        <w:pStyle w:val="108"/>
        <w:spacing w:after="0" w:line="360" w:lineRule="auto"/>
        <w:ind w:left="77" w:firstLine="480"/>
        <w:rPr>
          <w:rFonts w:cs="Times New Roman"/>
          <w:color w:val="000000" w:themeColor="text1"/>
          <w:sz w:val="24"/>
          <w14:textFill>
            <w14:solidFill>
              <w14:schemeClr w14:val="tx1"/>
            </w14:solidFill>
          </w14:textFill>
        </w:rPr>
      </w:pPr>
      <w:r>
        <w:rPr>
          <w:rFonts w:cs="Times New Roman"/>
          <w:color w:val="000000" w:themeColor="text1"/>
          <w:sz w:val="24"/>
          <w14:textFill>
            <w14:solidFill>
              <w14:schemeClr w14:val="tx1"/>
            </w14:solidFill>
          </w14:textFill>
        </w:rPr>
        <w:t>同时，企业建成后根据《钦州市突发环境事件》、《关于企业事业单位突发环境事件应急预案备案管理有关事项的通知》（环发[2015]224 号）等相关要求，制定企业突发环境事件应急预案，制定环境风险防范体系，并定期进行演练，将风险降低到最低。</w:t>
      </w:r>
    </w:p>
    <w:p w14:paraId="2E13CD29">
      <w:pPr>
        <w:pStyle w:val="346"/>
        <w:ind w:firstLine="482" w:firstLineChars="200"/>
        <w:rPr>
          <w:color w:val="000000" w:themeColor="text1"/>
          <w14:textFill>
            <w14:solidFill>
              <w14:schemeClr w14:val="tx1"/>
            </w14:solidFill>
          </w14:textFill>
        </w:rPr>
      </w:pPr>
      <w:bookmarkStart w:id="224" w:name="_Toc144375269"/>
      <w:r>
        <w:rPr>
          <w:color w:val="000000" w:themeColor="text1"/>
          <w14:textFill>
            <w14:solidFill>
              <w14:schemeClr w14:val="tx1"/>
            </w14:solidFill>
          </w14:textFill>
        </w:rPr>
        <w:t>12.4环境风险评价结论和建议</w:t>
      </w:r>
      <w:bookmarkEnd w:id="224"/>
    </w:p>
    <w:p w14:paraId="4618680B">
      <w:pPr>
        <w:pStyle w:val="35"/>
        <w:spacing w:after="0" w:line="360" w:lineRule="auto"/>
        <w:ind w:left="0" w:leftChars="0" w:firstLine="480" w:firstLineChars="20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（1）结论</w:t>
      </w:r>
    </w:p>
    <w:p w14:paraId="11827BCF">
      <w:pPr>
        <w:pStyle w:val="35"/>
        <w:spacing w:after="0" w:line="360" w:lineRule="auto"/>
        <w:ind w:left="0" w:leftChars="0" w:firstLine="480" w:firstLineChars="200"/>
        <w:rPr>
          <w:rFonts w:ascii="Times New Roman" w:hAnsi="Times New Roman" w:cs="Times New Roman"/>
          <w:color w:val="000000" w:themeColor="text1"/>
          <w14:textFill>
            <w14:solidFill>
              <w14:schemeClr w14:val="tx1"/>
            </w14:solidFill>
          </w14:textFill>
        </w:rPr>
      </w:pPr>
      <w:bookmarkStart w:id="225" w:name="_Toc150142544"/>
      <w:bookmarkStart w:id="226" w:name="_Toc339442382"/>
      <w:bookmarkStart w:id="227" w:name="_Toc360023286"/>
      <w:bookmarkStart w:id="228" w:name="_Toc360780613"/>
      <w:bookmarkStart w:id="229" w:name="_Toc360780178"/>
      <w:bookmarkStart w:id="230" w:name="_Toc193539872"/>
      <w:bookmarkStart w:id="231" w:name="_Toc360022782"/>
      <w:bookmarkStart w:id="232" w:name="_Toc145947587"/>
      <w:r>
        <w:rPr>
          <w:rFonts w:ascii="Times New Roman" w:hAnsi="Times New Roman" w:cs="Times New Roman"/>
          <w:color w:val="000000" w:themeColor="text1"/>
          <w14:textFill>
            <w14:solidFill>
              <w14:schemeClr w14:val="tx1"/>
            </w14:solidFill>
          </w14:textFill>
        </w:rPr>
        <w:t>通过风险防范措施的设立和应急预案的建立，可以较为有效</w:t>
      </w:r>
      <w:r>
        <w:rPr>
          <w:rFonts w:hint="eastAsia" w:ascii="Times New Roman" w:hAnsi="Times New Roman" w:cs="Times New Roman"/>
          <w:color w:val="000000" w:themeColor="text1"/>
          <w:lang w:eastAsia="zh-CN"/>
          <w14:textFill>
            <w14:solidFill>
              <w14:schemeClr w14:val="tx1"/>
            </w14:solidFill>
          </w14:textFill>
        </w:rPr>
        <w:t>地</w:t>
      </w:r>
      <w:r>
        <w:rPr>
          <w:rFonts w:ascii="Times New Roman" w:hAnsi="Times New Roman" w:cs="Times New Roman"/>
          <w:color w:val="000000" w:themeColor="text1"/>
          <w14:textFill>
            <w14:solidFill>
              <w14:schemeClr w14:val="tx1"/>
            </w14:solidFill>
          </w14:textFill>
        </w:rPr>
        <w:t>最大限度防止风险事故的发生和有效处置。建设单位在项目建设和今后的运营过程中，严格贯彻执行法规、规范和标准，认真执行环保“三同时”，切实落实本评价报告提出的各项对策措施，强化各操作单元的管理，全面进行监控。一旦发现安全隐患，及时整改，建立企业重大事故应急救援预案，切实落实防范措施。在此前提下，本项目能有效</w:t>
      </w:r>
      <w:r>
        <w:rPr>
          <w:rFonts w:hint="eastAsia" w:ascii="Times New Roman" w:hAnsi="Times New Roman" w:cs="Times New Roman"/>
          <w:color w:val="000000" w:themeColor="text1"/>
          <w:lang w:eastAsia="zh-CN"/>
          <w14:textFill>
            <w14:solidFill>
              <w14:schemeClr w14:val="tx1"/>
            </w14:solidFill>
          </w14:textFill>
        </w:rPr>
        <w:t>地</w:t>
      </w:r>
      <w:r>
        <w:rPr>
          <w:rFonts w:ascii="Times New Roman" w:hAnsi="Times New Roman" w:cs="Times New Roman"/>
          <w:color w:val="000000" w:themeColor="text1"/>
          <w14:textFill>
            <w14:solidFill>
              <w14:schemeClr w14:val="tx1"/>
            </w14:solidFill>
          </w14:textFill>
        </w:rPr>
        <w:t>防止火灾、爆炸、泄漏等事故的发生，一旦发生事故，依靠库区内的防护设施和事故应急措施也能及时控制事故，防止事故的蔓延。因此，本项目的环境风险在可控制范围内。</w:t>
      </w:r>
    </w:p>
    <w:bookmarkEnd w:id="225"/>
    <w:bookmarkEnd w:id="226"/>
    <w:bookmarkEnd w:id="227"/>
    <w:bookmarkEnd w:id="228"/>
    <w:bookmarkEnd w:id="229"/>
    <w:bookmarkEnd w:id="230"/>
    <w:bookmarkEnd w:id="231"/>
    <w:bookmarkEnd w:id="232"/>
    <w:p w14:paraId="5B3F439E">
      <w:pPr>
        <w:spacing w:line="360" w:lineRule="auto"/>
        <w:ind w:firstLine="480" w:firstLineChars="200"/>
        <w:rPr>
          <w:rFonts w:ascii="Times New Roman" w:hAnsi="Times New Roman" w:cs="Times New Roman"/>
          <w:color w:val="000000" w:themeColor="text1"/>
          <w14:textFill>
            <w14:solidFill>
              <w14:schemeClr w14:val="tx1"/>
            </w14:solidFill>
          </w14:textFill>
        </w:rPr>
      </w:pPr>
      <w:bookmarkStart w:id="233" w:name="_Toc95759417"/>
      <w:bookmarkStart w:id="234" w:name="_Toc2790010"/>
      <w:bookmarkStart w:id="235" w:name="_Toc505711251"/>
      <w:r>
        <w:rPr>
          <w:rFonts w:ascii="Times New Roman" w:hAnsi="Times New Roman" w:cs="Times New Roman"/>
          <w:color w:val="000000" w:themeColor="text1"/>
          <w14:textFill>
            <w14:solidFill>
              <w14:schemeClr w14:val="tx1"/>
            </w14:solidFill>
          </w14:textFill>
        </w:rPr>
        <w:t>（2）建议</w:t>
      </w:r>
      <w:bookmarkEnd w:id="233"/>
      <w:bookmarkEnd w:id="234"/>
      <w:bookmarkEnd w:id="235"/>
    </w:p>
    <w:p w14:paraId="509948A6">
      <w:pPr>
        <w:pStyle w:val="200"/>
        <w:numPr>
          <w:ilvl w:val="0"/>
          <w:numId w:val="5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运营过程中加强管理，严格执行操作规程，确保安全运营。</w:t>
      </w:r>
    </w:p>
    <w:p w14:paraId="126BA561">
      <w:pPr>
        <w:pStyle w:val="200"/>
        <w:numPr>
          <w:ilvl w:val="0"/>
          <w:numId w:val="5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主要负责人、主要安全管理人员必须经管理部门培训，考核合格后持证上岗；特种作业人员必须经过有关部门专业培训持证上岗。其他从业人员均应经过三级安全教育，持证上岗。</w:t>
      </w:r>
    </w:p>
    <w:p w14:paraId="1D7384F6">
      <w:pPr>
        <w:pStyle w:val="200"/>
        <w:numPr>
          <w:ilvl w:val="0"/>
          <w:numId w:val="51"/>
        </w:numPr>
        <w:spacing w:line="360" w:lineRule="auto"/>
        <w:ind w:left="0"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项目应编制详细、有效的</w:t>
      </w:r>
      <w:r>
        <w:rPr>
          <w:rFonts w:ascii="Times New Roman" w:hAnsi="Times New Roman" w:cs="Times New Roman"/>
          <w:color w:val="000000" w:themeColor="text1"/>
          <w:lang w:val="zh-CN"/>
          <w14:textFill>
            <w14:solidFill>
              <w14:schemeClr w14:val="tx1"/>
            </w14:solidFill>
          </w14:textFill>
        </w:rPr>
        <w:t>突发环境事件</w:t>
      </w:r>
      <w:r>
        <w:rPr>
          <w:rFonts w:ascii="Times New Roman" w:hAnsi="Times New Roman" w:cs="Times New Roman"/>
          <w:color w:val="000000" w:themeColor="text1"/>
          <w14:textFill>
            <w14:solidFill>
              <w14:schemeClr w14:val="tx1"/>
            </w14:solidFill>
          </w14:textFill>
        </w:rPr>
        <w:t>应急预案并</w:t>
      </w:r>
      <w:r>
        <w:rPr>
          <w:rFonts w:ascii="Times New Roman" w:hAnsi="Times New Roman" w:cs="Times New Roman"/>
          <w:color w:val="000000" w:themeColor="text1"/>
          <w:lang w:val="zh-CN"/>
          <w14:textFill>
            <w14:solidFill>
              <w14:schemeClr w14:val="tx1"/>
            </w14:solidFill>
          </w14:textFill>
        </w:rPr>
        <w:t>重新备案</w:t>
      </w:r>
      <w:r>
        <w:rPr>
          <w:rFonts w:ascii="Times New Roman" w:hAnsi="Times New Roman" w:cs="Times New Roman"/>
          <w:color w:val="000000" w:themeColor="text1"/>
          <w14:textFill>
            <w14:solidFill>
              <w14:schemeClr w14:val="tx1"/>
            </w14:solidFill>
          </w14:textFill>
        </w:rPr>
        <w:t>后落实。</w:t>
      </w:r>
    </w:p>
    <w:p w14:paraId="1A2CB3EB">
      <w:pPr>
        <w:pStyle w:val="35"/>
        <w:numPr>
          <w:ilvl w:val="0"/>
          <w:numId w:val="51"/>
        </w:numPr>
        <w:spacing w:after="0" w:line="360" w:lineRule="auto"/>
        <w:ind w:left="0" w:leftChars="0" w:firstLine="480" w:firstLineChars="200"/>
        <w:rPr>
          <w:color w:val="FF0000"/>
        </w:rPr>
      </w:pPr>
      <w:r>
        <w:rPr>
          <w:rFonts w:ascii="Times New Roman" w:hAnsi="Times New Roman" w:cs="Times New Roman"/>
          <w:color w:val="000000" w:themeColor="text1"/>
          <w14:textFill>
            <w14:solidFill>
              <w14:schemeClr w14:val="tx1"/>
            </w14:solidFill>
          </w14:textFill>
        </w:rPr>
        <w:t>项目的日常运作按安全操作规程进行；一旦发生风险事故，立即启动应急预案，减少对周围环境的影响。</w:t>
      </w:r>
    </w:p>
    <w:p w14:paraId="6E3BA43A">
      <w:pPr>
        <w:pStyle w:val="108"/>
        <w:ind w:left="77" w:firstLine="420"/>
        <w:rPr>
          <w:color w:val="FF0000"/>
        </w:rPr>
      </w:pPr>
    </w:p>
    <w:p w14:paraId="758A866E">
      <w:pPr>
        <w:pStyle w:val="108"/>
        <w:ind w:left="77" w:firstLine="420"/>
        <w:rPr>
          <w:color w:val="FF0000"/>
        </w:rPr>
      </w:pPr>
    </w:p>
    <w:p w14:paraId="7EB441ED">
      <w:pPr>
        <w:pStyle w:val="108"/>
        <w:ind w:left="77" w:firstLine="420"/>
        <w:rPr>
          <w:color w:val="FF0000"/>
        </w:rPr>
      </w:pPr>
    </w:p>
    <w:p w14:paraId="7C4287E9">
      <w:pPr>
        <w:pStyle w:val="108"/>
        <w:ind w:left="77" w:firstLine="420"/>
        <w:rPr>
          <w:color w:val="FF0000"/>
        </w:rPr>
      </w:pPr>
    </w:p>
    <w:p w14:paraId="2BEEA32A">
      <w:pPr>
        <w:pStyle w:val="108"/>
        <w:ind w:left="77" w:firstLine="420"/>
        <w:rPr>
          <w:color w:val="FF0000"/>
        </w:rPr>
      </w:pPr>
    </w:p>
    <w:p w14:paraId="7575525D">
      <w:pPr>
        <w:pStyle w:val="108"/>
        <w:ind w:left="77" w:firstLine="420"/>
        <w:rPr>
          <w:color w:val="FF0000"/>
        </w:rPr>
      </w:pPr>
    </w:p>
    <w:p w14:paraId="0B2C6A90">
      <w:pPr>
        <w:pStyle w:val="108"/>
        <w:ind w:left="77" w:firstLine="420"/>
        <w:rPr>
          <w:color w:val="FF0000"/>
        </w:rPr>
      </w:pPr>
    </w:p>
    <w:p w14:paraId="72800686">
      <w:pPr>
        <w:pStyle w:val="108"/>
        <w:ind w:left="77" w:firstLine="420"/>
        <w:rPr>
          <w:color w:val="FF0000"/>
        </w:rPr>
      </w:pPr>
    </w:p>
    <w:p w14:paraId="15BD0B45">
      <w:pPr>
        <w:pStyle w:val="108"/>
        <w:ind w:left="77" w:firstLine="420"/>
        <w:rPr>
          <w:color w:val="FF0000"/>
        </w:rPr>
      </w:pPr>
    </w:p>
    <w:p w14:paraId="42527012">
      <w:pPr>
        <w:pStyle w:val="108"/>
        <w:ind w:left="77" w:firstLine="420"/>
        <w:rPr>
          <w:color w:val="FF0000"/>
        </w:rPr>
      </w:pPr>
    </w:p>
    <w:p w14:paraId="1D986D9C">
      <w:pPr>
        <w:pStyle w:val="108"/>
        <w:ind w:left="77" w:firstLine="420"/>
        <w:rPr>
          <w:color w:val="FF0000"/>
        </w:rPr>
      </w:pPr>
    </w:p>
    <w:p w14:paraId="6F362392">
      <w:pPr>
        <w:pStyle w:val="108"/>
        <w:ind w:left="77" w:firstLine="420"/>
        <w:rPr>
          <w:color w:val="FF0000"/>
        </w:rPr>
      </w:pPr>
    </w:p>
    <w:p w14:paraId="09B9C54E">
      <w:pPr>
        <w:spacing w:line="360" w:lineRule="auto"/>
        <w:jc w:val="center"/>
        <w:rPr>
          <w:rFonts w:ascii="Times New Roman" w:hAnsi="Times New Roman" w:cs="Times New Roman"/>
          <w:b/>
          <w:bCs/>
          <w:color w:val="000000" w:themeColor="text1"/>
          <w:szCs w:val="21"/>
          <w14:textFill>
            <w14:solidFill>
              <w14:schemeClr w14:val="tx1"/>
            </w14:solidFill>
          </w14:textFill>
        </w:rPr>
        <w:sectPr>
          <w:pgSz w:w="11907" w:h="16840"/>
          <w:pgMar w:top="1440" w:right="1800" w:bottom="1440" w:left="1800" w:header="964" w:footer="964" w:gutter="0"/>
          <w:cols w:space="720" w:num="1"/>
          <w:titlePg/>
          <w:docGrid w:linePitch="326" w:charSpace="-4300"/>
        </w:sectPr>
      </w:pPr>
    </w:p>
    <w:p w14:paraId="48DBAB3A">
      <w:pPr>
        <w:spacing w:line="360" w:lineRule="auto"/>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表1环境风险评价自查表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398"/>
        <w:gridCol w:w="133"/>
        <w:gridCol w:w="1033"/>
        <w:gridCol w:w="895"/>
        <w:gridCol w:w="867"/>
        <w:gridCol w:w="936"/>
        <w:gridCol w:w="963"/>
        <w:gridCol w:w="558"/>
        <w:gridCol w:w="240"/>
        <w:gridCol w:w="551"/>
        <w:gridCol w:w="939"/>
        <w:gridCol w:w="816"/>
      </w:tblGrid>
      <w:tr w14:paraId="5C304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Align w:val="center"/>
          </w:tcPr>
          <w:p w14:paraId="689B891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工作内容</w:t>
            </w:r>
          </w:p>
        </w:tc>
        <w:tc>
          <w:tcPr>
            <w:tcW w:w="6765" w:type="dxa"/>
            <w:gridSpan w:val="9"/>
            <w:vAlign w:val="center"/>
          </w:tcPr>
          <w:p w14:paraId="15D3D2B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完成情况</w:t>
            </w:r>
          </w:p>
        </w:tc>
      </w:tr>
      <w:tr w14:paraId="04F1F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restart"/>
            <w:vAlign w:val="center"/>
          </w:tcPr>
          <w:p w14:paraId="6DC62C7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风险调查</w:t>
            </w:r>
          </w:p>
        </w:tc>
        <w:tc>
          <w:tcPr>
            <w:tcW w:w="1166" w:type="dxa"/>
            <w:gridSpan w:val="2"/>
            <w:vMerge w:val="restart"/>
            <w:vAlign w:val="center"/>
          </w:tcPr>
          <w:p w14:paraId="1457CFA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风险物质</w:t>
            </w:r>
          </w:p>
        </w:tc>
        <w:tc>
          <w:tcPr>
            <w:tcW w:w="895" w:type="dxa"/>
            <w:vAlign w:val="center"/>
          </w:tcPr>
          <w:p w14:paraId="6229D6F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名称</w:t>
            </w:r>
          </w:p>
        </w:tc>
        <w:tc>
          <w:tcPr>
            <w:tcW w:w="867" w:type="dxa"/>
            <w:vAlign w:val="center"/>
          </w:tcPr>
          <w:p w14:paraId="3C9C2D6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液体硫磺</w:t>
            </w:r>
          </w:p>
        </w:tc>
        <w:tc>
          <w:tcPr>
            <w:tcW w:w="936" w:type="dxa"/>
            <w:vAlign w:val="center"/>
          </w:tcPr>
          <w:p w14:paraId="6BB677D4">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发烟硫酸</w:t>
            </w:r>
          </w:p>
        </w:tc>
        <w:tc>
          <w:tcPr>
            <w:tcW w:w="963" w:type="dxa"/>
            <w:vAlign w:val="center"/>
          </w:tcPr>
          <w:p w14:paraId="21D00F31">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98%硫酸</w:t>
            </w:r>
          </w:p>
        </w:tc>
        <w:tc>
          <w:tcPr>
            <w:tcW w:w="558" w:type="dxa"/>
            <w:vAlign w:val="center"/>
          </w:tcPr>
          <w:p w14:paraId="2A3F7AC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液碱</w:t>
            </w:r>
          </w:p>
        </w:tc>
        <w:tc>
          <w:tcPr>
            <w:tcW w:w="791" w:type="dxa"/>
            <w:gridSpan w:val="2"/>
            <w:vAlign w:val="center"/>
          </w:tcPr>
          <w:p w14:paraId="12076A8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苯酚</w:t>
            </w:r>
          </w:p>
        </w:tc>
        <w:tc>
          <w:tcPr>
            <w:tcW w:w="939" w:type="dxa"/>
            <w:vAlign w:val="center"/>
          </w:tcPr>
          <w:p w14:paraId="2C609D0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己内酰胺</w:t>
            </w:r>
          </w:p>
        </w:tc>
        <w:tc>
          <w:tcPr>
            <w:tcW w:w="816" w:type="dxa"/>
            <w:vAlign w:val="center"/>
          </w:tcPr>
          <w:p w14:paraId="511BD5A9">
            <w:pPr>
              <w:jc w:val="center"/>
              <w:rPr>
                <w:rFonts w:ascii="Times New Roman" w:hAnsi="Times New Roman" w:cs="Times New Roman"/>
                <w:color w:val="000000" w:themeColor="text1"/>
                <w:sz w:val="21"/>
                <w:szCs w:val="21"/>
                <w14:textFill>
                  <w14:solidFill>
                    <w14:schemeClr w14:val="tx1"/>
                  </w14:solidFill>
                </w14:textFill>
              </w:rPr>
            </w:pPr>
          </w:p>
        </w:tc>
      </w:tr>
      <w:tr w14:paraId="2265F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continue"/>
            <w:vAlign w:val="center"/>
          </w:tcPr>
          <w:p w14:paraId="14C83914">
            <w:pPr>
              <w:jc w:val="center"/>
              <w:rPr>
                <w:rFonts w:ascii="Times New Roman" w:hAnsi="Times New Roman" w:cs="Times New Roman"/>
                <w:color w:val="000000" w:themeColor="text1"/>
                <w:sz w:val="21"/>
                <w:szCs w:val="21"/>
                <w14:textFill>
                  <w14:solidFill>
                    <w14:schemeClr w14:val="tx1"/>
                  </w14:solidFill>
                </w14:textFill>
              </w:rPr>
            </w:pPr>
          </w:p>
        </w:tc>
        <w:tc>
          <w:tcPr>
            <w:tcW w:w="1166" w:type="dxa"/>
            <w:gridSpan w:val="2"/>
            <w:vMerge w:val="continue"/>
            <w:vAlign w:val="center"/>
          </w:tcPr>
          <w:p w14:paraId="02E512DC">
            <w:pPr>
              <w:jc w:val="center"/>
              <w:rPr>
                <w:rFonts w:ascii="Times New Roman" w:hAnsi="Times New Roman" w:cs="Times New Roman"/>
                <w:color w:val="000000" w:themeColor="text1"/>
                <w:sz w:val="21"/>
                <w:szCs w:val="21"/>
                <w14:textFill>
                  <w14:solidFill>
                    <w14:schemeClr w14:val="tx1"/>
                  </w14:solidFill>
                </w14:textFill>
              </w:rPr>
            </w:pPr>
          </w:p>
        </w:tc>
        <w:tc>
          <w:tcPr>
            <w:tcW w:w="895" w:type="dxa"/>
            <w:vAlign w:val="center"/>
          </w:tcPr>
          <w:p w14:paraId="3B63080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存在总量/t</w:t>
            </w:r>
          </w:p>
        </w:tc>
        <w:tc>
          <w:tcPr>
            <w:tcW w:w="867" w:type="dxa"/>
            <w:vAlign w:val="center"/>
          </w:tcPr>
          <w:p w14:paraId="3976645C">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7200</w:t>
            </w:r>
          </w:p>
        </w:tc>
        <w:tc>
          <w:tcPr>
            <w:tcW w:w="936" w:type="dxa"/>
            <w:vAlign w:val="center"/>
          </w:tcPr>
          <w:p w14:paraId="7B4C107D">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w:t>
            </w:r>
          </w:p>
        </w:tc>
        <w:tc>
          <w:tcPr>
            <w:tcW w:w="963" w:type="dxa"/>
            <w:vAlign w:val="center"/>
          </w:tcPr>
          <w:p w14:paraId="71773DB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7340</w:t>
            </w:r>
          </w:p>
        </w:tc>
        <w:tc>
          <w:tcPr>
            <w:tcW w:w="558" w:type="dxa"/>
            <w:vAlign w:val="center"/>
          </w:tcPr>
          <w:p w14:paraId="631F4760">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4947</w:t>
            </w:r>
          </w:p>
        </w:tc>
        <w:tc>
          <w:tcPr>
            <w:tcW w:w="791" w:type="dxa"/>
            <w:gridSpan w:val="2"/>
            <w:vAlign w:val="center"/>
          </w:tcPr>
          <w:p w14:paraId="29575233">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9639</w:t>
            </w:r>
          </w:p>
        </w:tc>
        <w:tc>
          <w:tcPr>
            <w:tcW w:w="939" w:type="dxa"/>
            <w:vAlign w:val="center"/>
          </w:tcPr>
          <w:p w14:paraId="657D4F8A">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13810</w:t>
            </w:r>
          </w:p>
        </w:tc>
        <w:tc>
          <w:tcPr>
            <w:tcW w:w="816" w:type="dxa"/>
            <w:vAlign w:val="center"/>
          </w:tcPr>
          <w:p w14:paraId="2A2751C9">
            <w:pPr>
              <w:jc w:val="center"/>
              <w:rPr>
                <w:rFonts w:ascii="Times New Roman" w:hAnsi="Times New Roman" w:cs="Times New Roman"/>
                <w:color w:val="FF0000"/>
                <w:sz w:val="21"/>
                <w:szCs w:val="21"/>
              </w:rPr>
            </w:pPr>
          </w:p>
        </w:tc>
      </w:tr>
      <w:tr w14:paraId="33DEF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continue"/>
            <w:vAlign w:val="center"/>
          </w:tcPr>
          <w:p w14:paraId="05BDF25F">
            <w:pPr>
              <w:jc w:val="center"/>
              <w:rPr>
                <w:rFonts w:ascii="Times New Roman" w:hAnsi="Times New Roman" w:cs="Times New Roman"/>
                <w:color w:val="000000" w:themeColor="text1"/>
                <w:sz w:val="21"/>
                <w:szCs w:val="21"/>
                <w14:textFill>
                  <w14:solidFill>
                    <w14:schemeClr w14:val="tx1"/>
                  </w14:solidFill>
                </w14:textFill>
              </w:rPr>
            </w:pPr>
          </w:p>
        </w:tc>
        <w:tc>
          <w:tcPr>
            <w:tcW w:w="1166" w:type="dxa"/>
            <w:gridSpan w:val="2"/>
            <w:vMerge w:val="restart"/>
            <w:vAlign w:val="center"/>
          </w:tcPr>
          <w:p w14:paraId="5E21977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环境敏感性</w:t>
            </w:r>
          </w:p>
        </w:tc>
        <w:tc>
          <w:tcPr>
            <w:tcW w:w="895" w:type="dxa"/>
            <w:vMerge w:val="restart"/>
            <w:vAlign w:val="center"/>
          </w:tcPr>
          <w:p w14:paraId="52C6A22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w:t>
            </w:r>
          </w:p>
        </w:tc>
        <w:tc>
          <w:tcPr>
            <w:tcW w:w="2766" w:type="dxa"/>
            <w:gridSpan w:val="3"/>
            <w:vAlign w:val="center"/>
          </w:tcPr>
          <w:p w14:paraId="7F7B42B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500m范围内人口</w:t>
            </w:r>
            <w:r>
              <w:rPr>
                <w:rFonts w:ascii="Times New Roman" w:hAnsi="Times New Roman" w:cs="Times New Roman"/>
                <w:color w:val="000000" w:themeColor="text1"/>
                <w:sz w:val="21"/>
                <w:szCs w:val="21"/>
                <w:u w:val="single"/>
                <w14:textFill>
                  <w14:solidFill>
                    <w14:schemeClr w14:val="tx1"/>
                  </w14:solidFill>
                </w14:textFill>
              </w:rPr>
              <w:t xml:space="preserve">  </w:t>
            </w:r>
            <w:r>
              <w:rPr>
                <w:rFonts w:hint="eastAsia" w:ascii="Times New Roman" w:hAnsi="Times New Roman" w:cs="Times New Roman"/>
                <w:color w:val="000000" w:themeColor="text1"/>
                <w:sz w:val="21"/>
                <w:szCs w:val="21"/>
                <w:u w:val="single"/>
                <w14:textFill>
                  <w14:solidFill>
                    <w14:schemeClr w14:val="tx1"/>
                  </w14:solidFill>
                </w14:textFill>
              </w:rPr>
              <w:t>0</w:t>
            </w:r>
            <w:r>
              <w:rPr>
                <w:rFonts w:ascii="Times New Roman" w:hAnsi="Times New Roman" w:cs="Times New Roman"/>
                <w:color w:val="000000" w:themeColor="text1"/>
                <w:sz w:val="21"/>
                <w:szCs w:val="21"/>
                <w:u w:val="single"/>
                <w14:textFill>
                  <w14:solidFill>
                    <w14:schemeClr w14:val="tx1"/>
                  </w14:solidFill>
                </w14:textFill>
              </w:rPr>
              <w:t xml:space="preserve">  </w:t>
            </w:r>
            <w:r>
              <w:rPr>
                <w:rFonts w:ascii="Times New Roman" w:hAnsi="Times New Roman" w:cs="Times New Roman"/>
                <w:color w:val="000000" w:themeColor="text1"/>
                <w:sz w:val="21"/>
                <w:szCs w:val="21"/>
                <w14:textFill>
                  <w14:solidFill>
                    <w14:schemeClr w14:val="tx1"/>
                  </w14:solidFill>
                </w14:textFill>
              </w:rPr>
              <w:t>人</w:t>
            </w:r>
          </w:p>
        </w:tc>
        <w:tc>
          <w:tcPr>
            <w:tcW w:w="3104" w:type="dxa"/>
            <w:gridSpan w:val="5"/>
            <w:vAlign w:val="center"/>
          </w:tcPr>
          <w:p w14:paraId="06EB7DF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5km范围内人口数</w:t>
            </w:r>
            <w:r>
              <w:rPr>
                <w:rFonts w:hint="eastAsia" w:ascii="Times New Roman" w:hAnsi="Times New Roman" w:cs="Times New Roman"/>
                <w:color w:val="000000" w:themeColor="text1"/>
                <w:sz w:val="21"/>
                <w:szCs w:val="21"/>
                <w14:textFill>
                  <w14:solidFill>
                    <w14:schemeClr w14:val="tx1"/>
                  </w14:solidFill>
                </w14:textFill>
              </w:rPr>
              <w:t>约</w:t>
            </w:r>
            <w:r>
              <w:rPr>
                <w:rFonts w:hint="eastAsia" w:ascii="Times New Roman" w:hAnsi="Times New Roman" w:cs="Times New Roman"/>
                <w:color w:val="000000" w:themeColor="text1"/>
                <w:sz w:val="21"/>
                <w:szCs w:val="21"/>
                <w:u w:val="single"/>
                <w14:textFill>
                  <w14:solidFill>
                    <w14:schemeClr w14:val="tx1"/>
                  </w14:solidFill>
                </w14:textFill>
              </w:rPr>
              <w:t xml:space="preserve"> 26050 </w:t>
            </w:r>
            <w:r>
              <w:rPr>
                <w:rFonts w:ascii="Times New Roman" w:hAnsi="Times New Roman" w:cs="Times New Roman"/>
                <w:color w:val="000000" w:themeColor="text1"/>
                <w:sz w:val="21"/>
                <w:szCs w:val="21"/>
                <w14:textFill>
                  <w14:solidFill>
                    <w14:schemeClr w14:val="tx1"/>
                  </w14:solidFill>
                </w14:textFill>
              </w:rPr>
              <w:t>人</w:t>
            </w:r>
          </w:p>
        </w:tc>
      </w:tr>
      <w:tr w14:paraId="7ABFA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continue"/>
            <w:vAlign w:val="center"/>
          </w:tcPr>
          <w:p w14:paraId="3953F4AF">
            <w:pPr>
              <w:jc w:val="center"/>
              <w:rPr>
                <w:rFonts w:ascii="Times New Roman" w:hAnsi="Times New Roman" w:cs="Times New Roman"/>
                <w:color w:val="FF0000"/>
                <w:sz w:val="21"/>
                <w:szCs w:val="21"/>
              </w:rPr>
            </w:pPr>
          </w:p>
        </w:tc>
        <w:tc>
          <w:tcPr>
            <w:tcW w:w="1166" w:type="dxa"/>
            <w:gridSpan w:val="2"/>
            <w:vMerge w:val="continue"/>
            <w:vAlign w:val="center"/>
          </w:tcPr>
          <w:p w14:paraId="4E3257CB">
            <w:pPr>
              <w:jc w:val="center"/>
              <w:rPr>
                <w:rFonts w:ascii="Times New Roman" w:hAnsi="Times New Roman" w:cs="Times New Roman"/>
                <w:color w:val="FF0000"/>
                <w:sz w:val="21"/>
                <w:szCs w:val="21"/>
              </w:rPr>
            </w:pPr>
          </w:p>
        </w:tc>
        <w:tc>
          <w:tcPr>
            <w:tcW w:w="895" w:type="dxa"/>
            <w:vMerge w:val="continue"/>
            <w:vAlign w:val="center"/>
          </w:tcPr>
          <w:p w14:paraId="22CF5F17">
            <w:pPr>
              <w:jc w:val="center"/>
              <w:rPr>
                <w:rFonts w:ascii="Times New Roman" w:hAnsi="Times New Roman" w:cs="Times New Roman"/>
                <w:color w:val="000000" w:themeColor="text1"/>
                <w:sz w:val="21"/>
                <w:szCs w:val="21"/>
                <w14:textFill>
                  <w14:solidFill>
                    <w14:schemeClr w14:val="tx1"/>
                  </w14:solidFill>
                </w14:textFill>
              </w:rPr>
            </w:pPr>
          </w:p>
        </w:tc>
        <w:tc>
          <w:tcPr>
            <w:tcW w:w="4115" w:type="dxa"/>
            <w:gridSpan w:val="6"/>
            <w:vAlign w:val="center"/>
          </w:tcPr>
          <w:p w14:paraId="6705BC8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每公里管段周边200m范围内人口数（最大）</w:t>
            </w:r>
          </w:p>
        </w:tc>
        <w:tc>
          <w:tcPr>
            <w:tcW w:w="1755" w:type="dxa"/>
            <w:gridSpan w:val="2"/>
            <w:vAlign w:val="center"/>
          </w:tcPr>
          <w:p w14:paraId="3DFE699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/人</w:t>
            </w:r>
          </w:p>
        </w:tc>
      </w:tr>
      <w:tr w14:paraId="5CD08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continue"/>
            <w:vAlign w:val="center"/>
          </w:tcPr>
          <w:p w14:paraId="64427EC9">
            <w:pPr>
              <w:jc w:val="center"/>
              <w:rPr>
                <w:rFonts w:ascii="Times New Roman" w:hAnsi="Times New Roman" w:cs="Times New Roman"/>
                <w:color w:val="FF0000"/>
                <w:sz w:val="21"/>
                <w:szCs w:val="21"/>
              </w:rPr>
            </w:pPr>
          </w:p>
        </w:tc>
        <w:tc>
          <w:tcPr>
            <w:tcW w:w="1166" w:type="dxa"/>
            <w:gridSpan w:val="2"/>
            <w:vMerge w:val="continue"/>
            <w:vAlign w:val="center"/>
          </w:tcPr>
          <w:p w14:paraId="2D521E8A">
            <w:pPr>
              <w:jc w:val="center"/>
              <w:rPr>
                <w:rFonts w:ascii="Times New Roman" w:hAnsi="Times New Roman" w:cs="Times New Roman"/>
                <w:color w:val="FF0000"/>
                <w:sz w:val="21"/>
                <w:szCs w:val="21"/>
              </w:rPr>
            </w:pPr>
          </w:p>
        </w:tc>
        <w:tc>
          <w:tcPr>
            <w:tcW w:w="895" w:type="dxa"/>
            <w:vMerge w:val="restart"/>
            <w:vAlign w:val="center"/>
          </w:tcPr>
          <w:p w14:paraId="0334C65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地表水</w:t>
            </w:r>
          </w:p>
        </w:tc>
        <w:tc>
          <w:tcPr>
            <w:tcW w:w="1803" w:type="dxa"/>
            <w:gridSpan w:val="2"/>
            <w:vAlign w:val="center"/>
          </w:tcPr>
          <w:p w14:paraId="14A097E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地表水功能敏感性</w:t>
            </w:r>
          </w:p>
        </w:tc>
        <w:tc>
          <w:tcPr>
            <w:tcW w:w="963" w:type="dxa"/>
            <w:vAlign w:val="center"/>
          </w:tcPr>
          <w:p w14:paraId="46B4317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F1Ϗ</w:t>
            </w:r>
          </w:p>
        </w:tc>
        <w:tc>
          <w:tcPr>
            <w:tcW w:w="1349" w:type="dxa"/>
            <w:gridSpan w:val="3"/>
            <w:vAlign w:val="center"/>
          </w:tcPr>
          <w:p w14:paraId="559597B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F2Ϗ</w:t>
            </w:r>
          </w:p>
        </w:tc>
        <w:tc>
          <w:tcPr>
            <w:tcW w:w="1755" w:type="dxa"/>
            <w:gridSpan w:val="2"/>
            <w:vAlign w:val="center"/>
          </w:tcPr>
          <w:p w14:paraId="015E9B11">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F3</w:t>
            </w:r>
            <w:r>
              <w:rPr>
                <w:rFonts w:hint="eastAsia" w:ascii="MS Mincho" w:hAnsi="MS Mincho" w:eastAsia="MS Mincho" w:cs="MS Mincho"/>
                <w:color w:val="000000" w:themeColor="text1"/>
                <w:sz w:val="21"/>
                <w:szCs w:val="21"/>
                <w14:textFill>
                  <w14:solidFill>
                    <w14:schemeClr w14:val="tx1"/>
                  </w14:solidFill>
                </w14:textFill>
              </w:rPr>
              <w:t>☑</w:t>
            </w:r>
          </w:p>
        </w:tc>
      </w:tr>
      <w:tr w14:paraId="2F96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continue"/>
            <w:vAlign w:val="center"/>
          </w:tcPr>
          <w:p w14:paraId="37696BD2">
            <w:pPr>
              <w:jc w:val="center"/>
              <w:rPr>
                <w:rFonts w:ascii="Times New Roman" w:hAnsi="Times New Roman" w:cs="Times New Roman"/>
                <w:color w:val="FF0000"/>
                <w:sz w:val="21"/>
                <w:szCs w:val="21"/>
              </w:rPr>
            </w:pPr>
          </w:p>
        </w:tc>
        <w:tc>
          <w:tcPr>
            <w:tcW w:w="1166" w:type="dxa"/>
            <w:gridSpan w:val="2"/>
            <w:vMerge w:val="continue"/>
            <w:vAlign w:val="center"/>
          </w:tcPr>
          <w:p w14:paraId="1D2ED795">
            <w:pPr>
              <w:jc w:val="center"/>
              <w:rPr>
                <w:rFonts w:ascii="Times New Roman" w:hAnsi="Times New Roman" w:cs="Times New Roman"/>
                <w:color w:val="FF0000"/>
                <w:sz w:val="21"/>
                <w:szCs w:val="21"/>
              </w:rPr>
            </w:pPr>
          </w:p>
        </w:tc>
        <w:tc>
          <w:tcPr>
            <w:tcW w:w="895" w:type="dxa"/>
            <w:vMerge w:val="continue"/>
            <w:vAlign w:val="center"/>
          </w:tcPr>
          <w:p w14:paraId="170EE470">
            <w:pPr>
              <w:jc w:val="center"/>
              <w:rPr>
                <w:rFonts w:ascii="Times New Roman" w:hAnsi="Times New Roman" w:cs="Times New Roman"/>
                <w:color w:val="000000" w:themeColor="text1"/>
                <w:sz w:val="21"/>
                <w:szCs w:val="21"/>
                <w14:textFill>
                  <w14:solidFill>
                    <w14:schemeClr w14:val="tx1"/>
                  </w14:solidFill>
                </w14:textFill>
              </w:rPr>
            </w:pPr>
          </w:p>
        </w:tc>
        <w:tc>
          <w:tcPr>
            <w:tcW w:w="1803" w:type="dxa"/>
            <w:gridSpan w:val="2"/>
            <w:vAlign w:val="center"/>
          </w:tcPr>
          <w:p w14:paraId="3F6F829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环境敏感目标分级</w:t>
            </w:r>
          </w:p>
        </w:tc>
        <w:tc>
          <w:tcPr>
            <w:tcW w:w="963" w:type="dxa"/>
            <w:vAlign w:val="center"/>
          </w:tcPr>
          <w:p w14:paraId="6608AD13">
            <w:pPr>
              <w:jc w:val="center"/>
              <w:rPr>
                <w:rFonts w:ascii="MS Mincho" w:hAnsi="MS Mincho" w:eastAsia="MS Mincho" w:cs="MS Mincho"/>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S1</w:t>
            </w:r>
            <w:r>
              <w:rPr>
                <w:rFonts w:hint="eastAsia" w:ascii="MS Mincho" w:hAnsi="MS Mincho" w:eastAsia="MS Mincho" w:cs="MS Mincho"/>
                <w:color w:val="000000" w:themeColor="text1"/>
                <w:sz w:val="21"/>
                <w:szCs w:val="21"/>
                <w14:textFill>
                  <w14:solidFill>
                    <w14:schemeClr w14:val="tx1"/>
                  </w14:solidFill>
                </w14:textFill>
              </w:rPr>
              <w:t>☑</w:t>
            </w:r>
          </w:p>
        </w:tc>
        <w:tc>
          <w:tcPr>
            <w:tcW w:w="1349" w:type="dxa"/>
            <w:gridSpan w:val="3"/>
            <w:vAlign w:val="center"/>
          </w:tcPr>
          <w:p w14:paraId="5928885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S2Ϗ</w:t>
            </w:r>
          </w:p>
        </w:tc>
        <w:tc>
          <w:tcPr>
            <w:tcW w:w="1755" w:type="dxa"/>
            <w:gridSpan w:val="2"/>
            <w:vAlign w:val="center"/>
          </w:tcPr>
          <w:p w14:paraId="1AC0EBF7">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S3</w:t>
            </w:r>
            <w:r>
              <w:rPr>
                <w:rFonts w:hint="eastAsia" w:ascii="Times New Roman" w:hAnsi="Times New Roman" w:eastAsia="MS Mincho" w:cs="Times New Roman"/>
                <w:color w:val="000000" w:themeColor="text1"/>
                <w:sz w:val="21"/>
                <w:szCs w:val="21"/>
                <w14:textFill>
                  <w14:solidFill>
                    <w14:schemeClr w14:val="tx1"/>
                  </w14:solidFill>
                </w14:textFill>
              </w:rPr>
              <w:t>Ϗ</w:t>
            </w:r>
          </w:p>
        </w:tc>
      </w:tr>
      <w:tr w14:paraId="0A649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 w:hRule="atLeast"/>
        </w:trPr>
        <w:tc>
          <w:tcPr>
            <w:tcW w:w="398" w:type="dxa"/>
            <w:vMerge w:val="continue"/>
            <w:vAlign w:val="center"/>
          </w:tcPr>
          <w:p w14:paraId="56FE34D4">
            <w:pPr>
              <w:jc w:val="center"/>
              <w:rPr>
                <w:rFonts w:ascii="Times New Roman" w:hAnsi="Times New Roman" w:cs="Times New Roman"/>
                <w:color w:val="FF0000"/>
                <w:sz w:val="21"/>
                <w:szCs w:val="21"/>
              </w:rPr>
            </w:pPr>
          </w:p>
        </w:tc>
        <w:tc>
          <w:tcPr>
            <w:tcW w:w="1166" w:type="dxa"/>
            <w:gridSpan w:val="2"/>
            <w:vMerge w:val="continue"/>
            <w:vAlign w:val="center"/>
          </w:tcPr>
          <w:p w14:paraId="607CB8E9">
            <w:pPr>
              <w:jc w:val="center"/>
              <w:rPr>
                <w:rFonts w:ascii="Times New Roman" w:hAnsi="Times New Roman" w:cs="Times New Roman"/>
                <w:color w:val="FF0000"/>
                <w:sz w:val="21"/>
                <w:szCs w:val="21"/>
              </w:rPr>
            </w:pPr>
          </w:p>
        </w:tc>
        <w:tc>
          <w:tcPr>
            <w:tcW w:w="895" w:type="dxa"/>
            <w:vMerge w:val="restart"/>
            <w:vAlign w:val="center"/>
          </w:tcPr>
          <w:p w14:paraId="1D8D9D3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地下水</w:t>
            </w:r>
          </w:p>
        </w:tc>
        <w:tc>
          <w:tcPr>
            <w:tcW w:w="1803" w:type="dxa"/>
            <w:gridSpan w:val="2"/>
            <w:vAlign w:val="center"/>
          </w:tcPr>
          <w:p w14:paraId="2E6C76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地下水功能敏感性</w:t>
            </w:r>
          </w:p>
        </w:tc>
        <w:tc>
          <w:tcPr>
            <w:tcW w:w="963" w:type="dxa"/>
            <w:vAlign w:val="center"/>
          </w:tcPr>
          <w:p w14:paraId="78DB7EF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G1Ϗ</w:t>
            </w:r>
          </w:p>
        </w:tc>
        <w:tc>
          <w:tcPr>
            <w:tcW w:w="1349" w:type="dxa"/>
            <w:gridSpan w:val="3"/>
            <w:vAlign w:val="center"/>
          </w:tcPr>
          <w:p w14:paraId="4B239EA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G2Ϗ</w:t>
            </w:r>
          </w:p>
        </w:tc>
        <w:tc>
          <w:tcPr>
            <w:tcW w:w="1755" w:type="dxa"/>
            <w:gridSpan w:val="2"/>
            <w:vAlign w:val="center"/>
          </w:tcPr>
          <w:p w14:paraId="0D8C716A">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G3</w:t>
            </w:r>
            <w:r>
              <w:rPr>
                <w:rFonts w:hint="eastAsia" w:ascii="MS Mincho" w:hAnsi="MS Mincho" w:eastAsia="MS Mincho" w:cs="MS Mincho"/>
                <w:color w:val="000000" w:themeColor="text1"/>
                <w:sz w:val="21"/>
                <w:szCs w:val="21"/>
                <w14:textFill>
                  <w14:solidFill>
                    <w14:schemeClr w14:val="tx1"/>
                  </w14:solidFill>
                </w14:textFill>
              </w:rPr>
              <w:t>☑</w:t>
            </w:r>
          </w:p>
        </w:tc>
      </w:tr>
      <w:tr w14:paraId="03CC1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continue"/>
            <w:vAlign w:val="center"/>
          </w:tcPr>
          <w:p w14:paraId="51CBADBE">
            <w:pPr>
              <w:jc w:val="center"/>
              <w:rPr>
                <w:rFonts w:ascii="Times New Roman" w:hAnsi="Times New Roman" w:cs="Times New Roman"/>
                <w:color w:val="FF0000"/>
                <w:sz w:val="21"/>
                <w:szCs w:val="21"/>
              </w:rPr>
            </w:pPr>
          </w:p>
        </w:tc>
        <w:tc>
          <w:tcPr>
            <w:tcW w:w="1166" w:type="dxa"/>
            <w:gridSpan w:val="2"/>
            <w:vMerge w:val="continue"/>
            <w:vAlign w:val="center"/>
          </w:tcPr>
          <w:p w14:paraId="3484159A">
            <w:pPr>
              <w:jc w:val="center"/>
              <w:rPr>
                <w:rFonts w:ascii="Times New Roman" w:hAnsi="Times New Roman" w:cs="Times New Roman"/>
                <w:color w:val="FF0000"/>
                <w:sz w:val="21"/>
                <w:szCs w:val="21"/>
              </w:rPr>
            </w:pPr>
          </w:p>
        </w:tc>
        <w:tc>
          <w:tcPr>
            <w:tcW w:w="895" w:type="dxa"/>
            <w:vMerge w:val="continue"/>
            <w:vAlign w:val="center"/>
          </w:tcPr>
          <w:p w14:paraId="1E40DE5D">
            <w:pPr>
              <w:jc w:val="center"/>
              <w:rPr>
                <w:rFonts w:ascii="Times New Roman" w:hAnsi="Times New Roman" w:cs="Times New Roman"/>
                <w:color w:val="000000" w:themeColor="text1"/>
                <w:sz w:val="21"/>
                <w:szCs w:val="21"/>
                <w14:textFill>
                  <w14:solidFill>
                    <w14:schemeClr w14:val="tx1"/>
                  </w14:solidFill>
                </w14:textFill>
              </w:rPr>
            </w:pPr>
          </w:p>
        </w:tc>
        <w:tc>
          <w:tcPr>
            <w:tcW w:w="1803" w:type="dxa"/>
            <w:gridSpan w:val="2"/>
            <w:vAlign w:val="center"/>
          </w:tcPr>
          <w:p w14:paraId="5CA169E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包气带防污性能</w:t>
            </w:r>
          </w:p>
        </w:tc>
        <w:tc>
          <w:tcPr>
            <w:tcW w:w="963" w:type="dxa"/>
            <w:vAlign w:val="center"/>
          </w:tcPr>
          <w:p w14:paraId="2653E8DC">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D1</w:t>
            </w:r>
            <w:r>
              <w:rPr>
                <w:rFonts w:ascii="Times New Roman" w:hAnsi="Times New Roman" w:eastAsia="MS Mincho" w:cs="Times New Roman"/>
                <w:color w:val="000000" w:themeColor="text1"/>
                <w:sz w:val="21"/>
                <w:szCs w:val="21"/>
                <w14:textFill>
                  <w14:solidFill>
                    <w14:schemeClr w14:val="tx1"/>
                  </w14:solidFill>
                </w14:textFill>
              </w:rPr>
              <w:t>Ϗ</w:t>
            </w:r>
          </w:p>
        </w:tc>
        <w:tc>
          <w:tcPr>
            <w:tcW w:w="1349" w:type="dxa"/>
            <w:gridSpan w:val="3"/>
            <w:vAlign w:val="center"/>
          </w:tcPr>
          <w:p w14:paraId="0892DC98">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D2</w:t>
            </w:r>
            <w:r>
              <w:rPr>
                <w:rFonts w:hint="eastAsia" w:ascii="MS Mincho" w:hAnsi="MS Mincho" w:eastAsia="MS Mincho" w:cs="MS Mincho"/>
                <w:color w:val="000000" w:themeColor="text1"/>
                <w:sz w:val="21"/>
                <w:szCs w:val="21"/>
                <w14:textFill>
                  <w14:solidFill>
                    <w14:schemeClr w14:val="tx1"/>
                  </w14:solidFill>
                </w14:textFill>
              </w:rPr>
              <w:t>☑</w:t>
            </w:r>
          </w:p>
        </w:tc>
        <w:tc>
          <w:tcPr>
            <w:tcW w:w="1755" w:type="dxa"/>
            <w:gridSpan w:val="2"/>
            <w:vAlign w:val="center"/>
          </w:tcPr>
          <w:p w14:paraId="000673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D3Ϗ</w:t>
            </w:r>
          </w:p>
        </w:tc>
      </w:tr>
      <w:tr w14:paraId="51461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Merge w:val="restart"/>
            <w:vAlign w:val="center"/>
          </w:tcPr>
          <w:p w14:paraId="7DA78F2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物质及工艺系统危险性</w:t>
            </w:r>
          </w:p>
        </w:tc>
        <w:tc>
          <w:tcPr>
            <w:tcW w:w="895" w:type="dxa"/>
            <w:vAlign w:val="center"/>
          </w:tcPr>
          <w:p w14:paraId="0F9A86B0">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14:textFill>
                  <w14:solidFill>
                    <w14:schemeClr w14:val="tx1"/>
                  </w14:solidFill>
                </w14:textFill>
              </w:rPr>
              <w:t>值</w:t>
            </w:r>
          </w:p>
        </w:tc>
        <w:tc>
          <w:tcPr>
            <w:tcW w:w="1803" w:type="dxa"/>
            <w:gridSpan w:val="2"/>
            <w:vAlign w:val="center"/>
          </w:tcPr>
          <w:p w14:paraId="7497AC2B">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14:textFill>
                  <w14:solidFill>
                    <w14:schemeClr w14:val="tx1"/>
                  </w14:solidFill>
                </w14:textFill>
              </w:rPr>
              <w:t>＜1</w:t>
            </w:r>
            <w:r>
              <w:rPr>
                <w:rFonts w:hint="eastAsia" w:ascii="MS Mincho" w:hAnsi="MS Mincho" w:cs="MS Mincho"/>
                <w:color w:val="000000" w:themeColor="text1"/>
                <w:sz w:val="21"/>
                <w:szCs w:val="21"/>
                <w14:textFill>
                  <w14:solidFill>
                    <w14:schemeClr w14:val="tx1"/>
                  </w14:solidFill>
                </w14:textFill>
              </w:rPr>
              <w:t>□</w:t>
            </w:r>
          </w:p>
        </w:tc>
        <w:tc>
          <w:tcPr>
            <w:tcW w:w="963" w:type="dxa"/>
            <w:vAlign w:val="center"/>
          </w:tcPr>
          <w:p w14:paraId="7C782EDE">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1</w:t>
            </w:r>
            <w:r>
              <w:rPr>
                <w:rFonts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iCs/>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14:textFill>
                  <w14:solidFill>
                    <w14:schemeClr w14:val="tx1"/>
                  </w14:solidFill>
                </w14:textFill>
              </w:rPr>
              <w:t>＜10</w:t>
            </w:r>
            <w:r>
              <w:rPr>
                <w:rFonts w:hint="eastAsia" w:ascii="MS Mincho" w:hAnsi="MS Mincho" w:cs="MS Mincho"/>
                <w:color w:val="000000" w:themeColor="text1"/>
                <w:sz w:val="21"/>
                <w:szCs w:val="21"/>
                <w14:textFill>
                  <w14:solidFill>
                    <w14:schemeClr w14:val="tx1"/>
                  </w14:solidFill>
                </w14:textFill>
              </w:rPr>
              <w:t>□</w:t>
            </w:r>
          </w:p>
        </w:tc>
        <w:tc>
          <w:tcPr>
            <w:tcW w:w="1349" w:type="dxa"/>
            <w:gridSpan w:val="3"/>
            <w:vAlign w:val="center"/>
          </w:tcPr>
          <w:p w14:paraId="628673E9">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10</w:t>
            </w:r>
            <w:r>
              <w:rPr>
                <w:rFonts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iCs/>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14:textFill>
                  <w14:solidFill>
                    <w14:schemeClr w14:val="tx1"/>
                  </w14:solidFill>
                </w14:textFill>
              </w:rPr>
              <w:t>＜100</w:t>
            </w:r>
            <w:r>
              <w:rPr>
                <w:rFonts w:hint="eastAsia" w:ascii="MS Mincho" w:hAnsi="MS Mincho" w:cs="MS Mincho"/>
                <w:color w:val="000000" w:themeColor="text1"/>
                <w:sz w:val="21"/>
                <w:szCs w:val="21"/>
                <w14:textFill>
                  <w14:solidFill>
                    <w14:schemeClr w14:val="tx1"/>
                  </w14:solidFill>
                </w14:textFill>
              </w:rPr>
              <w:t>□</w:t>
            </w:r>
          </w:p>
        </w:tc>
        <w:tc>
          <w:tcPr>
            <w:tcW w:w="1755" w:type="dxa"/>
            <w:gridSpan w:val="2"/>
            <w:vAlign w:val="center"/>
          </w:tcPr>
          <w:p w14:paraId="41A85120">
            <w:pPr>
              <w:jc w:val="center"/>
              <w:rPr>
                <w:rFonts w:ascii="Times New Roman" w:hAnsi="Times New Roman" w:eastAsia="MS Mincho"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Q</w:t>
            </w:r>
            <w:r>
              <w:rPr>
                <w:rFonts w:ascii="Times New Roman" w:hAnsi="Times New Roman" w:cs="Times New Roman"/>
                <w:color w:val="000000" w:themeColor="text1"/>
                <w:sz w:val="21"/>
                <w:szCs w:val="21"/>
                <w14:textFill>
                  <w14:solidFill>
                    <w14:schemeClr w14:val="tx1"/>
                  </w14:solidFill>
                </w14:textFill>
              </w:rPr>
              <w:t>≥100</w:t>
            </w:r>
            <w:r>
              <w:rPr>
                <w:rFonts w:hint="eastAsia" w:ascii="MS Mincho" w:hAnsi="MS Mincho" w:eastAsia="MS Mincho" w:cs="MS Mincho"/>
                <w:color w:val="000000" w:themeColor="text1"/>
                <w:sz w:val="21"/>
                <w:szCs w:val="21"/>
                <w14:textFill>
                  <w14:solidFill>
                    <w14:schemeClr w14:val="tx1"/>
                  </w14:solidFill>
                </w14:textFill>
              </w:rPr>
              <w:t>☑</w:t>
            </w:r>
          </w:p>
        </w:tc>
      </w:tr>
      <w:tr w14:paraId="7C681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Merge w:val="continue"/>
            <w:vAlign w:val="center"/>
          </w:tcPr>
          <w:p w14:paraId="05B2FB03">
            <w:pPr>
              <w:jc w:val="center"/>
              <w:rPr>
                <w:rFonts w:ascii="Times New Roman" w:hAnsi="Times New Roman" w:cs="Times New Roman"/>
                <w:color w:val="000000" w:themeColor="text1"/>
                <w:sz w:val="21"/>
                <w:szCs w:val="21"/>
                <w14:textFill>
                  <w14:solidFill>
                    <w14:schemeClr w14:val="tx1"/>
                  </w14:solidFill>
                </w14:textFill>
              </w:rPr>
            </w:pPr>
          </w:p>
        </w:tc>
        <w:tc>
          <w:tcPr>
            <w:tcW w:w="895" w:type="dxa"/>
            <w:vAlign w:val="center"/>
          </w:tcPr>
          <w:p w14:paraId="0557943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M值</w:t>
            </w:r>
          </w:p>
        </w:tc>
        <w:tc>
          <w:tcPr>
            <w:tcW w:w="1803" w:type="dxa"/>
            <w:gridSpan w:val="2"/>
            <w:vAlign w:val="center"/>
          </w:tcPr>
          <w:p w14:paraId="24194966">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M1</w:t>
            </w:r>
            <w:r>
              <w:rPr>
                <w:rFonts w:hint="eastAsia" w:ascii="MS Mincho" w:hAnsi="MS Mincho" w:cs="MS Mincho"/>
                <w:color w:val="000000" w:themeColor="text1"/>
                <w:sz w:val="21"/>
                <w:szCs w:val="21"/>
                <w14:textFill>
                  <w14:solidFill>
                    <w14:schemeClr w14:val="tx1"/>
                  </w14:solidFill>
                </w14:textFill>
              </w:rPr>
              <w:t>□</w:t>
            </w:r>
          </w:p>
        </w:tc>
        <w:tc>
          <w:tcPr>
            <w:tcW w:w="963" w:type="dxa"/>
            <w:vAlign w:val="center"/>
          </w:tcPr>
          <w:p w14:paraId="69E8A89B">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M2</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cs="MS Mincho"/>
                <w:color w:val="000000" w:themeColor="text1"/>
                <w:sz w:val="21"/>
                <w:szCs w:val="21"/>
                <w14:textFill>
                  <w14:solidFill>
                    <w14:schemeClr w14:val="tx1"/>
                  </w14:solidFill>
                </w14:textFill>
              </w:rPr>
              <w:t>□</w:t>
            </w:r>
          </w:p>
        </w:tc>
        <w:tc>
          <w:tcPr>
            <w:tcW w:w="1349" w:type="dxa"/>
            <w:gridSpan w:val="3"/>
            <w:vAlign w:val="center"/>
          </w:tcPr>
          <w:p w14:paraId="19B8666C">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M3</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cs="MS Mincho"/>
                <w:color w:val="000000" w:themeColor="text1"/>
                <w:sz w:val="21"/>
                <w:szCs w:val="21"/>
                <w14:textFill>
                  <w14:solidFill>
                    <w14:schemeClr w14:val="tx1"/>
                  </w14:solidFill>
                </w14:textFill>
              </w:rPr>
              <w:t>□</w:t>
            </w:r>
          </w:p>
        </w:tc>
        <w:tc>
          <w:tcPr>
            <w:tcW w:w="1755" w:type="dxa"/>
            <w:gridSpan w:val="2"/>
            <w:vAlign w:val="center"/>
          </w:tcPr>
          <w:p w14:paraId="0CC25BEE">
            <w:pPr>
              <w:jc w:val="center"/>
              <w:rPr>
                <w:rFonts w:ascii="Times New Roman" w:hAnsi="Times New Roman" w:eastAsia="MS Mincho"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M4</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eastAsia="MS Mincho" w:cs="MS Mincho"/>
                <w:color w:val="000000" w:themeColor="text1"/>
                <w:sz w:val="21"/>
                <w:szCs w:val="21"/>
                <w14:textFill>
                  <w14:solidFill>
                    <w14:schemeClr w14:val="tx1"/>
                  </w14:solidFill>
                </w14:textFill>
              </w:rPr>
              <w:t>☑</w:t>
            </w:r>
          </w:p>
        </w:tc>
      </w:tr>
      <w:tr w14:paraId="65BF7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Merge w:val="continue"/>
            <w:vAlign w:val="center"/>
          </w:tcPr>
          <w:p w14:paraId="20FCE57D">
            <w:pPr>
              <w:jc w:val="center"/>
              <w:rPr>
                <w:rFonts w:ascii="Times New Roman" w:hAnsi="Times New Roman" w:cs="Times New Roman"/>
                <w:color w:val="000000" w:themeColor="text1"/>
                <w:sz w:val="21"/>
                <w:szCs w:val="21"/>
                <w14:textFill>
                  <w14:solidFill>
                    <w14:schemeClr w14:val="tx1"/>
                  </w14:solidFill>
                </w14:textFill>
              </w:rPr>
            </w:pPr>
          </w:p>
        </w:tc>
        <w:tc>
          <w:tcPr>
            <w:tcW w:w="895" w:type="dxa"/>
            <w:vAlign w:val="center"/>
          </w:tcPr>
          <w:p w14:paraId="57222BA6">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P值</w:t>
            </w:r>
          </w:p>
        </w:tc>
        <w:tc>
          <w:tcPr>
            <w:tcW w:w="1803" w:type="dxa"/>
            <w:gridSpan w:val="2"/>
            <w:vAlign w:val="center"/>
          </w:tcPr>
          <w:p w14:paraId="1C017DBE">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P1</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cs="MS Mincho"/>
                <w:color w:val="000000" w:themeColor="text1"/>
                <w:sz w:val="21"/>
                <w:szCs w:val="21"/>
                <w14:textFill>
                  <w14:solidFill>
                    <w14:schemeClr w14:val="tx1"/>
                  </w14:solidFill>
                </w14:textFill>
              </w:rPr>
              <w:t>□</w:t>
            </w:r>
          </w:p>
        </w:tc>
        <w:tc>
          <w:tcPr>
            <w:tcW w:w="963" w:type="dxa"/>
            <w:vAlign w:val="center"/>
          </w:tcPr>
          <w:p w14:paraId="336336E3">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P2</w:t>
            </w:r>
            <w:r>
              <w:rPr>
                <w:rFonts w:hint="eastAsia" w:ascii="MS Mincho" w:hAnsi="MS Mincho" w:cs="MS Mincho"/>
                <w:color w:val="000000" w:themeColor="text1"/>
                <w:sz w:val="21"/>
                <w:szCs w:val="21"/>
                <w14:textFill>
                  <w14:solidFill>
                    <w14:schemeClr w14:val="tx1"/>
                  </w14:solidFill>
                </w14:textFill>
              </w:rPr>
              <w:t>□</w:t>
            </w:r>
          </w:p>
        </w:tc>
        <w:tc>
          <w:tcPr>
            <w:tcW w:w="1349" w:type="dxa"/>
            <w:gridSpan w:val="3"/>
            <w:vAlign w:val="center"/>
          </w:tcPr>
          <w:p w14:paraId="1AB30A24">
            <w:pPr>
              <w:jc w:val="center"/>
              <w:rPr>
                <w:rFonts w:ascii="Times New Roman" w:hAnsi="Times New Roman" w:eastAsia="MS Mincho"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P3</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eastAsia="MS Mincho" w:cs="MS Mincho"/>
                <w:color w:val="000000" w:themeColor="text1"/>
                <w:sz w:val="21"/>
                <w:szCs w:val="21"/>
                <w14:textFill>
                  <w14:solidFill>
                    <w14:schemeClr w14:val="tx1"/>
                  </w14:solidFill>
                </w14:textFill>
              </w:rPr>
              <w:t>☑</w:t>
            </w:r>
          </w:p>
        </w:tc>
        <w:tc>
          <w:tcPr>
            <w:tcW w:w="1755" w:type="dxa"/>
            <w:gridSpan w:val="2"/>
            <w:vAlign w:val="center"/>
          </w:tcPr>
          <w:p w14:paraId="7DE44F48">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P4</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cs="MS Mincho"/>
                <w:color w:val="000000" w:themeColor="text1"/>
                <w:sz w:val="21"/>
                <w:szCs w:val="21"/>
                <w14:textFill>
                  <w14:solidFill>
                    <w14:schemeClr w14:val="tx1"/>
                  </w14:solidFill>
                </w14:textFill>
              </w:rPr>
              <w:t>□</w:t>
            </w:r>
          </w:p>
        </w:tc>
      </w:tr>
      <w:tr w14:paraId="4BA0B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Merge w:val="restart"/>
            <w:vAlign w:val="center"/>
          </w:tcPr>
          <w:p w14:paraId="5C772B3F">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环境敏感程度</w:t>
            </w:r>
          </w:p>
        </w:tc>
        <w:tc>
          <w:tcPr>
            <w:tcW w:w="895" w:type="dxa"/>
            <w:vAlign w:val="center"/>
          </w:tcPr>
          <w:p w14:paraId="0F7CF4A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w:t>
            </w:r>
          </w:p>
        </w:tc>
        <w:tc>
          <w:tcPr>
            <w:tcW w:w="1803" w:type="dxa"/>
            <w:gridSpan w:val="2"/>
            <w:vAlign w:val="center"/>
          </w:tcPr>
          <w:p w14:paraId="72A67973">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E1</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cs="MS Mincho"/>
                <w:color w:val="000000" w:themeColor="text1"/>
                <w:sz w:val="21"/>
                <w:szCs w:val="21"/>
                <w14:textFill>
                  <w14:solidFill>
                    <w14:schemeClr w14:val="tx1"/>
                  </w14:solidFill>
                </w14:textFill>
              </w:rPr>
              <w:t>□</w:t>
            </w:r>
          </w:p>
        </w:tc>
        <w:tc>
          <w:tcPr>
            <w:tcW w:w="1761" w:type="dxa"/>
            <w:gridSpan w:val="3"/>
            <w:vAlign w:val="center"/>
          </w:tcPr>
          <w:p w14:paraId="0E5FBD5D">
            <w:pPr>
              <w:jc w:val="center"/>
              <w:rPr>
                <w:rFonts w:ascii="MS Mincho" w:hAnsi="MS Mincho" w:eastAsia="MS Mincho" w:cs="MS Mincho"/>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 xml:space="preserve">E2 </w:t>
            </w:r>
            <w:r>
              <w:rPr>
                <w:rFonts w:hint="eastAsia" w:ascii="MS Mincho" w:hAnsi="MS Mincho" w:eastAsia="MS Mincho" w:cs="MS Mincho"/>
                <w:color w:val="000000" w:themeColor="text1"/>
                <w:sz w:val="21"/>
                <w:szCs w:val="21"/>
                <w14:textFill>
                  <w14:solidFill>
                    <w14:schemeClr w14:val="tx1"/>
                  </w14:solidFill>
                </w14:textFill>
              </w:rPr>
              <w:t>☑</w:t>
            </w:r>
          </w:p>
        </w:tc>
        <w:tc>
          <w:tcPr>
            <w:tcW w:w="2306" w:type="dxa"/>
            <w:gridSpan w:val="3"/>
            <w:vAlign w:val="center"/>
          </w:tcPr>
          <w:p w14:paraId="623661CD">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 xml:space="preserve">E3 </w:t>
            </w:r>
            <w:r>
              <w:rPr>
                <w:rFonts w:hint="eastAsia" w:ascii="MS Mincho" w:hAnsi="MS Mincho" w:cs="MS Mincho"/>
                <w:color w:val="000000" w:themeColor="text1"/>
                <w:sz w:val="21"/>
                <w:szCs w:val="21"/>
                <w14:textFill>
                  <w14:solidFill>
                    <w14:schemeClr w14:val="tx1"/>
                  </w14:solidFill>
                </w14:textFill>
              </w:rPr>
              <w:t>□</w:t>
            </w:r>
          </w:p>
        </w:tc>
      </w:tr>
      <w:tr w14:paraId="29480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Merge w:val="continue"/>
            <w:vAlign w:val="center"/>
          </w:tcPr>
          <w:p w14:paraId="38FAE91C">
            <w:pPr>
              <w:jc w:val="center"/>
              <w:rPr>
                <w:rFonts w:ascii="Times New Roman" w:hAnsi="Times New Roman" w:cs="Times New Roman"/>
                <w:color w:val="000000" w:themeColor="text1"/>
                <w:sz w:val="21"/>
                <w:szCs w:val="21"/>
                <w14:textFill>
                  <w14:solidFill>
                    <w14:schemeClr w14:val="tx1"/>
                  </w14:solidFill>
                </w14:textFill>
              </w:rPr>
            </w:pPr>
          </w:p>
        </w:tc>
        <w:tc>
          <w:tcPr>
            <w:tcW w:w="895" w:type="dxa"/>
            <w:vAlign w:val="center"/>
          </w:tcPr>
          <w:p w14:paraId="2B37F10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地表水</w:t>
            </w:r>
          </w:p>
        </w:tc>
        <w:tc>
          <w:tcPr>
            <w:tcW w:w="1803" w:type="dxa"/>
            <w:gridSpan w:val="2"/>
            <w:vAlign w:val="center"/>
          </w:tcPr>
          <w:p w14:paraId="0B752574">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E1</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cs="MS Mincho"/>
                <w:color w:val="000000" w:themeColor="text1"/>
                <w:sz w:val="21"/>
                <w:szCs w:val="21"/>
                <w14:textFill>
                  <w14:solidFill>
                    <w14:schemeClr w14:val="tx1"/>
                  </w14:solidFill>
                </w14:textFill>
              </w:rPr>
              <w:t>□</w:t>
            </w:r>
          </w:p>
        </w:tc>
        <w:tc>
          <w:tcPr>
            <w:tcW w:w="1761" w:type="dxa"/>
            <w:gridSpan w:val="3"/>
            <w:vAlign w:val="center"/>
          </w:tcPr>
          <w:p w14:paraId="314AE73E">
            <w:pPr>
              <w:jc w:val="center"/>
              <w:rPr>
                <w:rFonts w:ascii="MS Mincho" w:hAnsi="MS Mincho" w:eastAsia="MS Mincho" w:cs="MS Mincho"/>
                <w:color w:val="000000" w:themeColor="text1"/>
                <w:sz w:val="21"/>
                <w:szCs w:val="21"/>
                <w:u w:val="single"/>
                <w14:textFill>
                  <w14:solidFill>
                    <w14:schemeClr w14:val="tx1"/>
                  </w14:solidFill>
                </w14:textFill>
              </w:rPr>
            </w:pPr>
            <w:r>
              <w:rPr>
                <w:rFonts w:ascii="Times New Roman" w:hAnsi="Times New Roman" w:cs="Times New Roman"/>
                <w:color w:val="000000" w:themeColor="text1"/>
                <w:sz w:val="21"/>
                <w:szCs w:val="21"/>
                <w:u w:val="single"/>
                <w14:textFill>
                  <w14:solidFill>
                    <w14:schemeClr w14:val="tx1"/>
                  </w14:solidFill>
                </w14:textFill>
              </w:rPr>
              <w:t xml:space="preserve">E2 </w:t>
            </w:r>
            <w:r>
              <w:rPr>
                <w:rFonts w:hint="eastAsia" w:ascii="MS Mincho" w:hAnsi="MS Mincho" w:eastAsia="MS Mincho" w:cs="MS Mincho"/>
                <w:color w:val="000000" w:themeColor="text1"/>
                <w:sz w:val="21"/>
                <w:szCs w:val="21"/>
                <w:u w:val="single"/>
                <w14:textFill>
                  <w14:solidFill>
                    <w14:schemeClr w14:val="tx1"/>
                  </w14:solidFill>
                </w14:textFill>
              </w:rPr>
              <w:t>☑</w:t>
            </w:r>
          </w:p>
        </w:tc>
        <w:tc>
          <w:tcPr>
            <w:tcW w:w="2306" w:type="dxa"/>
            <w:gridSpan w:val="3"/>
            <w:vAlign w:val="center"/>
          </w:tcPr>
          <w:p w14:paraId="02505DD8">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E3</w:t>
            </w:r>
            <w:r>
              <w:rPr>
                <w:rFonts w:hint="eastAsia" w:ascii="MS Mincho" w:hAnsi="MS Mincho" w:cs="MS Mincho"/>
                <w:color w:val="000000" w:themeColor="text1"/>
                <w:sz w:val="21"/>
                <w:szCs w:val="21"/>
                <w14:textFill>
                  <w14:solidFill>
                    <w14:schemeClr w14:val="tx1"/>
                  </w14:solidFill>
                </w14:textFill>
              </w:rPr>
              <w:t>□</w:t>
            </w:r>
          </w:p>
        </w:tc>
      </w:tr>
      <w:tr w14:paraId="70FB1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Merge w:val="continue"/>
            <w:vAlign w:val="center"/>
          </w:tcPr>
          <w:p w14:paraId="3D4CE6F4">
            <w:pPr>
              <w:jc w:val="center"/>
              <w:rPr>
                <w:rFonts w:ascii="Times New Roman" w:hAnsi="Times New Roman" w:cs="Times New Roman"/>
                <w:color w:val="000000" w:themeColor="text1"/>
                <w:sz w:val="21"/>
                <w:szCs w:val="21"/>
                <w14:textFill>
                  <w14:solidFill>
                    <w14:schemeClr w14:val="tx1"/>
                  </w14:solidFill>
                </w14:textFill>
              </w:rPr>
            </w:pPr>
          </w:p>
        </w:tc>
        <w:tc>
          <w:tcPr>
            <w:tcW w:w="895" w:type="dxa"/>
            <w:vAlign w:val="center"/>
          </w:tcPr>
          <w:p w14:paraId="545AF2F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地下水</w:t>
            </w:r>
          </w:p>
        </w:tc>
        <w:tc>
          <w:tcPr>
            <w:tcW w:w="1803" w:type="dxa"/>
            <w:gridSpan w:val="2"/>
            <w:vAlign w:val="center"/>
          </w:tcPr>
          <w:p w14:paraId="4E53B75C">
            <w:pPr>
              <w:jc w:val="center"/>
              <w:rPr>
                <w:rFonts w:ascii="Times New Roman" w:hAnsi="Times New Roman" w:cs="Times New Roman"/>
                <w:iCs/>
                <w:color w:val="000000" w:themeColor="text1"/>
                <w:sz w:val="21"/>
                <w:szCs w:val="21"/>
                <w14:textFill>
                  <w14:solidFill>
                    <w14:schemeClr w14:val="tx1"/>
                  </w14:solidFill>
                </w14:textFill>
              </w:rPr>
            </w:pPr>
            <w:r>
              <w:rPr>
                <w:rFonts w:ascii="Times New Roman" w:hAnsi="Times New Roman" w:cs="Times New Roman"/>
                <w:iCs/>
                <w:color w:val="000000" w:themeColor="text1"/>
                <w:sz w:val="21"/>
                <w:szCs w:val="21"/>
                <w14:textFill>
                  <w14:solidFill>
                    <w14:schemeClr w14:val="tx1"/>
                  </w14:solidFill>
                </w14:textFill>
              </w:rPr>
              <w:t>E1</w:t>
            </w:r>
            <w:r>
              <w:rPr>
                <w:rFonts w:ascii="Times New Roman" w:hAnsi="Times New Roman" w:cs="Times New Roman"/>
                <w:color w:val="000000" w:themeColor="text1"/>
                <w:sz w:val="21"/>
                <w:szCs w:val="21"/>
                <w14:textFill>
                  <w14:solidFill>
                    <w14:schemeClr w14:val="tx1"/>
                  </w14:solidFill>
                </w14:textFill>
              </w:rPr>
              <w:t xml:space="preserve"> </w:t>
            </w:r>
            <w:r>
              <w:rPr>
                <w:rFonts w:hint="eastAsia" w:ascii="MS Mincho" w:hAnsi="MS Mincho" w:cs="MS Mincho"/>
                <w:color w:val="000000" w:themeColor="text1"/>
                <w:sz w:val="21"/>
                <w:szCs w:val="21"/>
                <w14:textFill>
                  <w14:solidFill>
                    <w14:schemeClr w14:val="tx1"/>
                  </w14:solidFill>
                </w14:textFill>
              </w:rPr>
              <w:t>□</w:t>
            </w:r>
          </w:p>
        </w:tc>
        <w:tc>
          <w:tcPr>
            <w:tcW w:w="1761" w:type="dxa"/>
            <w:gridSpan w:val="3"/>
            <w:vAlign w:val="center"/>
          </w:tcPr>
          <w:p w14:paraId="7D926DD4">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 xml:space="preserve">E2 </w:t>
            </w:r>
            <w:r>
              <w:rPr>
                <w:rFonts w:hint="eastAsia" w:ascii="MS Mincho" w:hAnsi="MS Mincho" w:cs="MS Mincho"/>
                <w:color w:val="000000" w:themeColor="text1"/>
                <w:sz w:val="21"/>
                <w:szCs w:val="21"/>
                <w14:textFill>
                  <w14:solidFill>
                    <w14:schemeClr w14:val="tx1"/>
                  </w14:solidFill>
                </w14:textFill>
              </w:rPr>
              <w:t>□</w:t>
            </w:r>
          </w:p>
        </w:tc>
        <w:tc>
          <w:tcPr>
            <w:tcW w:w="2306" w:type="dxa"/>
            <w:gridSpan w:val="3"/>
            <w:vAlign w:val="center"/>
          </w:tcPr>
          <w:p w14:paraId="769E0D2B">
            <w:pPr>
              <w:jc w:val="center"/>
              <w:rPr>
                <w:rFonts w:ascii="Times New Roman" w:hAnsi="Times New Roman" w:eastAsia="MS Mincho"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 xml:space="preserve">E3 </w:t>
            </w:r>
            <w:r>
              <w:rPr>
                <w:rFonts w:hint="eastAsia" w:ascii="MS Mincho" w:hAnsi="MS Mincho" w:eastAsia="MS Mincho" w:cs="MS Mincho"/>
                <w:color w:val="000000" w:themeColor="text1"/>
                <w:sz w:val="21"/>
                <w:szCs w:val="21"/>
                <w14:textFill>
                  <w14:solidFill>
                    <w14:schemeClr w14:val="tx1"/>
                  </w14:solidFill>
                </w14:textFill>
              </w:rPr>
              <w:t>☑</w:t>
            </w:r>
          </w:p>
        </w:tc>
      </w:tr>
      <w:tr w14:paraId="0583C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Align w:val="center"/>
          </w:tcPr>
          <w:p w14:paraId="3BFBE3A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环境风险潜势</w:t>
            </w:r>
          </w:p>
        </w:tc>
        <w:tc>
          <w:tcPr>
            <w:tcW w:w="895" w:type="dxa"/>
            <w:vAlign w:val="center"/>
          </w:tcPr>
          <w:p w14:paraId="67EB9E55">
            <w:pPr>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Ⅳ</w:t>
            </w:r>
            <w:r>
              <w:rPr>
                <w:rFonts w:ascii="Times New Roman" w:hAnsi="Times New Roman" w:cs="Times New Roman"/>
                <w:color w:val="000000" w:themeColor="text1"/>
                <w:sz w:val="21"/>
                <w:szCs w:val="21"/>
                <w14:textFill>
                  <w14:solidFill>
                    <w14:schemeClr w14:val="tx1"/>
                  </w14:solidFill>
                </w14:textFill>
              </w:rPr>
              <w:t>+Ϗ</w:t>
            </w:r>
          </w:p>
        </w:tc>
        <w:tc>
          <w:tcPr>
            <w:tcW w:w="1803" w:type="dxa"/>
            <w:gridSpan w:val="2"/>
            <w:vAlign w:val="center"/>
          </w:tcPr>
          <w:p w14:paraId="5E68280C">
            <w:pPr>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Ⅳ</w:t>
            </w:r>
            <w:r>
              <w:rPr>
                <w:rFonts w:ascii="Times New Roman" w:hAnsi="Times New Roman" w:cs="Times New Roman"/>
                <w:color w:val="000000" w:themeColor="text1"/>
                <w:sz w:val="21"/>
                <w:szCs w:val="21"/>
                <w14:textFill>
                  <w14:solidFill>
                    <w14:schemeClr w14:val="tx1"/>
                  </w14:solidFill>
                </w14:textFill>
              </w:rPr>
              <w:t>Ϗ</w:t>
            </w:r>
          </w:p>
        </w:tc>
        <w:tc>
          <w:tcPr>
            <w:tcW w:w="963" w:type="dxa"/>
            <w:vAlign w:val="center"/>
          </w:tcPr>
          <w:p w14:paraId="42AE0ACE">
            <w:pPr>
              <w:jc w:val="center"/>
              <w:rPr>
                <w:rFonts w:ascii="Times New Roman" w:hAnsi="Times New Roman" w:eastAsia="MS Mincho"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Ⅲ</w:t>
            </w:r>
            <w:r>
              <w:rPr>
                <w:rFonts w:hint="eastAsia" w:ascii="MS Mincho" w:hAnsi="MS Mincho" w:eastAsia="MS Mincho" w:cs="MS Mincho"/>
                <w:color w:val="000000" w:themeColor="text1"/>
                <w:sz w:val="21"/>
                <w:szCs w:val="21"/>
                <w14:textFill>
                  <w14:solidFill>
                    <w14:schemeClr w14:val="tx1"/>
                  </w14:solidFill>
                </w14:textFill>
              </w:rPr>
              <w:t>☑</w:t>
            </w:r>
          </w:p>
        </w:tc>
        <w:tc>
          <w:tcPr>
            <w:tcW w:w="1349" w:type="dxa"/>
            <w:gridSpan w:val="3"/>
            <w:vAlign w:val="center"/>
          </w:tcPr>
          <w:p w14:paraId="0C3CDF27">
            <w:pPr>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Ⅱ</w:t>
            </w:r>
            <w:r>
              <w:rPr>
                <w:rFonts w:ascii="Times New Roman" w:hAnsi="Times New Roman" w:cs="Times New Roman"/>
                <w:color w:val="000000" w:themeColor="text1"/>
                <w:sz w:val="21"/>
                <w:szCs w:val="21"/>
                <w14:textFill>
                  <w14:solidFill>
                    <w14:schemeClr w14:val="tx1"/>
                  </w14:solidFill>
                </w14:textFill>
              </w:rPr>
              <w:t>Ϗ</w:t>
            </w:r>
          </w:p>
        </w:tc>
        <w:tc>
          <w:tcPr>
            <w:tcW w:w="1755" w:type="dxa"/>
            <w:gridSpan w:val="2"/>
            <w:vAlign w:val="center"/>
          </w:tcPr>
          <w:p w14:paraId="5EB22F6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IϏ</w:t>
            </w:r>
          </w:p>
        </w:tc>
      </w:tr>
      <w:tr w14:paraId="73458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Align w:val="center"/>
          </w:tcPr>
          <w:p w14:paraId="14AAC40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评价等级</w:t>
            </w:r>
          </w:p>
        </w:tc>
        <w:tc>
          <w:tcPr>
            <w:tcW w:w="2698" w:type="dxa"/>
            <w:gridSpan w:val="3"/>
            <w:vAlign w:val="center"/>
          </w:tcPr>
          <w:p w14:paraId="6065F88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一级Ϗ</w:t>
            </w:r>
          </w:p>
        </w:tc>
        <w:tc>
          <w:tcPr>
            <w:tcW w:w="963" w:type="dxa"/>
            <w:vAlign w:val="center"/>
          </w:tcPr>
          <w:p w14:paraId="72BC4CE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二级</w:t>
            </w:r>
            <w:r>
              <w:rPr>
                <w:rFonts w:hint="eastAsia" w:ascii="MS Mincho" w:hAnsi="MS Mincho" w:eastAsia="MS Mincho" w:cs="MS Mincho"/>
                <w:color w:val="000000" w:themeColor="text1"/>
                <w:sz w:val="21"/>
                <w:szCs w:val="21"/>
                <w14:textFill>
                  <w14:solidFill>
                    <w14:schemeClr w14:val="tx1"/>
                  </w14:solidFill>
                </w14:textFill>
              </w:rPr>
              <w:t>☑</w:t>
            </w:r>
          </w:p>
        </w:tc>
        <w:tc>
          <w:tcPr>
            <w:tcW w:w="1349" w:type="dxa"/>
            <w:gridSpan w:val="3"/>
            <w:vAlign w:val="center"/>
          </w:tcPr>
          <w:p w14:paraId="3440AD6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三级□</w:t>
            </w:r>
          </w:p>
        </w:tc>
        <w:tc>
          <w:tcPr>
            <w:tcW w:w="1755" w:type="dxa"/>
            <w:gridSpan w:val="2"/>
            <w:vAlign w:val="center"/>
          </w:tcPr>
          <w:p w14:paraId="4E428CE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简单分析Ϗ</w:t>
            </w:r>
          </w:p>
        </w:tc>
      </w:tr>
      <w:tr w14:paraId="351DA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restart"/>
            <w:vAlign w:val="center"/>
          </w:tcPr>
          <w:p w14:paraId="4674F70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风险识别</w:t>
            </w:r>
          </w:p>
        </w:tc>
        <w:tc>
          <w:tcPr>
            <w:tcW w:w="1166" w:type="dxa"/>
            <w:gridSpan w:val="2"/>
            <w:vAlign w:val="center"/>
          </w:tcPr>
          <w:p w14:paraId="6AB6131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物质危险性</w:t>
            </w:r>
          </w:p>
        </w:tc>
        <w:tc>
          <w:tcPr>
            <w:tcW w:w="2698" w:type="dxa"/>
            <w:gridSpan w:val="3"/>
            <w:vAlign w:val="center"/>
          </w:tcPr>
          <w:p w14:paraId="0344F37D">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有毒有害</w:t>
            </w:r>
            <w:r>
              <w:rPr>
                <w:rFonts w:hint="eastAsia" w:ascii="MS Mincho" w:hAnsi="MS Mincho" w:eastAsia="MS Mincho" w:cs="MS Mincho"/>
                <w:color w:val="000000" w:themeColor="text1"/>
                <w:sz w:val="21"/>
                <w:szCs w:val="21"/>
                <w14:textFill>
                  <w14:solidFill>
                    <w14:schemeClr w14:val="tx1"/>
                  </w14:solidFill>
                </w14:textFill>
              </w:rPr>
              <w:t>☑</w:t>
            </w:r>
          </w:p>
        </w:tc>
        <w:tc>
          <w:tcPr>
            <w:tcW w:w="4067" w:type="dxa"/>
            <w:gridSpan w:val="6"/>
            <w:vAlign w:val="center"/>
          </w:tcPr>
          <w:p w14:paraId="2EC024B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易燃易爆</w:t>
            </w:r>
            <w:r>
              <w:rPr>
                <w:rFonts w:hint="eastAsia" w:ascii="MS Mincho" w:hAnsi="MS Mincho" w:eastAsia="MS Mincho" w:cs="MS Mincho"/>
                <w:color w:val="000000" w:themeColor="text1"/>
                <w:sz w:val="21"/>
                <w:szCs w:val="21"/>
                <w14:textFill>
                  <w14:solidFill>
                    <w14:schemeClr w14:val="tx1"/>
                  </w14:solidFill>
                </w14:textFill>
              </w:rPr>
              <w:t>☑</w:t>
            </w:r>
          </w:p>
        </w:tc>
      </w:tr>
      <w:tr w14:paraId="0D334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continue"/>
            <w:vAlign w:val="center"/>
          </w:tcPr>
          <w:p w14:paraId="6F32BB6E">
            <w:pPr>
              <w:jc w:val="center"/>
              <w:rPr>
                <w:rFonts w:ascii="Times New Roman" w:hAnsi="Times New Roman" w:cs="Times New Roman"/>
                <w:color w:val="000000" w:themeColor="text1"/>
                <w:sz w:val="21"/>
                <w:szCs w:val="21"/>
                <w14:textFill>
                  <w14:solidFill>
                    <w14:schemeClr w14:val="tx1"/>
                  </w14:solidFill>
                </w14:textFill>
              </w:rPr>
            </w:pPr>
          </w:p>
        </w:tc>
        <w:tc>
          <w:tcPr>
            <w:tcW w:w="1166" w:type="dxa"/>
            <w:gridSpan w:val="2"/>
            <w:vAlign w:val="center"/>
          </w:tcPr>
          <w:p w14:paraId="0F962BF8">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环境风险类型</w:t>
            </w:r>
          </w:p>
        </w:tc>
        <w:tc>
          <w:tcPr>
            <w:tcW w:w="2698" w:type="dxa"/>
            <w:gridSpan w:val="3"/>
            <w:vAlign w:val="center"/>
          </w:tcPr>
          <w:p w14:paraId="4F19E86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w:t>
            </w:r>
            <w:r>
              <w:rPr>
                <w:rFonts w:hint="eastAsia" w:ascii="MS Mincho" w:hAnsi="MS Mincho" w:eastAsia="MS Mincho" w:cs="MS Mincho"/>
                <w:color w:val="000000" w:themeColor="text1"/>
                <w:sz w:val="21"/>
                <w:szCs w:val="21"/>
                <w14:textFill>
                  <w14:solidFill>
                    <w14:schemeClr w14:val="tx1"/>
                  </w14:solidFill>
                </w14:textFill>
              </w:rPr>
              <w:t>☑</w:t>
            </w:r>
          </w:p>
        </w:tc>
        <w:tc>
          <w:tcPr>
            <w:tcW w:w="4067" w:type="dxa"/>
            <w:gridSpan w:val="6"/>
            <w:vAlign w:val="center"/>
          </w:tcPr>
          <w:p w14:paraId="1AC2A63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火灾、爆炸引发伴生/次生污染物排放</w:t>
            </w:r>
            <w:r>
              <w:rPr>
                <w:rFonts w:hint="eastAsia" w:ascii="MS Mincho" w:hAnsi="MS Mincho" w:eastAsia="MS Mincho" w:cs="MS Mincho"/>
                <w:color w:val="000000" w:themeColor="text1"/>
                <w:sz w:val="21"/>
                <w:szCs w:val="21"/>
                <w14:textFill>
                  <w14:solidFill>
                    <w14:schemeClr w14:val="tx1"/>
                  </w14:solidFill>
                </w14:textFill>
              </w:rPr>
              <w:t>☑</w:t>
            </w:r>
          </w:p>
        </w:tc>
      </w:tr>
      <w:tr w14:paraId="21D2A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398" w:type="dxa"/>
            <w:vMerge w:val="continue"/>
            <w:vAlign w:val="center"/>
          </w:tcPr>
          <w:p w14:paraId="19525A2B">
            <w:pPr>
              <w:jc w:val="center"/>
              <w:rPr>
                <w:rFonts w:ascii="Times New Roman" w:hAnsi="Times New Roman" w:cs="Times New Roman"/>
                <w:color w:val="000000" w:themeColor="text1"/>
                <w:sz w:val="21"/>
                <w:szCs w:val="21"/>
                <w14:textFill>
                  <w14:solidFill>
                    <w14:schemeClr w14:val="tx1"/>
                  </w14:solidFill>
                </w14:textFill>
              </w:rPr>
            </w:pPr>
          </w:p>
        </w:tc>
        <w:tc>
          <w:tcPr>
            <w:tcW w:w="1166" w:type="dxa"/>
            <w:gridSpan w:val="2"/>
            <w:vAlign w:val="center"/>
          </w:tcPr>
          <w:p w14:paraId="4BF432C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影响途径</w:t>
            </w:r>
          </w:p>
        </w:tc>
        <w:tc>
          <w:tcPr>
            <w:tcW w:w="2698" w:type="dxa"/>
            <w:gridSpan w:val="3"/>
            <w:vAlign w:val="center"/>
          </w:tcPr>
          <w:p w14:paraId="248BAB4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w:t>
            </w:r>
            <w:r>
              <w:rPr>
                <w:rFonts w:hint="eastAsia" w:ascii="MS Mincho" w:hAnsi="MS Mincho" w:eastAsia="MS Mincho" w:cs="MS Mincho"/>
                <w:color w:val="000000" w:themeColor="text1"/>
                <w:sz w:val="21"/>
                <w:szCs w:val="21"/>
                <w14:textFill>
                  <w14:solidFill>
                    <w14:schemeClr w14:val="tx1"/>
                  </w14:solidFill>
                </w14:textFill>
              </w:rPr>
              <w:t>☑</w:t>
            </w:r>
          </w:p>
        </w:tc>
        <w:tc>
          <w:tcPr>
            <w:tcW w:w="1761" w:type="dxa"/>
            <w:gridSpan w:val="3"/>
            <w:vAlign w:val="center"/>
          </w:tcPr>
          <w:p w14:paraId="012F604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地表水</w:t>
            </w:r>
            <w:r>
              <w:rPr>
                <w:rFonts w:hint="eastAsia" w:ascii="MS Mincho" w:hAnsi="MS Mincho" w:eastAsia="MS Mincho" w:cs="MS Mincho"/>
                <w:color w:val="000000" w:themeColor="text1"/>
                <w:sz w:val="21"/>
                <w:szCs w:val="21"/>
                <w14:textFill>
                  <w14:solidFill>
                    <w14:schemeClr w14:val="tx1"/>
                  </w14:solidFill>
                </w14:textFill>
              </w:rPr>
              <w:t>☑</w:t>
            </w:r>
          </w:p>
        </w:tc>
        <w:tc>
          <w:tcPr>
            <w:tcW w:w="2306" w:type="dxa"/>
            <w:gridSpan w:val="3"/>
            <w:vAlign w:val="center"/>
          </w:tcPr>
          <w:p w14:paraId="70277E1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地下水</w:t>
            </w:r>
            <w:r>
              <w:rPr>
                <w:rFonts w:hint="eastAsia" w:ascii="MS Mincho" w:hAnsi="MS Mincho" w:eastAsia="MS Mincho" w:cs="MS Mincho"/>
                <w:color w:val="000000" w:themeColor="text1"/>
                <w:sz w:val="21"/>
                <w:szCs w:val="21"/>
                <w14:textFill>
                  <w14:solidFill>
                    <w14:schemeClr w14:val="tx1"/>
                  </w14:solidFill>
                </w14:textFill>
              </w:rPr>
              <w:t>☑</w:t>
            </w:r>
          </w:p>
        </w:tc>
      </w:tr>
      <w:tr w14:paraId="1D1D1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Align w:val="center"/>
          </w:tcPr>
          <w:p w14:paraId="28C383D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事故情形分析</w:t>
            </w:r>
          </w:p>
        </w:tc>
        <w:tc>
          <w:tcPr>
            <w:tcW w:w="895" w:type="dxa"/>
            <w:vAlign w:val="center"/>
          </w:tcPr>
          <w:p w14:paraId="07D0645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源强设定方法</w:t>
            </w:r>
          </w:p>
        </w:tc>
        <w:tc>
          <w:tcPr>
            <w:tcW w:w="1803" w:type="dxa"/>
            <w:gridSpan w:val="2"/>
            <w:vAlign w:val="center"/>
          </w:tcPr>
          <w:p w14:paraId="121ABC7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计算法</w:t>
            </w:r>
            <w:r>
              <w:rPr>
                <w:rFonts w:hint="eastAsia" w:ascii="MS Mincho" w:hAnsi="MS Mincho" w:eastAsia="MS Mincho" w:cs="MS Mincho"/>
                <w:color w:val="000000" w:themeColor="text1"/>
                <w:sz w:val="21"/>
                <w:szCs w:val="21"/>
                <w14:textFill>
                  <w14:solidFill>
                    <w14:schemeClr w14:val="tx1"/>
                  </w14:solidFill>
                </w14:textFill>
              </w:rPr>
              <w:t>☑</w:t>
            </w:r>
          </w:p>
        </w:tc>
        <w:tc>
          <w:tcPr>
            <w:tcW w:w="1761" w:type="dxa"/>
            <w:gridSpan w:val="3"/>
            <w:vAlign w:val="center"/>
          </w:tcPr>
          <w:p w14:paraId="31947B1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经验估算法Ϗ</w:t>
            </w:r>
          </w:p>
        </w:tc>
        <w:tc>
          <w:tcPr>
            <w:tcW w:w="2306" w:type="dxa"/>
            <w:gridSpan w:val="3"/>
            <w:vAlign w:val="center"/>
          </w:tcPr>
          <w:p w14:paraId="778CE22A">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其他估算法Ϗ</w:t>
            </w:r>
          </w:p>
        </w:tc>
      </w:tr>
      <w:tr w14:paraId="3D078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531" w:type="dxa"/>
            <w:gridSpan w:val="2"/>
            <w:vMerge w:val="restart"/>
            <w:vAlign w:val="center"/>
          </w:tcPr>
          <w:p w14:paraId="3283E422">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风险预测与评价</w:t>
            </w:r>
          </w:p>
        </w:tc>
        <w:tc>
          <w:tcPr>
            <w:tcW w:w="1033" w:type="dxa"/>
            <w:vMerge w:val="restart"/>
            <w:vAlign w:val="center"/>
          </w:tcPr>
          <w:p w14:paraId="52937F40">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大气</w:t>
            </w:r>
          </w:p>
        </w:tc>
        <w:tc>
          <w:tcPr>
            <w:tcW w:w="895" w:type="dxa"/>
            <w:vAlign w:val="center"/>
          </w:tcPr>
          <w:p w14:paraId="4B5FB77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预测模型</w:t>
            </w:r>
          </w:p>
        </w:tc>
        <w:tc>
          <w:tcPr>
            <w:tcW w:w="1803" w:type="dxa"/>
            <w:gridSpan w:val="2"/>
            <w:vAlign w:val="center"/>
          </w:tcPr>
          <w:p w14:paraId="10FE6A9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SLAB</w:t>
            </w:r>
            <w:r>
              <w:rPr>
                <w:rFonts w:hint="eastAsia" w:ascii="MS Mincho" w:hAnsi="MS Mincho" w:eastAsia="MS Mincho" w:cs="MS Mincho"/>
                <w:color w:val="000000" w:themeColor="text1"/>
                <w:sz w:val="21"/>
                <w:szCs w:val="21"/>
                <w14:textFill>
                  <w14:solidFill>
                    <w14:schemeClr w14:val="tx1"/>
                  </w14:solidFill>
                </w14:textFill>
              </w:rPr>
              <w:t>☑</w:t>
            </w:r>
          </w:p>
        </w:tc>
        <w:tc>
          <w:tcPr>
            <w:tcW w:w="1761" w:type="dxa"/>
            <w:gridSpan w:val="3"/>
            <w:vAlign w:val="center"/>
          </w:tcPr>
          <w:p w14:paraId="7A4CB384">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AFTOX</w:t>
            </w:r>
            <w:r>
              <w:rPr>
                <w:rFonts w:hint="eastAsia" w:ascii="MS Mincho" w:hAnsi="MS Mincho" w:cs="MS Mincho"/>
                <w:color w:val="000000" w:themeColor="text1"/>
                <w:sz w:val="21"/>
                <w:szCs w:val="21"/>
                <w14:textFill>
                  <w14:solidFill>
                    <w14:schemeClr w14:val="tx1"/>
                  </w14:solidFill>
                </w14:textFill>
              </w:rPr>
              <w:t>☑</w:t>
            </w:r>
          </w:p>
        </w:tc>
        <w:tc>
          <w:tcPr>
            <w:tcW w:w="2306" w:type="dxa"/>
            <w:gridSpan w:val="3"/>
            <w:vAlign w:val="center"/>
          </w:tcPr>
          <w:p w14:paraId="407E1F39">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其他</w:t>
            </w:r>
            <w:r>
              <w:rPr>
                <w:rFonts w:hint="eastAsia" w:ascii="MS Mincho" w:hAnsi="MS Mincho" w:cs="MS Mincho"/>
                <w:color w:val="000000" w:themeColor="text1"/>
                <w:sz w:val="21"/>
                <w:szCs w:val="21"/>
                <w14:textFill>
                  <w14:solidFill>
                    <w14:schemeClr w14:val="tx1"/>
                  </w14:solidFill>
                </w14:textFill>
              </w:rPr>
              <w:t>□</w:t>
            </w:r>
          </w:p>
        </w:tc>
      </w:tr>
      <w:tr w14:paraId="1C453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531" w:type="dxa"/>
            <w:gridSpan w:val="2"/>
            <w:vMerge w:val="continue"/>
            <w:vAlign w:val="center"/>
          </w:tcPr>
          <w:p w14:paraId="480DC00A">
            <w:pPr>
              <w:jc w:val="center"/>
              <w:rPr>
                <w:rFonts w:ascii="Times New Roman" w:hAnsi="Times New Roman" w:cs="Times New Roman"/>
                <w:color w:val="000000" w:themeColor="text1"/>
                <w:sz w:val="21"/>
                <w:szCs w:val="21"/>
                <w14:textFill>
                  <w14:solidFill>
                    <w14:schemeClr w14:val="tx1"/>
                  </w14:solidFill>
                </w14:textFill>
              </w:rPr>
            </w:pPr>
          </w:p>
        </w:tc>
        <w:tc>
          <w:tcPr>
            <w:tcW w:w="1033" w:type="dxa"/>
            <w:vMerge w:val="continue"/>
            <w:vAlign w:val="center"/>
          </w:tcPr>
          <w:p w14:paraId="05B92837">
            <w:pPr>
              <w:jc w:val="center"/>
              <w:rPr>
                <w:rFonts w:ascii="Times New Roman" w:hAnsi="Times New Roman" w:cs="Times New Roman"/>
                <w:color w:val="000000" w:themeColor="text1"/>
                <w:sz w:val="21"/>
                <w:szCs w:val="21"/>
                <w14:textFill>
                  <w14:solidFill>
                    <w14:schemeClr w14:val="tx1"/>
                  </w14:solidFill>
                </w14:textFill>
              </w:rPr>
            </w:pPr>
          </w:p>
        </w:tc>
        <w:tc>
          <w:tcPr>
            <w:tcW w:w="895" w:type="dxa"/>
            <w:vAlign w:val="center"/>
          </w:tcPr>
          <w:p w14:paraId="2FF8E367">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预测结果</w:t>
            </w:r>
          </w:p>
        </w:tc>
        <w:tc>
          <w:tcPr>
            <w:tcW w:w="5870" w:type="dxa"/>
            <w:gridSpan w:val="8"/>
            <w:vAlign w:val="center"/>
          </w:tcPr>
          <w:p w14:paraId="54D493FB">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最不利气象条件：大气毒性终点浓度最大影响范围</w:t>
            </w:r>
            <w:r>
              <w:rPr>
                <w:rFonts w:hint="eastAsia" w:ascii="Times New Roman" w:hAnsi="Times New Roman" w:cs="Times New Roman"/>
                <w:color w:val="000000" w:themeColor="text1"/>
                <w:sz w:val="21"/>
                <w:szCs w:val="21"/>
                <w14:textFill>
                  <w14:solidFill>
                    <w14:schemeClr w14:val="tx1"/>
                  </w14:solidFill>
                </w14:textFill>
              </w:rPr>
              <w:t>4500</w:t>
            </w:r>
            <w:r>
              <w:rPr>
                <w:rFonts w:ascii="Times New Roman" w:hAnsi="Times New Roman" w:cs="Times New Roman"/>
                <w:color w:val="000000" w:themeColor="text1"/>
                <w:sz w:val="21"/>
                <w:szCs w:val="21"/>
                <w14:textFill>
                  <w14:solidFill>
                    <w14:schemeClr w14:val="tx1"/>
                  </w14:solidFill>
                </w14:textFill>
              </w:rPr>
              <w:t>m</w:t>
            </w:r>
          </w:p>
        </w:tc>
      </w:tr>
      <w:tr w14:paraId="0C774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531" w:type="dxa"/>
            <w:gridSpan w:val="2"/>
            <w:vMerge w:val="continue"/>
            <w:vAlign w:val="center"/>
          </w:tcPr>
          <w:p w14:paraId="0B35C398">
            <w:pPr>
              <w:jc w:val="center"/>
              <w:rPr>
                <w:rFonts w:ascii="Times New Roman" w:hAnsi="Times New Roman" w:cs="Times New Roman"/>
                <w:color w:val="000000" w:themeColor="text1"/>
                <w:sz w:val="21"/>
                <w:szCs w:val="21"/>
                <w14:textFill>
                  <w14:solidFill>
                    <w14:schemeClr w14:val="tx1"/>
                  </w14:solidFill>
                </w14:textFill>
              </w:rPr>
            </w:pPr>
          </w:p>
        </w:tc>
        <w:tc>
          <w:tcPr>
            <w:tcW w:w="1033" w:type="dxa"/>
            <w:vAlign w:val="center"/>
          </w:tcPr>
          <w:p w14:paraId="1217B331">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地表水</w:t>
            </w:r>
            <w:r>
              <w:rPr>
                <w:rFonts w:hint="eastAsia" w:ascii="Times New Roman" w:hAnsi="Times New Roman" w:cs="Times New Roman"/>
                <w:color w:val="000000" w:themeColor="text1"/>
                <w:sz w:val="21"/>
                <w:szCs w:val="21"/>
                <w14:textFill>
                  <w14:solidFill>
                    <w14:schemeClr w14:val="tx1"/>
                  </w14:solidFill>
                </w14:textFill>
              </w:rPr>
              <w:t>、</w:t>
            </w:r>
          </w:p>
          <w:p w14:paraId="1D86ACF6">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海水</w:t>
            </w:r>
          </w:p>
        </w:tc>
        <w:tc>
          <w:tcPr>
            <w:tcW w:w="6765" w:type="dxa"/>
            <w:gridSpan w:val="9"/>
            <w:vAlign w:val="center"/>
          </w:tcPr>
          <w:p w14:paraId="3E377C6F">
            <w:pPr>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本项目不涉及</w:t>
            </w:r>
            <w:r>
              <w:rPr>
                <w:rFonts w:ascii="Times New Roman" w:hAnsi="Times New Roman" w:cs="Times New Roman"/>
                <w:color w:val="000000" w:themeColor="text1"/>
                <w:sz w:val="21"/>
                <w:szCs w:val="21"/>
                <w14:textFill>
                  <w14:solidFill>
                    <w14:schemeClr w14:val="tx1"/>
                  </w14:solidFill>
                </w14:textFill>
              </w:rPr>
              <w:t xml:space="preserve"> </w:t>
            </w:r>
          </w:p>
        </w:tc>
      </w:tr>
      <w:tr w14:paraId="30BD6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531" w:type="dxa"/>
            <w:gridSpan w:val="2"/>
            <w:vMerge w:val="continue"/>
            <w:vAlign w:val="center"/>
          </w:tcPr>
          <w:p w14:paraId="299B12B7">
            <w:pPr>
              <w:jc w:val="center"/>
              <w:rPr>
                <w:rFonts w:ascii="Times New Roman" w:hAnsi="Times New Roman" w:cs="Times New Roman"/>
                <w:color w:val="000000" w:themeColor="text1"/>
                <w:sz w:val="21"/>
                <w:szCs w:val="21"/>
                <w14:textFill>
                  <w14:solidFill>
                    <w14:schemeClr w14:val="tx1"/>
                  </w14:solidFill>
                </w14:textFill>
              </w:rPr>
            </w:pPr>
          </w:p>
        </w:tc>
        <w:tc>
          <w:tcPr>
            <w:tcW w:w="1033" w:type="dxa"/>
            <w:vMerge w:val="restart"/>
            <w:vAlign w:val="center"/>
          </w:tcPr>
          <w:p w14:paraId="3B723325">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地下水</w:t>
            </w:r>
          </w:p>
        </w:tc>
        <w:tc>
          <w:tcPr>
            <w:tcW w:w="6765" w:type="dxa"/>
            <w:gridSpan w:val="9"/>
            <w:vAlign w:val="center"/>
          </w:tcPr>
          <w:p w14:paraId="1DE9936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下游厂区边界到达时间/d</w:t>
            </w:r>
          </w:p>
        </w:tc>
      </w:tr>
      <w:tr w14:paraId="6D13E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531" w:type="dxa"/>
            <w:gridSpan w:val="2"/>
            <w:vMerge w:val="continue"/>
            <w:vAlign w:val="center"/>
          </w:tcPr>
          <w:p w14:paraId="1C20F0DA">
            <w:pPr>
              <w:jc w:val="center"/>
              <w:rPr>
                <w:rFonts w:ascii="Times New Roman" w:hAnsi="Times New Roman" w:cs="Times New Roman"/>
                <w:color w:val="FF0000"/>
                <w:sz w:val="21"/>
                <w:szCs w:val="21"/>
              </w:rPr>
            </w:pPr>
          </w:p>
        </w:tc>
        <w:tc>
          <w:tcPr>
            <w:tcW w:w="1033" w:type="dxa"/>
            <w:vMerge w:val="continue"/>
            <w:vAlign w:val="center"/>
          </w:tcPr>
          <w:p w14:paraId="286E52E0">
            <w:pPr>
              <w:jc w:val="center"/>
              <w:rPr>
                <w:rFonts w:ascii="Times New Roman" w:hAnsi="Times New Roman" w:cs="Times New Roman"/>
                <w:color w:val="FF0000"/>
                <w:sz w:val="21"/>
                <w:szCs w:val="21"/>
              </w:rPr>
            </w:pPr>
          </w:p>
        </w:tc>
        <w:tc>
          <w:tcPr>
            <w:tcW w:w="6765" w:type="dxa"/>
            <w:gridSpan w:val="9"/>
            <w:vAlign w:val="center"/>
          </w:tcPr>
          <w:p w14:paraId="375B8E5E">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最近环境敏感目标</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无，到达时间/h</w:t>
            </w:r>
          </w:p>
        </w:tc>
      </w:tr>
      <w:tr w14:paraId="3A1F3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Align w:val="center"/>
          </w:tcPr>
          <w:p w14:paraId="4E7829AC">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重点风险防范措施</w:t>
            </w:r>
          </w:p>
        </w:tc>
        <w:tc>
          <w:tcPr>
            <w:tcW w:w="6765" w:type="dxa"/>
            <w:gridSpan w:val="9"/>
            <w:vAlign w:val="center"/>
          </w:tcPr>
          <w:p w14:paraId="2E13D474">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1、厂区总平面设计严格按照国家相关规范、标准和规定以及相关部门的要求进行设计；</w:t>
            </w:r>
          </w:p>
          <w:p w14:paraId="4AD93873">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2、罐区做好围堰、防渗措施，厂区设置有毒有害气体监控报警装置；</w:t>
            </w:r>
          </w:p>
          <w:p w14:paraId="53729DF3">
            <w:pP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3、装卸区做好地面防渗、截水沟及废水收集池，设置视频监控、紧急切断阀、有毒气体检测器、可燃气体检测器和火灾报警系统等；</w:t>
            </w:r>
          </w:p>
          <w:p w14:paraId="6BD52FC2">
            <w:pP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4</w:t>
            </w:r>
            <w:r>
              <w:rPr>
                <w:rFonts w:ascii="Times New Roman" w:hAnsi="Times New Roman" w:cs="Times New Roman"/>
                <w:color w:val="000000" w:themeColor="text1"/>
                <w:sz w:val="21"/>
                <w:szCs w:val="21"/>
                <w14:textFill>
                  <w14:solidFill>
                    <w14:schemeClr w14:val="tx1"/>
                  </w14:solidFill>
                </w14:textFill>
              </w:rPr>
              <w:t>、加强危险废物存放管理，及时处置危险废物，存放必要应急物资；</w:t>
            </w:r>
          </w:p>
          <w:p w14:paraId="5BFD4F46">
            <w:pP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5</w:t>
            </w:r>
            <w:r>
              <w:rPr>
                <w:rFonts w:ascii="Times New Roman" w:hAnsi="Times New Roman" w:cs="Times New Roman"/>
                <w:color w:val="000000" w:themeColor="text1"/>
                <w:sz w:val="21"/>
                <w:szCs w:val="21"/>
                <w14:textFill>
                  <w14:solidFill>
                    <w14:schemeClr w14:val="tx1"/>
                  </w14:solidFill>
                </w14:textFill>
              </w:rPr>
              <w:t>、设置雨水排放口截断阀及应急收集池，有事故排水或物料泄漏情况发生时，关闭雨水排放口截断阀，将事故排水引入事故应急池后妥善处置；</w:t>
            </w:r>
          </w:p>
          <w:p w14:paraId="07C93AA3">
            <w:pPr>
              <w:rPr>
                <w:rFonts w:ascii="Times New Roman" w:hAnsi="Times New Roman" w:cs="Times New Roman"/>
                <w:color w:val="000000" w:themeColor="text1"/>
                <w:sz w:val="21"/>
                <w:szCs w:val="21"/>
                <w:lang w:val="zh-CN"/>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6</w:t>
            </w:r>
            <w:r>
              <w:rPr>
                <w:rFonts w:ascii="Times New Roman" w:hAnsi="Times New Roman" w:cs="Times New Roman"/>
                <w:color w:val="000000" w:themeColor="text1"/>
                <w:sz w:val="21"/>
                <w:szCs w:val="21"/>
                <w14:textFill>
                  <w14:solidFill>
                    <w14:schemeClr w14:val="tx1"/>
                  </w14:solidFill>
                </w14:textFill>
              </w:rPr>
              <w:t>、制定风险应急预案，做好应急演练。</w:t>
            </w:r>
          </w:p>
        </w:tc>
      </w:tr>
      <w:tr w14:paraId="6C10E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1564" w:type="dxa"/>
            <w:gridSpan w:val="3"/>
            <w:vAlign w:val="center"/>
          </w:tcPr>
          <w:p w14:paraId="54843B63">
            <w:pPr>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评价结论与建议</w:t>
            </w:r>
          </w:p>
        </w:tc>
        <w:tc>
          <w:tcPr>
            <w:tcW w:w="6765" w:type="dxa"/>
            <w:gridSpan w:val="9"/>
            <w:vAlign w:val="center"/>
          </w:tcPr>
          <w:p w14:paraId="34128DAE">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项目建成后，虽然存在发生风险事故的可能，但做好以上风险防范及应急措施的前提下，发生环境风险事故的后果较小，在可以接受的范围内，本项目风险可防控。</w:t>
            </w:r>
          </w:p>
        </w:tc>
      </w:tr>
      <w:tr w14:paraId="7988F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84" w:hRule="atLeast"/>
        </w:trPr>
        <w:tc>
          <w:tcPr>
            <w:tcW w:w="8329" w:type="dxa"/>
            <w:gridSpan w:val="12"/>
            <w:vAlign w:val="center"/>
          </w:tcPr>
          <w:p w14:paraId="40046D74">
            <w:pP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注：“□”为勾选项，“”为填写项。</w:t>
            </w:r>
          </w:p>
        </w:tc>
      </w:tr>
    </w:tbl>
    <w:p w14:paraId="0CD5012C">
      <w:pPr>
        <w:rPr>
          <w:rFonts w:ascii="Times New Roman" w:hAnsi="Times New Roman" w:cs="Times New Roman"/>
          <w:color w:val="FF0000"/>
        </w:rPr>
      </w:pPr>
    </w:p>
    <w:sectPr>
      <w:pgSz w:w="11907" w:h="16840"/>
      <w:pgMar w:top="1440" w:right="1800" w:bottom="1440" w:left="1800" w:header="964" w:footer="964" w:gutter="0"/>
      <w:cols w:space="720" w:num="1"/>
      <w:titlePg/>
      <w:docGrid w:linePitch="326" w:charSpace="-43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6A62577C-F6A1-4148-9325-5447540921C8}"/>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embedRegular r:id="rId2" w:fontKey="{4185644A-F5D9-47A0-B437-DAD74A5717BD}"/>
  </w:font>
  <w:font w:name="Cambria">
    <w:panose1 w:val="02040503050406030204"/>
    <w:charset w:val="00"/>
    <w:family w:val="roman"/>
    <w:pitch w:val="default"/>
    <w:sig w:usb0="E00002FF" w:usb1="400004FF" w:usb2="00000000" w:usb3="00000000" w:csb0="2000019F" w:csb1="00000000"/>
  </w:font>
  <w:font w:name="Courier New">
    <w:panose1 w:val="02070309020205020404"/>
    <w:charset w:val="00"/>
    <w:family w:val="modern"/>
    <w:pitch w:val="default"/>
    <w:sig w:usb0="E0002A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minorBidi">
    <w:altName w:val="Times New Roman"/>
    <w:panose1 w:val="00000000000000000000"/>
    <w:charset w:val="00"/>
    <w:family w:val="roman"/>
    <w:pitch w:val="default"/>
    <w:sig w:usb0="00000000" w:usb1="00000000" w:usb2="00000000" w:usb3="00000000" w:csb0="00040001" w:csb1="00000000"/>
  </w:font>
  <w:font w:name="Batang">
    <w:panose1 w:val="02030600000101010101"/>
    <w:charset w:val="81"/>
    <w:family w:val="auto"/>
    <w:pitch w:val="default"/>
    <w:sig w:usb0="B00002AF" w:usb1="69D77CFB" w:usb2="00000030" w:usb3="00000000" w:csb0="4008009F" w:csb1="DFD70000"/>
  </w:font>
  <w:font w:name="新宋体">
    <w:panose1 w:val="02010609030101010101"/>
    <w:charset w:val="86"/>
    <w:family w:val="modern"/>
    <w:pitch w:val="default"/>
    <w:sig w:usb0="00000003" w:usb1="288F0000" w:usb2="00000006" w:usb3="00000000" w:csb0="00040001" w:csb1="00000000"/>
    <w:embedRegular r:id="rId3" w:fontKey="{AD3F5505-8005-48A9-834F-46D653556148}"/>
  </w:font>
  <w:font w:name="華康細圓體">
    <w:altName w:val="Microsoft JhengHei"/>
    <w:panose1 w:val="00000000000000000000"/>
    <w:charset w:val="88"/>
    <w:family w:val="modern"/>
    <w:pitch w:val="default"/>
    <w:sig w:usb0="00000000" w:usb1="00000000" w:usb2="00000010" w:usb3="00000000" w:csb0="00100000" w:csb1="00000000"/>
  </w:font>
  <w:font w:name="Microsoft JhengHei">
    <w:panose1 w:val="020B0604030504040204"/>
    <w:charset w:val="88"/>
    <w:family w:val="auto"/>
    <w:pitch w:val="default"/>
    <w:sig w:usb0="00000087" w:usb1="28AF4000" w:usb2="00000016" w:usb3="00000000" w:csb0="00100009" w:csb1="00000000"/>
  </w:font>
  <w:font w:name="Tms Rmn">
    <w:altName w:val="Segoe Print"/>
    <w:panose1 w:val="02020603040505020304"/>
    <w:charset w:val="00"/>
    <w:family w:val="roman"/>
    <w:pitch w:val="default"/>
    <w:sig w:usb0="00000000" w:usb1="00000000" w:usb2="00000000" w:usb3="00000000" w:csb0="00000001" w:csb1="00000000"/>
  </w:font>
  <w:font w:name="等线">
    <w:altName w:val="微软雅黑"/>
    <w:panose1 w:val="02010600030101010101"/>
    <w:charset w:val="86"/>
    <w:family w:val="auto"/>
    <w:pitch w:val="default"/>
    <w:sig w:usb0="00000000" w:usb1="00000000" w:usb2="00000016" w:usb3="00000000" w:csb0="0004000F" w:csb1="00000000"/>
    <w:embedRegular r:id="rId4" w:fontKey="{E38DB354-E833-4956-A410-E99D09779B14}"/>
  </w:font>
  <w:font w:name="Cambria Math">
    <w:panose1 w:val="02040503050406030204"/>
    <w:charset w:val="00"/>
    <w:family w:val="roman"/>
    <w:pitch w:val="default"/>
    <w:sig w:usb0="E00002FF" w:usb1="420024FF" w:usb2="00000000" w:usb3="00000000" w:csb0="2000019F" w:csb1="00000000"/>
    <w:embedRegular r:id="rId5" w:fontKey="{80FF5F1F-0B44-4C25-B1A6-7AB0BCF96F0B}"/>
  </w:font>
  <w:font w:name="仿宋_GB2312">
    <w:altName w:val="仿宋"/>
    <w:panose1 w:val="00000000000000000000"/>
    <w:charset w:val="86"/>
    <w:family w:val="modern"/>
    <w:pitch w:val="default"/>
    <w:sig w:usb0="00000000" w:usb1="00000000" w:usb2="00000010" w:usb3="00000000" w:csb0="00040000" w:csb1="00000000"/>
  </w:font>
  <w:font w:name="Garamond">
    <w:altName w:val="PMingLiU-ExtB"/>
    <w:panose1 w:val="02020404030301010803"/>
    <w:charset w:val="00"/>
    <w:family w:val="roman"/>
    <w:pitch w:val="default"/>
    <w:sig w:usb0="00000000" w:usb1="00000000" w:usb2="00000000" w:usb3="00000000" w:csb0="000000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Hei">
    <w:altName w:val="Times New Roman"/>
    <w:panose1 w:val="00000000000000000000"/>
    <w:charset w:val="00"/>
    <w:family w:val="auto"/>
    <w:pitch w:val="default"/>
    <w:sig w:usb0="00000000" w:usb1="00000000" w:usb2="00000000" w:usb3="00000000" w:csb0="00040001" w:csb1="00000000"/>
  </w:font>
  <w:font w:name="Verdana">
    <w:panose1 w:val="020B0604030504040204"/>
    <w:charset w:val="00"/>
    <w:family w:val="swiss"/>
    <w:pitch w:val="default"/>
    <w:sig w:usb0="A10006FF" w:usb1="4000205B" w:usb2="00000010" w:usb3="00000000" w:csb0="2000019F" w:csb1="00000000"/>
  </w:font>
  <w:font w:name="Century">
    <w:altName w:val="Nyala"/>
    <w:panose1 w:val="02040604050505020304"/>
    <w:charset w:val="00"/>
    <w:family w:val="roman"/>
    <w:pitch w:val="default"/>
    <w:sig w:usb0="00000000" w:usb1="00000000" w:usb2="00000000" w:usb3="00000000" w:csb0="0000009F" w:csb1="00000000"/>
  </w:font>
  <w:font w:name="方正大标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华文中宋">
    <w:altName w:val="宋体"/>
    <w:panose1 w:val="02010600040101010101"/>
    <w:charset w:val="86"/>
    <w:family w:val="auto"/>
    <w:pitch w:val="default"/>
    <w:sig w:usb0="00000000" w:usb1="00000000" w:usb2="00000010" w:usb3="00000000" w:csb0="0004009F" w:csb1="00000000"/>
  </w:font>
  <w:font w:name="Arial Unicode MS">
    <w:altName w:val="宋体"/>
    <w:panose1 w:val="020B0604020202020204"/>
    <w:charset w:val="86"/>
    <w:family w:val="swiss"/>
    <w:pitch w:val="default"/>
    <w:sig w:usb0="00000000" w:usb1="00000000" w:usb2="0000003F" w:usb3="00000000" w:csb0="003F01FF" w:csb1="00000000"/>
  </w:font>
  <w:font w:name="Impact">
    <w:panose1 w:val="020B0806030902050204"/>
    <w:charset w:val="00"/>
    <w:family w:val="swiss"/>
    <w:pitch w:val="default"/>
    <w:sig w:usb0="00000287" w:usb1="00000000" w:usb2="00000000" w:usb3="00000000" w:csb0="2000009F" w:csb1="DFD70000"/>
  </w:font>
  <w:font w:name="Times-Roman">
    <w:altName w:val="Times New Roman"/>
    <w:panose1 w:val="00000000000000000000"/>
    <w:charset w:val="00"/>
    <w:family w:val="roman"/>
    <w:pitch w:val="default"/>
    <w:sig w:usb0="00000000" w:usb1="00000000" w:usb2="00000000" w:usb3="00000000" w:csb0="00040001" w:csb1="00000000"/>
  </w:font>
  <w:font w:name="SansSerif">
    <w:altName w:val="Segoe Print"/>
    <w:panose1 w:val="00000400000000000000"/>
    <w:charset w:val="02"/>
    <w:family w:val="auto"/>
    <w:pitch w:val="default"/>
    <w:sig w:usb0="00000000" w:usb1="00000000" w:usb2="00000000" w:usb3="00000000" w:csb0="80000000" w:csb1="00000000"/>
  </w:font>
  <w:font w:name="΢ȭхڢ, ڌ墬 Verdana">
    <w:altName w:val="宋体"/>
    <w:panose1 w:val="00000000000000000000"/>
    <w:charset w:val="00"/>
    <w:family w:val="roman"/>
    <w:pitch w:val="default"/>
    <w:sig w:usb0="00000000" w:usb1="00000000" w:usb2="00000010" w:usb3="00000000" w:csb0="00040000" w:csb1="00000000"/>
  </w:font>
  <w:font w:name="MS Gothic">
    <w:panose1 w:val="020B0609070205080204"/>
    <w:charset w:val="80"/>
    <w:family w:val="modern"/>
    <w:pitch w:val="default"/>
    <w:sig w:usb0="E00002FF" w:usb1="6AC7FDFB" w:usb2="00000012" w:usb3="00000000" w:csb0="4002009F" w:csb1="DFD70000"/>
  </w:font>
  <w:font w:name="Arial Black">
    <w:panose1 w:val="020B0A04020102020204"/>
    <w:charset w:val="00"/>
    <w:family w:val="swiss"/>
    <w:pitch w:val="default"/>
    <w:sig w:usb0="00000287" w:usb1="00000000" w:usb2="00000000" w:usb3="00000000" w:csb0="2000009F" w:csb1="DFD70000"/>
  </w:font>
  <w:font w:name="Tahoma">
    <w:panose1 w:val="020B0604030504040204"/>
    <w:charset w:val="00"/>
    <w:family w:val="swiss"/>
    <w:pitch w:val="default"/>
    <w:sig w:usb0="E1002EFF" w:usb1="C000605B" w:usb2="00000029" w:usb3="00000000" w:csb0="200101FF" w:csb1="20280000"/>
  </w:font>
  <w:font w:name="ˎ̥">
    <w:altName w:val="Times New Roman"/>
    <w:panose1 w:val="00000000000000000000"/>
    <w:charset w:val="00"/>
    <w:family w:val="roman"/>
    <w:pitch w:val="default"/>
    <w:sig w:usb0="00000000" w:usb1="00000000" w:usb2="00000000" w:usb3="00000000" w:csb0="00040001" w:csb1="00000000"/>
  </w:font>
  <w:font w:name="Sim Sun">
    <w:altName w:val="微软雅黑"/>
    <w:panose1 w:val="00000000000000000000"/>
    <w:charset w:val="86"/>
    <w:family w:val="roman"/>
    <w:pitch w:val="default"/>
    <w:sig w:usb0="00000000" w:usb1="00000000" w:usb2="00000010" w:usb3="00000000" w:csb0="00040000" w:csb1="00000000"/>
  </w:font>
  <w:font w:name="隶书">
    <w:altName w:val="微软雅黑"/>
    <w:panose1 w:val="02010509060101010101"/>
    <w:charset w:val="86"/>
    <w:family w:val="modern"/>
    <w:pitch w:val="default"/>
    <w:sig w:usb0="00000000" w:usb1="00000000" w:usb2="00000010" w:usb3="00000000" w:csb0="00040000" w:csb1="00000000"/>
  </w:font>
  <w:font w:name="隶书体">
    <w:altName w:val="宋体"/>
    <w:panose1 w:val="00000000000000000000"/>
    <w:charset w:val="86"/>
    <w:family w:val="auto"/>
    <w:pitch w:val="default"/>
    <w:sig w:usb0="00000000" w:usb1="00000000" w:usb2="00000010" w:usb3="00000000" w:csb0="00040000" w:csb1="00000000"/>
  </w:font>
  <w:font w:name="Bookman Old Style">
    <w:altName w:val="Segoe Print"/>
    <w:panose1 w:val="02050604050505020204"/>
    <w:charset w:val="00"/>
    <w:family w:val="roman"/>
    <w:pitch w:val="default"/>
    <w:sig w:usb0="00000000" w:usb1="00000000" w:usb2="00000000" w:usb3="00000000" w:csb0="0000009F" w:csb1="00000000"/>
  </w:font>
  <w:font w:name="仿宋体">
    <w:altName w:val="宋体"/>
    <w:panose1 w:val="00000000000000000000"/>
    <w:charset w:val="86"/>
    <w:family w:val="roman"/>
    <w:pitch w:val="default"/>
    <w:sig w:usb0="00000000" w:usb1="00000000" w:usb2="00000010" w:usb3="00000000" w:csb0="00040000" w:csb1="00000000"/>
  </w:font>
  <w:font w:name="全真楷書">
    <w:altName w:val="宋体"/>
    <w:panose1 w:val="00000000000000000000"/>
    <w:charset w:val="88"/>
    <w:family w:val="modern"/>
    <w:pitch w:val="default"/>
    <w:sig w:usb0="00000000" w:usb1="00000000" w:usb2="00000010" w:usb3="00000000" w:csb0="00100000" w:csb1="00000000"/>
  </w:font>
  <w:font w:name="Dutch801 Rm BT">
    <w:altName w:val="Times New Roman"/>
    <w:panose1 w:val="02020603060505020304"/>
    <w:charset w:val="00"/>
    <w:family w:val="roman"/>
    <w:pitch w:val="default"/>
    <w:sig w:usb0="00000000" w:usb1="00000000" w:usb2="00000000" w:usb3="00000000" w:csb0="0000001B" w:csb1="00000000"/>
  </w:font>
  <w:font w:name="̥_GB2312">
    <w:altName w:val="Times New Roman"/>
    <w:panose1 w:val="00000000000000000000"/>
    <w:charset w:val="00"/>
    <w:family w:val="roman"/>
    <w:pitch w:val="default"/>
    <w:sig w:usb0="00000000" w:usb1="00000000" w:usb2="00000000" w:usb3="00000000" w:csb0="00040001" w:csb1="00000000"/>
  </w:font>
  <w:font w:name="华文楷体">
    <w:altName w:val="宋体"/>
    <w:panose1 w:val="02010600040101010101"/>
    <w:charset w:val="86"/>
    <w:family w:val="auto"/>
    <w:pitch w:val="default"/>
    <w:sig w:usb0="00000000" w:usb1="00000000" w:usb2="00000010" w:usb3="00000000" w:csb0="0004009F" w:csb1="00000000"/>
  </w:font>
  <w:font w:name="Plotter">
    <w:altName w:val="Lucida Console"/>
    <w:panose1 w:val="00000000000000000000"/>
    <w:charset w:val="00"/>
    <w:family w:val="modern"/>
    <w:pitch w:val="default"/>
    <w:sig w:usb0="00000000" w:usb1="00000000" w:usb2="00000000" w:usb3="00000000" w:csb0="00000001" w:csb1="00000000"/>
  </w:font>
  <w:font w:name="Lucida Console">
    <w:panose1 w:val="020B0609040504020204"/>
    <w:charset w:val="00"/>
    <w:family w:val="auto"/>
    <w:pitch w:val="default"/>
    <w:sig w:usb0="8000028F" w:usb1="00001800" w:usb2="00000000" w:usb3="00000000" w:csb0="0000001F" w:csb1="D7D70000"/>
  </w:font>
  <w:font w:name="五">
    <w:altName w:val="黑体"/>
    <w:panose1 w:val="00000000000000000000"/>
    <w:charset w:val="86"/>
    <w:family w:val="auto"/>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方正小标宋简体">
    <w:panose1 w:val="02010601030101010101"/>
    <w:charset w:val="86"/>
    <w:family w:val="script"/>
    <w:pitch w:val="default"/>
    <w:sig w:usb0="00000001" w:usb1="080E0000" w:usb2="00000000" w:usb3="00000000" w:csb0="00040000" w:csb1="00000000"/>
  </w:font>
  <w:font w:name="MS Sans Serif">
    <w:altName w:val="Arial"/>
    <w:panose1 w:val="020B0500000000000000"/>
    <w:charset w:val="00"/>
    <w:family w:val="swiss"/>
    <w:pitch w:val="default"/>
    <w:sig w:usb0="00000000" w:usb1="00000000" w:usb2="00000000" w:usb3="00000000" w:csb0="00000001" w:csb1="00000000"/>
  </w:font>
  <w:font w:name="MS Mincho">
    <w:panose1 w:val="02020609040205080304"/>
    <w:charset w:val="80"/>
    <w:family w:val="roman"/>
    <w:pitch w:val="default"/>
    <w:sig w:usb0="E00002FF" w:usb1="6AC7FDFB" w:usb2="00000012" w:usb3="00000000" w:csb0="4002009F" w:csb1="DFD70000"/>
    <w:embedRegular r:id="rId6" w:fontKey="{CB04337C-0D77-4F3C-AA90-90F207615EF3}"/>
  </w:font>
  <w:font w:name="Wingdings 2">
    <w:panose1 w:val="05020102010507070707"/>
    <w:charset w:val="02"/>
    <w:family w:val="roman"/>
    <w:pitch w:val="default"/>
    <w:sig w:usb0="00000000" w:usb1="00000000" w:usb2="00000000" w:usb3="00000000" w:csb0="80000000" w:csb1="00000000"/>
    <w:embedRegular r:id="rId7" w:fontKey="{47596372-09E0-4EEA-AD12-AEFF8DCEEBC6}"/>
  </w:font>
  <w:font w:name="Arial Narrow">
    <w:altName w:val="Arial"/>
    <w:panose1 w:val="020B0606020202030204"/>
    <w:charset w:val="00"/>
    <w:family w:val="swiss"/>
    <w:pitch w:val="default"/>
    <w:sig w:usb0="00000000" w:usb1="00000000" w:usb2="00000000" w:usb3="00000000" w:csb0="0000009F" w:csb1="00000000"/>
    <w:embedRegular r:id="rId8" w:fontKey="{DBB21587-D488-4F8F-986F-79F1F1FB9B34}"/>
  </w:font>
  <w:font w:name="WPSEMBED1">
    <w:panose1 w:val="05020102010507070707"/>
    <w:charset w:val="00"/>
    <w:family w:val="auto"/>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 w:name="PMingLiU-ExtB">
    <w:panose1 w:val="02020500000000000000"/>
    <w:charset w:val="88"/>
    <w:family w:val="auto"/>
    <w:pitch w:val="default"/>
    <w:sig w:usb0="8000002F" w:usb1="02000008" w:usb2="00000000" w:usb3="00000000" w:csb0="00100001" w:csb1="00000000"/>
  </w:font>
  <w:font w:name="Nyala">
    <w:panose1 w:val="02000504070300020003"/>
    <w:charset w:val="00"/>
    <w:family w:val="auto"/>
    <w:pitch w:val="default"/>
    <w:sig w:usb0="A000006F" w:usb1="00000000" w:usb2="000008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47D507">
    <w:pPr>
      <w:pStyle w:val="5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87591326"/>
    </w:sdtPr>
    <w:sdtContent>
      <w:p w14:paraId="67D0EC58">
        <w:pPr>
          <w:pStyle w:val="55"/>
          <w:jc w:val="center"/>
        </w:pPr>
        <w:r>
          <w:fldChar w:fldCharType="begin"/>
        </w:r>
        <w:r>
          <w:instrText xml:space="preserve">PAGE   \* MERGEFORMAT</w:instrText>
        </w:r>
        <w:r>
          <w:fldChar w:fldCharType="separate"/>
        </w:r>
        <w:r>
          <w:rPr>
            <w:lang w:val="zh-CN"/>
          </w:rPr>
          <w:t>41</w:t>
        </w:r>
        <w:r>
          <w:fldChar w:fldCharType="end"/>
        </w:r>
      </w:p>
    </w:sdtContent>
  </w:sdt>
  <w:p w14:paraId="3AE44062">
    <w:pPr>
      <w:pStyle w:val="5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07900514"/>
    </w:sdtPr>
    <w:sdtEndPr>
      <w:rPr>
        <w:rFonts w:ascii="Times New Roman" w:hAnsi="Times New Roman" w:cs="Times New Roman"/>
        <w:sz w:val="21"/>
      </w:rPr>
    </w:sdtEndPr>
    <w:sdtContent>
      <w:p w14:paraId="34484986">
        <w:pPr>
          <w:pStyle w:val="55"/>
          <w:jc w:val="center"/>
          <w:rPr>
            <w:rFonts w:ascii="Times New Roman" w:hAnsi="Times New Roman" w:cs="Times New Roman"/>
            <w:sz w:val="21"/>
          </w:rPr>
        </w:pPr>
        <w:r>
          <w:rPr>
            <w:rFonts w:ascii="Times New Roman" w:hAnsi="Times New Roman" w:cs="Times New Roman"/>
            <w:sz w:val="21"/>
          </w:rPr>
          <w:fldChar w:fldCharType="begin"/>
        </w:r>
        <w:r>
          <w:rPr>
            <w:rFonts w:ascii="Times New Roman" w:hAnsi="Times New Roman" w:cs="Times New Roman"/>
            <w:sz w:val="21"/>
          </w:rPr>
          <w:instrText xml:space="preserve">PAGE   \* MERGEFORMAT</w:instrText>
        </w:r>
        <w:r>
          <w:rPr>
            <w:rFonts w:ascii="Times New Roman" w:hAnsi="Times New Roman" w:cs="Times New Roman"/>
            <w:sz w:val="21"/>
          </w:rPr>
          <w:fldChar w:fldCharType="separate"/>
        </w:r>
        <w:r>
          <w:rPr>
            <w:rFonts w:ascii="Times New Roman" w:hAnsi="Times New Roman" w:cs="Times New Roman"/>
            <w:sz w:val="21"/>
            <w:lang w:val="zh-CN"/>
          </w:rPr>
          <w:t>1</w:t>
        </w:r>
        <w:r>
          <w:rPr>
            <w:rFonts w:ascii="Times New Roman" w:hAnsi="Times New Roman" w:cs="Times New Roman"/>
            <w:sz w:val="21"/>
          </w:rPr>
          <w:fldChar w:fldCharType="end"/>
        </w:r>
      </w:p>
    </w:sdtContent>
  </w:sdt>
  <w:p w14:paraId="4E71E3CA">
    <w:pPr>
      <w:pStyle w:val="55"/>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3950"/>
    </w:sdtPr>
    <w:sdtEndPr>
      <w:rPr>
        <w:rFonts w:ascii="Times New Roman" w:hAnsi="Times New Roman" w:cs="Times New Roman"/>
        <w:sz w:val="21"/>
      </w:rPr>
    </w:sdtEndPr>
    <w:sdtContent>
      <w:p w14:paraId="1EF4562B">
        <w:pPr>
          <w:pStyle w:val="55"/>
          <w:jc w:val="center"/>
          <w:rPr>
            <w:rFonts w:ascii="Times New Roman" w:hAnsi="Times New Roman" w:cs="Times New Roman"/>
            <w:sz w:val="21"/>
          </w:rPr>
        </w:pPr>
        <w:r>
          <w:rPr>
            <w:rFonts w:ascii="Times New Roman" w:hAnsi="Times New Roman" w:cs="Times New Roman"/>
            <w:sz w:val="21"/>
          </w:rPr>
          <w:fldChar w:fldCharType="begin"/>
        </w:r>
        <w:r>
          <w:rPr>
            <w:rFonts w:ascii="Times New Roman" w:hAnsi="Times New Roman" w:cs="Times New Roman"/>
            <w:sz w:val="21"/>
          </w:rPr>
          <w:instrText xml:space="preserve">PAGE   \* MERGEFORMAT</w:instrText>
        </w:r>
        <w:r>
          <w:rPr>
            <w:rFonts w:ascii="Times New Roman" w:hAnsi="Times New Roman" w:cs="Times New Roman"/>
            <w:sz w:val="21"/>
          </w:rPr>
          <w:fldChar w:fldCharType="separate"/>
        </w:r>
        <w:r>
          <w:rPr>
            <w:rFonts w:ascii="Times New Roman" w:hAnsi="Times New Roman" w:cs="Times New Roman"/>
            <w:sz w:val="21"/>
            <w:lang w:val="zh-CN"/>
          </w:rPr>
          <w:t>85</w:t>
        </w:r>
        <w:r>
          <w:rPr>
            <w:rFonts w:ascii="Times New Roman" w:hAnsi="Times New Roman" w:cs="Times New Roman"/>
            <w:sz w:val="21"/>
          </w:rPr>
          <w:fldChar w:fldCharType="end"/>
        </w:r>
      </w:p>
    </w:sdtContent>
  </w:sdt>
  <w:p w14:paraId="32EC2E9F">
    <w:pPr>
      <w:pStyle w:val="55"/>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80D555">
    <w:pPr>
      <w:pStyle w:val="55"/>
      <w:ind w:right="360" w:firstLine="360"/>
      <w:jc w:val="center"/>
    </w:pPr>
    <w: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14935" cy="147955"/>
              <wp:effectExtent l="0" t="0" r="0" b="0"/>
              <wp:wrapNone/>
              <wp:docPr id="15" name="文本框 1030"/>
              <wp:cNvGraphicFramePr/>
              <a:graphic xmlns:a="http://schemas.openxmlformats.org/drawingml/2006/main">
                <a:graphicData uri="http://schemas.microsoft.com/office/word/2010/wordprocessingShape">
                  <wps:wsp>
                    <wps:cNvSpPr txBox="1"/>
                    <wps:spPr>
                      <a:xfrm>
                        <a:off x="0" y="0"/>
                        <a:ext cx="114935" cy="147955"/>
                      </a:xfrm>
                      <a:prstGeom prst="rect">
                        <a:avLst/>
                      </a:prstGeom>
                      <a:noFill/>
                      <a:ln>
                        <a:noFill/>
                      </a:ln>
                    </wps:spPr>
                    <wps:txbx>
                      <w:txbxContent>
                        <w:p w14:paraId="67F1F8FF">
                          <w:pPr>
                            <w:pStyle w:val="55"/>
                          </w:pPr>
                          <w:r>
                            <w:fldChar w:fldCharType="begin"/>
                          </w:r>
                          <w:r>
                            <w:instrText xml:space="preserve"> PAGE  \* MERGEFORMAT </w:instrText>
                          </w:r>
                          <w:r>
                            <w:fldChar w:fldCharType="separate"/>
                          </w:r>
                          <w:r>
                            <w:t>87</w:t>
                          </w:r>
                          <w:r>
                            <w:fldChar w:fldCharType="end"/>
                          </w:r>
                        </w:p>
                      </w:txbxContent>
                    </wps:txbx>
                    <wps:bodyPr wrap="none" lIns="0" tIns="0" rIns="0" bIns="0" upright="1">
                      <a:spAutoFit/>
                    </wps:bodyPr>
                  </wps:wsp>
                </a:graphicData>
              </a:graphic>
            </wp:anchor>
          </w:drawing>
        </mc:Choice>
        <mc:Fallback>
          <w:pict>
            <v:shape id="文本框 1030" o:spid="_x0000_s1026" o:spt="202" type="#_x0000_t202" style="position:absolute;left:0pt;margin-top:0pt;height:11.65pt;width:9.05pt;mso-position-horizontal:center;mso-position-horizontal-relative:margin;mso-wrap-style:none;z-index:251684864;mso-width-relative:page;mso-height-relative:page;" filled="f" stroked="f" coordsize="21600,21600" o:gfxdata="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Gulvw/RAAAAAwEAAA8AAAAAAAAAAQAgAAAAIgAAAGRycy9k&#10;b3ducmV2LnhtbFBLAQIUABQAAAAIAIdO4kCvr1kE0AEAAJsDAAAOAAAAAAAAAAEAIAAAACABAABk&#10;cnMvZTJvRG9jLnhtbFBLBQYAAAAABgAGAFkBAABiBQAAAAA=&#10;">
              <v:fill on="f" focussize="0,0"/>
              <v:stroke on="f"/>
              <v:imagedata o:title=""/>
              <o:lock v:ext="edit" aspectratio="f"/>
              <v:textbox inset="0mm,0mm,0mm,0mm" style="mso-fit-shape-to-text:t;">
                <w:txbxContent>
                  <w:p w14:paraId="67F1F8FF">
                    <w:pPr>
                      <w:pStyle w:val="55"/>
                    </w:pPr>
                    <w:r>
                      <w:fldChar w:fldCharType="begin"/>
                    </w:r>
                    <w:r>
                      <w:instrText xml:space="preserve"> PAGE  \* MERGEFORMAT </w:instrText>
                    </w:r>
                    <w:r>
                      <w:fldChar w:fldCharType="separate"/>
                    </w:r>
                    <w:r>
                      <w:t>87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60CC53">
    <w:pPr>
      <w:pStyle w:val="55"/>
      <w:jc w:val="center"/>
    </w:pPr>
  </w:p>
  <w:p w14:paraId="0712DB5B">
    <w:pPr>
      <w:pStyle w:val="55"/>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51887050"/>
    </w:sdtPr>
    <w:sdtContent>
      <w:p w14:paraId="28EFBB50">
        <w:pPr>
          <w:pStyle w:val="55"/>
          <w:jc w:val="center"/>
        </w:pPr>
        <w:r>
          <w:fldChar w:fldCharType="begin"/>
        </w:r>
        <w:r>
          <w:instrText xml:space="preserve">PAGE   \* MERGEFORMAT</w:instrText>
        </w:r>
        <w:r>
          <w:fldChar w:fldCharType="separate"/>
        </w:r>
        <w:r>
          <w:rPr>
            <w:lang w:val="zh-CN"/>
          </w:rPr>
          <w:t>5</w:t>
        </w:r>
        <w:r>
          <w:fldChar w:fldCharType="end"/>
        </w:r>
      </w:p>
    </w:sdtContent>
  </w:sdt>
  <w:p w14:paraId="5F5874CF">
    <w:pPr>
      <w:pStyle w:val="55"/>
      <w:ind w:right="360" w:firstLine="360"/>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A2D541">
    <w:pPr>
      <w:pStyle w:val="55"/>
      <w:spacing w:before="12" w:after="60"/>
      <w:ind w:left="900" w:hanging="480"/>
      <w:jc w:val="center"/>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B6D5FD">
    <w:pPr>
      <w:pStyle w:val="57"/>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9A5C94">
    <w:pPr>
      <w:ind w:firstLine="4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A27B39"/>
    <w:multiLevelType w:val="singleLevel"/>
    <w:tmpl w:val="87A27B39"/>
    <w:lvl w:ilvl="0" w:tentative="0">
      <w:start w:val="2"/>
      <w:numFmt w:val="chineseCounting"/>
      <w:suff w:val="nothing"/>
      <w:lvlText w:val="%1、"/>
      <w:lvlJc w:val="left"/>
      <w:rPr>
        <w:rFonts w:hint="eastAsia"/>
      </w:rPr>
    </w:lvl>
  </w:abstractNum>
  <w:abstractNum w:abstractNumId="1">
    <w:nsid w:val="882AC04E"/>
    <w:multiLevelType w:val="singleLevel"/>
    <w:tmpl w:val="882AC04E"/>
    <w:lvl w:ilvl="0" w:tentative="0">
      <w:start w:val="1"/>
      <w:numFmt w:val="decimal"/>
      <w:suff w:val="nothing"/>
      <w:lvlText w:val="%1、"/>
      <w:lvlJc w:val="left"/>
      <w:rPr>
        <w:rFonts w:hint="default"/>
        <w:b/>
        <w:bCs/>
      </w:rPr>
    </w:lvl>
  </w:abstractNum>
  <w:abstractNum w:abstractNumId="2">
    <w:nsid w:val="C4DAC240"/>
    <w:multiLevelType w:val="multilevel"/>
    <w:tmpl w:val="C4DAC240"/>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C7529D30"/>
    <w:multiLevelType w:val="singleLevel"/>
    <w:tmpl w:val="C7529D30"/>
    <w:lvl w:ilvl="0" w:tentative="0">
      <w:start w:val="2"/>
      <w:numFmt w:val="decimal"/>
      <w:suff w:val="nothing"/>
      <w:lvlText w:val="（%1）"/>
      <w:lvlJc w:val="left"/>
    </w:lvl>
  </w:abstractNum>
  <w:abstractNum w:abstractNumId="4">
    <w:nsid w:val="D50D40C4"/>
    <w:multiLevelType w:val="singleLevel"/>
    <w:tmpl w:val="D50D40C4"/>
    <w:lvl w:ilvl="0" w:tentative="0">
      <w:start w:val="2"/>
      <w:numFmt w:val="decimal"/>
      <w:suff w:val="nothing"/>
      <w:lvlText w:val="%1）"/>
      <w:lvlJc w:val="left"/>
    </w:lvl>
  </w:abstractNum>
  <w:abstractNum w:abstractNumId="5">
    <w:nsid w:val="E9FD37B9"/>
    <w:multiLevelType w:val="singleLevel"/>
    <w:tmpl w:val="E9FD37B9"/>
    <w:lvl w:ilvl="0" w:tentative="0">
      <w:start w:val="1"/>
      <w:numFmt w:val="decimal"/>
      <w:suff w:val="nothing"/>
      <w:lvlText w:val="%1、"/>
      <w:lvlJc w:val="left"/>
    </w:lvl>
  </w:abstractNum>
  <w:abstractNum w:abstractNumId="6">
    <w:nsid w:val="FBAB4DC5"/>
    <w:multiLevelType w:val="multilevel"/>
    <w:tmpl w:val="FBAB4DC5"/>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22B6176"/>
    <w:multiLevelType w:val="multilevel"/>
    <w:tmpl w:val="022B6176"/>
    <w:lvl w:ilvl="0" w:tentative="0">
      <w:start w:val="0"/>
      <w:numFmt w:val="none"/>
      <w:pStyle w:val="1912"/>
      <w:suff w:val="space"/>
      <w:lvlText w:val=""/>
      <w:lvlJc w:val="left"/>
      <w:pPr>
        <w:ind w:left="425" w:hanging="425"/>
      </w:pPr>
      <w:rPr>
        <w:rFonts w:hint="eastAsia"/>
        <w:sz w:val="44"/>
        <w:szCs w:val="44"/>
      </w:rPr>
    </w:lvl>
    <w:lvl w:ilvl="1" w:tentative="0">
      <w:start w:val="1"/>
      <w:numFmt w:val="decimal"/>
      <w:suff w:val="space"/>
      <w:lvlText w:val="%1 "/>
      <w:lvlJc w:val="left"/>
      <w:pPr>
        <w:ind w:left="0" w:firstLine="0"/>
      </w:pPr>
      <w:rPr>
        <w:rFonts w:hint="eastAsia"/>
      </w:rPr>
    </w:lvl>
    <w:lvl w:ilvl="2" w:tentative="0">
      <w:start w:val="1"/>
      <w:numFmt w:val="decimal"/>
      <w:suff w:val="space"/>
      <w:lvlText w:val="%1.%2"/>
      <w:lvlJc w:val="left"/>
      <w:pPr>
        <w:ind w:left="0" w:firstLine="0"/>
      </w:pPr>
      <w:rPr>
        <w:rFonts w:hint="eastAsia"/>
      </w:rPr>
    </w:lvl>
    <w:lvl w:ilvl="3" w:tentative="0">
      <w:start w:val="1"/>
      <w:numFmt w:val="decimal"/>
      <w:suff w:val="space"/>
      <w:lvlText w:val="%1.%2.%3.%4"/>
      <w:lvlJc w:val="left"/>
      <w:pPr>
        <w:ind w:left="0" w:firstLine="0"/>
      </w:pPr>
      <w:rPr>
        <w:rFonts w:hint="eastAsia"/>
      </w:rPr>
    </w:lvl>
    <w:lvl w:ilvl="4" w:tentative="0">
      <w:start w:val="1"/>
      <w:numFmt w:val="decimal"/>
      <w:suff w:val="space"/>
      <w:lvlText w:val="%1.%2.%3.%4.%5"/>
      <w:lvlJc w:val="left"/>
      <w:pPr>
        <w:ind w:left="0" w:firstLine="0"/>
      </w:pPr>
      <w:rPr>
        <w:rFonts w:hint="eastAsia"/>
      </w:rPr>
    </w:lvl>
    <w:lvl w:ilvl="5" w:tentative="0">
      <w:start w:val="1"/>
      <w:numFmt w:val="decimal"/>
      <w:lvlText w:val="%1.%2.%3.%4.%5.%6"/>
      <w:lvlJc w:val="left"/>
      <w:pPr>
        <w:tabs>
          <w:tab w:val="left" w:pos="4286"/>
        </w:tabs>
        <w:ind w:left="3260" w:hanging="1134"/>
      </w:pPr>
      <w:rPr>
        <w:rFonts w:hint="eastAsia"/>
      </w:rPr>
    </w:lvl>
    <w:lvl w:ilvl="6" w:tentative="0">
      <w:start w:val="1"/>
      <w:numFmt w:val="decimal"/>
      <w:lvlText w:val="%1.%2.%3.%4.%5.%6.%7"/>
      <w:lvlJc w:val="left"/>
      <w:pPr>
        <w:tabs>
          <w:tab w:val="left" w:pos="5071"/>
        </w:tabs>
        <w:ind w:left="3827" w:hanging="1276"/>
      </w:pPr>
      <w:rPr>
        <w:rFonts w:hint="eastAsia"/>
      </w:rPr>
    </w:lvl>
    <w:lvl w:ilvl="7" w:tentative="0">
      <w:start w:val="1"/>
      <w:numFmt w:val="decimal"/>
      <w:lvlText w:val="%1.%2.%3.%4.%5.%6.%7.%8"/>
      <w:lvlJc w:val="left"/>
      <w:pPr>
        <w:tabs>
          <w:tab w:val="left" w:pos="5856"/>
        </w:tabs>
        <w:ind w:left="4394" w:hanging="1418"/>
      </w:pPr>
      <w:rPr>
        <w:rFonts w:hint="eastAsia"/>
      </w:rPr>
    </w:lvl>
    <w:lvl w:ilvl="8" w:tentative="0">
      <w:start w:val="1"/>
      <w:numFmt w:val="decimal"/>
      <w:lvlText w:val="%1.%2.%3.%4.%5.%6.%7.%8.%9"/>
      <w:lvlJc w:val="left"/>
      <w:pPr>
        <w:tabs>
          <w:tab w:val="left" w:pos="6282"/>
        </w:tabs>
        <w:ind w:left="5102" w:hanging="1700"/>
      </w:pPr>
      <w:rPr>
        <w:rFonts w:hint="eastAsia"/>
      </w:rPr>
    </w:lvl>
  </w:abstractNum>
  <w:abstractNum w:abstractNumId="8">
    <w:nsid w:val="0293760A"/>
    <w:multiLevelType w:val="multilevel"/>
    <w:tmpl w:val="0293760A"/>
    <w:lvl w:ilvl="0" w:tentative="0">
      <w:start w:val="1"/>
      <w:numFmt w:val="decimal"/>
      <w:suff w:val="nothing"/>
      <w:lvlText w:val="（%1）"/>
      <w:lvlJc w:val="left"/>
      <w:pPr>
        <w:ind w:left="846" w:hanging="420"/>
      </w:pPr>
      <w:rPr>
        <w:rFonts w:hint="default"/>
      </w:rPr>
    </w:lvl>
    <w:lvl w:ilvl="1" w:tentative="0">
      <w:start w:val="1"/>
      <w:numFmt w:val="decimal"/>
      <w:lvlText w:val="%2、"/>
      <w:lvlJc w:val="left"/>
      <w:pPr>
        <w:tabs>
          <w:tab w:val="left" w:pos="1260"/>
        </w:tabs>
        <w:ind w:left="1260" w:hanging="360"/>
      </w:pPr>
      <w:rPr>
        <w:rFonts w:hint="default"/>
      </w:rPr>
    </w:lvl>
    <w:lvl w:ilvl="2" w:tentative="0">
      <w:start w:val="10"/>
      <w:numFmt w:val="decimal"/>
      <w:lvlText w:val="（%3）"/>
      <w:lvlJc w:val="left"/>
      <w:pPr>
        <w:tabs>
          <w:tab w:val="left" w:pos="2040"/>
        </w:tabs>
        <w:ind w:left="2040" w:hanging="720"/>
      </w:pPr>
      <w:rPr>
        <w:rFonts w:hint="default"/>
      </w:rPr>
    </w:lvl>
    <w:lvl w:ilvl="3" w:tentative="0">
      <w:start w:val="1"/>
      <w:numFmt w:val="decimal"/>
      <w:lvlText w:val="%4."/>
      <w:lvlJc w:val="left"/>
      <w:pPr>
        <w:tabs>
          <w:tab w:val="left" w:pos="2160"/>
        </w:tabs>
        <w:ind w:left="2160" w:hanging="420"/>
      </w:pPr>
      <w:rPr>
        <w:rFonts w:hint="eastAsia"/>
      </w:rPr>
    </w:lvl>
    <w:lvl w:ilvl="4" w:tentative="0">
      <w:start w:val="1"/>
      <w:numFmt w:val="lowerLetter"/>
      <w:lvlText w:val="%5)"/>
      <w:lvlJc w:val="left"/>
      <w:pPr>
        <w:tabs>
          <w:tab w:val="left" w:pos="2580"/>
        </w:tabs>
        <w:ind w:left="2580" w:hanging="420"/>
      </w:pPr>
      <w:rPr>
        <w:rFonts w:hint="eastAsia"/>
      </w:rPr>
    </w:lvl>
    <w:lvl w:ilvl="5" w:tentative="0">
      <w:start w:val="1"/>
      <w:numFmt w:val="lowerRoman"/>
      <w:lvlText w:val="%6."/>
      <w:lvlJc w:val="right"/>
      <w:pPr>
        <w:tabs>
          <w:tab w:val="left" w:pos="3000"/>
        </w:tabs>
        <w:ind w:left="3000" w:hanging="420"/>
      </w:pPr>
      <w:rPr>
        <w:rFonts w:hint="eastAsia"/>
      </w:rPr>
    </w:lvl>
    <w:lvl w:ilvl="6" w:tentative="0">
      <w:start w:val="1"/>
      <w:numFmt w:val="decimal"/>
      <w:lvlText w:val="%7."/>
      <w:lvlJc w:val="left"/>
      <w:pPr>
        <w:tabs>
          <w:tab w:val="left" w:pos="3420"/>
        </w:tabs>
        <w:ind w:left="3420" w:hanging="420"/>
      </w:pPr>
      <w:rPr>
        <w:rFonts w:hint="eastAsia"/>
      </w:rPr>
    </w:lvl>
    <w:lvl w:ilvl="7" w:tentative="0">
      <w:start w:val="1"/>
      <w:numFmt w:val="lowerLetter"/>
      <w:lvlText w:val="%8)"/>
      <w:lvlJc w:val="left"/>
      <w:pPr>
        <w:tabs>
          <w:tab w:val="left" w:pos="3840"/>
        </w:tabs>
        <w:ind w:left="3840" w:hanging="420"/>
      </w:pPr>
      <w:rPr>
        <w:rFonts w:hint="eastAsia"/>
      </w:rPr>
    </w:lvl>
    <w:lvl w:ilvl="8" w:tentative="0">
      <w:start w:val="1"/>
      <w:numFmt w:val="lowerRoman"/>
      <w:lvlText w:val="%9."/>
      <w:lvlJc w:val="right"/>
      <w:pPr>
        <w:tabs>
          <w:tab w:val="left" w:pos="4260"/>
        </w:tabs>
        <w:ind w:left="4260" w:hanging="420"/>
      </w:pPr>
      <w:rPr>
        <w:rFonts w:hint="eastAsia"/>
      </w:rPr>
    </w:lvl>
  </w:abstractNum>
  <w:abstractNum w:abstractNumId="9">
    <w:nsid w:val="126324D4"/>
    <w:multiLevelType w:val="singleLevel"/>
    <w:tmpl w:val="126324D4"/>
    <w:lvl w:ilvl="0" w:tentative="0">
      <w:start w:val="1"/>
      <w:numFmt w:val="decimal"/>
      <w:suff w:val="nothing"/>
      <w:lvlText w:val="%1、"/>
      <w:lvlJc w:val="left"/>
    </w:lvl>
  </w:abstractNum>
  <w:abstractNum w:abstractNumId="10">
    <w:nsid w:val="129B66EC"/>
    <w:multiLevelType w:val="multilevel"/>
    <w:tmpl w:val="129B66EC"/>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420" w:hanging="420"/>
      </w:pPr>
    </w:lvl>
    <w:lvl w:ilvl="2" w:tentative="0">
      <w:start w:val="1"/>
      <w:numFmt w:val="lowerRoman"/>
      <w:lvlText w:val="%3."/>
      <w:lvlJc w:val="right"/>
      <w:pPr>
        <w:ind w:left="840" w:hanging="420"/>
      </w:pPr>
    </w:lvl>
    <w:lvl w:ilvl="3" w:tentative="0">
      <w:start w:val="1"/>
      <w:numFmt w:val="decimal"/>
      <w:lvlText w:val="%4."/>
      <w:lvlJc w:val="left"/>
      <w:pPr>
        <w:ind w:left="1260" w:hanging="420"/>
      </w:pPr>
    </w:lvl>
    <w:lvl w:ilvl="4" w:tentative="0">
      <w:start w:val="1"/>
      <w:numFmt w:val="lowerLetter"/>
      <w:lvlText w:val="%5)"/>
      <w:lvlJc w:val="left"/>
      <w:pPr>
        <w:ind w:left="1680" w:hanging="420"/>
      </w:pPr>
    </w:lvl>
    <w:lvl w:ilvl="5" w:tentative="0">
      <w:start w:val="1"/>
      <w:numFmt w:val="lowerRoman"/>
      <w:lvlText w:val="%6."/>
      <w:lvlJc w:val="right"/>
      <w:pPr>
        <w:ind w:left="2100" w:hanging="420"/>
      </w:pPr>
    </w:lvl>
    <w:lvl w:ilvl="6" w:tentative="0">
      <w:start w:val="1"/>
      <w:numFmt w:val="decimal"/>
      <w:lvlText w:val="%7."/>
      <w:lvlJc w:val="left"/>
      <w:pPr>
        <w:ind w:left="2520" w:hanging="420"/>
      </w:pPr>
    </w:lvl>
    <w:lvl w:ilvl="7" w:tentative="0">
      <w:start w:val="1"/>
      <w:numFmt w:val="lowerLetter"/>
      <w:lvlText w:val="%8)"/>
      <w:lvlJc w:val="left"/>
      <w:pPr>
        <w:ind w:left="2940" w:hanging="420"/>
      </w:pPr>
    </w:lvl>
    <w:lvl w:ilvl="8" w:tentative="0">
      <w:start w:val="1"/>
      <w:numFmt w:val="lowerRoman"/>
      <w:lvlText w:val="%9."/>
      <w:lvlJc w:val="right"/>
      <w:pPr>
        <w:ind w:left="3360" w:hanging="420"/>
      </w:pPr>
    </w:lvl>
  </w:abstractNum>
  <w:abstractNum w:abstractNumId="11">
    <w:nsid w:val="14C616C2"/>
    <w:multiLevelType w:val="multilevel"/>
    <w:tmpl w:val="14C616C2"/>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14F069D1"/>
    <w:multiLevelType w:val="multilevel"/>
    <w:tmpl w:val="14F069D1"/>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16AB3684"/>
    <w:multiLevelType w:val="singleLevel"/>
    <w:tmpl w:val="16AB3684"/>
    <w:lvl w:ilvl="0" w:tentative="0">
      <w:start w:val="1"/>
      <w:numFmt w:val="decimal"/>
      <w:suff w:val="nothing"/>
      <w:lvlText w:val="%1"/>
      <w:lvlJc w:val="left"/>
      <w:pPr>
        <w:tabs>
          <w:tab w:val="left" w:pos="0"/>
        </w:tabs>
        <w:ind w:left="0" w:firstLine="0"/>
      </w:pPr>
      <w:rPr>
        <w:rFonts w:hint="default"/>
      </w:rPr>
    </w:lvl>
  </w:abstractNum>
  <w:abstractNum w:abstractNumId="14">
    <w:nsid w:val="18D01D12"/>
    <w:multiLevelType w:val="multilevel"/>
    <w:tmpl w:val="18D01D12"/>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20771C05"/>
    <w:multiLevelType w:val="multilevel"/>
    <w:tmpl w:val="20771C05"/>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224B019F"/>
    <w:multiLevelType w:val="singleLevel"/>
    <w:tmpl w:val="224B019F"/>
    <w:lvl w:ilvl="0" w:tentative="0">
      <w:start w:val="2"/>
      <w:numFmt w:val="decimal"/>
      <w:suff w:val="nothing"/>
      <w:lvlText w:val="（%1）"/>
      <w:lvlJc w:val="left"/>
    </w:lvl>
  </w:abstractNum>
  <w:abstractNum w:abstractNumId="17">
    <w:nsid w:val="24161F05"/>
    <w:multiLevelType w:val="multilevel"/>
    <w:tmpl w:val="24161F05"/>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26007CB1"/>
    <w:multiLevelType w:val="multilevel"/>
    <w:tmpl w:val="26007CB1"/>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26195079"/>
    <w:multiLevelType w:val="multilevel"/>
    <w:tmpl w:val="26195079"/>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0">
    <w:nsid w:val="267D4F94"/>
    <w:multiLevelType w:val="multilevel"/>
    <w:tmpl w:val="267D4F94"/>
    <w:lvl w:ilvl="0" w:tentative="0">
      <w:start w:val="1"/>
      <w:numFmt w:val="decimal"/>
      <w:pStyle w:val="1860"/>
      <w:suff w:val="nothing"/>
      <w:lvlText w:val="(%1)、"/>
      <w:lvlJc w:val="left"/>
      <w:pPr>
        <w:ind w:left="568" w:firstLine="0"/>
      </w:pPr>
      <w:rPr>
        <w:rFonts w:hint="default"/>
      </w:rPr>
    </w:lvl>
    <w:lvl w:ilvl="1" w:tentative="0">
      <w:start w:val="1"/>
      <w:numFmt w:val="lowerLetter"/>
      <w:lvlText w:val="%2)"/>
      <w:lvlJc w:val="left"/>
      <w:pPr>
        <w:ind w:left="2248" w:hanging="420"/>
      </w:pPr>
    </w:lvl>
    <w:lvl w:ilvl="2" w:tentative="0">
      <w:start w:val="1"/>
      <w:numFmt w:val="lowerRoman"/>
      <w:lvlText w:val="%3."/>
      <w:lvlJc w:val="right"/>
      <w:pPr>
        <w:ind w:left="2668" w:hanging="420"/>
      </w:pPr>
    </w:lvl>
    <w:lvl w:ilvl="3" w:tentative="0">
      <w:start w:val="1"/>
      <w:numFmt w:val="decimal"/>
      <w:lvlText w:val="%4."/>
      <w:lvlJc w:val="left"/>
      <w:pPr>
        <w:ind w:left="3088" w:hanging="420"/>
      </w:pPr>
    </w:lvl>
    <w:lvl w:ilvl="4" w:tentative="0">
      <w:start w:val="1"/>
      <w:numFmt w:val="lowerLetter"/>
      <w:lvlText w:val="%5)"/>
      <w:lvlJc w:val="left"/>
      <w:pPr>
        <w:ind w:left="3508" w:hanging="420"/>
      </w:pPr>
    </w:lvl>
    <w:lvl w:ilvl="5" w:tentative="0">
      <w:start w:val="1"/>
      <w:numFmt w:val="lowerRoman"/>
      <w:lvlText w:val="%6."/>
      <w:lvlJc w:val="right"/>
      <w:pPr>
        <w:ind w:left="3928" w:hanging="420"/>
      </w:pPr>
    </w:lvl>
    <w:lvl w:ilvl="6" w:tentative="0">
      <w:start w:val="1"/>
      <w:numFmt w:val="decimal"/>
      <w:lvlText w:val="%7."/>
      <w:lvlJc w:val="left"/>
      <w:pPr>
        <w:ind w:left="4348" w:hanging="420"/>
      </w:pPr>
    </w:lvl>
    <w:lvl w:ilvl="7" w:tentative="0">
      <w:start w:val="1"/>
      <w:numFmt w:val="lowerLetter"/>
      <w:lvlText w:val="%8)"/>
      <w:lvlJc w:val="left"/>
      <w:pPr>
        <w:ind w:left="4768" w:hanging="420"/>
      </w:pPr>
    </w:lvl>
    <w:lvl w:ilvl="8" w:tentative="0">
      <w:start w:val="1"/>
      <w:numFmt w:val="lowerRoman"/>
      <w:lvlText w:val="%9."/>
      <w:lvlJc w:val="right"/>
      <w:pPr>
        <w:ind w:left="5188" w:hanging="420"/>
      </w:pPr>
    </w:lvl>
  </w:abstractNum>
  <w:abstractNum w:abstractNumId="21">
    <w:nsid w:val="28114458"/>
    <w:multiLevelType w:val="multilevel"/>
    <w:tmpl w:val="28114458"/>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2A930FEA"/>
    <w:multiLevelType w:val="multilevel"/>
    <w:tmpl w:val="2A930FEA"/>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2C347FC6"/>
    <w:multiLevelType w:val="multilevel"/>
    <w:tmpl w:val="2C347FC6"/>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4">
    <w:nsid w:val="2C3B1F28"/>
    <w:multiLevelType w:val="multilevel"/>
    <w:tmpl w:val="2C3B1F28"/>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2CEC281D"/>
    <w:multiLevelType w:val="multilevel"/>
    <w:tmpl w:val="2CEC281D"/>
    <w:lvl w:ilvl="0" w:tentative="0">
      <w:start w:val="1"/>
      <w:numFmt w:val="decimal"/>
      <w:pStyle w:val="1625"/>
      <w:suff w:val="space"/>
      <w:lvlText w:val="%1"/>
      <w:lvlJc w:val="left"/>
      <w:pPr>
        <w:ind w:left="425" w:hanging="425"/>
      </w:pPr>
      <w:rPr>
        <w:rFonts w:hint="eastAsia"/>
        <w:sz w:val="44"/>
        <w:szCs w:val="44"/>
      </w:rPr>
    </w:lvl>
    <w:lvl w:ilvl="1" w:tentative="0">
      <w:start w:val="1"/>
      <w:numFmt w:val="decimal"/>
      <w:suff w:val="space"/>
      <w:lvlText w:val="%1.%2"/>
      <w:lvlJc w:val="left"/>
      <w:pPr>
        <w:ind w:left="0" w:firstLine="0"/>
      </w:pPr>
      <w:rPr>
        <w:rFonts w:hint="eastAsia"/>
      </w:rPr>
    </w:lvl>
    <w:lvl w:ilvl="2" w:tentative="0">
      <w:start w:val="1"/>
      <w:numFmt w:val="decimal"/>
      <w:suff w:val="space"/>
      <w:lvlText w:val="%1.%2.%3"/>
      <w:lvlJc w:val="left"/>
      <w:pPr>
        <w:ind w:left="0" w:firstLine="0"/>
      </w:pPr>
      <w:rPr>
        <w:rFonts w:hint="eastAsia"/>
      </w:rPr>
    </w:lvl>
    <w:lvl w:ilvl="3" w:tentative="0">
      <w:start w:val="1"/>
      <w:numFmt w:val="decimal"/>
      <w:suff w:val="space"/>
      <w:lvlText w:val="%1.%2.%3.%4"/>
      <w:lvlJc w:val="left"/>
      <w:pPr>
        <w:ind w:left="0" w:firstLine="0"/>
      </w:pPr>
      <w:rPr>
        <w:rFonts w:hint="eastAsia"/>
      </w:rPr>
    </w:lvl>
    <w:lvl w:ilvl="4" w:tentative="0">
      <w:start w:val="1"/>
      <w:numFmt w:val="decimal"/>
      <w:suff w:val="space"/>
      <w:lvlText w:val="%1.%2.%3.%4.%5"/>
      <w:lvlJc w:val="left"/>
      <w:pPr>
        <w:ind w:left="0" w:firstLine="0"/>
      </w:pPr>
      <w:rPr>
        <w:rFonts w:hint="eastAsia"/>
      </w:rPr>
    </w:lvl>
    <w:lvl w:ilvl="5" w:tentative="0">
      <w:start w:val="1"/>
      <w:numFmt w:val="decimal"/>
      <w:lvlText w:val="%1.%2.%3.%4.%5.%6"/>
      <w:lvlJc w:val="left"/>
      <w:pPr>
        <w:tabs>
          <w:tab w:val="left" w:pos="4286"/>
        </w:tabs>
        <w:ind w:left="3260" w:hanging="1134"/>
      </w:pPr>
      <w:rPr>
        <w:rFonts w:hint="eastAsia"/>
      </w:rPr>
    </w:lvl>
    <w:lvl w:ilvl="6" w:tentative="0">
      <w:start w:val="1"/>
      <w:numFmt w:val="decimal"/>
      <w:lvlText w:val="%1.%2.%3.%4.%5.%6.%7"/>
      <w:lvlJc w:val="left"/>
      <w:pPr>
        <w:tabs>
          <w:tab w:val="left" w:pos="5071"/>
        </w:tabs>
        <w:ind w:left="3827" w:hanging="1276"/>
      </w:pPr>
      <w:rPr>
        <w:rFonts w:hint="eastAsia"/>
      </w:rPr>
    </w:lvl>
    <w:lvl w:ilvl="7" w:tentative="0">
      <w:start w:val="1"/>
      <w:numFmt w:val="decimal"/>
      <w:lvlText w:val="%1.%2.%3.%4.%5.%6.%7.%8"/>
      <w:lvlJc w:val="left"/>
      <w:pPr>
        <w:tabs>
          <w:tab w:val="left" w:pos="5856"/>
        </w:tabs>
        <w:ind w:left="4394" w:hanging="1418"/>
      </w:pPr>
      <w:rPr>
        <w:rFonts w:hint="eastAsia"/>
      </w:rPr>
    </w:lvl>
    <w:lvl w:ilvl="8" w:tentative="0">
      <w:start w:val="1"/>
      <w:numFmt w:val="decimal"/>
      <w:lvlText w:val="%1.%2.%3.%4.%5.%6.%7.%8.%9"/>
      <w:lvlJc w:val="left"/>
      <w:pPr>
        <w:tabs>
          <w:tab w:val="left" w:pos="6282"/>
        </w:tabs>
        <w:ind w:left="5102" w:hanging="1700"/>
      </w:pPr>
      <w:rPr>
        <w:rFonts w:hint="eastAsia"/>
      </w:rPr>
    </w:lvl>
  </w:abstractNum>
  <w:abstractNum w:abstractNumId="26">
    <w:nsid w:val="307C4BF9"/>
    <w:multiLevelType w:val="multilevel"/>
    <w:tmpl w:val="307C4BF9"/>
    <w:lvl w:ilvl="0" w:tentative="0">
      <w:start w:val="1"/>
      <w:numFmt w:val="decimalEnclosedCircle"/>
      <w:lvlText w:val="%1"/>
      <w:lvlJc w:val="left"/>
      <w:pPr>
        <w:ind w:left="900" w:hanging="420"/>
      </w:pPr>
      <w:rPr>
        <w:rFonts w:hint="eastAsia"/>
        <w:color w:val="000000" w:themeColor="text1"/>
        <w14:textFill>
          <w14:solidFill>
            <w14:schemeClr w14:val="tx1"/>
          </w14:solidFill>
        </w14:textFill>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7">
    <w:nsid w:val="33EDB399"/>
    <w:multiLevelType w:val="singleLevel"/>
    <w:tmpl w:val="33EDB399"/>
    <w:lvl w:ilvl="0" w:tentative="0">
      <w:start w:val="2"/>
      <w:numFmt w:val="decimal"/>
      <w:suff w:val="nothing"/>
      <w:lvlText w:val="（%1）"/>
      <w:lvlJc w:val="left"/>
    </w:lvl>
  </w:abstractNum>
  <w:abstractNum w:abstractNumId="28">
    <w:nsid w:val="350C4CD5"/>
    <w:multiLevelType w:val="multilevel"/>
    <w:tmpl w:val="350C4CD5"/>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9">
    <w:nsid w:val="36DC4470"/>
    <w:multiLevelType w:val="multilevel"/>
    <w:tmpl w:val="36DC4470"/>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387B8B62"/>
    <w:multiLevelType w:val="singleLevel"/>
    <w:tmpl w:val="387B8B62"/>
    <w:lvl w:ilvl="0" w:tentative="0">
      <w:start w:val="9"/>
      <w:numFmt w:val="decimal"/>
      <w:suff w:val="space"/>
      <w:lvlText w:val="%1."/>
      <w:lvlJc w:val="left"/>
    </w:lvl>
  </w:abstractNum>
  <w:abstractNum w:abstractNumId="31">
    <w:nsid w:val="3A97762B"/>
    <w:multiLevelType w:val="multilevel"/>
    <w:tmpl w:val="3A97762B"/>
    <w:lvl w:ilvl="0" w:tentative="0">
      <w:start w:val="1"/>
      <w:numFmt w:val="decimalEnclosedCircle"/>
      <w:lvlText w:val="%1"/>
      <w:lvlJc w:val="left"/>
      <w:pPr>
        <w:ind w:left="842" w:hanging="36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2">
    <w:nsid w:val="3DA776F3"/>
    <w:multiLevelType w:val="multilevel"/>
    <w:tmpl w:val="3DA776F3"/>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43816347"/>
    <w:multiLevelType w:val="multilevel"/>
    <w:tmpl w:val="43816347"/>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46D4703F"/>
    <w:multiLevelType w:val="multilevel"/>
    <w:tmpl w:val="46D4703F"/>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4A0C6C10"/>
    <w:multiLevelType w:val="multilevel"/>
    <w:tmpl w:val="4A0C6C10"/>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4CB50438"/>
    <w:multiLevelType w:val="multilevel"/>
    <w:tmpl w:val="4CB50438"/>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03716D5"/>
    <w:multiLevelType w:val="multilevel"/>
    <w:tmpl w:val="503716D5"/>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53E6DF0C"/>
    <w:multiLevelType w:val="singleLevel"/>
    <w:tmpl w:val="53E6DF0C"/>
    <w:lvl w:ilvl="0" w:tentative="0">
      <w:start w:val="1"/>
      <w:numFmt w:val="decimal"/>
      <w:suff w:val="nothing"/>
      <w:lvlText w:val="（%1）"/>
      <w:lvlJc w:val="left"/>
      <w:rPr>
        <w:rFonts w:hint="default"/>
        <w:color w:val="000000" w:themeColor="text1"/>
        <w14:textFill>
          <w14:solidFill>
            <w14:schemeClr w14:val="tx1"/>
          </w14:solidFill>
        </w14:textFill>
      </w:rPr>
    </w:lvl>
  </w:abstractNum>
  <w:abstractNum w:abstractNumId="39">
    <w:nsid w:val="54266CAF"/>
    <w:multiLevelType w:val="multilevel"/>
    <w:tmpl w:val="54266CAF"/>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54B27B54"/>
    <w:multiLevelType w:val="multilevel"/>
    <w:tmpl w:val="54B27B54"/>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1">
    <w:nsid w:val="60055CBD"/>
    <w:multiLevelType w:val="multilevel"/>
    <w:tmpl w:val="60055CBD"/>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60126D74"/>
    <w:multiLevelType w:val="multilevel"/>
    <w:tmpl w:val="60126D74"/>
    <w:lvl w:ilvl="0" w:tentative="0">
      <w:start w:val="1"/>
      <w:numFmt w:val="decimal"/>
      <w:suff w:val="noth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6392B2DB"/>
    <w:multiLevelType w:val="multilevel"/>
    <w:tmpl w:val="6392B2DB"/>
    <w:lvl w:ilvl="0" w:tentative="0">
      <w:start w:val="1"/>
      <w:numFmt w:val="decimal"/>
      <w:lvlText w:val="%1"/>
      <w:lvlJc w:val="left"/>
      <w:pPr>
        <w:ind w:left="432" w:hanging="432"/>
      </w:pPr>
      <w:rPr>
        <w:rFonts w:hint="default" w:ascii="Times New Roman" w:hAnsi="Times New Roman" w:eastAsia="宋体" w:cs="宋体"/>
      </w:rPr>
    </w:lvl>
    <w:lvl w:ilvl="1" w:tentative="0">
      <w:start w:val="1"/>
      <w:numFmt w:val="decimal"/>
      <w:pStyle w:val="4"/>
      <w:lvlText w:val="%1.%2"/>
      <w:lvlJc w:val="left"/>
      <w:pPr>
        <w:ind w:left="575" w:hanging="575"/>
      </w:pPr>
      <w:rPr>
        <w:rFonts w:hint="default" w:ascii="Times New Roman" w:hAnsi="Times New Roman" w:eastAsia="宋体" w:cs="宋体"/>
      </w:rPr>
    </w:lvl>
    <w:lvl w:ilvl="2" w:tentative="0">
      <w:start w:val="1"/>
      <w:numFmt w:val="decimal"/>
      <w:lvlText w:val="%1.%2.%3"/>
      <w:lvlJc w:val="left"/>
      <w:pPr>
        <w:ind w:left="720" w:hanging="720"/>
      </w:pPr>
      <w:rPr>
        <w:rFonts w:hint="default" w:ascii="Times New Roman" w:hAnsi="Times New Roman" w:eastAsia="宋体" w:cs="宋体"/>
      </w:rPr>
    </w:lvl>
    <w:lvl w:ilvl="3" w:tentative="0">
      <w:start w:val="1"/>
      <w:numFmt w:val="decimal"/>
      <w:lvlText w:val="%1.%2.%3.%4"/>
      <w:lvlJc w:val="left"/>
      <w:pPr>
        <w:ind w:left="864" w:hanging="864"/>
      </w:pPr>
      <w:rPr>
        <w:rFonts w:hint="default" w:ascii="Times New Roman" w:hAnsi="Times New Roman" w:eastAsia="宋体" w:cs="宋体"/>
        <w:b/>
        <w:sz w:val="21"/>
      </w:rPr>
    </w:lvl>
    <w:lvl w:ilvl="4" w:tentative="0">
      <w:start w:val="1"/>
      <w:numFmt w:val="decimal"/>
      <w:lvlRestart w:val="2"/>
      <w:lvlText w:val="表%1.%2-%5"/>
      <w:lvlJc w:val="left"/>
      <w:pPr>
        <w:tabs>
          <w:tab w:val="left" w:pos="420"/>
        </w:tabs>
        <w:ind w:left="0" w:firstLine="0"/>
      </w:pPr>
      <w:rPr>
        <w:rFonts w:hint="default" w:ascii="Times New Roman" w:hAnsi="Times New Roman" w:eastAsia="宋体" w:cs="宋体"/>
        <w:b/>
        <w:sz w:val="21"/>
      </w:rPr>
    </w:lvl>
    <w:lvl w:ilvl="5" w:tentative="0">
      <w:start w:val="1"/>
      <w:numFmt w:val="decimal"/>
      <w:lvlRestart w:val="2"/>
      <w:lvlText w:val="图%1.%2-%6"/>
      <w:lvlJc w:val="left"/>
      <w:pPr>
        <w:ind w:left="1151" w:hanging="1151"/>
      </w:pPr>
      <w:rPr>
        <w:rFonts w:hint="default" w:ascii="Times New Roman" w:hAnsi="Times New Roman" w:eastAsia="宋体" w:cs="宋体"/>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44">
    <w:nsid w:val="6DF47FE0"/>
    <w:multiLevelType w:val="multilevel"/>
    <w:tmpl w:val="6DF47FE0"/>
    <w:lvl w:ilvl="0" w:tentative="0">
      <w:start w:val="1"/>
      <w:numFmt w:val="decimalEnclosedCircle"/>
      <w:lvlText w:val="%1"/>
      <w:lvlJc w:val="left"/>
      <w:pPr>
        <w:ind w:left="840" w:hanging="4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5">
    <w:nsid w:val="6F293928"/>
    <w:multiLevelType w:val="multilevel"/>
    <w:tmpl w:val="6F293928"/>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6">
    <w:nsid w:val="72C0733A"/>
    <w:multiLevelType w:val="multilevel"/>
    <w:tmpl w:val="72C0733A"/>
    <w:lvl w:ilvl="0" w:tentative="0">
      <w:start w:val="1"/>
      <w:numFmt w:val="decimal"/>
      <w:lvlText w:val="(%1)"/>
      <w:lvlJc w:val="left"/>
      <w:pPr>
        <w:ind w:left="900" w:hanging="420"/>
      </w:pPr>
      <w:rPr>
        <w:rFonts w:hint="eastAsia"/>
      </w:rPr>
    </w:lvl>
    <w:lvl w:ilvl="1" w:tentative="0">
      <w:start w:val="1"/>
      <w:numFmt w:val="decimal"/>
      <w:pStyle w:val="2481"/>
      <w:lvlText w:val="(%2)"/>
      <w:lvlJc w:val="left"/>
      <w:pPr>
        <w:tabs>
          <w:tab w:val="left" w:pos="420"/>
        </w:tabs>
        <w:ind w:left="84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72CF4630"/>
    <w:multiLevelType w:val="multilevel"/>
    <w:tmpl w:val="72CF4630"/>
    <w:lvl w:ilvl="0" w:tentative="0">
      <w:start w:val="1"/>
      <w:numFmt w:val="decimal"/>
      <w:suff w:val="nothing"/>
      <w:lvlText w:val="（%1）"/>
      <w:lvlJc w:val="left"/>
      <w:pPr>
        <w:ind w:left="900" w:hanging="420"/>
      </w:pPr>
      <w:rPr>
        <w:rFonts w:hint="default"/>
        <w:lang w:val="en-US"/>
      </w:rPr>
    </w:lvl>
    <w:lvl w:ilvl="1" w:tentative="0">
      <w:start w:val="1"/>
      <w:numFmt w:val="lowerLetter"/>
      <w:lvlText w:val="%2)"/>
      <w:lvlJc w:val="left"/>
      <w:pPr>
        <w:tabs>
          <w:tab w:val="left" w:pos="0"/>
        </w:tabs>
        <w:ind w:left="1320" w:hanging="420"/>
      </w:pPr>
      <w:rPr>
        <w:rFonts w:hint="eastAsia"/>
      </w:rPr>
    </w:lvl>
    <w:lvl w:ilvl="2" w:tentative="0">
      <w:start w:val="1"/>
      <w:numFmt w:val="lowerRoman"/>
      <w:lvlText w:val="%3."/>
      <w:lvlJc w:val="right"/>
      <w:pPr>
        <w:tabs>
          <w:tab w:val="left" w:pos="0"/>
        </w:tabs>
        <w:ind w:left="1740" w:hanging="420"/>
      </w:pPr>
      <w:rPr>
        <w:rFonts w:hint="eastAsia"/>
      </w:rPr>
    </w:lvl>
    <w:lvl w:ilvl="3" w:tentative="0">
      <w:start w:val="1"/>
      <w:numFmt w:val="decimal"/>
      <w:lvlText w:val="%4."/>
      <w:lvlJc w:val="left"/>
      <w:pPr>
        <w:tabs>
          <w:tab w:val="left" w:pos="0"/>
        </w:tabs>
        <w:ind w:left="2160" w:hanging="420"/>
      </w:pPr>
      <w:rPr>
        <w:rFonts w:hint="eastAsia"/>
      </w:rPr>
    </w:lvl>
    <w:lvl w:ilvl="4" w:tentative="0">
      <w:start w:val="1"/>
      <w:numFmt w:val="lowerLetter"/>
      <w:lvlText w:val="%5)"/>
      <w:lvlJc w:val="left"/>
      <w:pPr>
        <w:tabs>
          <w:tab w:val="left" w:pos="0"/>
        </w:tabs>
        <w:ind w:left="2580" w:hanging="420"/>
      </w:pPr>
      <w:rPr>
        <w:rFonts w:hint="eastAsia"/>
      </w:rPr>
    </w:lvl>
    <w:lvl w:ilvl="5" w:tentative="0">
      <w:start w:val="1"/>
      <w:numFmt w:val="lowerRoman"/>
      <w:lvlText w:val="%6."/>
      <w:lvlJc w:val="right"/>
      <w:pPr>
        <w:tabs>
          <w:tab w:val="left" w:pos="0"/>
        </w:tabs>
        <w:ind w:left="3000" w:hanging="420"/>
      </w:pPr>
      <w:rPr>
        <w:rFonts w:hint="eastAsia"/>
      </w:rPr>
    </w:lvl>
    <w:lvl w:ilvl="6" w:tentative="0">
      <w:start w:val="1"/>
      <w:numFmt w:val="decimal"/>
      <w:lvlText w:val="%7."/>
      <w:lvlJc w:val="left"/>
      <w:pPr>
        <w:tabs>
          <w:tab w:val="left" w:pos="0"/>
        </w:tabs>
        <w:ind w:left="3420" w:hanging="420"/>
      </w:pPr>
      <w:rPr>
        <w:rFonts w:hint="eastAsia"/>
      </w:rPr>
    </w:lvl>
    <w:lvl w:ilvl="7" w:tentative="0">
      <w:start w:val="1"/>
      <w:numFmt w:val="lowerLetter"/>
      <w:lvlText w:val="%8)"/>
      <w:lvlJc w:val="left"/>
      <w:pPr>
        <w:tabs>
          <w:tab w:val="left" w:pos="0"/>
        </w:tabs>
        <w:ind w:left="3840" w:hanging="420"/>
      </w:pPr>
      <w:rPr>
        <w:rFonts w:hint="eastAsia"/>
      </w:rPr>
    </w:lvl>
    <w:lvl w:ilvl="8" w:tentative="0">
      <w:start w:val="1"/>
      <w:numFmt w:val="lowerRoman"/>
      <w:lvlText w:val="%9."/>
      <w:lvlJc w:val="right"/>
      <w:pPr>
        <w:tabs>
          <w:tab w:val="left" w:pos="0"/>
        </w:tabs>
        <w:ind w:left="4260" w:hanging="420"/>
      </w:pPr>
      <w:rPr>
        <w:rFonts w:hint="eastAsia"/>
      </w:rPr>
    </w:lvl>
  </w:abstractNum>
  <w:abstractNum w:abstractNumId="48">
    <w:nsid w:val="74AC28E8"/>
    <w:multiLevelType w:val="multilevel"/>
    <w:tmpl w:val="74AC28E8"/>
    <w:lvl w:ilvl="0" w:tentative="0">
      <w:start w:val="2"/>
      <w:numFmt w:val="decimal"/>
      <w:suff w:val="nothing"/>
      <w:lvlText w:val="%1、"/>
      <w:lvlJc w:val="left"/>
      <w:pPr>
        <w:ind w:left="0" w:firstLine="0"/>
      </w:pPr>
      <w:rPr>
        <w:rFonts w:hint="default"/>
      </w:rPr>
    </w:lvl>
    <w:lvl w:ilvl="1" w:tentative="0">
      <w:start w:val="333644544"/>
      <w:numFmt w:val="decimal"/>
      <w:lvlText w:val="%1.%2"/>
      <w:lvlJc w:val="left"/>
      <w:pPr>
        <w:tabs>
          <w:tab w:val="left" w:pos="5257"/>
        </w:tabs>
        <w:ind w:left="4537" w:firstLine="0"/>
      </w:pPr>
      <w:rPr>
        <w:rFonts w:hint="default" w:ascii="Times New Roman" w:hAnsi="Times New Roman" w:cs="Times New Roman"/>
      </w:rPr>
    </w:lvl>
    <w:lvl w:ilvl="2" w:tentative="0">
      <w:start w:val="98792576"/>
      <w:numFmt w:val="decimal"/>
      <w:lvlText w:val="%1.%2.%3"/>
      <w:lvlJc w:val="left"/>
      <w:pPr>
        <w:tabs>
          <w:tab w:val="left" w:pos="5257"/>
        </w:tabs>
        <w:ind w:left="4537" w:firstLine="0"/>
      </w:pPr>
      <w:rPr>
        <w:rFonts w:hint="default" w:ascii="Times New Roman" w:hAnsi="Times New Roman" w:cs="Times New Roman"/>
      </w:rPr>
    </w:lvl>
    <w:lvl w:ilvl="3" w:tentative="0">
      <w:start w:val="348925120"/>
      <w:numFmt w:val="decimal"/>
      <w:lvlText w:val="%1.%2.%3.%4"/>
      <w:lvlJc w:val="left"/>
      <w:pPr>
        <w:tabs>
          <w:tab w:val="left" w:pos="6157"/>
        </w:tabs>
        <w:ind w:left="5437" w:firstLine="0"/>
      </w:pPr>
      <w:rPr>
        <w:rFonts w:hint="default" w:ascii="Times New Roman" w:hAnsi="Times New Roman" w:cs="Times New Roman"/>
      </w:rPr>
    </w:lvl>
    <w:lvl w:ilvl="4" w:tentative="0">
      <w:start w:val="349072256"/>
      <w:numFmt w:val="decimal"/>
      <w:lvlText w:val="%1.%2.%3.%4.%5"/>
      <w:lvlJc w:val="left"/>
      <w:pPr>
        <w:tabs>
          <w:tab w:val="left" w:pos="8038"/>
        </w:tabs>
        <w:ind w:left="7088" w:hanging="850"/>
      </w:pPr>
      <w:rPr>
        <w:rFonts w:hint="eastAsia"/>
      </w:rPr>
    </w:lvl>
    <w:lvl w:ilvl="5" w:tentative="0">
      <w:start w:val="349059200"/>
      <w:numFmt w:val="decimal"/>
      <w:lvlText w:val="%1.%2.%3.%4.%5.%6"/>
      <w:lvlJc w:val="left"/>
      <w:pPr>
        <w:tabs>
          <w:tab w:val="left" w:pos="8823"/>
        </w:tabs>
        <w:ind w:left="7797" w:hanging="1134"/>
      </w:pPr>
      <w:rPr>
        <w:rFonts w:hint="eastAsia"/>
      </w:rPr>
    </w:lvl>
    <w:lvl w:ilvl="6" w:tentative="0">
      <w:start w:val="98720128"/>
      <w:numFmt w:val="decimal"/>
      <w:lvlText w:val="%1.%2.%3.%4.%5.%6.%7"/>
      <w:lvlJc w:val="left"/>
      <w:pPr>
        <w:tabs>
          <w:tab w:val="left" w:pos="9608"/>
        </w:tabs>
        <w:ind w:left="8364" w:hanging="1276"/>
      </w:pPr>
      <w:rPr>
        <w:rFonts w:hint="eastAsia"/>
      </w:rPr>
    </w:lvl>
    <w:lvl w:ilvl="7" w:tentative="0">
      <w:start w:val="349133440"/>
      <w:numFmt w:val="decimal"/>
      <w:lvlText w:val="%1.%2.%3.%4.%5.%6.%7.%8"/>
      <w:lvlJc w:val="left"/>
      <w:pPr>
        <w:tabs>
          <w:tab w:val="left" w:pos="10033"/>
        </w:tabs>
        <w:ind w:left="8931" w:hanging="1418"/>
      </w:pPr>
      <w:rPr>
        <w:rFonts w:hint="eastAsia"/>
      </w:rPr>
    </w:lvl>
    <w:lvl w:ilvl="8" w:tentative="0">
      <w:start w:val="349069376"/>
      <w:numFmt w:val="decimal"/>
      <w:lvlText w:val="%1.%2.%3.%4.%5.%6.%7.%8.%9"/>
      <w:lvlJc w:val="left"/>
      <w:pPr>
        <w:tabs>
          <w:tab w:val="left" w:pos="10819"/>
        </w:tabs>
        <w:ind w:left="9639" w:hanging="1700"/>
      </w:pPr>
      <w:rPr>
        <w:rFonts w:hint="eastAsia"/>
      </w:rPr>
    </w:lvl>
  </w:abstractNum>
  <w:abstractNum w:abstractNumId="49">
    <w:nsid w:val="79BD19F4"/>
    <w:multiLevelType w:val="multilevel"/>
    <w:tmpl w:val="79BD19F4"/>
    <w:lvl w:ilvl="0" w:tentative="0">
      <w:start w:val="1"/>
      <w:numFmt w:val="decimal"/>
      <w:suff w:val="nothing"/>
      <w:lvlText w:val="（%1）"/>
      <w:lvlJc w:val="left"/>
      <w:pPr>
        <w:ind w:left="420" w:hanging="420"/>
      </w:pPr>
      <w:rPr>
        <w:rFonts w:hint="default"/>
        <w:color w:val="000000" w:themeColor="text1"/>
        <w:lang w:val="en-US"/>
        <w14:textFill>
          <w14:solidFill>
            <w14:schemeClr w14:val="tx1"/>
          </w14:solidFill>
        </w14:textFil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0">
    <w:nsid w:val="7AA15766"/>
    <w:multiLevelType w:val="multilevel"/>
    <w:tmpl w:val="7AA15766"/>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43"/>
  </w:num>
  <w:num w:numId="2">
    <w:abstractNumId w:val="25"/>
  </w:num>
  <w:num w:numId="3">
    <w:abstractNumId w:val="20"/>
  </w:num>
  <w:num w:numId="4">
    <w:abstractNumId w:val="7"/>
  </w:num>
  <w:num w:numId="5">
    <w:abstractNumId w:val="46"/>
  </w:num>
  <w:num w:numId="6">
    <w:abstractNumId w:val="5"/>
  </w:num>
  <w:num w:numId="7">
    <w:abstractNumId w:val="9"/>
  </w:num>
  <w:num w:numId="8">
    <w:abstractNumId w:val="1"/>
  </w:num>
  <w:num w:numId="9">
    <w:abstractNumId w:val="0"/>
  </w:num>
  <w:num w:numId="10">
    <w:abstractNumId w:val="32"/>
  </w:num>
  <w:num w:numId="11">
    <w:abstractNumId w:val="10"/>
  </w:num>
  <w:num w:numId="12">
    <w:abstractNumId w:val="30"/>
  </w:num>
  <w:num w:numId="13">
    <w:abstractNumId w:val="24"/>
  </w:num>
  <w:num w:numId="14">
    <w:abstractNumId w:val="3"/>
  </w:num>
  <w:num w:numId="15">
    <w:abstractNumId w:val="16"/>
  </w:num>
  <w:num w:numId="16">
    <w:abstractNumId w:val="38"/>
  </w:num>
  <w:num w:numId="17">
    <w:abstractNumId w:val="31"/>
  </w:num>
  <w:num w:numId="18">
    <w:abstractNumId w:val="34"/>
  </w:num>
  <w:num w:numId="19">
    <w:abstractNumId w:val="35"/>
  </w:num>
  <w:num w:numId="20">
    <w:abstractNumId w:val="4"/>
  </w:num>
  <w:num w:numId="21">
    <w:abstractNumId w:val="2"/>
  </w:num>
  <w:num w:numId="22">
    <w:abstractNumId w:val="27"/>
  </w:num>
  <w:num w:numId="23">
    <w:abstractNumId w:val="13"/>
  </w:num>
  <w:num w:numId="24">
    <w:abstractNumId w:val="15"/>
  </w:num>
  <w:num w:numId="25">
    <w:abstractNumId w:val="41"/>
  </w:num>
  <w:num w:numId="26">
    <w:abstractNumId w:val="29"/>
  </w:num>
  <w:num w:numId="27">
    <w:abstractNumId w:val="42"/>
  </w:num>
  <w:num w:numId="28">
    <w:abstractNumId w:val="48"/>
  </w:num>
  <w:num w:numId="29">
    <w:abstractNumId w:val="47"/>
  </w:num>
  <w:num w:numId="30">
    <w:abstractNumId w:val="49"/>
  </w:num>
  <w:num w:numId="31">
    <w:abstractNumId w:val="8"/>
  </w:num>
  <w:num w:numId="32">
    <w:abstractNumId w:val="36"/>
  </w:num>
  <w:num w:numId="33">
    <w:abstractNumId w:val="11"/>
  </w:num>
  <w:num w:numId="34">
    <w:abstractNumId w:val="39"/>
  </w:num>
  <w:num w:numId="35">
    <w:abstractNumId w:val="18"/>
  </w:num>
  <w:num w:numId="36">
    <w:abstractNumId w:val="6"/>
  </w:num>
  <w:num w:numId="37">
    <w:abstractNumId w:val="22"/>
  </w:num>
  <w:num w:numId="38">
    <w:abstractNumId w:val="21"/>
  </w:num>
  <w:num w:numId="39">
    <w:abstractNumId w:val="37"/>
  </w:num>
  <w:num w:numId="40">
    <w:abstractNumId w:val="33"/>
  </w:num>
  <w:num w:numId="41">
    <w:abstractNumId w:val="44"/>
  </w:num>
  <w:num w:numId="42">
    <w:abstractNumId w:val="12"/>
  </w:num>
  <w:num w:numId="43">
    <w:abstractNumId w:val="45"/>
  </w:num>
  <w:num w:numId="44">
    <w:abstractNumId w:val="23"/>
  </w:num>
  <w:num w:numId="45">
    <w:abstractNumId w:val="40"/>
  </w:num>
  <w:num w:numId="46">
    <w:abstractNumId w:val="28"/>
  </w:num>
  <w:num w:numId="47">
    <w:abstractNumId w:val="19"/>
  </w:num>
  <w:num w:numId="48">
    <w:abstractNumId w:val="17"/>
  </w:num>
  <w:num w:numId="49">
    <w:abstractNumId w:val="50"/>
  </w:num>
  <w:num w:numId="50">
    <w:abstractNumId w:val="14"/>
  </w:num>
  <w:num w:numId="5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1"/>
  <w:bordersDoNotSurroundFooter w:val="1"/>
  <w:hideSpellingErrors/>
  <w:documentProtection w:edit="trackedChanges" w:enforcement="0"/>
  <w:defaultTabStop w:val="420"/>
  <w:doNotHyphenateCaps/>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Y4OGJiOGNjMmJhMTFmZDA5YTUwNjAzYTgzYTlkODgifQ=="/>
    <w:docVar w:name="KSO_WPS_MARK_KEY" w:val="b6004d3a-4d98-47a3-85c0-9759a5516818"/>
  </w:docVars>
  <w:rsids>
    <w:rsidRoot w:val="00172A27"/>
    <w:rsid w:val="00000B7A"/>
    <w:rsid w:val="00000CD9"/>
    <w:rsid w:val="000013FD"/>
    <w:rsid w:val="000014EA"/>
    <w:rsid w:val="00001788"/>
    <w:rsid w:val="00001B0A"/>
    <w:rsid w:val="0000207A"/>
    <w:rsid w:val="0000210C"/>
    <w:rsid w:val="00003C54"/>
    <w:rsid w:val="000040F6"/>
    <w:rsid w:val="00004192"/>
    <w:rsid w:val="00004219"/>
    <w:rsid w:val="0000432F"/>
    <w:rsid w:val="00004379"/>
    <w:rsid w:val="000047FB"/>
    <w:rsid w:val="00004D40"/>
    <w:rsid w:val="000053B0"/>
    <w:rsid w:val="000055CB"/>
    <w:rsid w:val="00005648"/>
    <w:rsid w:val="000057C7"/>
    <w:rsid w:val="00005D76"/>
    <w:rsid w:val="000060B3"/>
    <w:rsid w:val="00006146"/>
    <w:rsid w:val="000062B2"/>
    <w:rsid w:val="00006729"/>
    <w:rsid w:val="000069B7"/>
    <w:rsid w:val="00007597"/>
    <w:rsid w:val="00007787"/>
    <w:rsid w:val="00007917"/>
    <w:rsid w:val="00007938"/>
    <w:rsid w:val="00010843"/>
    <w:rsid w:val="00010DFA"/>
    <w:rsid w:val="00011499"/>
    <w:rsid w:val="00011556"/>
    <w:rsid w:val="00011F3C"/>
    <w:rsid w:val="000120C4"/>
    <w:rsid w:val="0001213C"/>
    <w:rsid w:val="000125E9"/>
    <w:rsid w:val="00012A07"/>
    <w:rsid w:val="00014A77"/>
    <w:rsid w:val="00014F8A"/>
    <w:rsid w:val="00015C8A"/>
    <w:rsid w:val="00015EF7"/>
    <w:rsid w:val="00015FDD"/>
    <w:rsid w:val="0001737F"/>
    <w:rsid w:val="0001774E"/>
    <w:rsid w:val="0001786C"/>
    <w:rsid w:val="00017A08"/>
    <w:rsid w:val="000203E2"/>
    <w:rsid w:val="0002061D"/>
    <w:rsid w:val="00020DDF"/>
    <w:rsid w:val="00020EE8"/>
    <w:rsid w:val="000211CA"/>
    <w:rsid w:val="00021395"/>
    <w:rsid w:val="00021474"/>
    <w:rsid w:val="000214C2"/>
    <w:rsid w:val="000217EF"/>
    <w:rsid w:val="000219F2"/>
    <w:rsid w:val="00021D58"/>
    <w:rsid w:val="00021E66"/>
    <w:rsid w:val="00021F83"/>
    <w:rsid w:val="00022C77"/>
    <w:rsid w:val="00023159"/>
    <w:rsid w:val="00023426"/>
    <w:rsid w:val="00023703"/>
    <w:rsid w:val="00023777"/>
    <w:rsid w:val="00023779"/>
    <w:rsid w:val="00023915"/>
    <w:rsid w:val="00023B44"/>
    <w:rsid w:val="000242A7"/>
    <w:rsid w:val="000242E1"/>
    <w:rsid w:val="000247F2"/>
    <w:rsid w:val="00024ECB"/>
    <w:rsid w:val="00024F9F"/>
    <w:rsid w:val="00025637"/>
    <w:rsid w:val="0002576B"/>
    <w:rsid w:val="000260A0"/>
    <w:rsid w:val="000261CC"/>
    <w:rsid w:val="0002655B"/>
    <w:rsid w:val="000269B2"/>
    <w:rsid w:val="00026A17"/>
    <w:rsid w:val="00026C74"/>
    <w:rsid w:val="00026D48"/>
    <w:rsid w:val="00027087"/>
    <w:rsid w:val="000278C6"/>
    <w:rsid w:val="00027985"/>
    <w:rsid w:val="00027FA0"/>
    <w:rsid w:val="00030435"/>
    <w:rsid w:val="000306EC"/>
    <w:rsid w:val="00030BFB"/>
    <w:rsid w:val="00031955"/>
    <w:rsid w:val="000330BD"/>
    <w:rsid w:val="0003362A"/>
    <w:rsid w:val="00033791"/>
    <w:rsid w:val="00033B0F"/>
    <w:rsid w:val="00033CB0"/>
    <w:rsid w:val="00034382"/>
    <w:rsid w:val="000344E2"/>
    <w:rsid w:val="00034618"/>
    <w:rsid w:val="00034746"/>
    <w:rsid w:val="00034968"/>
    <w:rsid w:val="00034F24"/>
    <w:rsid w:val="00034F42"/>
    <w:rsid w:val="00035060"/>
    <w:rsid w:val="00035A39"/>
    <w:rsid w:val="000367F8"/>
    <w:rsid w:val="0003693A"/>
    <w:rsid w:val="00036A6C"/>
    <w:rsid w:val="00036D3D"/>
    <w:rsid w:val="00037B70"/>
    <w:rsid w:val="00037BDF"/>
    <w:rsid w:val="000406E4"/>
    <w:rsid w:val="00040B02"/>
    <w:rsid w:val="00040C53"/>
    <w:rsid w:val="0004120D"/>
    <w:rsid w:val="00041AF1"/>
    <w:rsid w:val="0004294D"/>
    <w:rsid w:val="0004364B"/>
    <w:rsid w:val="00043823"/>
    <w:rsid w:val="00043895"/>
    <w:rsid w:val="00043B99"/>
    <w:rsid w:val="0004457C"/>
    <w:rsid w:val="00044FA0"/>
    <w:rsid w:val="00045347"/>
    <w:rsid w:val="000454F2"/>
    <w:rsid w:val="000454F9"/>
    <w:rsid w:val="0004560F"/>
    <w:rsid w:val="00045629"/>
    <w:rsid w:val="000457BE"/>
    <w:rsid w:val="00045A01"/>
    <w:rsid w:val="00045DAE"/>
    <w:rsid w:val="00046494"/>
    <w:rsid w:val="0004673A"/>
    <w:rsid w:val="00046807"/>
    <w:rsid w:val="00046EC8"/>
    <w:rsid w:val="000472D1"/>
    <w:rsid w:val="000473C0"/>
    <w:rsid w:val="000475DD"/>
    <w:rsid w:val="00050087"/>
    <w:rsid w:val="000502A8"/>
    <w:rsid w:val="00050359"/>
    <w:rsid w:val="00050E08"/>
    <w:rsid w:val="00050F59"/>
    <w:rsid w:val="000517B5"/>
    <w:rsid w:val="000519A2"/>
    <w:rsid w:val="00051CB7"/>
    <w:rsid w:val="0005210F"/>
    <w:rsid w:val="00052170"/>
    <w:rsid w:val="00052972"/>
    <w:rsid w:val="00052AD5"/>
    <w:rsid w:val="00052B63"/>
    <w:rsid w:val="00052C24"/>
    <w:rsid w:val="00052C85"/>
    <w:rsid w:val="000532B9"/>
    <w:rsid w:val="00053308"/>
    <w:rsid w:val="00054205"/>
    <w:rsid w:val="0005489D"/>
    <w:rsid w:val="00054B18"/>
    <w:rsid w:val="00054E29"/>
    <w:rsid w:val="00054F70"/>
    <w:rsid w:val="0005520A"/>
    <w:rsid w:val="000552A6"/>
    <w:rsid w:val="000555FF"/>
    <w:rsid w:val="000557FB"/>
    <w:rsid w:val="00055DC9"/>
    <w:rsid w:val="000560A5"/>
    <w:rsid w:val="000567CF"/>
    <w:rsid w:val="00056A6D"/>
    <w:rsid w:val="00056C7E"/>
    <w:rsid w:val="00056DE9"/>
    <w:rsid w:val="00056F9D"/>
    <w:rsid w:val="000602CA"/>
    <w:rsid w:val="0006089F"/>
    <w:rsid w:val="00060A9E"/>
    <w:rsid w:val="000612B4"/>
    <w:rsid w:val="00061735"/>
    <w:rsid w:val="00061B1F"/>
    <w:rsid w:val="00061B96"/>
    <w:rsid w:val="00062B60"/>
    <w:rsid w:val="0006316B"/>
    <w:rsid w:val="0006326C"/>
    <w:rsid w:val="000633B2"/>
    <w:rsid w:val="00063494"/>
    <w:rsid w:val="00063781"/>
    <w:rsid w:val="00064851"/>
    <w:rsid w:val="0006503D"/>
    <w:rsid w:val="00065078"/>
    <w:rsid w:val="0006555F"/>
    <w:rsid w:val="00066062"/>
    <w:rsid w:val="00066722"/>
    <w:rsid w:val="000674A9"/>
    <w:rsid w:val="00067559"/>
    <w:rsid w:val="000677D5"/>
    <w:rsid w:val="00067AA8"/>
    <w:rsid w:val="00070297"/>
    <w:rsid w:val="00070F6E"/>
    <w:rsid w:val="00071113"/>
    <w:rsid w:val="000716AF"/>
    <w:rsid w:val="000718AC"/>
    <w:rsid w:val="00071A91"/>
    <w:rsid w:val="00071BD1"/>
    <w:rsid w:val="00072315"/>
    <w:rsid w:val="00072C47"/>
    <w:rsid w:val="000733C4"/>
    <w:rsid w:val="00073411"/>
    <w:rsid w:val="00073625"/>
    <w:rsid w:val="00073ED5"/>
    <w:rsid w:val="00074783"/>
    <w:rsid w:val="00074C77"/>
    <w:rsid w:val="00075870"/>
    <w:rsid w:val="00075C49"/>
    <w:rsid w:val="000761D7"/>
    <w:rsid w:val="00076230"/>
    <w:rsid w:val="00076684"/>
    <w:rsid w:val="000768C2"/>
    <w:rsid w:val="00076B0E"/>
    <w:rsid w:val="00077484"/>
    <w:rsid w:val="000776AD"/>
    <w:rsid w:val="00077A0C"/>
    <w:rsid w:val="00077A3E"/>
    <w:rsid w:val="0008023B"/>
    <w:rsid w:val="000806C8"/>
    <w:rsid w:val="0008070B"/>
    <w:rsid w:val="00080D1E"/>
    <w:rsid w:val="00080DEB"/>
    <w:rsid w:val="000810AC"/>
    <w:rsid w:val="0008118D"/>
    <w:rsid w:val="000814B7"/>
    <w:rsid w:val="0008156C"/>
    <w:rsid w:val="00081A02"/>
    <w:rsid w:val="00082231"/>
    <w:rsid w:val="000822CD"/>
    <w:rsid w:val="00082507"/>
    <w:rsid w:val="00082B17"/>
    <w:rsid w:val="00082D85"/>
    <w:rsid w:val="000835DE"/>
    <w:rsid w:val="000838AB"/>
    <w:rsid w:val="00084F1B"/>
    <w:rsid w:val="00085338"/>
    <w:rsid w:val="00085A18"/>
    <w:rsid w:val="000864BD"/>
    <w:rsid w:val="000864D5"/>
    <w:rsid w:val="00086891"/>
    <w:rsid w:val="00086978"/>
    <w:rsid w:val="00086BC0"/>
    <w:rsid w:val="00086C50"/>
    <w:rsid w:val="00086C95"/>
    <w:rsid w:val="00087250"/>
    <w:rsid w:val="00087B29"/>
    <w:rsid w:val="000900DC"/>
    <w:rsid w:val="0009010F"/>
    <w:rsid w:val="00090BE3"/>
    <w:rsid w:val="000912BC"/>
    <w:rsid w:val="000912DB"/>
    <w:rsid w:val="000913E7"/>
    <w:rsid w:val="00091422"/>
    <w:rsid w:val="00091C84"/>
    <w:rsid w:val="00091C90"/>
    <w:rsid w:val="00092351"/>
    <w:rsid w:val="00092892"/>
    <w:rsid w:val="00092D38"/>
    <w:rsid w:val="0009377B"/>
    <w:rsid w:val="00093D4F"/>
    <w:rsid w:val="00093FA3"/>
    <w:rsid w:val="00094629"/>
    <w:rsid w:val="00094891"/>
    <w:rsid w:val="00094F78"/>
    <w:rsid w:val="00094FC0"/>
    <w:rsid w:val="00095304"/>
    <w:rsid w:val="0009540B"/>
    <w:rsid w:val="0009557C"/>
    <w:rsid w:val="00095923"/>
    <w:rsid w:val="0009595B"/>
    <w:rsid w:val="00095C05"/>
    <w:rsid w:val="00095DE9"/>
    <w:rsid w:val="00095FE6"/>
    <w:rsid w:val="000961DE"/>
    <w:rsid w:val="00096317"/>
    <w:rsid w:val="00096C01"/>
    <w:rsid w:val="00096D46"/>
    <w:rsid w:val="00097A55"/>
    <w:rsid w:val="00097F90"/>
    <w:rsid w:val="000A0225"/>
    <w:rsid w:val="000A08AF"/>
    <w:rsid w:val="000A0939"/>
    <w:rsid w:val="000A0A1B"/>
    <w:rsid w:val="000A0FA9"/>
    <w:rsid w:val="000A138C"/>
    <w:rsid w:val="000A1753"/>
    <w:rsid w:val="000A1AEE"/>
    <w:rsid w:val="000A1AF5"/>
    <w:rsid w:val="000A1F9E"/>
    <w:rsid w:val="000A20C9"/>
    <w:rsid w:val="000A219F"/>
    <w:rsid w:val="000A26CB"/>
    <w:rsid w:val="000A2D77"/>
    <w:rsid w:val="000A32DC"/>
    <w:rsid w:val="000A515A"/>
    <w:rsid w:val="000A5413"/>
    <w:rsid w:val="000A6BFA"/>
    <w:rsid w:val="000A6C88"/>
    <w:rsid w:val="000A74ED"/>
    <w:rsid w:val="000A7A97"/>
    <w:rsid w:val="000A7B09"/>
    <w:rsid w:val="000A7EFD"/>
    <w:rsid w:val="000A7F2A"/>
    <w:rsid w:val="000B0164"/>
    <w:rsid w:val="000B0397"/>
    <w:rsid w:val="000B058F"/>
    <w:rsid w:val="000B0CA8"/>
    <w:rsid w:val="000B0CFC"/>
    <w:rsid w:val="000B0D29"/>
    <w:rsid w:val="000B0F3D"/>
    <w:rsid w:val="000B17D9"/>
    <w:rsid w:val="000B1E37"/>
    <w:rsid w:val="000B1E83"/>
    <w:rsid w:val="000B1EE2"/>
    <w:rsid w:val="000B1F15"/>
    <w:rsid w:val="000B1F7B"/>
    <w:rsid w:val="000B27D0"/>
    <w:rsid w:val="000B3BD1"/>
    <w:rsid w:val="000B4033"/>
    <w:rsid w:val="000B4467"/>
    <w:rsid w:val="000B4C7D"/>
    <w:rsid w:val="000B4DB9"/>
    <w:rsid w:val="000B519C"/>
    <w:rsid w:val="000B574A"/>
    <w:rsid w:val="000B5914"/>
    <w:rsid w:val="000B59B1"/>
    <w:rsid w:val="000B5B9D"/>
    <w:rsid w:val="000B6841"/>
    <w:rsid w:val="000B6E3D"/>
    <w:rsid w:val="000B6E94"/>
    <w:rsid w:val="000B6E99"/>
    <w:rsid w:val="000B6F63"/>
    <w:rsid w:val="000B733F"/>
    <w:rsid w:val="000B7A34"/>
    <w:rsid w:val="000B7F93"/>
    <w:rsid w:val="000C02AD"/>
    <w:rsid w:val="000C064A"/>
    <w:rsid w:val="000C09AC"/>
    <w:rsid w:val="000C0BB1"/>
    <w:rsid w:val="000C0FC3"/>
    <w:rsid w:val="000C1133"/>
    <w:rsid w:val="000C135D"/>
    <w:rsid w:val="000C173D"/>
    <w:rsid w:val="000C1CC5"/>
    <w:rsid w:val="000C1E0C"/>
    <w:rsid w:val="000C1EDF"/>
    <w:rsid w:val="000C231D"/>
    <w:rsid w:val="000C263E"/>
    <w:rsid w:val="000C26B4"/>
    <w:rsid w:val="000C297A"/>
    <w:rsid w:val="000C2A5A"/>
    <w:rsid w:val="000C2B5B"/>
    <w:rsid w:val="000C35DB"/>
    <w:rsid w:val="000C36B3"/>
    <w:rsid w:val="000C37BC"/>
    <w:rsid w:val="000C3BA7"/>
    <w:rsid w:val="000C3F34"/>
    <w:rsid w:val="000C4415"/>
    <w:rsid w:val="000C45FB"/>
    <w:rsid w:val="000C461F"/>
    <w:rsid w:val="000C4B67"/>
    <w:rsid w:val="000C55C2"/>
    <w:rsid w:val="000C5747"/>
    <w:rsid w:val="000C583C"/>
    <w:rsid w:val="000C5E78"/>
    <w:rsid w:val="000C6705"/>
    <w:rsid w:val="000C7645"/>
    <w:rsid w:val="000C767F"/>
    <w:rsid w:val="000C7B2D"/>
    <w:rsid w:val="000C7B9A"/>
    <w:rsid w:val="000D0758"/>
    <w:rsid w:val="000D09B1"/>
    <w:rsid w:val="000D0C0E"/>
    <w:rsid w:val="000D1804"/>
    <w:rsid w:val="000D1F05"/>
    <w:rsid w:val="000D3978"/>
    <w:rsid w:val="000D3DAC"/>
    <w:rsid w:val="000D485C"/>
    <w:rsid w:val="000D494C"/>
    <w:rsid w:val="000D4D21"/>
    <w:rsid w:val="000D5A44"/>
    <w:rsid w:val="000D5C8D"/>
    <w:rsid w:val="000D63EE"/>
    <w:rsid w:val="000D67F7"/>
    <w:rsid w:val="000D6B58"/>
    <w:rsid w:val="000D6C1B"/>
    <w:rsid w:val="000D6DBA"/>
    <w:rsid w:val="000D6DC0"/>
    <w:rsid w:val="000D6F90"/>
    <w:rsid w:val="000D71F8"/>
    <w:rsid w:val="000D7264"/>
    <w:rsid w:val="000D7646"/>
    <w:rsid w:val="000D78B8"/>
    <w:rsid w:val="000D78F0"/>
    <w:rsid w:val="000D7AAC"/>
    <w:rsid w:val="000D7EDD"/>
    <w:rsid w:val="000E00E4"/>
    <w:rsid w:val="000E02A1"/>
    <w:rsid w:val="000E0DB2"/>
    <w:rsid w:val="000E0EFB"/>
    <w:rsid w:val="000E11A7"/>
    <w:rsid w:val="000E13F5"/>
    <w:rsid w:val="000E1513"/>
    <w:rsid w:val="000E1CE0"/>
    <w:rsid w:val="000E2012"/>
    <w:rsid w:val="000E20D3"/>
    <w:rsid w:val="000E2C5C"/>
    <w:rsid w:val="000E2DE7"/>
    <w:rsid w:val="000E3641"/>
    <w:rsid w:val="000E3C71"/>
    <w:rsid w:val="000E3ED2"/>
    <w:rsid w:val="000E43F0"/>
    <w:rsid w:val="000E46BB"/>
    <w:rsid w:val="000E4722"/>
    <w:rsid w:val="000E4B6B"/>
    <w:rsid w:val="000E4BE7"/>
    <w:rsid w:val="000E518D"/>
    <w:rsid w:val="000E5306"/>
    <w:rsid w:val="000E5E4C"/>
    <w:rsid w:val="000E61C9"/>
    <w:rsid w:val="000E6423"/>
    <w:rsid w:val="000E6D01"/>
    <w:rsid w:val="000E6F48"/>
    <w:rsid w:val="000E6FBE"/>
    <w:rsid w:val="000E7078"/>
    <w:rsid w:val="000E70DD"/>
    <w:rsid w:val="000E70F2"/>
    <w:rsid w:val="000E75E4"/>
    <w:rsid w:val="000E7777"/>
    <w:rsid w:val="000F0741"/>
    <w:rsid w:val="000F0C98"/>
    <w:rsid w:val="000F132A"/>
    <w:rsid w:val="000F164E"/>
    <w:rsid w:val="000F168E"/>
    <w:rsid w:val="000F1809"/>
    <w:rsid w:val="000F1CC0"/>
    <w:rsid w:val="000F1FE6"/>
    <w:rsid w:val="000F283F"/>
    <w:rsid w:val="000F2951"/>
    <w:rsid w:val="000F2955"/>
    <w:rsid w:val="000F2996"/>
    <w:rsid w:val="000F2AB8"/>
    <w:rsid w:val="000F314E"/>
    <w:rsid w:val="000F366E"/>
    <w:rsid w:val="000F370C"/>
    <w:rsid w:val="000F3F16"/>
    <w:rsid w:val="000F3F68"/>
    <w:rsid w:val="000F430E"/>
    <w:rsid w:val="000F4893"/>
    <w:rsid w:val="000F599A"/>
    <w:rsid w:val="000F652F"/>
    <w:rsid w:val="000F6EB8"/>
    <w:rsid w:val="000F7336"/>
    <w:rsid w:val="000F74D3"/>
    <w:rsid w:val="000F7829"/>
    <w:rsid w:val="000F78DC"/>
    <w:rsid w:val="000F798B"/>
    <w:rsid w:val="000F7F1C"/>
    <w:rsid w:val="001006F7"/>
    <w:rsid w:val="00100A82"/>
    <w:rsid w:val="00100E70"/>
    <w:rsid w:val="00101418"/>
    <w:rsid w:val="00101D21"/>
    <w:rsid w:val="001021BC"/>
    <w:rsid w:val="00102545"/>
    <w:rsid w:val="0010292D"/>
    <w:rsid w:val="00102B7C"/>
    <w:rsid w:val="00102C13"/>
    <w:rsid w:val="00102C5C"/>
    <w:rsid w:val="00102FAE"/>
    <w:rsid w:val="0010329A"/>
    <w:rsid w:val="001033FF"/>
    <w:rsid w:val="0010350D"/>
    <w:rsid w:val="00103575"/>
    <w:rsid w:val="0010368D"/>
    <w:rsid w:val="00103CAA"/>
    <w:rsid w:val="00104124"/>
    <w:rsid w:val="0010413D"/>
    <w:rsid w:val="00104187"/>
    <w:rsid w:val="00104214"/>
    <w:rsid w:val="001042BF"/>
    <w:rsid w:val="00104335"/>
    <w:rsid w:val="00104D59"/>
    <w:rsid w:val="00104E03"/>
    <w:rsid w:val="00104EB9"/>
    <w:rsid w:val="00105AE1"/>
    <w:rsid w:val="001063C7"/>
    <w:rsid w:val="0010643B"/>
    <w:rsid w:val="00106BD8"/>
    <w:rsid w:val="00106BD9"/>
    <w:rsid w:val="001076ED"/>
    <w:rsid w:val="00107A60"/>
    <w:rsid w:val="00110100"/>
    <w:rsid w:val="00110551"/>
    <w:rsid w:val="00110804"/>
    <w:rsid w:val="001109A6"/>
    <w:rsid w:val="00110CD8"/>
    <w:rsid w:val="00111AC7"/>
    <w:rsid w:val="0011201B"/>
    <w:rsid w:val="0011209A"/>
    <w:rsid w:val="001124FC"/>
    <w:rsid w:val="001129EC"/>
    <w:rsid w:val="0011358B"/>
    <w:rsid w:val="001135FF"/>
    <w:rsid w:val="00113774"/>
    <w:rsid w:val="00113BCB"/>
    <w:rsid w:val="00113C7B"/>
    <w:rsid w:val="00113DFC"/>
    <w:rsid w:val="00113DFF"/>
    <w:rsid w:val="00114D27"/>
    <w:rsid w:val="00115591"/>
    <w:rsid w:val="001159D2"/>
    <w:rsid w:val="00115AD3"/>
    <w:rsid w:val="0011613D"/>
    <w:rsid w:val="00116279"/>
    <w:rsid w:val="00116DCB"/>
    <w:rsid w:val="001174E8"/>
    <w:rsid w:val="001178F0"/>
    <w:rsid w:val="00117BAC"/>
    <w:rsid w:val="001209B9"/>
    <w:rsid w:val="00120BDA"/>
    <w:rsid w:val="00120C25"/>
    <w:rsid w:val="001210A3"/>
    <w:rsid w:val="00121E35"/>
    <w:rsid w:val="0012221E"/>
    <w:rsid w:val="0012249D"/>
    <w:rsid w:val="00123800"/>
    <w:rsid w:val="00123F02"/>
    <w:rsid w:val="00123F90"/>
    <w:rsid w:val="001247BD"/>
    <w:rsid w:val="00124B47"/>
    <w:rsid w:val="00124CC2"/>
    <w:rsid w:val="0012504A"/>
    <w:rsid w:val="00125747"/>
    <w:rsid w:val="00125A90"/>
    <w:rsid w:val="00125FC2"/>
    <w:rsid w:val="00126259"/>
    <w:rsid w:val="00126848"/>
    <w:rsid w:val="00126CC5"/>
    <w:rsid w:val="0012729C"/>
    <w:rsid w:val="00127B4F"/>
    <w:rsid w:val="00127B67"/>
    <w:rsid w:val="00130C20"/>
    <w:rsid w:val="00130C23"/>
    <w:rsid w:val="00131261"/>
    <w:rsid w:val="00131589"/>
    <w:rsid w:val="001318A7"/>
    <w:rsid w:val="00131913"/>
    <w:rsid w:val="001319BE"/>
    <w:rsid w:val="00131F11"/>
    <w:rsid w:val="00131F42"/>
    <w:rsid w:val="00132455"/>
    <w:rsid w:val="00133085"/>
    <w:rsid w:val="00133182"/>
    <w:rsid w:val="001332C4"/>
    <w:rsid w:val="001338FD"/>
    <w:rsid w:val="00134427"/>
    <w:rsid w:val="00134764"/>
    <w:rsid w:val="001348CC"/>
    <w:rsid w:val="001349C2"/>
    <w:rsid w:val="00134AAC"/>
    <w:rsid w:val="0013523E"/>
    <w:rsid w:val="0013545D"/>
    <w:rsid w:val="00135715"/>
    <w:rsid w:val="001357F1"/>
    <w:rsid w:val="00135D57"/>
    <w:rsid w:val="0013624E"/>
    <w:rsid w:val="001365DC"/>
    <w:rsid w:val="001366FB"/>
    <w:rsid w:val="00136A4B"/>
    <w:rsid w:val="00136D1C"/>
    <w:rsid w:val="001373B5"/>
    <w:rsid w:val="00137F16"/>
    <w:rsid w:val="00140617"/>
    <w:rsid w:val="00140A91"/>
    <w:rsid w:val="00140EF3"/>
    <w:rsid w:val="00140FA8"/>
    <w:rsid w:val="001419EE"/>
    <w:rsid w:val="001425FB"/>
    <w:rsid w:val="001429F3"/>
    <w:rsid w:val="00142AC0"/>
    <w:rsid w:val="00142F5A"/>
    <w:rsid w:val="00142FEB"/>
    <w:rsid w:val="00143205"/>
    <w:rsid w:val="001432B1"/>
    <w:rsid w:val="00143357"/>
    <w:rsid w:val="00143379"/>
    <w:rsid w:val="001433FC"/>
    <w:rsid w:val="00143535"/>
    <w:rsid w:val="00143565"/>
    <w:rsid w:val="001435B6"/>
    <w:rsid w:val="001437E0"/>
    <w:rsid w:val="00143A2D"/>
    <w:rsid w:val="00143E15"/>
    <w:rsid w:val="00143E6E"/>
    <w:rsid w:val="0014407F"/>
    <w:rsid w:val="001442F2"/>
    <w:rsid w:val="00144A36"/>
    <w:rsid w:val="00144BB5"/>
    <w:rsid w:val="00145199"/>
    <w:rsid w:val="001451DF"/>
    <w:rsid w:val="00145399"/>
    <w:rsid w:val="00145405"/>
    <w:rsid w:val="00145728"/>
    <w:rsid w:val="00145A41"/>
    <w:rsid w:val="00145A45"/>
    <w:rsid w:val="00145C04"/>
    <w:rsid w:val="001461BC"/>
    <w:rsid w:val="00146958"/>
    <w:rsid w:val="00146C52"/>
    <w:rsid w:val="00146F06"/>
    <w:rsid w:val="00147AB8"/>
    <w:rsid w:val="00147DDA"/>
    <w:rsid w:val="00150196"/>
    <w:rsid w:val="001501E7"/>
    <w:rsid w:val="00150C46"/>
    <w:rsid w:val="00151066"/>
    <w:rsid w:val="00151675"/>
    <w:rsid w:val="00151AFC"/>
    <w:rsid w:val="001520A6"/>
    <w:rsid w:val="001523D9"/>
    <w:rsid w:val="001523FC"/>
    <w:rsid w:val="0015295B"/>
    <w:rsid w:val="00152F4F"/>
    <w:rsid w:val="00153105"/>
    <w:rsid w:val="001531A0"/>
    <w:rsid w:val="00153689"/>
    <w:rsid w:val="00153B29"/>
    <w:rsid w:val="00153B6E"/>
    <w:rsid w:val="00154132"/>
    <w:rsid w:val="001541D6"/>
    <w:rsid w:val="00154332"/>
    <w:rsid w:val="001545F3"/>
    <w:rsid w:val="00154C51"/>
    <w:rsid w:val="0015516A"/>
    <w:rsid w:val="0015585E"/>
    <w:rsid w:val="001565A5"/>
    <w:rsid w:val="00156A89"/>
    <w:rsid w:val="00156E6D"/>
    <w:rsid w:val="00157435"/>
    <w:rsid w:val="00157738"/>
    <w:rsid w:val="00157751"/>
    <w:rsid w:val="00157BBB"/>
    <w:rsid w:val="0016065E"/>
    <w:rsid w:val="001606E8"/>
    <w:rsid w:val="00160700"/>
    <w:rsid w:val="00160947"/>
    <w:rsid w:val="00160B28"/>
    <w:rsid w:val="00160B6F"/>
    <w:rsid w:val="00160D19"/>
    <w:rsid w:val="00161015"/>
    <w:rsid w:val="00161CCB"/>
    <w:rsid w:val="00162063"/>
    <w:rsid w:val="001621F8"/>
    <w:rsid w:val="00163046"/>
    <w:rsid w:val="001630B5"/>
    <w:rsid w:val="0016330B"/>
    <w:rsid w:val="00163345"/>
    <w:rsid w:val="00163543"/>
    <w:rsid w:val="001637C9"/>
    <w:rsid w:val="0016383E"/>
    <w:rsid w:val="00164C26"/>
    <w:rsid w:val="0016522C"/>
    <w:rsid w:val="00165428"/>
    <w:rsid w:val="00165499"/>
    <w:rsid w:val="001654C0"/>
    <w:rsid w:val="00165C7F"/>
    <w:rsid w:val="001660FB"/>
    <w:rsid w:val="00166447"/>
    <w:rsid w:val="00166730"/>
    <w:rsid w:val="00166E75"/>
    <w:rsid w:val="001671B1"/>
    <w:rsid w:val="00167894"/>
    <w:rsid w:val="001679CD"/>
    <w:rsid w:val="00167C39"/>
    <w:rsid w:val="00167DFF"/>
    <w:rsid w:val="00170584"/>
    <w:rsid w:val="001705B8"/>
    <w:rsid w:val="00170D45"/>
    <w:rsid w:val="001710E7"/>
    <w:rsid w:val="001719DD"/>
    <w:rsid w:val="00171B51"/>
    <w:rsid w:val="00171CB2"/>
    <w:rsid w:val="00171D0A"/>
    <w:rsid w:val="00171D51"/>
    <w:rsid w:val="00172795"/>
    <w:rsid w:val="001728D1"/>
    <w:rsid w:val="00172A27"/>
    <w:rsid w:val="00172D7A"/>
    <w:rsid w:val="001732E7"/>
    <w:rsid w:val="001744E9"/>
    <w:rsid w:val="00174D42"/>
    <w:rsid w:val="00174DCC"/>
    <w:rsid w:val="0017504D"/>
    <w:rsid w:val="0017671A"/>
    <w:rsid w:val="00176732"/>
    <w:rsid w:val="00176D2A"/>
    <w:rsid w:val="00177026"/>
    <w:rsid w:val="001773B4"/>
    <w:rsid w:val="00177422"/>
    <w:rsid w:val="00177E45"/>
    <w:rsid w:val="00177F5C"/>
    <w:rsid w:val="00180090"/>
    <w:rsid w:val="001801DB"/>
    <w:rsid w:val="001808F3"/>
    <w:rsid w:val="0018101F"/>
    <w:rsid w:val="00181063"/>
    <w:rsid w:val="0018120A"/>
    <w:rsid w:val="00181D96"/>
    <w:rsid w:val="0018208F"/>
    <w:rsid w:val="00182563"/>
    <w:rsid w:val="0018281C"/>
    <w:rsid w:val="001828B5"/>
    <w:rsid w:val="001828B8"/>
    <w:rsid w:val="00182914"/>
    <w:rsid w:val="00182CDA"/>
    <w:rsid w:val="00182FB1"/>
    <w:rsid w:val="00182FDB"/>
    <w:rsid w:val="00183101"/>
    <w:rsid w:val="00183C44"/>
    <w:rsid w:val="00183CA3"/>
    <w:rsid w:val="001842D4"/>
    <w:rsid w:val="00184426"/>
    <w:rsid w:val="001844AB"/>
    <w:rsid w:val="00184590"/>
    <w:rsid w:val="00184BC5"/>
    <w:rsid w:val="00184BD6"/>
    <w:rsid w:val="00184D5F"/>
    <w:rsid w:val="00184F2E"/>
    <w:rsid w:val="00185108"/>
    <w:rsid w:val="0018533D"/>
    <w:rsid w:val="001855AF"/>
    <w:rsid w:val="00185646"/>
    <w:rsid w:val="00185B20"/>
    <w:rsid w:val="00186142"/>
    <w:rsid w:val="00186501"/>
    <w:rsid w:val="0018698A"/>
    <w:rsid w:val="001870D1"/>
    <w:rsid w:val="0018781E"/>
    <w:rsid w:val="0018786B"/>
    <w:rsid w:val="00187C24"/>
    <w:rsid w:val="00187D70"/>
    <w:rsid w:val="0019064E"/>
    <w:rsid w:val="00190E20"/>
    <w:rsid w:val="001911AD"/>
    <w:rsid w:val="00191287"/>
    <w:rsid w:val="00191DA9"/>
    <w:rsid w:val="00191EC3"/>
    <w:rsid w:val="0019253A"/>
    <w:rsid w:val="0019262D"/>
    <w:rsid w:val="00192A37"/>
    <w:rsid w:val="001937FD"/>
    <w:rsid w:val="00193C7A"/>
    <w:rsid w:val="00193E1B"/>
    <w:rsid w:val="0019451D"/>
    <w:rsid w:val="00194815"/>
    <w:rsid w:val="00194960"/>
    <w:rsid w:val="00194F3E"/>
    <w:rsid w:val="0019513F"/>
    <w:rsid w:val="0019588A"/>
    <w:rsid w:val="0019623B"/>
    <w:rsid w:val="00196285"/>
    <w:rsid w:val="0019670B"/>
    <w:rsid w:val="00196BA3"/>
    <w:rsid w:val="00196BB5"/>
    <w:rsid w:val="00196F1E"/>
    <w:rsid w:val="00197365"/>
    <w:rsid w:val="001979E6"/>
    <w:rsid w:val="00197A3F"/>
    <w:rsid w:val="00197D6A"/>
    <w:rsid w:val="001A0075"/>
    <w:rsid w:val="001A00A1"/>
    <w:rsid w:val="001A0160"/>
    <w:rsid w:val="001A0201"/>
    <w:rsid w:val="001A0A65"/>
    <w:rsid w:val="001A0E7C"/>
    <w:rsid w:val="001A1282"/>
    <w:rsid w:val="001A144C"/>
    <w:rsid w:val="001A176D"/>
    <w:rsid w:val="001A19D5"/>
    <w:rsid w:val="001A1B35"/>
    <w:rsid w:val="001A30E5"/>
    <w:rsid w:val="001A32AC"/>
    <w:rsid w:val="001A3570"/>
    <w:rsid w:val="001A3AF3"/>
    <w:rsid w:val="001A3EE5"/>
    <w:rsid w:val="001A3F26"/>
    <w:rsid w:val="001A452C"/>
    <w:rsid w:val="001A466C"/>
    <w:rsid w:val="001A48A2"/>
    <w:rsid w:val="001A5167"/>
    <w:rsid w:val="001A555D"/>
    <w:rsid w:val="001A5693"/>
    <w:rsid w:val="001A5BBD"/>
    <w:rsid w:val="001A5DBC"/>
    <w:rsid w:val="001A6543"/>
    <w:rsid w:val="001A656B"/>
    <w:rsid w:val="001A6F61"/>
    <w:rsid w:val="001A7059"/>
    <w:rsid w:val="001A73A2"/>
    <w:rsid w:val="001A79E8"/>
    <w:rsid w:val="001A7B73"/>
    <w:rsid w:val="001B00E8"/>
    <w:rsid w:val="001B0331"/>
    <w:rsid w:val="001B03E9"/>
    <w:rsid w:val="001B0519"/>
    <w:rsid w:val="001B053E"/>
    <w:rsid w:val="001B0A1C"/>
    <w:rsid w:val="001B0B2C"/>
    <w:rsid w:val="001B139A"/>
    <w:rsid w:val="001B1535"/>
    <w:rsid w:val="001B1844"/>
    <w:rsid w:val="001B1C1A"/>
    <w:rsid w:val="001B1CB7"/>
    <w:rsid w:val="001B21CA"/>
    <w:rsid w:val="001B226A"/>
    <w:rsid w:val="001B2528"/>
    <w:rsid w:val="001B3132"/>
    <w:rsid w:val="001B3547"/>
    <w:rsid w:val="001B3C4B"/>
    <w:rsid w:val="001B4326"/>
    <w:rsid w:val="001B54AA"/>
    <w:rsid w:val="001B594E"/>
    <w:rsid w:val="001B6348"/>
    <w:rsid w:val="001B658A"/>
    <w:rsid w:val="001B65D8"/>
    <w:rsid w:val="001B664F"/>
    <w:rsid w:val="001B6C76"/>
    <w:rsid w:val="001B72B8"/>
    <w:rsid w:val="001B761C"/>
    <w:rsid w:val="001B7B28"/>
    <w:rsid w:val="001B7C11"/>
    <w:rsid w:val="001B7E09"/>
    <w:rsid w:val="001C0987"/>
    <w:rsid w:val="001C0D5D"/>
    <w:rsid w:val="001C1261"/>
    <w:rsid w:val="001C15E1"/>
    <w:rsid w:val="001C1701"/>
    <w:rsid w:val="001C20CD"/>
    <w:rsid w:val="001C2287"/>
    <w:rsid w:val="001C27C5"/>
    <w:rsid w:val="001C2AA5"/>
    <w:rsid w:val="001C2FDD"/>
    <w:rsid w:val="001C312D"/>
    <w:rsid w:val="001C32B5"/>
    <w:rsid w:val="001C3E0F"/>
    <w:rsid w:val="001C424C"/>
    <w:rsid w:val="001C4A9F"/>
    <w:rsid w:val="001C506A"/>
    <w:rsid w:val="001C563A"/>
    <w:rsid w:val="001C5C3D"/>
    <w:rsid w:val="001C69B0"/>
    <w:rsid w:val="001C69B3"/>
    <w:rsid w:val="001C73CE"/>
    <w:rsid w:val="001C7497"/>
    <w:rsid w:val="001C7CB8"/>
    <w:rsid w:val="001D06B5"/>
    <w:rsid w:val="001D1733"/>
    <w:rsid w:val="001D1C4A"/>
    <w:rsid w:val="001D27F5"/>
    <w:rsid w:val="001D2D57"/>
    <w:rsid w:val="001D2FAE"/>
    <w:rsid w:val="001D3308"/>
    <w:rsid w:val="001D371F"/>
    <w:rsid w:val="001D399D"/>
    <w:rsid w:val="001D3CF5"/>
    <w:rsid w:val="001D42A7"/>
    <w:rsid w:val="001D4963"/>
    <w:rsid w:val="001D5500"/>
    <w:rsid w:val="001D5595"/>
    <w:rsid w:val="001D565E"/>
    <w:rsid w:val="001D5867"/>
    <w:rsid w:val="001D5886"/>
    <w:rsid w:val="001D61BA"/>
    <w:rsid w:val="001D6608"/>
    <w:rsid w:val="001D66FC"/>
    <w:rsid w:val="001D698C"/>
    <w:rsid w:val="001D6AC2"/>
    <w:rsid w:val="001D6F54"/>
    <w:rsid w:val="001D72D9"/>
    <w:rsid w:val="001D758E"/>
    <w:rsid w:val="001D75CC"/>
    <w:rsid w:val="001D7874"/>
    <w:rsid w:val="001D7B8A"/>
    <w:rsid w:val="001D7D93"/>
    <w:rsid w:val="001D7F22"/>
    <w:rsid w:val="001E045B"/>
    <w:rsid w:val="001E0620"/>
    <w:rsid w:val="001E09F9"/>
    <w:rsid w:val="001E0CC7"/>
    <w:rsid w:val="001E17EA"/>
    <w:rsid w:val="001E213E"/>
    <w:rsid w:val="001E2478"/>
    <w:rsid w:val="001E3149"/>
    <w:rsid w:val="001E32C8"/>
    <w:rsid w:val="001E32F5"/>
    <w:rsid w:val="001E3512"/>
    <w:rsid w:val="001E3D46"/>
    <w:rsid w:val="001E4797"/>
    <w:rsid w:val="001E486D"/>
    <w:rsid w:val="001E4F01"/>
    <w:rsid w:val="001E5552"/>
    <w:rsid w:val="001E558A"/>
    <w:rsid w:val="001E5EDE"/>
    <w:rsid w:val="001E6023"/>
    <w:rsid w:val="001E6366"/>
    <w:rsid w:val="001E638B"/>
    <w:rsid w:val="001E6467"/>
    <w:rsid w:val="001E6F3F"/>
    <w:rsid w:val="001E6F6C"/>
    <w:rsid w:val="001E7034"/>
    <w:rsid w:val="001E756D"/>
    <w:rsid w:val="001E79AA"/>
    <w:rsid w:val="001F04E0"/>
    <w:rsid w:val="001F04F1"/>
    <w:rsid w:val="001F08AF"/>
    <w:rsid w:val="001F0DE3"/>
    <w:rsid w:val="001F0F17"/>
    <w:rsid w:val="001F1723"/>
    <w:rsid w:val="001F203E"/>
    <w:rsid w:val="001F25EE"/>
    <w:rsid w:val="001F2743"/>
    <w:rsid w:val="001F2C31"/>
    <w:rsid w:val="001F3347"/>
    <w:rsid w:val="001F3487"/>
    <w:rsid w:val="001F359D"/>
    <w:rsid w:val="001F3DA5"/>
    <w:rsid w:val="001F409A"/>
    <w:rsid w:val="001F422C"/>
    <w:rsid w:val="001F45E4"/>
    <w:rsid w:val="001F4FFD"/>
    <w:rsid w:val="001F604D"/>
    <w:rsid w:val="001F6767"/>
    <w:rsid w:val="001F69E4"/>
    <w:rsid w:val="001F6AAE"/>
    <w:rsid w:val="001F6E24"/>
    <w:rsid w:val="001F6E75"/>
    <w:rsid w:val="001F7014"/>
    <w:rsid w:val="001F744A"/>
    <w:rsid w:val="001F75E3"/>
    <w:rsid w:val="001F77CB"/>
    <w:rsid w:val="002003B3"/>
    <w:rsid w:val="00200887"/>
    <w:rsid w:val="00200C4F"/>
    <w:rsid w:val="00200DD6"/>
    <w:rsid w:val="00200DE6"/>
    <w:rsid w:val="00200EB3"/>
    <w:rsid w:val="00201149"/>
    <w:rsid w:val="00201FFD"/>
    <w:rsid w:val="0020234D"/>
    <w:rsid w:val="00202C86"/>
    <w:rsid w:val="00202CFC"/>
    <w:rsid w:val="00202F60"/>
    <w:rsid w:val="002030AF"/>
    <w:rsid w:val="002031B1"/>
    <w:rsid w:val="002033DD"/>
    <w:rsid w:val="00203747"/>
    <w:rsid w:val="0020413B"/>
    <w:rsid w:val="0020414E"/>
    <w:rsid w:val="00204275"/>
    <w:rsid w:val="0020472F"/>
    <w:rsid w:val="00204816"/>
    <w:rsid w:val="00204C60"/>
    <w:rsid w:val="0020519F"/>
    <w:rsid w:val="002055C2"/>
    <w:rsid w:val="00205ADE"/>
    <w:rsid w:val="0020602B"/>
    <w:rsid w:val="002061A1"/>
    <w:rsid w:val="00206673"/>
    <w:rsid w:val="002070E4"/>
    <w:rsid w:val="0020738E"/>
    <w:rsid w:val="00207503"/>
    <w:rsid w:val="00207604"/>
    <w:rsid w:val="00207994"/>
    <w:rsid w:val="00207CC9"/>
    <w:rsid w:val="002105A5"/>
    <w:rsid w:val="00210CAF"/>
    <w:rsid w:val="00210DB6"/>
    <w:rsid w:val="002125B4"/>
    <w:rsid w:val="00212CA4"/>
    <w:rsid w:val="0021338F"/>
    <w:rsid w:val="0021383F"/>
    <w:rsid w:val="00213EA0"/>
    <w:rsid w:val="0021438A"/>
    <w:rsid w:val="00214687"/>
    <w:rsid w:val="00214DD2"/>
    <w:rsid w:val="00214E6B"/>
    <w:rsid w:val="002153C8"/>
    <w:rsid w:val="002155B8"/>
    <w:rsid w:val="00215B20"/>
    <w:rsid w:val="002161AE"/>
    <w:rsid w:val="002163DA"/>
    <w:rsid w:val="002164F8"/>
    <w:rsid w:val="002167A3"/>
    <w:rsid w:val="00216833"/>
    <w:rsid w:val="00216FD0"/>
    <w:rsid w:val="00217257"/>
    <w:rsid w:val="0021785D"/>
    <w:rsid w:val="00217B47"/>
    <w:rsid w:val="00217B5B"/>
    <w:rsid w:val="00217C3F"/>
    <w:rsid w:val="00220011"/>
    <w:rsid w:val="00221078"/>
    <w:rsid w:val="002215E2"/>
    <w:rsid w:val="00221635"/>
    <w:rsid w:val="00221C26"/>
    <w:rsid w:val="002220DE"/>
    <w:rsid w:val="00222224"/>
    <w:rsid w:val="0022292A"/>
    <w:rsid w:val="00222ED5"/>
    <w:rsid w:val="0022429D"/>
    <w:rsid w:val="00224839"/>
    <w:rsid w:val="00224913"/>
    <w:rsid w:val="002249B2"/>
    <w:rsid w:val="002249D8"/>
    <w:rsid w:val="00225162"/>
    <w:rsid w:val="0022529A"/>
    <w:rsid w:val="00225582"/>
    <w:rsid w:val="00225757"/>
    <w:rsid w:val="00225796"/>
    <w:rsid w:val="00225B28"/>
    <w:rsid w:val="00226237"/>
    <w:rsid w:val="00226574"/>
    <w:rsid w:val="002269B6"/>
    <w:rsid w:val="0022713E"/>
    <w:rsid w:val="002273B9"/>
    <w:rsid w:val="00227744"/>
    <w:rsid w:val="002278EC"/>
    <w:rsid w:val="002307D6"/>
    <w:rsid w:val="00230C1C"/>
    <w:rsid w:val="00232324"/>
    <w:rsid w:val="0023280E"/>
    <w:rsid w:val="002334B5"/>
    <w:rsid w:val="00233BE2"/>
    <w:rsid w:val="00233FFD"/>
    <w:rsid w:val="0023414F"/>
    <w:rsid w:val="00234151"/>
    <w:rsid w:val="0023446F"/>
    <w:rsid w:val="00234881"/>
    <w:rsid w:val="002349EE"/>
    <w:rsid w:val="00234EC3"/>
    <w:rsid w:val="00235888"/>
    <w:rsid w:val="00235A6C"/>
    <w:rsid w:val="002361BD"/>
    <w:rsid w:val="00236B28"/>
    <w:rsid w:val="00236D06"/>
    <w:rsid w:val="00236D17"/>
    <w:rsid w:val="002371AC"/>
    <w:rsid w:val="0023736B"/>
    <w:rsid w:val="0023761F"/>
    <w:rsid w:val="002377D1"/>
    <w:rsid w:val="00237FD9"/>
    <w:rsid w:val="002407BB"/>
    <w:rsid w:val="002408A0"/>
    <w:rsid w:val="00240A3C"/>
    <w:rsid w:val="00240B63"/>
    <w:rsid w:val="00240FD1"/>
    <w:rsid w:val="0024152B"/>
    <w:rsid w:val="0024214B"/>
    <w:rsid w:val="00242CCC"/>
    <w:rsid w:val="00242EEA"/>
    <w:rsid w:val="00243A16"/>
    <w:rsid w:val="00243B91"/>
    <w:rsid w:val="00244677"/>
    <w:rsid w:val="00244967"/>
    <w:rsid w:val="00244A41"/>
    <w:rsid w:val="00245746"/>
    <w:rsid w:val="00246044"/>
    <w:rsid w:val="00246BB4"/>
    <w:rsid w:val="002473BB"/>
    <w:rsid w:val="00247447"/>
    <w:rsid w:val="00247626"/>
    <w:rsid w:val="002476B1"/>
    <w:rsid w:val="0024797C"/>
    <w:rsid w:val="00247A25"/>
    <w:rsid w:val="002506BC"/>
    <w:rsid w:val="00250D9F"/>
    <w:rsid w:val="00250F59"/>
    <w:rsid w:val="00250FB1"/>
    <w:rsid w:val="002513AA"/>
    <w:rsid w:val="002515AD"/>
    <w:rsid w:val="00251667"/>
    <w:rsid w:val="00251977"/>
    <w:rsid w:val="002524E6"/>
    <w:rsid w:val="00252B64"/>
    <w:rsid w:val="00252DE1"/>
    <w:rsid w:val="002534AC"/>
    <w:rsid w:val="002536D0"/>
    <w:rsid w:val="00253BF4"/>
    <w:rsid w:val="00254345"/>
    <w:rsid w:val="00254911"/>
    <w:rsid w:val="00255003"/>
    <w:rsid w:val="0025585F"/>
    <w:rsid w:val="002558D7"/>
    <w:rsid w:val="00255FA6"/>
    <w:rsid w:val="00256052"/>
    <w:rsid w:val="0025670F"/>
    <w:rsid w:val="0025677D"/>
    <w:rsid w:val="00256A01"/>
    <w:rsid w:val="00256F8B"/>
    <w:rsid w:val="002577F1"/>
    <w:rsid w:val="00260019"/>
    <w:rsid w:val="0026025C"/>
    <w:rsid w:val="0026065E"/>
    <w:rsid w:val="0026156D"/>
    <w:rsid w:val="0026190A"/>
    <w:rsid w:val="00261976"/>
    <w:rsid w:val="002619EF"/>
    <w:rsid w:val="00261A46"/>
    <w:rsid w:val="00261E59"/>
    <w:rsid w:val="00262691"/>
    <w:rsid w:val="00262866"/>
    <w:rsid w:val="00262E1A"/>
    <w:rsid w:val="00262EC9"/>
    <w:rsid w:val="00263068"/>
    <w:rsid w:val="002632B4"/>
    <w:rsid w:val="002638C0"/>
    <w:rsid w:val="00263F04"/>
    <w:rsid w:val="00264014"/>
    <w:rsid w:val="00264054"/>
    <w:rsid w:val="002640AB"/>
    <w:rsid w:val="00264557"/>
    <w:rsid w:val="00264891"/>
    <w:rsid w:val="00264982"/>
    <w:rsid w:val="00264C14"/>
    <w:rsid w:val="0026504E"/>
    <w:rsid w:val="00265799"/>
    <w:rsid w:val="00265C33"/>
    <w:rsid w:val="00265CA2"/>
    <w:rsid w:val="00265F38"/>
    <w:rsid w:val="002661E2"/>
    <w:rsid w:val="0026637F"/>
    <w:rsid w:val="002664E5"/>
    <w:rsid w:val="0026668E"/>
    <w:rsid w:val="00266A5E"/>
    <w:rsid w:val="00267006"/>
    <w:rsid w:val="002671C2"/>
    <w:rsid w:val="00267AC1"/>
    <w:rsid w:val="00267AFE"/>
    <w:rsid w:val="0027055B"/>
    <w:rsid w:val="002705DA"/>
    <w:rsid w:val="002706E4"/>
    <w:rsid w:val="002710FA"/>
    <w:rsid w:val="00271307"/>
    <w:rsid w:val="0027135C"/>
    <w:rsid w:val="002728F9"/>
    <w:rsid w:val="002739BA"/>
    <w:rsid w:val="002746D2"/>
    <w:rsid w:val="0027486D"/>
    <w:rsid w:val="0027495F"/>
    <w:rsid w:val="00274A1F"/>
    <w:rsid w:val="00274A45"/>
    <w:rsid w:val="00274EC2"/>
    <w:rsid w:val="00274F8C"/>
    <w:rsid w:val="00274FA9"/>
    <w:rsid w:val="00276108"/>
    <w:rsid w:val="00276719"/>
    <w:rsid w:val="00276BD3"/>
    <w:rsid w:val="00276F81"/>
    <w:rsid w:val="0027790E"/>
    <w:rsid w:val="00277BAB"/>
    <w:rsid w:val="00277F78"/>
    <w:rsid w:val="0028023F"/>
    <w:rsid w:val="00280275"/>
    <w:rsid w:val="002803DC"/>
    <w:rsid w:val="002805AB"/>
    <w:rsid w:val="0028064D"/>
    <w:rsid w:val="00280879"/>
    <w:rsid w:val="002808D9"/>
    <w:rsid w:val="00280BF2"/>
    <w:rsid w:val="0028164A"/>
    <w:rsid w:val="002819C0"/>
    <w:rsid w:val="00282373"/>
    <w:rsid w:val="00282CCD"/>
    <w:rsid w:val="00282E05"/>
    <w:rsid w:val="0028302A"/>
    <w:rsid w:val="00283150"/>
    <w:rsid w:val="0028352B"/>
    <w:rsid w:val="00283B8D"/>
    <w:rsid w:val="00283EEC"/>
    <w:rsid w:val="00284098"/>
    <w:rsid w:val="00284204"/>
    <w:rsid w:val="0028431C"/>
    <w:rsid w:val="00284444"/>
    <w:rsid w:val="002846BD"/>
    <w:rsid w:val="00284ECB"/>
    <w:rsid w:val="00285A76"/>
    <w:rsid w:val="00285C15"/>
    <w:rsid w:val="00285F86"/>
    <w:rsid w:val="00286174"/>
    <w:rsid w:val="002864FC"/>
    <w:rsid w:val="0028670D"/>
    <w:rsid w:val="00286C68"/>
    <w:rsid w:val="0028712B"/>
    <w:rsid w:val="00287616"/>
    <w:rsid w:val="00287A52"/>
    <w:rsid w:val="00287F8A"/>
    <w:rsid w:val="00290273"/>
    <w:rsid w:val="0029087D"/>
    <w:rsid w:val="00290BE6"/>
    <w:rsid w:val="00290EF9"/>
    <w:rsid w:val="002911A4"/>
    <w:rsid w:val="00291773"/>
    <w:rsid w:val="002922A7"/>
    <w:rsid w:val="00292B05"/>
    <w:rsid w:val="00292CE5"/>
    <w:rsid w:val="00292E1D"/>
    <w:rsid w:val="0029310F"/>
    <w:rsid w:val="00293D69"/>
    <w:rsid w:val="00294472"/>
    <w:rsid w:val="00294A9E"/>
    <w:rsid w:val="00294DD9"/>
    <w:rsid w:val="0029550C"/>
    <w:rsid w:val="002957AE"/>
    <w:rsid w:val="00295D88"/>
    <w:rsid w:val="0029620D"/>
    <w:rsid w:val="00296673"/>
    <w:rsid w:val="002967F6"/>
    <w:rsid w:val="00296A38"/>
    <w:rsid w:val="00296CD6"/>
    <w:rsid w:val="00297464"/>
    <w:rsid w:val="002979A2"/>
    <w:rsid w:val="002A019D"/>
    <w:rsid w:val="002A0601"/>
    <w:rsid w:val="002A06D3"/>
    <w:rsid w:val="002A091E"/>
    <w:rsid w:val="002A0E59"/>
    <w:rsid w:val="002A148D"/>
    <w:rsid w:val="002A168C"/>
    <w:rsid w:val="002A2468"/>
    <w:rsid w:val="002A2A28"/>
    <w:rsid w:val="002A391B"/>
    <w:rsid w:val="002A3AFF"/>
    <w:rsid w:val="002A3D0E"/>
    <w:rsid w:val="002A3DC7"/>
    <w:rsid w:val="002A4114"/>
    <w:rsid w:val="002A4536"/>
    <w:rsid w:val="002A4734"/>
    <w:rsid w:val="002A50C4"/>
    <w:rsid w:val="002A5332"/>
    <w:rsid w:val="002A5488"/>
    <w:rsid w:val="002A550D"/>
    <w:rsid w:val="002A58AB"/>
    <w:rsid w:val="002A5D73"/>
    <w:rsid w:val="002A5F1D"/>
    <w:rsid w:val="002A6A6F"/>
    <w:rsid w:val="002A6DA7"/>
    <w:rsid w:val="002A79F5"/>
    <w:rsid w:val="002A7B13"/>
    <w:rsid w:val="002B02BC"/>
    <w:rsid w:val="002B0512"/>
    <w:rsid w:val="002B07DD"/>
    <w:rsid w:val="002B0ECC"/>
    <w:rsid w:val="002B247C"/>
    <w:rsid w:val="002B2C97"/>
    <w:rsid w:val="002B3303"/>
    <w:rsid w:val="002B3722"/>
    <w:rsid w:val="002B3C28"/>
    <w:rsid w:val="002B45A0"/>
    <w:rsid w:val="002B4674"/>
    <w:rsid w:val="002B49E2"/>
    <w:rsid w:val="002B4A81"/>
    <w:rsid w:val="002B4AE1"/>
    <w:rsid w:val="002B4C2B"/>
    <w:rsid w:val="002B53AE"/>
    <w:rsid w:val="002B53CD"/>
    <w:rsid w:val="002B5828"/>
    <w:rsid w:val="002B5B0C"/>
    <w:rsid w:val="002B5CE7"/>
    <w:rsid w:val="002B5D24"/>
    <w:rsid w:val="002B5EC2"/>
    <w:rsid w:val="002B61DE"/>
    <w:rsid w:val="002B6234"/>
    <w:rsid w:val="002B68FE"/>
    <w:rsid w:val="002B6E02"/>
    <w:rsid w:val="002B7074"/>
    <w:rsid w:val="002B76FB"/>
    <w:rsid w:val="002B7920"/>
    <w:rsid w:val="002B7AD4"/>
    <w:rsid w:val="002B7B00"/>
    <w:rsid w:val="002B7C38"/>
    <w:rsid w:val="002B7C44"/>
    <w:rsid w:val="002B7EC4"/>
    <w:rsid w:val="002C07FF"/>
    <w:rsid w:val="002C11DE"/>
    <w:rsid w:val="002C2B17"/>
    <w:rsid w:val="002C308A"/>
    <w:rsid w:val="002C31BE"/>
    <w:rsid w:val="002C320B"/>
    <w:rsid w:val="002C33FD"/>
    <w:rsid w:val="002C3524"/>
    <w:rsid w:val="002C373C"/>
    <w:rsid w:val="002C3C20"/>
    <w:rsid w:val="002C3F18"/>
    <w:rsid w:val="002C3FBA"/>
    <w:rsid w:val="002C4189"/>
    <w:rsid w:val="002C43A1"/>
    <w:rsid w:val="002C4525"/>
    <w:rsid w:val="002C46D4"/>
    <w:rsid w:val="002C4E9C"/>
    <w:rsid w:val="002C6D8D"/>
    <w:rsid w:val="002C733D"/>
    <w:rsid w:val="002C7C25"/>
    <w:rsid w:val="002C7ED5"/>
    <w:rsid w:val="002D02CE"/>
    <w:rsid w:val="002D07C2"/>
    <w:rsid w:val="002D0E75"/>
    <w:rsid w:val="002D0EA4"/>
    <w:rsid w:val="002D1083"/>
    <w:rsid w:val="002D12E6"/>
    <w:rsid w:val="002D13D6"/>
    <w:rsid w:val="002D148E"/>
    <w:rsid w:val="002D1881"/>
    <w:rsid w:val="002D1E28"/>
    <w:rsid w:val="002D20E4"/>
    <w:rsid w:val="002D261D"/>
    <w:rsid w:val="002D2682"/>
    <w:rsid w:val="002D284C"/>
    <w:rsid w:val="002D324A"/>
    <w:rsid w:val="002D34DB"/>
    <w:rsid w:val="002D39C7"/>
    <w:rsid w:val="002D3DD0"/>
    <w:rsid w:val="002D4773"/>
    <w:rsid w:val="002D4D22"/>
    <w:rsid w:val="002D4D77"/>
    <w:rsid w:val="002D537C"/>
    <w:rsid w:val="002D583F"/>
    <w:rsid w:val="002D58D5"/>
    <w:rsid w:val="002D5DF1"/>
    <w:rsid w:val="002D67D3"/>
    <w:rsid w:val="002D7B02"/>
    <w:rsid w:val="002D7D0D"/>
    <w:rsid w:val="002E09FE"/>
    <w:rsid w:val="002E1053"/>
    <w:rsid w:val="002E15BF"/>
    <w:rsid w:val="002E1E99"/>
    <w:rsid w:val="002E1F3A"/>
    <w:rsid w:val="002E2440"/>
    <w:rsid w:val="002E254C"/>
    <w:rsid w:val="002E298A"/>
    <w:rsid w:val="002E326E"/>
    <w:rsid w:val="002E3FE6"/>
    <w:rsid w:val="002E450F"/>
    <w:rsid w:val="002E4825"/>
    <w:rsid w:val="002E4CC3"/>
    <w:rsid w:val="002E5509"/>
    <w:rsid w:val="002E5563"/>
    <w:rsid w:val="002E5AD8"/>
    <w:rsid w:val="002E6027"/>
    <w:rsid w:val="002E67AD"/>
    <w:rsid w:val="002E69E6"/>
    <w:rsid w:val="002E6B56"/>
    <w:rsid w:val="002E6BF7"/>
    <w:rsid w:val="002E7376"/>
    <w:rsid w:val="002E7439"/>
    <w:rsid w:val="002E7726"/>
    <w:rsid w:val="002E7C90"/>
    <w:rsid w:val="002E7DE4"/>
    <w:rsid w:val="002F0C24"/>
    <w:rsid w:val="002F1C03"/>
    <w:rsid w:val="002F1EA1"/>
    <w:rsid w:val="002F24C0"/>
    <w:rsid w:val="002F2C5D"/>
    <w:rsid w:val="002F303A"/>
    <w:rsid w:val="002F3882"/>
    <w:rsid w:val="002F3E13"/>
    <w:rsid w:val="002F4205"/>
    <w:rsid w:val="002F4539"/>
    <w:rsid w:val="002F4D1A"/>
    <w:rsid w:val="002F4D47"/>
    <w:rsid w:val="002F4E6C"/>
    <w:rsid w:val="002F506D"/>
    <w:rsid w:val="002F5816"/>
    <w:rsid w:val="002F5DCF"/>
    <w:rsid w:val="002F5F6E"/>
    <w:rsid w:val="002F6869"/>
    <w:rsid w:val="002F6941"/>
    <w:rsid w:val="002F6F5D"/>
    <w:rsid w:val="002F77C6"/>
    <w:rsid w:val="002F7DF7"/>
    <w:rsid w:val="00300051"/>
    <w:rsid w:val="003000EB"/>
    <w:rsid w:val="003001BB"/>
    <w:rsid w:val="00300201"/>
    <w:rsid w:val="003002AE"/>
    <w:rsid w:val="00300ADC"/>
    <w:rsid w:val="00300D11"/>
    <w:rsid w:val="00300D4C"/>
    <w:rsid w:val="00300FCB"/>
    <w:rsid w:val="00301253"/>
    <w:rsid w:val="00301978"/>
    <w:rsid w:val="0030212B"/>
    <w:rsid w:val="00302326"/>
    <w:rsid w:val="0030263A"/>
    <w:rsid w:val="003028BC"/>
    <w:rsid w:val="0030332C"/>
    <w:rsid w:val="003033C6"/>
    <w:rsid w:val="0030398D"/>
    <w:rsid w:val="0030422D"/>
    <w:rsid w:val="00304DD9"/>
    <w:rsid w:val="0030518C"/>
    <w:rsid w:val="003051C2"/>
    <w:rsid w:val="00305ECF"/>
    <w:rsid w:val="00306765"/>
    <w:rsid w:val="00306AAD"/>
    <w:rsid w:val="003077BA"/>
    <w:rsid w:val="0030792E"/>
    <w:rsid w:val="00310060"/>
    <w:rsid w:val="0031019A"/>
    <w:rsid w:val="003101F8"/>
    <w:rsid w:val="00310455"/>
    <w:rsid w:val="003109B3"/>
    <w:rsid w:val="00310EA3"/>
    <w:rsid w:val="0031102D"/>
    <w:rsid w:val="0031116E"/>
    <w:rsid w:val="00311D19"/>
    <w:rsid w:val="00311D79"/>
    <w:rsid w:val="00311E1F"/>
    <w:rsid w:val="00311ECE"/>
    <w:rsid w:val="00311ED5"/>
    <w:rsid w:val="00311F2F"/>
    <w:rsid w:val="00312119"/>
    <w:rsid w:val="00312296"/>
    <w:rsid w:val="00312621"/>
    <w:rsid w:val="00312808"/>
    <w:rsid w:val="003139DA"/>
    <w:rsid w:val="00313C08"/>
    <w:rsid w:val="00313F4E"/>
    <w:rsid w:val="003140D2"/>
    <w:rsid w:val="0031433D"/>
    <w:rsid w:val="003144B0"/>
    <w:rsid w:val="00314F0E"/>
    <w:rsid w:val="00315100"/>
    <w:rsid w:val="003158BF"/>
    <w:rsid w:val="00315CD3"/>
    <w:rsid w:val="00315EE0"/>
    <w:rsid w:val="003166CD"/>
    <w:rsid w:val="00316736"/>
    <w:rsid w:val="0031692A"/>
    <w:rsid w:val="003176EA"/>
    <w:rsid w:val="0031790B"/>
    <w:rsid w:val="00317A2D"/>
    <w:rsid w:val="00317C8A"/>
    <w:rsid w:val="00317D58"/>
    <w:rsid w:val="0032072B"/>
    <w:rsid w:val="003207B9"/>
    <w:rsid w:val="00320DE2"/>
    <w:rsid w:val="00321461"/>
    <w:rsid w:val="003219E6"/>
    <w:rsid w:val="00321B7F"/>
    <w:rsid w:val="00321D0E"/>
    <w:rsid w:val="00321D74"/>
    <w:rsid w:val="00321D8E"/>
    <w:rsid w:val="003228D6"/>
    <w:rsid w:val="00322F73"/>
    <w:rsid w:val="003230A6"/>
    <w:rsid w:val="00323472"/>
    <w:rsid w:val="003236D0"/>
    <w:rsid w:val="00323B5A"/>
    <w:rsid w:val="00323C20"/>
    <w:rsid w:val="00324587"/>
    <w:rsid w:val="0032493D"/>
    <w:rsid w:val="00325163"/>
    <w:rsid w:val="00325334"/>
    <w:rsid w:val="003253D2"/>
    <w:rsid w:val="00325928"/>
    <w:rsid w:val="00325A8B"/>
    <w:rsid w:val="00325B6E"/>
    <w:rsid w:val="00325C10"/>
    <w:rsid w:val="00325FC0"/>
    <w:rsid w:val="003264C5"/>
    <w:rsid w:val="00326697"/>
    <w:rsid w:val="003266D3"/>
    <w:rsid w:val="00326B82"/>
    <w:rsid w:val="003273A9"/>
    <w:rsid w:val="003275C9"/>
    <w:rsid w:val="00330029"/>
    <w:rsid w:val="003300B9"/>
    <w:rsid w:val="0033084C"/>
    <w:rsid w:val="00330CFD"/>
    <w:rsid w:val="00331294"/>
    <w:rsid w:val="003312BB"/>
    <w:rsid w:val="0033162D"/>
    <w:rsid w:val="00332721"/>
    <w:rsid w:val="003327FE"/>
    <w:rsid w:val="00332863"/>
    <w:rsid w:val="00332937"/>
    <w:rsid w:val="003332A6"/>
    <w:rsid w:val="003339CE"/>
    <w:rsid w:val="00333C1E"/>
    <w:rsid w:val="00333EEB"/>
    <w:rsid w:val="00334976"/>
    <w:rsid w:val="003349B9"/>
    <w:rsid w:val="00334E4B"/>
    <w:rsid w:val="003350FC"/>
    <w:rsid w:val="00335954"/>
    <w:rsid w:val="00335D5C"/>
    <w:rsid w:val="00336464"/>
    <w:rsid w:val="003366C8"/>
    <w:rsid w:val="0033684D"/>
    <w:rsid w:val="00336864"/>
    <w:rsid w:val="00336B52"/>
    <w:rsid w:val="00336E64"/>
    <w:rsid w:val="0033743B"/>
    <w:rsid w:val="0033756A"/>
    <w:rsid w:val="00337B42"/>
    <w:rsid w:val="00340220"/>
    <w:rsid w:val="003406F3"/>
    <w:rsid w:val="0034087C"/>
    <w:rsid w:val="00340B6C"/>
    <w:rsid w:val="003410B2"/>
    <w:rsid w:val="00341779"/>
    <w:rsid w:val="003419FA"/>
    <w:rsid w:val="00341AEB"/>
    <w:rsid w:val="00341B42"/>
    <w:rsid w:val="00341E43"/>
    <w:rsid w:val="00342069"/>
    <w:rsid w:val="003421D9"/>
    <w:rsid w:val="00342742"/>
    <w:rsid w:val="00342F36"/>
    <w:rsid w:val="003431FA"/>
    <w:rsid w:val="00343242"/>
    <w:rsid w:val="003432C2"/>
    <w:rsid w:val="0034348F"/>
    <w:rsid w:val="003437AE"/>
    <w:rsid w:val="0034385D"/>
    <w:rsid w:val="003438D1"/>
    <w:rsid w:val="003439DF"/>
    <w:rsid w:val="00343C69"/>
    <w:rsid w:val="0034420D"/>
    <w:rsid w:val="0034435A"/>
    <w:rsid w:val="003446BB"/>
    <w:rsid w:val="003461AE"/>
    <w:rsid w:val="0034650E"/>
    <w:rsid w:val="00346B01"/>
    <w:rsid w:val="00346BA2"/>
    <w:rsid w:val="00346C0D"/>
    <w:rsid w:val="00346C0E"/>
    <w:rsid w:val="00347215"/>
    <w:rsid w:val="0034735E"/>
    <w:rsid w:val="00350015"/>
    <w:rsid w:val="00350693"/>
    <w:rsid w:val="003507BB"/>
    <w:rsid w:val="0035084D"/>
    <w:rsid w:val="00351111"/>
    <w:rsid w:val="00351310"/>
    <w:rsid w:val="00351388"/>
    <w:rsid w:val="00351578"/>
    <w:rsid w:val="003515FD"/>
    <w:rsid w:val="003518D2"/>
    <w:rsid w:val="00351D0D"/>
    <w:rsid w:val="00351D4E"/>
    <w:rsid w:val="003522B1"/>
    <w:rsid w:val="00352820"/>
    <w:rsid w:val="003549A9"/>
    <w:rsid w:val="00354B58"/>
    <w:rsid w:val="00354E15"/>
    <w:rsid w:val="00355938"/>
    <w:rsid w:val="00355D4F"/>
    <w:rsid w:val="00356649"/>
    <w:rsid w:val="00356653"/>
    <w:rsid w:val="00356A0E"/>
    <w:rsid w:val="00356C57"/>
    <w:rsid w:val="0035743F"/>
    <w:rsid w:val="0035747B"/>
    <w:rsid w:val="00357BE2"/>
    <w:rsid w:val="003602A2"/>
    <w:rsid w:val="00361110"/>
    <w:rsid w:val="0036170C"/>
    <w:rsid w:val="00362301"/>
    <w:rsid w:val="0036332D"/>
    <w:rsid w:val="003634B8"/>
    <w:rsid w:val="00363582"/>
    <w:rsid w:val="003637D8"/>
    <w:rsid w:val="00363864"/>
    <w:rsid w:val="00363FF0"/>
    <w:rsid w:val="00364066"/>
    <w:rsid w:val="00364BF0"/>
    <w:rsid w:val="00364C9F"/>
    <w:rsid w:val="00365844"/>
    <w:rsid w:val="00365C76"/>
    <w:rsid w:val="0036649A"/>
    <w:rsid w:val="0036652D"/>
    <w:rsid w:val="003668AC"/>
    <w:rsid w:val="00366C6B"/>
    <w:rsid w:val="00366D63"/>
    <w:rsid w:val="00366E0F"/>
    <w:rsid w:val="00367171"/>
    <w:rsid w:val="003672C2"/>
    <w:rsid w:val="003673EE"/>
    <w:rsid w:val="003702A9"/>
    <w:rsid w:val="00370CBA"/>
    <w:rsid w:val="00370E60"/>
    <w:rsid w:val="00371213"/>
    <w:rsid w:val="00371E39"/>
    <w:rsid w:val="00372B35"/>
    <w:rsid w:val="0037341B"/>
    <w:rsid w:val="0037399A"/>
    <w:rsid w:val="0037414C"/>
    <w:rsid w:val="00374895"/>
    <w:rsid w:val="00374EB4"/>
    <w:rsid w:val="0037542C"/>
    <w:rsid w:val="00375560"/>
    <w:rsid w:val="003758E7"/>
    <w:rsid w:val="00375BAA"/>
    <w:rsid w:val="00375BE5"/>
    <w:rsid w:val="00375D55"/>
    <w:rsid w:val="00375E8C"/>
    <w:rsid w:val="003762F2"/>
    <w:rsid w:val="0037638F"/>
    <w:rsid w:val="0037686C"/>
    <w:rsid w:val="00376E6D"/>
    <w:rsid w:val="00377752"/>
    <w:rsid w:val="00377E1D"/>
    <w:rsid w:val="003807FC"/>
    <w:rsid w:val="00380CE2"/>
    <w:rsid w:val="00380F83"/>
    <w:rsid w:val="00381221"/>
    <w:rsid w:val="00381346"/>
    <w:rsid w:val="003813E2"/>
    <w:rsid w:val="003816E8"/>
    <w:rsid w:val="00381A15"/>
    <w:rsid w:val="00381A72"/>
    <w:rsid w:val="00381ABD"/>
    <w:rsid w:val="00382267"/>
    <w:rsid w:val="003822DB"/>
    <w:rsid w:val="00382409"/>
    <w:rsid w:val="00382474"/>
    <w:rsid w:val="00382AEF"/>
    <w:rsid w:val="00382C74"/>
    <w:rsid w:val="00382E64"/>
    <w:rsid w:val="00384375"/>
    <w:rsid w:val="00384581"/>
    <w:rsid w:val="0038464A"/>
    <w:rsid w:val="00384676"/>
    <w:rsid w:val="00384E20"/>
    <w:rsid w:val="00384FBA"/>
    <w:rsid w:val="00385682"/>
    <w:rsid w:val="0038639F"/>
    <w:rsid w:val="00386F53"/>
    <w:rsid w:val="00386FD9"/>
    <w:rsid w:val="00387301"/>
    <w:rsid w:val="003873A2"/>
    <w:rsid w:val="00387913"/>
    <w:rsid w:val="0039063B"/>
    <w:rsid w:val="003907A1"/>
    <w:rsid w:val="00390857"/>
    <w:rsid w:val="00390BBE"/>
    <w:rsid w:val="003911B6"/>
    <w:rsid w:val="00391473"/>
    <w:rsid w:val="003916D1"/>
    <w:rsid w:val="003922B8"/>
    <w:rsid w:val="003924EB"/>
    <w:rsid w:val="00393AE5"/>
    <w:rsid w:val="00393BAF"/>
    <w:rsid w:val="003942F2"/>
    <w:rsid w:val="003944EB"/>
    <w:rsid w:val="00394DB7"/>
    <w:rsid w:val="00395290"/>
    <w:rsid w:val="00395C16"/>
    <w:rsid w:val="00396056"/>
    <w:rsid w:val="0039625F"/>
    <w:rsid w:val="00396F65"/>
    <w:rsid w:val="003971AD"/>
    <w:rsid w:val="0039775E"/>
    <w:rsid w:val="00397F4D"/>
    <w:rsid w:val="003A0207"/>
    <w:rsid w:val="003A04D8"/>
    <w:rsid w:val="003A050E"/>
    <w:rsid w:val="003A051B"/>
    <w:rsid w:val="003A0A9D"/>
    <w:rsid w:val="003A0B80"/>
    <w:rsid w:val="003A0F97"/>
    <w:rsid w:val="003A14A8"/>
    <w:rsid w:val="003A1D97"/>
    <w:rsid w:val="003A351D"/>
    <w:rsid w:val="003A3664"/>
    <w:rsid w:val="003A3A53"/>
    <w:rsid w:val="003A3F6C"/>
    <w:rsid w:val="003A4447"/>
    <w:rsid w:val="003A45CD"/>
    <w:rsid w:val="003A4BF3"/>
    <w:rsid w:val="003A4EE0"/>
    <w:rsid w:val="003A5ADC"/>
    <w:rsid w:val="003A5DB3"/>
    <w:rsid w:val="003A5ED4"/>
    <w:rsid w:val="003A65AD"/>
    <w:rsid w:val="003A6817"/>
    <w:rsid w:val="003A687C"/>
    <w:rsid w:val="003A68B5"/>
    <w:rsid w:val="003B0140"/>
    <w:rsid w:val="003B0200"/>
    <w:rsid w:val="003B0DE5"/>
    <w:rsid w:val="003B1048"/>
    <w:rsid w:val="003B133B"/>
    <w:rsid w:val="003B19EC"/>
    <w:rsid w:val="003B1B08"/>
    <w:rsid w:val="003B1B80"/>
    <w:rsid w:val="003B1DEF"/>
    <w:rsid w:val="003B2379"/>
    <w:rsid w:val="003B24AC"/>
    <w:rsid w:val="003B24D3"/>
    <w:rsid w:val="003B24F5"/>
    <w:rsid w:val="003B2B86"/>
    <w:rsid w:val="003B2EA1"/>
    <w:rsid w:val="003B31A2"/>
    <w:rsid w:val="003B31C8"/>
    <w:rsid w:val="003B3FDD"/>
    <w:rsid w:val="003B420D"/>
    <w:rsid w:val="003B4A71"/>
    <w:rsid w:val="003B4FC0"/>
    <w:rsid w:val="003B5114"/>
    <w:rsid w:val="003B758E"/>
    <w:rsid w:val="003B76A7"/>
    <w:rsid w:val="003B7748"/>
    <w:rsid w:val="003B7A2E"/>
    <w:rsid w:val="003B7CED"/>
    <w:rsid w:val="003C004F"/>
    <w:rsid w:val="003C088F"/>
    <w:rsid w:val="003C0D70"/>
    <w:rsid w:val="003C0EFB"/>
    <w:rsid w:val="003C117E"/>
    <w:rsid w:val="003C12ED"/>
    <w:rsid w:val="003C15D4"/>
    <w:rsid w:val="003C17EF"/>
    <w:rsid w:val="003C1BDD"/>
    <w:rsid w:val="003C1C1D"/>
    <w:rsid w:val="003C22C6"/>
    <w:rsid w:val="003C2383"/>
    <w:rsid w:val="003C23EF"/>
    <w:rsid w:val="003C2623"/>
    <w:rsid w:val="003C3155"/>
    <w:rsid w:val="003C32D8"/>
    <w:rsid w:val="003C3554"/>
    <w:rsid w:val="003C3BBE"/>
    <w:rsid w:val="003C3FE1"/>
    <w:rsid w:val="003C42A3"/>
    <w:rsid w:val="003C4D5A"/>
    <w:rsid w:val="003C512F"/>
    <w:rsid w:val="003C5232"/>
    <w:rsid w:val="003C572E"/>
    <w:rsid w:val="003C5AC4"/>
    <w:rsid w:val="003C60BD"/>
    <w:rsid w:val="003C6C16"/>
    <w:rsid w:val="003C6C96"/>
    <w:rsid w:val="003C7032"/>
    <w:rsid w:val="003C7464"/>
    <w:rsid w:val="003D0FA9"/>
    <w:rsid w:val="003D1021"/>
    <w:rsid w:val="003D1D7A"/>
    <w:rsid w:val="003D2956"/>
    <w:rsid w:val="003D2B6F"/>
    <w:rsid w:val="003D3131"/>
    <w:rsid w:val="003D35BA"/>
    <w:rsid w:val="003D3FF0"/>
    <w:rsid w:val="003D4098"/>
    <w:rsid w:val="003D47BE"/>
    <w:rsid w:val="003D482E"/>
    <w:rsid w:val="003D4887"/>
    <w:rsid w:val="003D4FA8"/>
    <w:rsid w:val="003D514F"/>
    <w:rsid w:val="003D52A1"/>
    <w:rsid w:val="003D53C8"/>
    <w:rsid w:val="003D5502"/>
    <w:rsid w:val="003D558B"/>
    <w:rsid w:val="003D5A1E"/>
    <w:rsid w:val="003D62B7"/>
    <w:rsid w:val="003D6E6F"/>
    <w:rsid w:val="003D7117"/>
    <w:rsid w:val="003D73B7"/>
    <w:rsid w:val="003D745E"/>
    <w:rsid w:val="003D753F"/>
    <w:rsid w:val="003D76E6"/>
    <w:rsid w:val="003D78D0"/>
    <w:rsid w:val="003D794D"/>
    <w:rsid w:val="003E0454"/>
    <w:rsid w:val="003E082A"/>
    <w:rsid w:val="003E0920"/>
    <w:rsid w:val="003E0E59"/>
    <w:rsid w:val="003E1A6A"/>
    <w:rsid w:val="003E1E4C"/>
    <w:rsid w:val="003E1F2A"/>
    <w:rsid w:val="003E246E"/>
    <w:rsid w:val="003E28CD"/>
    <w:rsid w:val="003E2BA3"/>
    <w:rsid w:val="003E2C2A"/>
    <w:rsid w:val="003E3046"/>
    <w:rsid w:val="003E3058"/>
    <w:rsid w:val="003E33CE"/>
    <w:rsid w:val="003E3930"/>
    <w:rsid w:val="003E4447"/>
    <w:rsid w:val="003E47DE"/>
    <w:rsid w:val="003E4C9D"/>
    <w:rsid w:val="003E4D23"/>
    <w:rsid w:val="003E619C"/>
    <w:rsid w:val="003E61FB"/>
    <w:rsid w:val="003E638A"/>
    <w:rsid w:val="003E641F"/>
    <w:rsid w:val="003E70AA"/>
    <w:rsid w:val="003E7501"/>
    <w:rsid w:val="003E7532"/>
    <w:rsid w:val="003E7571"/>
    <w:rsid w:val="003E7628"/>
    <w:rsid w:val="003E76A9"/>
    <w:rsid w:val="003E7CBD"/>
    <w:rsid w:val="003E7DAF"/>
    <w:rsid w:val="003F0809"/>
    <w:rsid w:val="003F0942"/>
    <w:rsid w:val="003F0AA8"/>
    <w:rsid w:val="003F0E15"/>
    <w:rsid w:val="003F0E59"/>
    <w:rsid w:val="003F0F44"/>
    <w:rsid w:val="003F10BD"/>
    <w:rsid w:val="003F1488"/>
    <w:rsid w:val="003F20D8"/>
    <w:rsid w:val="003F2442"/>
    <w:rsid w:val="003F2C05"/>
    <w:rsid w:val="003F2E49"/>
    <w:rsid w:val="003F3889"/>
    <w:rsid w:val="003F3A7C"/>
    <w:rsid w:val="003F3C35"/>
    <w:rsid w:val="003F3E45"/>
    <w:rsid w:val="003F4926"/>
    <w:rsid w:val="003F55A1"/>
    <w:rsid w:val="003F5FB4"/>
    <w:rsid w:val="003F6339"/>
    <w:rsid w:val="003F6A8C"/>
    <w:rsid w:val="003F6DF9"/>
    <w:rsid w:val="003F73DC"/>
    <w:rsid w:val="003F755C"/>
    <w:rsid w:val="003F760E"/>
    <w:rsid w:val="004002C6"/>
    <w:rsid w:val="00400815"/>
    <w:rsid w:val="0040115A"/>
    <w:rsid w:val="00401544"/>
    <w:rsid w:val="00401A0C"/>
    <w:rsid w:val="00401BE2"/>
    <w:rsid w:val="00401F59"/>
    <w:rsid w:val="00402DF2"/>
    <w:rsid w:val="00402E38"/>
    <w:rsid w:val="00403FC5"/>
    <w:rsid w:val="00404988"/>
    <w:rsid w:val="004055DA"/>
    <w:rsid w:val="00405F1E"/>
    <w:rsid w:val="00406108"/>
    <w:rsid w:val="00406112"/>
    <w:rsid w:val="00406E14"/>
    <w:rsid w:val="00406F01"/>
    <w:rsid w:val="00407020"/>
    <w:rsid w:val="00407140"/>
    <w:rsid w:val="00407420"/>
    <w:rsid w:val="00407890"/>
    <w:rsid w:val="00407FBD"/>
    <w:rsid w:val="0041003D"/>
    <w:rsid w:val="004101CA"/>
    <w:rsid w:val="004102D3"/>
    <w:rsid w:val="00410400"/>
    <w:rsid w:val="004105E1"/>
    <w:rsid w:val="00410713"/>
    <w:rsid w:val="0041097A"/>
    <w:rsid w:val="004109AD"/>
    <w:rsid w:val="00410D7F"/>
    <w:rsid w:val="00411312"/>
    <w:rsid w:val="004114F3"/>
    <w:rsid w:val="004117CA"/>
    <w:rsid w:val="00411B28"/>
    <w:rsid w:val="00411B52"/>
    <w:rsid w:val="00411E1B"/>
    <w:rsid w:val="00412E74"/>
    <w:rsid w:val="00412E79"/>
    <w:rsid w:val="00412E92"/>
    <w:rsid w:val="004132A0"/>
    <w:rsid w:val="0041346D"/>
    <w:rsid w:val="00414D60"/>
    <w:rsid w:val="004156EA"/>
    <w:rsid w:val="00415871"/>
    <w:rsid w:val="00415E5C"/>
    <w:rsid w:val="00416172"/>
    <w:rsid w:val="00416895"/>
    <w:rsid w:val="00416D50"/>
    <w:rsid w:val="00416FD5"/>
    <w:rsid w:val="004171F3"/>
    <w:rsid w:val="004172E4"/>
    <w:rsid w:val="00417460"/>
    <w:rsid w:val="004174F4"/>
    <w:rsid w:val="0041751F"/>
    <w:rsid w:val="00417772"/>
    <w:rsid w:val="00417965"/>
    <w:rsid w:val="004200E0"/>
    <w:rsid w:val="004203B8"/>
    <w:rsid w:val="00420400"/>
    <w:rsid w:val="004208CD"/>
    <w:rsid w:val="00420E6A"/>
    <w:rsid w:val="00420F63"/>
    <w:rsid w:val="004217C4"/>
    <w:rsid w:val="004217C7"/>
    <w:rsid w:val="00422022"/>
    <w:rsid w:val="00422182"/>
    <w:rsid w:val="00422A25"/>
    <w:rsid w:val="00422AE8"/>
    <w:rsid w:val="00422E73"/>
    <w:rsid w:val="00423089"/>
    <w:rsid w:val="0042364D"/>
    <w:rsid w:val="00423B09"/>
    <w:rsid w:val="00423B44"/>
    <w:rsid w:val="00423BAC"/>
    <w:rsid w:val="00423C4F"/>
    <w:rsid w:val="004242A5"/>
    <w:rsid w:val="00424448"/>
    <w:rsid w:val="004247F8"/>
    <w:rsid w:val="00424A9C"/>
    <w:rsid w:val="00424AE9"/>
    <w:rsid w:val="00424B0F"/>
    <w:rsid w:val="00425093"/>
    <w:rsid w:val="00425587"/>
    <w:rsid w:val="00425922"/>
    <w:rsid w:val="00425A9E"/>
    <w:rsid w:val="00425B0B"/>
    <w:rsid w:val="00425BDC"/>
    <w:rsid w:val="00425CAE"/>
    <w:rsid w:val="004264D3"/>
    <w:rsid w:val="004269A0"/>
    <w:rsid w:val="00426D6B"/>
    <w:rsid w:val="00426D6D"/>
    <w:rsid w:val="00426E66"/>
    <w:rsid w:val="0042712E"/>
    <w:rsid w:val="00427527"/>
    <w:rsid w:val="00427F46"/>
    <w:rsid w:val="004301A6"/>
    <w:rsid w:val="004309F6"/>
    <w:rsid w:val="00430CD1"/>
    <w:rsid w:val="00430E0A"/>
    <w:rsid w:val="004315DB"/>
    <w:rsid w:val="00431E6C"/>
    <w:rsid w:val="00432503"/>
    <w:rsid w:val="00432A57"/>
    <w:rsid w:val="00432B9F"/>
    <w:rsid w:val="004339CF"/>
    <w:rsid w:val="00433B7D"/>
    <w:rsid w:val="00433CE7"/>
    <w:rsid w:val="00433D1E"/>
    <w:rsid w:val="00433FC9"/>
    <w:rsid w:val="00434314"/>
    <w:rsid w:val="0043499F"/>
    <w:rsid w:val="00435082"/>
    <w:rsid w:val="00435CCA"/>
    <w:rsid w:val="00435FC2"/>
    <w:rsid w:val="004363D8"/>
    <w:rsid w:val="0043671E"/>
    <w:rsid w:val="004368AA"/>
    <w:rsid w:val="00436940"/>
    <w:rsid w:val="004369FC"/>
    <w:rsid w:val="00436BD2"/>
    <w:rsid w:val="00437047"/>
    <w:rsid w:val="004371BF"/>
    <w:rsid w:val="00437498"/>
    <w:rsid w:val="004375DE"/>
    <w:rsid w:val="004378CA"/>
    <w:rsid w:val="00437994"/>
    <w:rsid w:val="00437DC1"/>
    <w:rsid w:val="00437E87"/>
    <w:rsid w:val="004400FC"/>
    <w:rsid w:val="00440534"/>
    <w:rsid w:val="00440ED8"/>
    <w:rsid w:val="00441ED0"/>
    <w:rsid w:val="0044202F"/>
    <w:rsid w:val="0044228C"/>
    <w:rsid w:val="00442456"/>
    <w:rsid w:val="00442773"/>
    <w:rsid w:val="00442789"/>
    <w:rsid w:val="00442C6B"/>
    <w:rsid w:val="00442D39"/>
    <w:rsid w:val="00442F37"/>
    <w:rsid w:val="00442FC0"/>
    <w:rsid w:val="004433F4"/>
    <w:rsid w:val="00443701"/>
    <w:rsid w:val="00443836"/>
    <w:rsid w:val="00444338"/>
    <w:rsid w:val="004448C5"/>
    <w:rsid w:val="00444992"/>
    <w:rsid w:val="00444CA0"/>
    <w:rsid w:val="0044520F"/>
    <w:rsid w:val="0044529F"/>
    <w:rsid w:val="0044558D"/>
    <w:rsid w:val="00445EB9"/>
    <w:rsid w:val="00446254"/>
    <w:rsid w:val="0044636B"/>
    <w:rsid w:val="004464EB"/>
    <w:rsid w:val="0044691C"/>
    <w:rsid w:val="0044724A"/>
    <w:rsid w:val="00447585"/>
    <w:rsid w:val="00447697"/>
    <w:rsid w:val="004477ED"/>
    <w:rsid w:val="00447C3B"/>
    <w:rsid w:val="00447D47"/>
    <w:rsid w:val="00450BF5"/>
    <w:rsid w:val="00451CC1"/>
    <w:rsid w:val="00451CF5"/>
    <w:rsid w:val="00452289"/>
    <w:rsid w:val="0045251A"/>
    <w:rsid w:val="0045256F"/>
    <w:rsid w:val="00452738"/>
    <w:rsid w:val="00452AD0"/>
    <w:rsid w:val="00453645"/>
    <w:rsid w:val="00453F50"/>
    <w:rsid w:val="004540E2"/>
    <w:rsid w:val="00454162"/>
    <w:rsid w:val="00454265"/>
    <w:rsid w:val="004548B8"/>
    <w:rsid w:val="0045496A"/>
    <w:rsid w:val="004549B3"/>
    <w:rsid w:val="0045510C"/>
    <w:rsid w:val="00455FFE"/>
    <w:rsid w:val="00456091"/>
    <w:rsid w:val="00456B93"/>
    <w:rsid w:val="00456F40"/>
    <w:rsid w:val="00457210"/>
    <w:rsid w:val="0045728F"/>
    <w:rsid w:val="004572D1"/>
    <w:rsid w:val="00457A6B"/>
    <w:rsid w:val="0046003D"/>
    <w:rsid w:val="00460084"/>
    <w:rsid w:val="00460873"/>
    <w:rsid w:val="0046087F"/>
    <w:rsid w:val="00460BAC"/>
    <w:rsid w:val="00460E61"/>
    <w:rsid w:val="004615BB"/>
    <w:rsid w:val="00461DAD"/>
    <w:rsid w:val="004620DC"/>
    <w:rsid w:val="004629AA"/>
    <w:rsid w:val="00462A0E"/>
    <w:rsid w:val="00462C61"/>
    <w:rsid w:val="00463401"/>
    <w:rsid w:val="0046365E"/>
    <w:rsid w:val="00463714"/>
    <w:rsid w:val="0046371B"/>
    <w:rsid w:val="00463796"/>
    <w:rsid w:val="004639DB"/>
    <w:rsid w:val="00464118"/>
    <w:rsid w:val="00464FE5"/>
    <w:rsid w:val="0046519F"/>
    <w:rsid w:val="00465205"/>
    <w:rsid w:val="0046524D"/>
    <w:rsid w:val="004655E0"/>
    <w:rsid w:val="00465AB3"/>
    <w:rsid w:val="00465D98"/>
    <w:rsid w:val="00465EAA"/>
    <w:rsid w:val="00466011"/>
    <w:rsid w:val="00466321"/>
    <w:rsid w:val="00466867"/>
    <w:rsid w:val="00466ABE"/>
    <w:rsid w:val="00466BE0"/>
    <w:rsid w:val="00466C0D"/>
    <w:rsid w:val="00466C10"/>
    <w:rsid w:val="00467873"/>
    <w:rsid w:val="0046797D"/>
    <w:rsid w:val="00467F87"/>
    <w:rsid w:val="00467FBA"/>
    <w:rsid w:val="004700D8"/>
    <w:rsid w:val="00470177"/>
    <w:rsid w:val="004703EA"/>
    <w:rsid w:val="00470691"/>
    <w:rsid w:val="00470D8A"/>
    <w:rsid w:val="00471874"/>
    <w:rsid w:val="00471D86"/>
    <w:rsid w:val="00471F2A"/>
    <w:rsid w:val="004724E3"/>
    <w:rsid w:val="00472543"/>
    <w:rsid w:val="00472C70"/>
    <w:rsid w:val="00474496"/>
    <w:rsid w:val="00474BC7"/>
    <w:rsid w:val="00474EB1"/>
    <w:rsid w:val="00474EE1"/>
    <w:rsid w:val="00475000"/>
    <w:rsid w:val="004752B4"/>
    <w:rsid w:val="00476151"/>
    <w:rsid w:val="0047624B"/>
    <w:rsid w:val="00476575"/>
    <w:rsid w:val="00476A22"/>
    <w:rsid w:val="00476D6E"/>
    <w:rsid w:val="004771FB"/>
    <w:rsid w:val="004778DC"/>
    <w:rsid w:val="00477C1B"/>
    <w:rsid w:val="00477C74"/>
    <w:rsid w:val="004804D2"/>
    <w:rsid w:val="0048073E"/>
    <w:rsid w:val="00480F0E"/>
    <w:rsid w:val="00481396"/>
    <w:rsid w:val="004813DA"/>
    <w:rsid w:val="00481D63"/>
    <w:rsid w:val="00481E0E"/>
    <w:rsid w:val="00481E42"/>
    <w:rsid w:val="00482070"/>
    <w:rsid w:val="0048259B"/>
    <w:rsid w:val="004827A4"/>
    <w:rsid w:val="00482B83"/>
    <w:rsid w:val="00483BB8"/>
    <w:rsid w:val="00483D54"/>
    <w:rsid w:val="004848B5"/>
    <w:rsid w:val="00484B9B"/>
    <w:rsid w:val="00484D34"/>
    <w:rsid w:val="00484EC4"/>
    <w:rsid w:val="00484ECC"/>
    <w:rsid w:val="00485301"/>
    <w:rsid w:val="004855F6"/>
    <w:rsid w:val="00485945"/>
    <w:rsid w:val="00485BFF"/>
    <w:rsid w:val="004862B3"/>
    <w:rsid w:val="0048661E"/>
    <w:rsid w:val="0048687F"/>
    <w:rsid w:val="00486D81"/>
    <w:rsid w:val="00486F39"/>
    <w:rsid w:val="00487147"/>
    <w:rsid w:val="004871F4"/>
    <w:rsid w:val="00487C1D"/>
    <w:rsid w:val="00487D9D"/>
    <w:rsid w:val="00487F48"/>
    <w:rsid w:val="00487FD1"/>
    <w:rsid w:val="00490162"/>
    <w:rsid w:val="00490293"/>
    <w:rsid w:val="00490AFE"/>
    <w:rsid w:val="00490D18"/>
    <w:rsid w:val="00491D29"/>
    <w:rsid w:val="0049244F"/>
    <w:rsid w:val="00492A96"/>
    <w:rsid w:val="00492D69"/>
    <w:rsid w:val="00493361"/>
    <w:rsid w:val="00493549"/>
    <w:rsid w:val="00493736"/>
    <w:rsid w:val="00494670"/>
    <w:rsid w:val="00494FF4"/>
    <w:rsid w:val="00495843"/>
    <w:rsid w:val="00495963"/>
    <w:rsid w:val="0049601C"/>
    <w:rsid w:val="00496170"/>
    <w:rsid w:val="004966A4"/>
    <w:rsid w:val="0049684B"/>
    <w:rsid w:val="004968CC"/>
    <w:rsid w:val="00496A53"/>
    <w:rsid w:val="00496A74"/>
    <w:rsid w:val="00496D18"/>
    <w:rsid w:val="00497485"/>
    <w:rsid w:val="00497B2B"/>
    <w:rsid w:val="00497E79"/>
    <w:rsid w:val="00497ECA"/>
    <w:rsid w:val="004A02E1"/>
    <w:rsid w:val="004A0718"/>
    <w:rsid w:val="004A0884"/>
    <w:rsid w:val="004A0FAE"/>
    <w:rsid w:val="004A10E0"/>
    <w:rsid w:val="004A1280"/>
    <w:rsid w:val="004A1525"/>
    <w:rsid w:val="004A1544"/>
    <w:rsid w:val="004A17A6"/>
    <w:rsid w:val="004A260F"/>
    <w:rsid w:val="004A26AB"/>
    <w:rsid w:val="004A2B78"/>
    <w:rsid w:val="004A2C43"/>
    <w:rsid w:val="004A3369"/>
    <w:rsid w:val="004A370B"/>
    <w:rsid w:val="004A3823"/>
    <w:rsid w:val="004A3D25"/>
    <w:rsid w:val="004A3D71"/>
    <w:rsid w:val="004A41BB"/>
    <w:rsid w:val="004A45C9"/>
    <w:rsid w:val="004A463A"/>
    <w:rsid w:val="004A4911"/>
    <w:rsid w:val="004A4E17"/>
    <w:rsid w:val="004A5160"/>
    <w:rsid w:val="004A5208"/>
    <w:rsid w:val="004A5895"/>
    <w:rsid w:val="004A5E3D"/>
    <w:rsid w:val="004A6107"/>
    <w:rsid w:val="004A6372"/>
    <w:rsid w:val="004A68A0"/>
    <w:rsid w:val="004A6D5A"/>
    <w:rsid w:val="004A6FD1"/>
    <w:rsid w:val="004A793D"/>
    <w:rsid w:val="004A7AA2"/>
    <w:rsid w:val="004A7E16"/>
    <w:rsid w:val="004B04B6"/>
    <w:rsid w:val="004B06D4"/>
    <w:rsid w:val="004B082C"/>
    <w:rsid w:val="004B0AD1"/>
    <w:rsid w:val="004B1565"/>
    <w:rsid w:val="004B1B5C"/>
    <w:rsid w:val="004B1F8E"/>
    <w:rsid w:val="004B2063"/>
    <w:rsid w:val="004B22B7"/>
    <w:rsid w:val="004B236A"/>
    <w:rsid w:val="004B2437"/>
    <w:rsid w:val="004B2491"/>
    <w:rsid w:val="004B2942"/>
    <w:rsid w:val="004B2962"/>
    <w:rsid w:val="004B2A35"/>
    <w:rsid w:val="004B341D"/>
    <w:rsid w:val="004B3483"/>
    <w:rsid w:val="004B35ED"/>
    <w:rsid w:val="004B3676"/>
    <w:rsid w:val="004B3DF8"/>
    <w:rsid w:val="004B4700"/>
    <w:rsid w:val="004B48CF"/>
    <w:rsid w:val="004B4CE3"/>
    <w:rsid w:val="004B4DCA"/>
    <w:rsid w:val="004B4FB6"/>
    <w:rsid w:val="004B5A5C"/>
    <w:rsid w:val="004B5AF0"/>
    <w:rsid w:val="004B5BF0"/>
    <w:rsid w:val="004B5FC7"/>
    <w:rsid w:val="004B6726"/>
    <w:rsid w:val="004B6B50"/>
    <w:rsid w:val="004B6FAA"/>
    <w:rsid w:val="004B73FE"/>
    <w:rsid w:val="004B7615"/>
    <w:rsid w:val="004B77FA"/>
    <w:rsid w:val="004B7E05"/>
    <w:rsid w:val="004C043E"/>
    <w:rsid w:val="004C0AE9"/>
    <w:rsid w:val="004C0EFC"/>
    <w:rsid w:val="004C1187"/>
    <w:rsid w:val="004C2012"/>
    <w:rsid w:val="004C2058"/>
    <w:rsid w:val="004C219E"/>
    <w:rsid w:val="004C21D3"/>
    <w:rsid w:val="004C265C"/>
    <w:rsid w:val="004C2854"/>
    <w:rsid w:val="004C2937"/>
    <w:rsid w:val="004C2BE5"/>
    <w:rsid w:val="004C2CE9"/>
    <w:rsid w:val="004C30DB"/>
    <w:rsid w:val="004C34A8"/>
    <w:rsid w:val="004C3622"/>
    <w:rsid w:val="004C3C78"/>
    <w:rsid w:val="004C3EBB"/>
    <w:rsid w:val="004C4223"/>
    <w:rsid w:val="004C4D9F"/>
    <w:rsid w:val="004C50A0"/>
    <w:rsid w:val="004C5349"/>
    <w:rsid w:val="004C56B4"/>
    <w:rsid w:val="004C5936"/>
    <w:rsid w:val="004C59F4"/>
    <w:rsid w:val="004C5F16"/>
    <w:rsid w:val="004C7293"/>
    <w:rsid w:val="004C7360"/>
    <w:rsid w:val="004C7569"/>
    <w:rsid w:val="004C78A2"/>
    <w:rsid w:val="004C7A8D"/>
    <w:rsid w:val="004D0429"/>
    <w:rsid w:val="004D048F"/>
    <w:rsid w:val="004D0582"/>
    <w:rsid w:val="004D05E5"/>
    <w:rsid w:val="004D09C6"/>
    <w:rsid w:val="004D0A22"/>
    <w:rsid w:val="004D0AAC"/>
    <w:rsid w:val="004D1E34"/>
    <w:rsid w:val="004D20BD"/>
    <w:rsid w:val="004D2718"/>
    <w:rsid w:val="004D28F0"/>
    <w:rsid w:val="004D2BA7"/>
    <w:rsid w:val="004D31A0"/>
    <w:rsid w:val="004D372D"/>
    <w:rsid w:val="004D3C04"/>
    <w:rsid w:val="004D4B68"/>
    <w:rsid w:val="004D4BFA"/>
    <w:rsid w:val="004D4C3F"/>
    <w:rsid w:val="004D5B61"/>
    <w:rsid w:val="004D5E2B"/>
    <w:rsid w:val="004D5FA4"/>
    <w:rsid w:val="004D672F"/>
    <w:rsid w:val="004D79AD"/>
    <w:rsid w:val="004D7A41"/>
    <w:rsid w:val="004E00B9"/>
    <w:rsid w:val="004E03EA"/>
    <w:rsid w:val="004E0CB0"/>
    <w:rsid w:val="004E0D95"/>
    <w:rsid w:val="004E1006"/>
    <w:rsid w:val="004E1129"/>
    <w:rsid w:val="004E1416"/>
    <w:rsid w:val="004E17A9"/>
    <w:rsid w:val="004E25F6"/>
    <w:rsid w:val="004E26F7"/>
    <w:rsid w:val="004E2D23"/>
    <w:rsid w:val="004E31FB"/>
    <w:rsid w:val="004E35D2"/>
    <w:rsid w:val="004E366A"/>
    <w:rsid w:val="004E380C"/>
    <w:rsid w:val="004E3934"/>
    <w:rsid w:val="004E39AE"/>
    <w:rsid w:val="004E4A60"/>
    <w:rsid w:val="004E4E80"/>
    <w:rsid w:val="004E5751"/>
    <w:rsid w:val="004E5A17"/>
    <w:rsid w:val="004E5DA8"/>
    <w:rsid w:val="004E6100"/>
    <w:rsid w:val="004E6360"/>
    <w:rsid w:val="004E6946"/>
    <w:rsid w:val="004E6BF5"/>
    <w:rsid w:val="004E7218"/>
    <w:rsid w:val="004E724B"/>
    <w:rsid w:val="004E73B4"/>
    <w:rsid w:val="004E7652"/>
    <w:rsid w:val="004E7794"/>
    <w:rsid w:val="004E7CF0"/>
    <w:rsid w:val="004F043B"/>
    <w:rsid w:val="004F0CC9"/>
    <w:rsid w:val="004F1658"/>
    <w:rsid w:val="004F18E9"/>
    <w:rsid w:val="004F1AD8"/>
    <w:rsid w:val="004F2076"/>
    <w:rsid w:val="004F2D88"/>
    <w:rsid w:val="004F2E1A"/>
    <w:rsid w:val="004F2E56"/>
    <w:rsid w:val="004F2F43"/>
    <w:rsid w:val="004F3BC3"/>
    <w:rsid w:val="004F3EF7"/>
    <w:rsid w:val="004F476A"/>
    <w:rsid w:val="004F4AA0"/>
    <w:rsid w:val="004F4AB1"/>
    <w:rsid w:val="004F4AB2"/>
    <w:rsid w:val="004F4C77"/>
    <w:rsid w:val="004F54E0"/>
    <w:rsid w:val="004F5976"/>
    <w:rsid w:val="004F5BF5"/>
    <w:rsid w:val="004F5CCB"/>
    <w:rsid w:val="004F5D23"/>
    <w:rsid w:val="004F61F1"/>
    <w:rsid w:val="004F6524"/>
    <w:rsid w:val="004F6F6A"/>
    <w:rsid w:val="004F72EC"/>
    <w:rsid w:val="004F7E2C"/>
    <w:rsid w:val="00500019"/>
    <w:rsid w:val="005005A7"/>
    <w:rsid w:val="00500CA3"/>
    <w:rsid w:val="00501043"/>
    <w:rsid w:val="0050177A"/>
    <w:rsid w:val="0050191F"/>
    <w:rsid w:val="00501E56"/>
    <w:rsid w:val="00501E6C"/>
    <w:rsid w:val="00501F58"/>
    <w:rsid w:val="0050246E"/>
    <w:rsid w:val="005025D3"/>
    <w:rsid w:val="0050263C"/>
    <w:rsid w:val="0050298F"/>
    <w:rsid w:val="00502DE3"/>
    <w:rsid w:val="00502EAD"/>
    <w:rsid w:val="005039CB"/>
    <w:rsid w:val="00503A58"/>
    <w:rsid w:val="00503B55"/>
    <w:rsid w:val="005046CE"/>
    <w:rsid w:val="00504BCF"/>
    <w:rsid w:val="00504DAD"/>
    <w:rsid w:val="00505358"/>
    <w:rsid w:val="005053FB"/>
    <w:rsid w:val="0050558F"/>
    <w:rsid w:val="0050584A"/>
    <w:rsid w:val="00505932"/>
    <w:rsid w:val="00505DB2"/>
    <w:rsid w:val="00506076"/>
    <w:rsid w:val="00506119"/>
    <w:rsid w:val="005061D2"/>
    <w:rsid w:val="00506286"/>
    <w:rsid w:val="005064CC"/>
    <w:rsid w:val="00506853"/>
    <w:rsid w:val="00506E18"/>
    <w:rsid w:val="0050732C"/>
    <w:rsid w:val="00507874"/>
    <w:rsid w:val="005078E3"/>
    <w:rsid w:val="0050792F"/>
    <w:rsid w:val="00507948"/>
    <w:rsid w:val="0051074D"/>
    <w:rsid w:val="00510813"/>
    <w:rsid w:val="005108C9"/>
    <w:rsid w:val="00510D81"/>
    <w:rsid w:val="0051128E"/>
    <w:rsid w:val="005113E8"/>
    <w:rsid w:val="005113EF"/>
    <w:rsid w:val="00511687"/>
    <w:rsid w:val="005118D2"/>
    <w:rsid w:val="00511990"/>
    <w:rsid w:val="00511AB0"/>
    <w:rsid w:val="00511DE0"/>
    <w:rsid w:val="00511FFC"/>
    <w:rsid w:val="0051206A"/>
    <w:rsid w:val="00512515"/>
    <w:rsid w:val="00512B6F"/>
    <w:rsid w:val="00512D0A"/>
    <w:rsid w:val="00512F51"/>
    <w:rsid w:val="005131EB"/>
    <w:rsid w:val="0051358B"/>
    <w:rsid w:val="0051464C"/>
    <w:rsid w:val="0051484D"/>
    <w:rsid w:val="00514870"/>
    <w:rsid w:val="00514B17"/>
    <w:rsid w:val="00514B9B"/>
    <w:rsid w:val="00514E35"/>
    <w:rsid w:val="005152E4"/>
    <w:rsid w:val="00515344"/>
    <w:rsid w:val="00515403"/>
    <w:rsid w:val="0051551D"/>
    <w:rsid w:val="00515712"/>
    <w:rsid w:val="00515984"/>
    <w:rsid w:val="00515A56"/>
    <w:rsid w:val="00515C5E"/>
    <w:rsid w:val="00515E70"/>
    <w:rsid w:val="00516BD4"/>
    <w:rsid w:val="00516E69"/>
    <w:rsid w:val="00516E8D"/>
    <w:rsid w:val="00517371"/>
    <w:rsid w:val="0051744F"/>
    <w:rsid w:val="0051797D"/>
    <w:rsid w:val="00517984"/>
    <w:rsid w:val="00517F02"/>
    <w:rsid w:val="0052027D"/>
    <w:rsid w:val="00520B86"/>
    <w:rsid w:val="00521776"/>
    <w:rsid w:val="005218C9"/>
    <w:rsid w:val="005220CC"/>
    <w:rsid w:val="005224EF"/>
    <w:rsid w:val="00522CA3"/>
    <w:rsid w:val="00523432"/>
    <w:rsid w:val="00523566"/>
    <w:rsid w:val="005237E7"/>
    <w:rsid w:val="00523BCC"/>
    <w:rsid w:val="00523E74"/>
    <w:rsid w:val="00524303"/>
    <w:rsid w:val="00524391"/>
    <w:rsid w:val="005243B6"/>
    <w:rsid w:val="0052470D"/>
    <w:rsid w:val="0052487D"/>
    <w:rsid w:val="00524DF1"/>
    <w:rsid w:val="00524FC5"/>
    <w:rsid w:val="0052548C"/>
    <w:rsid w:val="00525803"/>
    <w:rsid w:val="005258A2"/>
    <w:rsid w:val="00525A43"/>
    <w:rsid w:val="00525B8C"/>
    <w:rsid w:val="005263A3"/>
    <w:rsid w:val="00527082"/>
    <w:rsid w:val="005270E8"/>
    <w:rsid w:val="005279F0"/>
    <w:rsid w:val="00527F00"/>
    <w:rsid w:val="00530372"/>
    <w:rsid w:val="005316E4"/>
    <w:rsid w:val="00531A29"/>
    <w:rsid w:val="00532935"/>
    <w:rsid w:val="0053350B"/>
    <w:rsid w:val="00533AAC"/>
    <w:rsid w:val="00533B4F"/>
    <w:rsid w:val="00533DF1"/>
    <w:rsid w:val="00533DFE"/>
    <w:rsid w:val="00534361"/>
    <w:rsid w:val="00534C09"/>
    <w:rsid w:val="00534E1C"/>
    <w:rsid w:val="005355CB"/>
    <w:rsid w:val="005361AF"/>
    <w:rsid w:val="005367C0"/>
    <w:rsid w:val="00536B19"/>
    <w:rsid w:val="00536C45"/>
    <w:rsid w:val="00536F62"/>
    <w:rsid w:val="00537224"/>
    <w:rsid w:val="00537EFA"/>
    <w:rsid w:val="005401AE"/>
    <w:rsid w:val="00540838"/>
    <w:rsid w:val="00540BC2"/>
    <w:rsid w:val="005416EE"/>
    <w:rsid w:val="00541904"/>
    <w:rsid w:val="005419F2"/>
    <w:rsid w:val="00541BCA"/>
    <w:rsid w:val="00541F74"/>
    <w:rsid w:val="0054228A"/>
    <w:rsid w:val="00542E07"/>
    <w:rsid w:val="00542FD4"/>
    <w:rsid w:val="00543068"/>
    <w:rsid w:val="00543A94"/>
    <w:rsid w:val="00543F71"/>
    <w:rsid w:val="00544055"/>
    <w:rsid w:val="00544645"/>
    <w:rsid w:val="00544748"/>
    <w:rsid w:val="00544BFA"/>
    <w:rsid w:val="00545424"/>
    <w:rsid w:val="005459F5"/>
    <w:rsid w:val="00545A4D"/>
    <w:rsid w:val="00546075"/>
    <w:rsid w:val="005460BB"/>
    <w:rsid w:val="00546337"/>
    <w:rsid w:val="005463B0"/>
    <w:rsid w:val="0054677A"/>
    <w:rsid w:val="00546F51"/>
    <w:rsid w:val="0054755D"/>
    <w:rsid w:val="00547F08"/>
    <w:rsid w:val="00547F52"/>
    <w:rsid w:val="00550F5A"/>
    <w:rsid w:val="005520A1"/>
    <w:rsid w:val="00552B9F"/>
    <w:rsid w:val="00552BD4"/>
    <w:rsid w:val="00552C35"/>
    <w:rsid w:val="0055416E"/>
    <w:rsid w:val="0055442C"/>
    <w:rsid w:val="005544A8"/>
    <w:rsid w:val="0055468F"/>
    <w:rsid w:val="00554A7B"/>
    <w:rsid w:val="00555194"/>
    <w:rsid w:val="00555280"/>
    <w:rsid w:val="0055572C"/>
    <w:rsid w:val="005557C0"/>
    <w:rsid w:val="00555993"/>
    <w:rsid w:val="00555F06"/>
    <w:rsid w:val="00556281"/>
    <w:rsid w:val="00556E82"/>
    <w:rsid w:val="00556F21"/>
    <w:rsid w:val="00556F4E"/>
    <w:rsid w:val="005574FC"/>
    <w:rsid w:val="005576EA"/>
    <w:rsid w:val="00557817"/>
    <w:rsid w:val="005578E4"/>
    <w:rsid w:val="00557AF3"/>
    <w:rsid w:val="00560079"/>
    <w:rsid w:val="00560363"/>
    <w:rsid w:val="0056051D"/>
    <w:rsid w:val="00560DFD"/>
    <w:rsid w:val="00560E2C"/>
    <w:rsid w:val="0056106A"/>
    <w:rsid w:val="005613EA"/>
    <w:rsid w:val="00561938"/>
    <w:rsid w:val="00562052"/>
    <w:rsid w:val="0056253B"/>
    <w:rsid w:val="00562D6C"/>
    <w:rsid w:val="00563B15"/>
    <w:rsid w:val="00563E3A"/>
    <w:rsid w:val="005640BC"/>
    <w:rsid w:val="00564654"/>
    <w:rsid w:val="0056473B"/>
    <w:rsid w:val="00565072"/>
    <w:rsid w:val="00565AB1"/>
    <w:rsid w:val="00565F5D"/>
    <w:rsid w:val="00566AF4"/>
    <w:rsid w:val="00567194"/>
    <w:rsid w:val="005671A4"/>
    <w:rsid w:val="005672A2"/>
    <w:rsid w:val="00567A53"/>
    <w:rsid w:val="00567C95"/>
    <w:rsid w:val="00567E50"/>
    <w:rsid w:val="005702EE"/>
    <w:rsid w:val="0057034E"/>
    <w:rsid w:val="0057087E"/>
    <w:rsid w:val="00570A40"/>
    <w:rsid w:val="00571372"/>
    <w:rsid w:val="0057180D"/>
    <w:rsid w:val="005720AE"/>
    <w:rsid w:val="0057210C"/>
    <w:rsid w:val="005721F9"/>
    <w:rsid w:val="00572A83"/>
    <w:rsid w:val="00572DB1"/>
    <w:rsid w:val="00572F46"/>
    <w:rsid w:val="0057329E"/>
    <w:rsid w:val="00573D01"/>
    <w:rsid w:val="00573EA5"/>
    <w:rsid w:val="00574334"/>
    <w:rsid w:val="0057479B"/>
    <w:rsid w:val="00574834"/>
    <w:rsid w:val="00574A8C"/>
    <w:rsid w:val="0057511D"/>
    <w:rsid w:val="00575522"/>
    <w:rsid w:val="005755D0"/>
    <w:rsid w:val="00575BB9"/>
    <w:rsid w:val="00576192"/>
    <w:rsid w:val="00576A8D"/>
    <w:rsid w:val="00576D94"/>
    <w:rsid w:val="00576DFB"/>
    <w:rsid w:val="005770CD"/>
    <w:rsid w:val="005778A3"/>
    <w:rsid w:val="00577A1F"/>
    <w:rsid w:val="00577E06"/>
    <w:rsid w:val="00580C3D"/>
    <w:rsid w:val="00581610"/>
    <w:rsid w:val="00581826"/>
    <w:rsid w:val="00581B51"/>
    <w:rsid w:val="00581B8A"/>
    <w:rsid w:val="00581DF0"/>
    <w:rsid w:val="005824C2"/>
    <w:rsid w:val="00583853"/>
    <w:rsid w:val="00583BBD"/>
    <w:rsid w:val="00583F8E"/>
    <w:rsid w:val="00584884"/>
    <w:rsid w:val="0058505D"/>
    <w:rsid w:val="00585334"/>
    <w:rsid w:val="0058536F"/>
    <w:rsid w:val="00585FA8"/>
    <w:rsid w:val="00586014"/>
    <w:rsid w:val="0058610E"/>
    <w:rsid w:val="00586650"/>
    <w:rsid w:val="005870DF"/>
    <w:rsid w:val="005872BE"/>
    <w:rsid w:val="0058751D"/>
    <w:rsid w:val="00587D9B"/>
    <w:rsid w:val="00587EA5"/>
    <w:rsid w:val="0059026F"/>
    <w:rsid w:val="0059065B"/>
    <w:rsid w:val="00590D20"/>
    <w:rsid w:val="005915DE"/>
    <w:rsid w:val="005920DC"/>
    <w:rsid w:val="00593320"/>
    <w:rsid w:val="00593A76"/>
    <w:rsid w:val="00593D03"/>
    <w:rsid w:val="00593F16"/>
    <w:rsid w:val="005942E2"/>
    <w:rsid w:val="00594D77"/>
    <w:rsid w:val="0059545C"/>
    <w:rsid w:val="00596012"/>
    <w:rsid w:val="005965E3"/>
    <w:rsid w:val="0059697E"/>
    <w:rsid w:val="005969E4"/>
    <w:rsid w:val="00596A7B"/>
    <w:rsid w:val="00596B8A"/>
    <w:rsid w:val="005970AE"/>
    <w:rsid w:val="0059743B"/>
    <w:rsid w:val="005979C1"/>
    <w:rsid w:val="00597CA2"/>
    <w:rsid w:val="00597D86"/>
    <w:rsid w:val="005A06B7"/>
    <w:rsid w:val="005A0C2E"/>
    <w:rsid w:val="005A0F83"/>
    <w:rsid w:val="005A1166"/>
    <w:rsid w:val="005A1305"/>
    <w:rsid w:val="005A1560"/>
    <w:rsid w:val="005A1759"/>
    <w:rsid w:val="005A1C23"/>
    <w:rsid w:val="005A1F6F"/>
    <w:rsid w:val="005A21D1"/>
    <w:rsid w:val="005A25C7"/>
    <w:rsid w:val="005A26AA"/>
    <w:rsid w:val="005A27A2"/>
    <w:rsid w:val="005A286D"/>
    <w:rsid w:val="005A2EED"/>
    <w:rsid w:val="005A3083"/>
    <w:rsid w:val="005A35BB"/>
    <w:rsid w:val="005A3F89"/>
    <w:rsid w:val="005A41CC"/>
    <w:rsid w:val="005A420E"/>
    <w:rsid w:val="005A4E82"/>
    <w:rsid w:val="005A50BD"/>
    <w:rsid w:val="005A5616"/>
    <w:rsid w:val="005A5CE5"/>
    <w:rsid w:val="005A67D8"/>
    <w:rsid w:val="005A68A7"/>
    <w:rsid w:val="005A6BC8"/>
    <w:rsid w:val="005A7C02"/>
    <w:rsid w:val="005B0093"/>
    <w:rsid w:val="005B0561"/>
    <w:rsid w:val="005B0886"/>
    <w:rsid w:val="005B0B9E"/>
    <w:rsid w:val="005B0CD5"/>
    <w:rsid w:val="005B11B0"/>
    <w:rsid w:val="005B18C6"/>
    <w:rsid w:val="005B1AC0"/>
    <w:rsid w:val="005B2573"/>
    <w:rsid w:val="005B299F"/>
    <w:rsid w:val="005B352D"/>
    <w:rsid w:val="005B370C"/>
    <w:rsid w:val="005B3A4E"/>
    <w:rsid w:val="005B3C80"/>
    <w:rsid w:val="005B3CF1"/>
    <w:rsid w:val="005B3DB9"/>
    <w:rsid w:val="005B4014"/>
    <w:rsid w:val="005B4332"/>
    <w:rsid w:val="005B4958"/>
    <w:rsid w:val="005B5322"/>
    <w:rsid w:val="005B5906"/>
    <w:rsid w:val="005B5AE9"/>
    <w:rsid w:val="005B6D57"/>
    <w:rsid w:val="005B7AA3"/>
    <w:rsid w:val="005B7BB3"/>
    <w:rsid w:val="005C0089"/>
    <w:rsid w:val="005C0257"/>
    <w:rsid w:val="005C0367"/>
    <w:rsid w:val="005C047D"/>
    <w:rsid w:val="005C07D5"/>
    <w:rsid w:val="005C0DCF"/>
    <w:rsid w:val="005C13DF"/>
    <w:rsid w:val="005C14BC"/>
    <w:rsid w:val="005C17E9"/>
    <w:rsid w:val="005C1AD2"/>
    <w:rsid w:val="005C2007"/>
    <w:rsid w:val="005C20C9"/>
    <w:rsid w:val="005C2823"/>
    <w:rsid w:val="005C38BD"/>
    <w:rsid w:val="005C3E81"/>
    <w:rsid w:val="005C421C"/>
    <w:rsid w:val="005C4752"/>
    <w:rsid w:val="005C49D9"/>
    <w:rsid w:val="005C562A"/>
    <w:rsid w:val="005C5702"/>
    <w:rsid w:val="005C57AA"/>
    <w:rsid w:val="005C5880"/>
    <w:rsid w:val="005C5F0B"/>
    <w:rsid w:val="005C6565"/>
    <w:rsid w:val="005C65A4"/>
    <w:rsid w:val="005C6608"/>
    <w:rsid w:val="005C668A"/>
    <w:rsid w:val="005C6999"/>
    <w:rsid w:val="005C6ACF"/>
    <w:rsid w:val="005D01A5"/>
    <w:rsid w:val="005D04B2"/>
    <w:rsid w:val="005D0715"/>
    <w:rsid w:val="005D0E1A"/>
    <w:rsid w:val="005D1F4F"/>
    <w:rsid w:val="005D2A85"/>
    <w:rsid w:val="005D2E83"/>
    <w:rsid w:val="005D30DC"/>
    <w:rsid w:val="005D36AB"/>
    <w:rsid w:val="005D3B10"/>
    <w:rsid w:val="005D40DD"/>
    <w:rsid w:val="005D4994"/>
    <w:rsid w:val="005D4EB1"/>
    <w:rsid w:val="005D55B3"/>
    <w:rsid w:val="005D5A68"/>
    <w:rsid w:val="005D5D1A"/>
    <w:rsid w:val="005D6558"/>
    <w:rsid w:val="005D6856"/>
    <w:rsid w:val="005D7400"/>
    <w:rsid w:val="005D7B3B"/>
    <w:rsid w:val="005D7D90"/>
    <w:rsid w:val="005D7E80"/>
    <w:rsid w:val="005E0177"/>
    <w:rsid w:val="005E02F2"/>
    <w:rsid w:val="005E06A1"/>
    <w:rsid w:val="005E09BF"/>
    <w:rsid w:val="005E1288"/>
    <w:rsid w:val="005E1D51"/>
    <w:rsid w:val="005E1D95"/>
    <w:rsid w:val="005E2467"/>
    <w:rsid w:val="005E2853"/>
    <w:rsid w:val="005E2F58"/>
    <w:rsid w:val="005E3306"/>
    <w:rsid w:val="005E39F0"/>
    <w:rsid w:val="005E3A4B"/>
    <w:rsid w:val="005E4407"/>
    <w:rsid w:val="005E46CA"/>
    <w:rsid w:val="005E4B9E"/>
    <w:rsid w:val="005E4D03"/>
    <w:rsid w:val="005E4DB0"/>
    <w:rsid w:val="005E4F82"/>
    <w:rsid w:val="005E5068"/>
    <w:rsid w:val="005E6B14"/>
    <w:rsid w:val="005E6EE0"/>
    <w:rsid w:val="005E7017"/>
    <w:rsid w:val="005E7414"/>
    <w:rsid w:val="005E747D"/>
    <w:rsid w:val="005E7DB6"/>
    <w:rsid w:val="005E7ED4"/>
    <w:rsid w:val="005F0160"/>
    <w:rsid w:val="005F01F4"/>
    <w:rsid w:val="005F0262"/>
    <w:rsid w:val="005F05C0"/>
    <w:rsid w:val="005F069E"/>
    <w:rsid w:val="005F0964"/>
    <w:rsid w:val="005F10E6"/>
    <w:rsid w:val="005F132D"/>
    <w:rsid w:val="005F1516"/>
    <w:rsid w:val="005F155F"/>
    <w:rsid w:val="005F1D78"/>
    <w:rsid w:val="005F1D99"/>
    <w:rsid w:val="005F2CB1"/>
    <w:rsid w:val="005F2EF7"/>
    <w:rsid w:val="005F38FF"/>
    <w:rsid w:val="005F3BFF"/>
    <w:rsid w:val="005F3D43"/>
    <w:rsid w:val="005F3D79"/>
    <w:rsid w:val="005F3D94"/>
    <w:rsid w:val="005F4074"/>
    <w:rsid w:val="005F44E3"/>
    <w:rsid w:val="005F46CD"/>
    <w:rsid w:val="005F515E"/>
    <w:rsid w:val="005F579E"/>
    <w:rsid w:val="005F5995"/>
    <w:rsid w:val="005F5B1E"/>
    <w:rsid w:val="005F5F19"/>
    <w:rsid w:val="005F602D"/>
    <w:rsid w:val="005F6A34"/>
    <w:rsid w:val="005F6AFF"/>
    <w:rsid w:val="005F774B"/>
    <w:rsid w:val="005F788C"/>
    <w:rsid w:val="005F7931"/>
    <w:rsid w:val="005F7BB8"/>
    <w:rsid w:val="0060001E"/>
    <w:rsid w:val="00600374"/>
    <w:rsid w:val="0060069F"/>
    <w:rsid w:val="00600DD5"/>
    <w:rsid w:val="006023BE"/>
    <w:rsid w:val="0060298C"/>
    <w:rsid w:val="006029A3"/>
    <w:rsid w:val="00602A56"/>
    <w:rsid w:val="0060302D"/>
    <w:rsid w:val="006035A2"/>
    <w:rsid w:val="0060389C"/>
    <w:rsid w:val="00603ADC"/>
    <w:rsid w:val="00603E08"/>
    <w:rsid w:val="00604032"/>
    <w:rsid w:val="00604B58"/>
    <w:rsid w:val="00604C68"/>
    <w:rsid w:val="00604D7B"/>
    <w:rsid w:val="0060505B"/>
    <w:rsid w:val="0060556C"/>
    <w:rsid w:val="0060570A"/>
    <w:rsid w:val="00605A97"/>
    <w:rsid w:val="00605E56"/>
    <w:rsid w:val="00606140"/>
    <w:rsid w:val="006061BB"/>
    <w:rsid w:val="00606618"/>
    <w:rsid w:val="00606807"/>
    <w:rsid w:val="006068C3"/>
    <w:rsid w:val="00606DF0"/>
    <w:rsid w:val="0060753C"/>
    <w:rsid w:val="00607591"/>
    <w:rsid w:val="00607C50"/>
    <w:rsid w:val="00607CE1"/>
    <w:rsid w:val="00607EC3"/>
    <w:rsid w:val="00607FEF"/>
    <w:rsid w:val="0061038E"/>
    <w:rsid w:val="006106BD"/>
    <w:rsid w:val="00610DBF"/>
    <w:rsid w:val="006111D7"/>
    <w:rsid w:val="00611AFA"/>
    <w:rsid w:val="00611B65"/>
    <w:rsid w:val="00611D55"/>
    <w:rsid w:val="00611D6C"/>
    <w:rsid w:val="00612079"/>
    <w:rsid w:val="0061208C"/>
    <w:rsid w:val="006120F4"/>
    <w:rsid w:val="00612885"/>
    <w:rsid w:val="00612C42"/>
    <w:rsid w:val="00613930"/>
    <w:rsid w:val="00613EAB"/>
    <w:rsid w:val="00613FFF"/>
    <w:rsid w:val="0061438B"/>
    <w:rsid w:val="0061460D"/>
    <w:rsid w:val="006149E3"/>
    <w:rsid w:val="00614A59"/>
    <w:rsid w:val="00614B0B"/>
    <w:rsid w:val="006157B0"/>
    <w:rsid w:val="00615B15"/>
    <w:rsid w:val="006170FC"/>
    <w:rsid w:val="006174F7"/>
    <w:rsid w:val="006179EC"/>
    <w:rsid w:val="00617CC3"/>
    <w:rsid w:val="00620082"/>
    <w:rsid w:val="00620716"/>
    <w:rsid w:val="00620C09"/>
    <w:rsid w:val="006214BF"/>
    <w:rsid w:val="0062175C"/>
    <w:rsid w:val="00621C51"/>
    <w:rsid w:val="00622241"/>
    <w:rsid w:val="00622368"/>
    <w:rsid w:val="006227A8"/>
    <w:rsid w:val="00622F06"/>
    <w:rsid w:val="0062371C"/>
    <w:rsid w:val="00623723"/>
    <w:rsid w:val="00623E3D"/>
    <w:rsid w:val="00624491"/>
    <w:rsid w:val="0062463D"/>
    <w:rsid w:val="00625134"/>
    <w:rsid w:val="006252BE"/>
    <w:rsid w:val="0062561C"/>
    <w:rsid w:val="00625B9E"/>
    <w:rsid w:val="00625CC5"/>
    <w:rsid w:val="00625DE2"/>
    <w:rsid w:val="00626788"/>
    <w:rsid w:val="006277BF"/>
    <w:rsid w:val="00627DD8"/>
    <w:rsid w:val="00630718"/>
    <w:rsid w:val="00630DC0"/>
    <w:rsid w:val="00630EB1"/>
    <w:rsid w:val="0063170D"/>
    <w:rsid w:val="00631D60"/>
    <w:rsid w:val="00631FC6"/>
    <w:rsid w:val="00632999"/>
    <w:rsid w:val="00632EBE"/>
    <w:rsid w:val="006332A0"/>
    <w:rsid w:val="00633D0A"/>
    <w:rsid w:val="00633F0F"/>
    <w:rsid w:val="00634354"/>
    <w:rsid w:val="006343EA"/>
    <w:rsid w:val="0063450E"/>
    <w:rsid w:val="00634FF1"/>
    <w:rsid w:val="006350AE"/>
    <w:rsid w:val="00635151"/>
    <w:rsid w:val="00635297"/>
    <w:rsid w:val="00635E1B"/>
    <w:rsid w:val="00635F5D"/>
    <w:rsid w:val="00636184"/>
    <w:rsid w:val="00636C78"/>
    <w:rsid w:val="00637551"/>
    <w:rsid w:val="00637585"/>
    <w:rsid w:val="006377A6"/>
    <w:rsid w:val="00637800"/>
    <w:rsid w:val="00637A3D"/>
    <w:rsid w:val="00637A7D"/>
    <w:rsid w:val="00637AC6"/>
    <w:rsid w:val="0064018C"/>
    <w:rsid w:val="006404D2"/>
    <w:rsid w:val="00640A2E"/>
    <w:rsid w:val="00640B07"/>
    <w:rsid w:val="006411EF"/>
    <w:rsid w:val="00641475"/>
    <w:rsid w:val="006417BA"/>
    <w:rsid w:val="006418C7"/>
    <w:rsid w:val="00641A57"/>
    <w:rsid w:val="00642BDF"/>
    <w:rsid w:val="00642E78"/>
    <w:rsid w:val="00643130"/>
    <w:rsid w:val="00643601"/>
    <w:rsid w:val="006436EE"/>
    <w:rsid w:val="006438D7"/>
    <w:rsid w:val="00643BC2"/>
    <w:rsid w:val="00643FD9"/>
    <w:rsid w:val="0064477D"/>
    <w:rsid w:val="00644AF8"/>
    <w:rsid w:val="00644DB9"/>
    <w:rsid w:val="006459D1"/>
    <w:rsid w:val="00645CB6"/>
    <w:rsid w:val="00646778"/>
    <w:rsid w:val="006468B3"/>
    <w:rsid w:val="00646DDD"/>
    <w:rsid w:val="00647CC7"/>
    <w:rsid w:val="00647CFC"/>
    <w:rsid w:val="0065002B"/>
    <w:rsid w:val="00650504"/>
    <w:rsid w:val="00650E37"/>
    <w:rsid w:val="006510FF"/>
    <w:rsid w:val="0065191F"/>
    <w:rsid w:val="00651E44"/>
    <w:rsid w:val="00651F3A"/>
    <w:rsid w:val="0065286F"/>
    <w:rsid w:val="00652B53"/>
    <w:rsid w:val="00652CFA"/>
    <w:rsid w:val="00652D0D"/>
    <w:rsid w:val="00654102"/>
    <w:rsid w:val="00654810"/>
    <w:rsid w:val="006555AE"/>
    <w:rsid w:val="00655740"/>
    <w:rsid w:val="00655805"/>
    <w:rsid w:val="00655A11"/>
    <w:rsid w:val="006564CE"/>
    <w:rsid w:val="0065693D"/>
    <w:rsid w:val="00656B36"/>
    <w:rsid w:val="00656CD9"/>
    <w:rsid w:val="00656F40"/>
    <w:rsid w:val="00657515"/>
    <w:rsid w:val="006576BE"/>
    <w:rsid w:val="00657D9D"/>
    <w:rsid w:val="00660075"/>
    <w:rsid w:val="006601AD"/>
    <w:rsid w:val="006603FD"/>
    <w:rsid w:val="0066049A"/>
    <w:rsid w:val="006620F6"/>
    <w:rsid w:val="006627B2"/>
    <w:rsid w:val="00662F94"/>
    <w:rsid w:val="00662FBC"/>
    <w:rsid w:val="00663499"/>
    <w:rsid w:val="00663F2C"/>
    <w:rsid w:val="00663F80"/>
    <w:rsid w:val="00664432"/>
    <w:rsid w:val="00664524"/>
    <w:rsid w:val="00664FB3"/>
    <w:rsid w:val="006655D5"/>
    <w:rsid w:val="006657CA"/>
    <w:rsid w:val="00665834"/>
    <w:rsid w:val="00665B34"/>
    <w:rsid w:val="00665EA4"/>
    <w:rsid w:val="0066667C"/>
    <w:rsid w:val="0066686B"/>
    <w:rsid w:val="006668DF"/>
    <w:rsid w:val="006669D6"/>
    <w:rsid w:val="00666E43"/>
    <w:rsid w:val="00666FE3"/>
    <w:rsid w:val="00667182"/>
    <w:rsid w:val="006671F6"/>
    <w:rsid w:val="00667346"/>
    <w:rsid w:val="006674FE"/>
    <w:rsid w:val="006679ED"/>
    <w:rsid w:val="00667C66"/>
    <w:rsid w:val="00667E3C"/>
    <w:rsid w:val="006700FC"/>
    <w:rsid w:val="0067023E"/>
    <w:rsid w:val="0067070D"/>
    <w:rsid w:val="00670719"/>
    <w:rsid w:val="00670A00"/>
    <w:rsid w:val="00670CAF"/>
    <w:rsid w:val="006714AC"/>
    <w:rsid w:val="00672219"/>
    <w:rsid w:val="0067242F"/>
    <w:rsid w:val="00672BC0"/>
    <w:rsid w:val="00672DD9"/>
    <w:rsid w:val="006737FA"/>
    <w:rsid w:val="00673EE6"/>
    <w:rsid w:val="00674165"/>
    <w:rsid w:val="0067431D"/>
    <w:rsid w:val="006748B8"/>
    <w:rsid w:val="00674972"/>
    <w:rsid w:val="00674EE7"/>
    <w:rsid w:val="00675329"/>
    <w:rsid w:val="0067583C"/>
    <w:rsid w:val="006759AE"/>
    <w:rsid w:val="00676297"/>
    <w:rsid w:val="00676B3D"/>
    <w:rsid w:val="00676CAC"/>
    <w:rsid w:val="00677042"/>
    <w:rsid w:val="0067706F"/>
    <w:rsid w:val="006775C3"/>
    <w:rsid w:val="006777BA"/>
    <w:rsid w:val="00677947"/>
    <w:rsid w:val="00677A0A"/>
    <w:rsid w:val="00677A5A"/>
    <w:rsid w:val="0068044F"/>
    <w:rsid w:val="0068097B"/>
    <w:rsid w:val="00680EDC"/>
    <w:rsid w:val="006813E8"/>
    <w:rsid w:val="006815CE"/>
    <w:rsid w:val="00681C60"/>
    <w:rsid w:val="00681D60"/>
    <w:rsid w:val="00681F58"/>
    <w:rsid w:val="00682282"/>
    <w:rsid w:val="0068262D"/>
    <w:rsid w:val="006829C2"/>
    <w:rsid w:val="00682B10"/>
    <w:rsid w:val="00683013"/>
    <w:rsid w:val="00683351"/>
    <w:rsid w:val="00683381"/>
    <w:rsid w:val="00683384"/>
    <w:rsid w:val="006833A4"/>
    <w:rsid w:val="0068399B"/>
    <w:rsid w:val="006841A9"/>
    <w:rsid w:val="00684288"/>
    <w:rsid w:val="006842AD"/>
    <w:rsid w:val="0068437A"/>
    <w:rsid w:val="006843B1"/>
    <w:rsid w:val="0068445B"/>
    <w:rsid w:val="00684654"/>
    <w:rsid w:val="00684923"/>
    <w:rsid w:val="0068495E"/>
    <w:rsid w:val="00684D37"/>
    <w:rsid w:val="0068502A"/>
    <w:rsid w:val="006854D6"/>
    <w:rsid w:val="00685722"/>
    <w:rsid w:val="00685CFB"/>
    <w:rsid w:val="00686C29"/>
    <w:rsid w:val="00686CBB"/>
    <w:rsid w:val="00686F03"/>
    <w:rsid w:val="00686FDA"/>
    <w:rsid w:val="0068710A"/>
    <w:rsid w:val="00687196"/>
    <w:rsid w:val="0068762F"/>
    <w:rsid w:val="006876C2"/>
    <w:rsid w:val="00687C7A"/>
    <w:rsid w:val="00687DED"/>
    <w:rsid w:val="00690352"/>
    <w:rsid w:val="006903EC"/>
    <w:rsid w:val="00690436"/>
    <w:rsid w:val="006904FC"/>
    <w:rsid w:val="00690634"/>
    <w:rsid w:val="006912F1"/>
    <w:rsid w:val="00691740"/>
    <w:rsid w:val="006918F8"/>
    <w:rsid w:val="00691DC0"/>
    <w:rsid w:val="006922E3"/>
    <w:rsid w:val="0069266A"/>
    <w:rsid w:val="0069290A"/>
    <w:rsid w:val="00692B97"/>
    <w:rsid w:val="00692BA2"/>
    <w:rsid w:val="00692E8B"/>
    <w:rsid w:val="00692FC7"/>
    <w:rsid w:val="006934AB"/>
    <w:rsid w:val="00693B83"/>
    <w:rsid w:val="00694280"/>
    <w:rsid w:val="00694ABD"/>
    <w:rsid w:val="00694B3B"/>
    <w:rsid w:val="00694E0B"/>
    <w:rsid w:val="00694F47"/>
    <w:rsid w:val="006953C1"/>
    <w:rsid w:val="0069555D"/>
    <w:rsid w:val="006956B1"/>
    <w:rsid w:val="00695C8C"/>
    <w:rsid w:val="00695DEB"/>
    <w:rsid w:val="0069649C"/>
    <w:rsid w:val="00696ED4"/>
    <w:rsid w:val="006973CB"/>
    <w:rsid w:val="00697569"/>
    <w:rsid w:val="0069760D"/>
    <w:rsid w:val="0069775A"/>
    <w:rsid w:val="00697813"/>
    <w:rsid w:val="006A0024"/>
    <w:rsid w:val="006A0221"/>
    <w:rsid w:val="006A03B5"/>
    <w:rsid w:val="006A0491"/>
    <w:rsid w:val="006A064B"/>
    <w:rsid w:val="006A0C2A"/>
    <w:rsid w:val="006A0C4C"/>
    <w:rsid w:val="006A16E7"/>
    <w:rsid w:val="006A1B73"/>
    <w:rsid w:val="006A2B8C"/>
    <w:rsid w:val="006A2D07"/>
    <w:rsid w:val="006A3548"/>
    <w:rsid w:val="006A398E"/>
    <w:rsid w:val="006A39D2"/>
    <w:rsid w:val="006A3B98"/>
    <w:rsid w:val="006A3E0E"/>
    <w:rsid w:val="006A3EE8"/>
    <w:rsid w:val="006A40EF"/>
    <w:rsid w:val="006A4157"/>
    <w:rsid w:val="006A44C9"/>
    <w:rsid w:val="006A4B3F"/>
    <w:rsid w:val="006A54AC"/>
    <w:rsid w:val="006A54CE"/>
    <w:rsid w:val="006A5AD7"/>
    <w:rsid w:val="006A5D09"/>
    <w:rsid w:val="006A5D84"/>
    <w:rsid w:val="006A61E6"/>
    <w:rsid w:val="006A6E26"/>
    <w:rsid w:val="006A72BF"/>
    <w:rsid w:val="006A770C"/>
    <w:rsid w:val="006A7D22"/>
    <w:rsid w:val="006A7F4C"/>
    <w:rsid w:val="006A7FC1"/>
    <w:rsid w:val="006B03F2"/>
    <w:rsid w:val="006B0542"/>
    <w:rsid w:val="006B0AB9"/>
    <w:rsid w:val="006B0D85"/>
    <w:rsid w:val="006B1092"/>
    <w:rsid w:val="006B10B5"/>
    <w:rsid w:val="006B1368"/>
    <w:rsid w:val="006B1921"/>
    <w:rsid w:val="006B1B21"/>
    <w:rsid w:val="006B1E95"/>
    <w:rsid w:val="006B23C6"/>
    <w:rsid w:val="006B26F6"/>
    <w:rsid w:val="006B2A6F"/>
    <w:rsid w:val="006B3285"/>
    <w:rsid w:val="006B37DC"/>
    <w:rsid w:val="006B3890"/>
    <w:rsid w:val="006B392A"/>
    <w:rsid w:val="006B413E"/>
    <w:rsid w:val="006B4206"/>
    <w:rsid w:val="006B4881"/>
    <w:rsid w:val="006B4DB7"/>
    <w:rsid w:val="006B4F5B"/>
    <w:rsid w:val="006B4F68"/>
    <w:rsid w:val="006B5435"/>
    <w:rsid w:val="006B60DC"/>
    <w:rsid w:val="006B62D5"/>
    <w:rsid w:val="006B6367"/>
    <w:rsid w:val="006B69BB"/>
    <w:rsid w:val="006B6CCD"/>
    <w:rsid w:val="006B7587"/>
    <w:rsid w:val="006B7694"/>
    <w:rsid w:val="006B7698"/>
    <w:rsid w:val="006C0592"/>
    <w:rsid w:val="006C0CEF"/>
    <w:rsid w:val="006C0DA9"/>
    <w:rsid w:val="006C1149"/>
    <w:rsid w:val="006C114E"/>
    <w:rsid w:val="006C14D9"/>
    <w:rsid w:val="006C153F"/>
    <w:rsid w:val="006C1599"/>
    <w:rsid w:val="006C1674"/>
    <w:rsid w:val="006C194F"/>
    <w:rsid w:val="006C272E"/>
    <w:rsid w:val="006C2850"/>
    <w:rsid w:val="006C3412"/>
    <w:rsid w:val="006C3461"/>
    <w:rsid w:val="006C370F"/>
    <w:rsid w:val="006C371B"/>
    <w:rsid w:val="006C393E"/>
    <w:rsid w:val="006C3F5E"/>
    <w:rsid w:val="006C4457"/>
    <w:rsid w:val="006C4C3D"/>
    <w:rsid w:val="006C4C8B"/>
    <w:rsid w:val="006C5479"/>
    <w:rsid w:val="006C56C6"/>
    <w:rsid w:val="006C5BBD"/>
    <w:rsid w:val="006C61B2"/>
    <w:rsid w:val="006C673A"/>
    <w:rsid w:val="006C6919"/>
    <w:rsid w:val="006C6AC3"/>
    <w:rsid w:val="006C6AF4"/>
    <w:rsid w:val="006C6B99"/>
    <w:rsid w:val="006C6C78"/>
    <w:rsid w:val="006C7282"/>
    <w:rsid w:val="006D07BC"/>
    <w:rsid w:val="006D08C3"/>
    <w:rsid w:val="006D0935"/>
    <w:rsid w:val="006D0A98"/>
    <w:rsid w:val="006D0CEF"/>
    <w:rsid w:val="006D13B5"/>
    <w:rsid w:val="006D196A"/>
    <w:rsid w:val="006D2046"/>
    <w:rsid w:val="006D2273"/>
    <w:rsid w:val="006D3555"/>
    <w:rsid w:val="006D3E7E"/>
    <w:rsid w:val="006D3FCE"/>
    <w:rsid w:val="006D4296"/>
    <w:rsid w:val="006D4ED8"/>
    <w:rsid w:val="006D5195"/>
    <w:rsid w:val="006D5822"/>
    <w:rsid w:val="006D5E51"/>
    <w:rsid w:val="006D6927"/>
    <w:rsid w:val="006D70A3"/>
    <w:rsid w:val="006D70FC"/>
    <w:rsid w:val="006D73B0"/>
    <w:rsid w:val="006D793B"/>
    <w:rsid w:val="006D79A2"/>
    <w:rsid w:val="006D7B29"/>
    <w:rsid w:val="006E0000"/>
    <w:rsid w:val="006E03AD"/>
    <w:rsid w:val="006E08F1"/>
    <w:rsid w:val="006E0A4B"/>
    <w:rsid w:val="006E0C84"/>
    <w:rsid w:val="006E12FF"/>
    <w:rsid w:val="006E13C4"/>
    <w:rsid w:val="006E1749"/>
    <w:rsid w:val="006E1839"/>
    <w:rsid w:val="006E1A3B"/>
    <w:rsid w:val="006E1C35"/>
    <w:rsid w:val="006E292C"/>
    <w:rsid w:val="006E32D8"/>
    <w:rsid w:val="006E346D"/>
    <w:rsid w:val="006E3735"/>
    <w:rsid w:val="006E3CBC"/>
    <w:rsid w:val="006E3D3E"/>
    <w:rsid w:val="006E4BE1"/>
    <w:rsid w:val="006E4C0E"/>
    <w:rsid w:val="006E607E"/>
    <w:rsid w:val="006E6F9A"/>
    <w:rsid w:val="006E6FEF"/>
    <w:rsid w:val="006F0DB3"/>
    <w:rsid w:val="006F0E29"/>
    <w:rsid w:val="006F0E7B"/>
    <w:rsid w:val="006F0F67"/>
    <w:rsid w:val="006F108E"/>
    <w:rsid w:val="006F124B"/>
    <w:rsid w:val="006F13A5"/>
    <w:rsid w:val="006F1607"/>
    <w:rsid w:val="006F25D3"/>
    <w:rsid w:val="006F34CB"/>
    <w:rsid w:val="006F3683"/>
    <w:rsid w:val="006F36E6"/>
    <w:rsid w:val="006F3891"/>
    <w:rsid w:val="006F3DBF"/>
    <w:rsid w:val="006F3EC4"/>
    <w:rsid w:val="006F3FE4"/>
    <w:rsid w:val="006F4329"/>
    <w:rsid w:val="006F49BF"/>
    <w:rsid w:val="006F4CE1"/>
    <w:rsid w:val="006F5364"/>
    <w:rsid w:val="006F549A"/>
    <w:rsid w:val="006F5B1D"/>
    <w:rsid w:val="006F6532"/>
    <w:rsid w:val="006F66EE"/>
    <w:rsid w:val="006F6958"/>
    <w:rsid w:val="006F6F96"/>
    <w:rsid w:val="006F734F"/>
    <w:rsid w:val="006F76BC"/>
    <w:rsid w:val="006F7AE5"/>
    <w:rsid w:val="0070067C"/>
    <w:rsid w:val="00700863"/>
    <w:rsid w:val="007008DF"/>
    <w:rsid w:val="00700950"/>
    <w:rsid w:val="00700B9F"/>
    <w:rsid w:val="00700D59"/>
    <w:rsid w:val="007017AB"/>
    <w:rsid w:val="007017E1"/>
    <w:rsid w:val="007017F8"/>
    <w:rsid w:val="00701D12"/>
    <w:rsid w:val="00702032"/>
    <w:rsid w:val="0070210C"/>
    <w:rsid w:val="00702153"/>
    <w:rsid w:val="00702563"/>
    <w:rsid w:val="0070299C"/>
    <w:rsid w:val="00702A0E"/>
    <w:rsid w:val="00702B40"/>
    <w:rsid w:val="0070310F"/>
    <w:rsid w:val="007031C6"/>
    <w:rsid w:val="007033E3"/>
    <w:rsid w:val="00703631"/>
    <w:rsid w:val="007037D8"/>
    <w:rsid w:val="007040A4"/>
    <w:rsid w:val="00704C09"/>
    <w:rsid w:val="007051D9"/>
    <w:rsid w:val="007052BD"/>
    <w:rsid w:val="007053B2"/>
    <w:rsid w:val="00705C1A"/>
    <w:rsid w:val="00705C32"/>
    <w:rsid w:val="00705E3A"/>
    <w:rsid w:val="00705F06"/>
    <w:rsid w:val="007060F1"/>
    <w:rsid w:val="00706251"/>
    <w:rsid w:val="00706626"/>
    <w:rsid w:val="0070698F"/>
    <w:rsid w:val="007069D8"/>
    <w:rsid w:val="00706C5D"/>
    <w:rsid w:val="00707153"/>
    <w:rsid w:val="00707965"/>
    <w:rsid w:val="00710BF9"/>
    <w:rsid w:val="00710E6C"/>
    <w:rsid w:val="007116AD"/>
    <w:rsid w:val="00711F96"/>
    <w:rsid w:val="0071215F"/>
    <w:rsid w:val="007128B2"/>
    <w:rsid w:val="00712EEE"/>
    <w:rsid w:val="007136D9"/>
    <w:rsid w:val="00713EF4"/>
    <w:rsid w:val="00714717"/>
    <w:rsid w:val="007147AF"/>
    <w:rsid w:val="007147FC"/>
    <w:rsid w:val="00714870"/>
    <w:rsid w:val="007148BD"/>
    <w:rsid w:val="00714A79"/>
    <w:rsid w:val="00714B44"/>
    <w:rsid w:val="00714D02"/>
    <w:rsid w:val="007150BD"/>
    <w:rsid w:val="00715AB5"/>
    <w:rsid w:val="007167E7"/>
    <w:rsid w:val="00716BA0"/>
    <w:rsid w:val="00716BF7"/>
    <w:rsid w:val="00716EAD"/>
    <w:rsid w:val="007170DD"/>
    <w:rsid w:val="007177F3"/>
    <w:rsid w:val="00717A33"/>
    <w:rsid w:val="00717D7E"/>
    <w:rsid w:val="0072055D"/>
    <w:rsid w:val="007206FB"/>
    <w:rsid w:val="00720BEF"/>
    <w:rsid w:val="00720C71"/>
    <w:rsid w:val="007210BF"/>
    <w:rsid w:val="0072158A"/>
    <w:rsid w:val="00721745"/>
    <w:rsid w:val="00721B74"/>
    <w:rsid w:val="00721D14"/>
    <w:rsid w:val="00721FC3"/>
    <w:rsid w:val="0072213E"/>
    <w:rsid w:val="00722A72"/>
    <w:rsid w:val="00723AE9"/>
    <w:rsid w:val="00723FBB"/>
    <w:rsid w:val="00724720"/>
    <w:rsid w:val="0072498A"/>
    <w:rsid w:val="00724FD1"/>
    <w:rsid w:val="007250A8"/>
    <w:rsid w:val="0072549A"/>
    <w:rsid w:val="007254C4"/>
    <w:rsid w:val="00725CD6"/>
    <w:rsid w:val="007263C4"/>
    <w:rsid w:val="00727701"/>
    <w:rsid w:val="00727A9D"/>
    <w:rsid w:val="00727E2C"/>
    <w:rsid w:val="0073024F"/>
    <w:rsid w:val="0073089D"/>
    <w:rsid w:val="00730A10"/>
    <w:rsid w:val="00730A26"/>
    <w:rsid w:val="00730BDC"/>
    <w:rsid w:val="007313DB"/>
    <w:rsid w:val="0073164B"/>
    <w:rsid w:val="00731732"/>
    <w:rsid w:val="00731A47"/>
    <w:rsid w:val="00732090"/>
    <w:rsid w:val="007320BB"/>
    <w:rsid w:val="00732557"/>
    <w:rsid w:val="00732757"/>
    <w:rsid w:val="00732835"/>
    <w:rsid w:val="00732922"/>
    <w:rsid w:val="00732934"/>
    <w:rsid w:val="00732F96"/>
    <w:rsid w:val="00733FC6"/>
    <w:rsid w:val="00734300"/>
    <w:rsid w:val="00734A48"/>
    <w:rsid w:val="00734A49"/>
    <w:rsid w:val="00734E78"/>
    <w:rsid w:val="007353D0"/>
    <w:rsid w:val="0073544B"/>
    <w:rsid w:val="00735CE0"/>
    <w:rsid w:val="00735F4E"/>
    <w:rsid w:val="0073603A"/>
    <w:rsid w:val="0073664B"/>
    <w:rsid w:val="00736761"/>
    <w:rsid w:val="00737048"/>
    <w:rsid w:val="00737101"/>
    <w:rsid w:val="0073732E"/>
    <w:rsid w:val="0073793C"/>
    <w:rsid w:val="00737BC1"/>
    <w:rsid w:val="00737CC8"/>
    <w:rsid w:val="00737DD4"/>
    <w:rsid w:val="00740259"/>
    <w:rsid w:val="0074053A"/>
    <w:rsid w:val="007408D6"/>
    <w:rsid w:val="00740DEB"/>
    <w:rsid w:val="00741684"/>
    <w:rsid w:val="007419B6"/>
    <w:rsid w:val="00741A67"/>
    <w:rsid w:val="00741E99"/>
    <w:rsid w:val="007421E6"/>
    <w:rsid w:val="0074236C"/>
    <w:rsid w:val="0074265D"/>
    <w:rsid w:val="00742E31"/>
    <w:rsid w:val="00742EDE"/>
    <w:rsid w:val="00743A92"/>
    <w:rsid w:val="00743D62"/>
    <w:rsid w:val="00743DDB"/>
    <w:rsid w:val="007444A9"/>
    <w:rsid w:val="00744D39"/>
    <w:rsid w:val="0074544E"/>
    <w:rsid w:val="007457EA"/>
    <w:rsid w:val="00745B52"/>
    <w:rsid w:val="00745B93"/>
    <w:rsid w:val="00745C7B"/>
    <w:rsid w:val="00745CC2"/>
    <w:rsid w:val="00745EF9"/>
    <w:rsid w:val="00746138"/>
    <w:rsid w:val="007472FB"/>
    <w:rsid w:val="00747518"/>
    <w:rsid w:val="007479F6"/>
    <w:rsid w:val="00747A84"/>
    <w:rsid w:val="00747AEB"/>
    <w:rsid w:val="00747E74"/>
    <w:rsid w:val="00747FC8"/>
    <w:rsid w:val="0075041D"/>
    <w:rsid w:val="00750585"/>
    <w:rsid w:val="007506C6"/>
    <w:rsid w:val="00750930"/>
    <w:rsid w:val="0075162E"/>
    <w:rsid w:val="00751CFD"/>
    <w:rsid w:val="00751FF1"/>
    <w:rsid w:val="00752007"/>
    <w:rsid w:val="0075252B"/>
    <w:rsid w:val="00752546"/>
    <w:rsid w:val="00752A36"/>
    <w:rsid w:val="00752EE6"/>
    <w:rsid w:val="00753E21"/>
    <w:rsid w:val="00754034"/>
    <w:rsid w:val="0075469F"/>
    <w:rsid w:val="007549CB"/>
    <w:rsid w:val="007549FD"/>
    <w:rsid w:val="00754BB9"/>
    <w:rsid w:val="00755159"/>
    <w:rsid w:val="007554D0"/>
    <w:rsid w:val="00755CB9"/>
    <w:rsid w:val="00756556"/>
    <w:rsid w:val="007572D6"/>
    <w:rsid w:val="0075736B"/>
    <w:rsid w:val="00757756"/>
    <w:rsid w:val="007577A4"/>
    <w:rsid w:val="0075791A"/>
    <w:rsid w:val="007579FA"/>
    <w:rsid w:val="00757C74"/>
    <w:rsid w:val="00760384"/>
    <w:rsid w:val="007604C3"/>
    <w:rsid w:val="007608C3"/>
    <w:rsid w:val="00760908"/>
    <w:rsid w:val="00760F88"/>
    <w:rsid w:val="0076162C"/>
    <w:rsid w:val="007618C4"/>
    <w:rsid w:val="007619F3"/>
    <w:rsid w:val="00761E6D"/>
    <w:rsid w:val="00762126"/>
    <w:rsid w:val="0076241D"/>
    <w:rsid w:val="00762905"/>
    <w:rsid w:val="00762C41"/>
    <w:rsid w:val="00762CAE"/>
    <w:rsid w:val="0076345D"/>
    <w:rsid w:val="00763553"/>
    <w:rsid w:val="00763B3D"/>
    <w:rsid w:val="00763C68"/>
    <w:rsid w:val="007640F2"/>
    <w:rsid w:val="00764D88"/>
    <w:rsid w:val="0076510C"/>
    <w:rsid w:val="00765848"/>
    <w:rsid w:val="00765C1A"/>
    <w:rsid w:val="00765C9F"/>
    <w:rsid w:val="00766BED"/>
    <w:rsid w:val="00766F74"/>
    <w:rsid w:val="00766F86"/>
    <w:rsid w:val="007674AA"/>
    <w:rsid w:val="007675AB"/>
    <w:rsid w:val="00767980"/>
    <w:rsid w:val="00767ABC"/>
    <w:rsid w:val="0077042A"/>
    <w:rsid w:val="00770440"/>
    <w:rsid w:val="00770521"/>
    <w:rsid w:val="00770A0D"/>
    <w:rsid w:val="00770B19"/>
    <w:rsid w:val="00770B3E"/>
    <w:rsid w:val="00770D91"/>
    <w:rsid w:val="00771132"/>
    <w:rsid w:val="00771E62"/>
    <w:rsid w:val="00771EF5"/>
    <w:rsid w:val="00772709"/>
    <w:rsid w:val="00772A02"/>
    <w:rsid w:val="00772ADA"/>
    <w:rsid w:val="00773A18"/>
    <w:rsid w:val="00773B5C"/>
    <w:rsid w:val="00773CE2"/>
    <w:rsid w:val="00773D06"/>
    <w:rsid w:val="00774118"/>
    <w:rsid w:val="00774323"/>
    <w:rsid w:val="0077450A"/>
    <w:rsid w:val="0077463F"/>
    <w:rsid w:val="00774ACE"/>
    <w:rsid w:val="0077542E"/>
    <w:rsid w:val="007757B5"/>
    <w:rsid w:val="007757EB"/>
    <w:rsid w:val="00775849"/>
    <w:rsid w:val="00775917"/>
    <w:rsid w:val="00775E2A"/>
    <w:rsid w:val="0077635B"/>
    <w:rsid w:val="0077669B"/>
    <w:rsid w:val="00776F24"/>
    <w:rsid w:val="00777256"/>
    <w:rsid w:val="007776E4"/>
    <w:rsid w:val="00777C17"/>
    <w:rsid w:val="0078021F"/>
    <w:rsid w:val="007803B5"/>
    <w:rsid w:val="007806E5"/>
    <w:rsid w:val="007807F1"/>
    <w:rsid w:val="00780EE3"/>
    <w:rsid w:val="007812C4"/>
    <w:rsid w:val="0078149F"/>
    <w:rsid w:val="007815F7"/>
    <w:rsid w:val="00781B4E"/>
    <w:rsid w:val="00781BBD"/>
    <w:rsid w:val="00782403"/>
    <w:rsid w:val="007825A6"/>
    <w:rsid w:val="00782859"/>
    <w:rsid w:val="007836EA"/>
    <w:rsid w:val="00783C07"/>
    <w:rsid w:val="0078474B"/>
    <w:rsid w:val="00784B2E"/>
    <w:rsid w:val="00784C58"/>
    <w:rsid w:val="00784CDA"/>
    <w:rsid w:val="00784CFE"/>
    <w:rsid w:val="00785723"/>
    <w:rsid w:val="00785A31"/>
    <w:rsid w:val="007864D2"/>
    <w:rsid w:val="007864FA"/>
    <w:rsid w:val="00786AA2"/>
    <w:rsid w:val="00786ECF"/>
    <w:rsid w:val="00786F81"/>
    <w:rsid w:val="00787A9D"/>
    <w:rsid w:val="00787C1F"/>
    <w:rsid w:val="00787D5A"/>
    <w:rsid w:val="00790064"/>
    <w:rsid w:val="00790543"/>
    <w:rsid w:val="00790551"/>
    <w:rsid w:val="007906C4"/>
    <w:rsid w:val="0079076C"/>
    <w:rsid w:val="007914C5"/>
    <w:rsid w:val="00791738"/>
    <w:rsid w:val="00791934"/>
    <w:rsid w:val="00791A8C"/>
    <w:rsid w:val="00791C52"/>
    <w:rsid w:val="00791E0A"/>
    <w:rsid w:val="00791FEA"/>
    <w:rsid w:val="00792046"/>
    <w:rsid w:val="00792077"/>
    <w:rsid w:val="00792525"/>
    <w:rsid w:val="00792A64"/>
    <w:rsid w:val="00792CBE"/>
    <w:rsid w:val="00793660"/>
    <w:rsid w:val="00793737"/>
    <w:rsid w:val="00793DF5"/>
    <w:rsid w:val="007940EA"/>
    <w:rsid w:val="00794205"/>
    <w:rsid w:val="0079445C"/>
    <w:rsid w:val="00794C60"/>
    <w:rsid w:val="00794DBA"/>
    <w:rsid w:val="00794DDF"/>
    <w:rsid w:val="00794EF9"/>
    <w:rsid w:val="0079545A"/>
    <w:rsid w:val="00795CA0"/>
    <w:rsid w:val="00796293"/>
    <w:rsid w:val="007962E3"/>
    <w:rsid w:val="007967E8"/>
    <w:rsid w:val="00796D43"/>
    <w:rsid w:val="007971F6"/>
    <w:rsid w:val="00797318"/>
    <w:rsid w:val="007973EC"/>
    <w:rsid w:val="007976BF"/>
    <w:rsid w:val="007976DC"/>
    <w:rsid w:val="007977AB"/>
    <w:rsid w:val="00797A31"/>
    <w:rsid w:val="00797D92"/>
    <w:rsid w:val="007A0F45"/>
    <w:rsid w:val="007A1127"/>
    <w:rsid w:val="007A1173"/>
    <w:rsid w:val="007A1ACF"/>
    <w:rsid w:val="007A2170"/>
    <w:rsid w:val="007A22BF"/>
    <w:rsid w:val="007A24E9"/>
    <w:rsid w:val="007A2C30"/>
    <w:rsid w:val="007A2F07"/>
    <w:rsid w:val="007A3264"/>
    <w:rsid w:val="007A3323"/>
    <w:rsid w:val="007A3766"/>
    <w:rsid w:val="007A38EB"/>
    <w:rsid w:val="007A3B4D"/>
    <w:rsid w:val="007A46AF"/>
    <w:rsid w:val="007A4AAD"/>
    <w:rsid w:val="007A4AF4"/>
    <w:rsid w:val="007A4C30"/>
    <w:rsid w:val="007A51DD"/>
    <w:rsid w:val="007A530F"/>
    <w:rsid w:val="007A55AA"/>
    <w:rsid w:val="007A5809"/>
    <w:rsid w:val="007A5AA6"/>
    <w:rsid w:val="007A5BCC"/>
    <w:rsid w:val="007A5C9B"/>
    <w:rsid w:val="007A63F3"/>
    <w:rsid w:val="007A650A"/>
    <w:rsid w:val="007A66D6"/>
    <w:rsid w:val="007A681B"/>
    <w:rsid w:val="007A6922"/>
    <w:rsid w:val="007A69A0"/>
    <w:rsid w:val="007A6F9F"/>
    <w:rsid w:val="007A7251"/>
    <w:rsid w:val="007A73E4"/>
    <w:rsid w:val="007A7448"/>
    <w:rsid w:val="007A74E9"/>
    <w:rsid w:val="007A759D"/>
    <w:rsid w:val="007A76A3"/>
    <w:rsid w:val="007A7D3D"/>
    <w:rsid w:val="007A7F89"/>
    <w:rsid w:val="007B0249"/>
    <w:rsid w:val="007B044C"/>
    <w:rsid w:val="007B0FA7"/>
    <w:rsid w:val="007B168C"/>
    <w:rsid w:val="007B1D6C"/>
    <w:rsid w:val="007B28AE"/>
    <w:rsid w:val="007B2AF0"/>
    <w:rsid w:val="007B33DD"/>
    <w:rsid w:val="007B3C62"/>
    <w:rsid w:val="007B4398"/>
    <w:rsid w:val="007B481F"/>
    <w:rsid w:val="007B57B7"/>
    <w:rsid w:val="007B5B3C"/>
    <w:rsid w:val="007B6883"/>
    <w:rsid w:val="007B6EFB"/>
    <w:rsid w:val="007B6F4E"/>
    <w:rsid w:val="007B7072"/>
    <w:rsid w:val="007B71F5"/>
    <w:rsid w:val="007B724F"/>
    <w:rsid w:val="007B72B8"/>
    <w:rsid w:val="007B74CC"/>
    <w:rsid w:val="007B7A58"/>
    <w:rsid w:val="007B7CC2"/>
    <w:rsid w:val="007C07EB"/>
    <w:rsid w:val="007C07FC"/>
    <w:rsid w:val="007C0828"/>
    <w:rsid w:val="007C0AA9"/>
    <w:rsid w:val="007C0AD1"/>
    <w:rsid w:val="007C14AE"/>
    <w:rsid w:val="007C1938"/>
    <w:rsid w:val="007C1D8B"/>
    <w:rsid w:val="007C21B5"/>
    <w:rsid w:val="007C2388"/>
    <w:rsid w:val="007C2C73"/>
    <w:rsid w:val="007C2D2E"/>
    <w:rsid w:val="007C2EF1"/>
    <w:rsid w:val="007C3202"/>
    <w:rsid w:val="007C3A04"/>
    <w:rsid w:val="007C3B16"/>
    <w:rsid w:val="007C3B9D"/>
    <w:rsid w:val="007C4738"/>
    <w:rsid w:val="007C48F1"/>
    <w:rsid w:val="007C4D9F"/>
    <w:rsid w:val="007C52EC"/>
    <w:rsid w:val="007C5B0B"/>
    <w:rsid w:val="007C5FFA"/>
    <w:rsid w:val="007C608A"/>
    <w:rsid w:val="007C617B"/>
    <w:rsid w:val="007C644C"/>
    <w:rsid w:val="007C6798"/>
    <w:rsid w:val="007C6FC4"/>
    <w:rsid w:val="007C7672"/>
    <w:rsid w:val="007C767E"/>
    <w:rsid w:val="007C7A55"/>
    <w:rsid w:val="007D073F"/>
    <w:rsid w:val="007D07D0"/>
    <w:rsid w:val="007D106B"/>
    <w:rsid w:val="007D13CA"/>
    <w:rsid w:val="007D15DE"/>
    <w:rsid w:val="007D1859"/>
    <w:rsid w:val="007D216A"/>
    <w:rsid w:val="007D232F"/>
    <w:rsid w:val="007D237F"/>
    <w:rsid w:val="007D2936"/>
    <w:rsid w:val="007D2A8A"/>
    <w:rsid w:val="007D2C92"/>
    <w:rsid w:val="007D34A9"/>
    <w:rsid w:val="007D3519"/>
    <w:rsid w:val="007D4314"/>
    <w:rsid w:val="007D4481"/>
    <w:rsid w:val="007D449D"/>
    <w:rsid w:val="007D46F7"/>
    <w:rsid w:val="007D4777"/>
    <w:rsid w:val="007D4B34"/>
    <w:rsid w:val="007D4D02"/>
    <w:rsid w:val="007D4E66"/>
    <w:rsid w:val="007D5356"/>
    <w:rsid w:val="007D5544"/>
    <w:rsid w:val="007D592F"/>
    <w:rsid w:val="007D59BE"/>
    <w:rsid w:val="007D5DB4"/>
    <w:rsid w:val="007D6E1B"/>
    <w:rsid w:val="007D71B9"/>
    <w:rsid w:val="007E0090"/>
    <w:rsid w:val="007E0743"/>
    <w:rsid w:val="007E0C1E"/>
    <w:rsid w:val="007E1360"/>
    <w:rsid w:val="007E185F"/>
    <w:rsid w:val="007E29FC"/>
    <w:rsid w:val="007E382D"/>
    <w:rsid w:val="007E3BA4"/>
    <w:rsid w:val="007E45F7"/>
    <w:rsid w:val="007E4A16"/>
    <w:rsid w:val="007E4BD2"/>
    <w:rsid w:val="007E51E7"/>
    <w:rsid w:val="007E5A3B"/>
    <w:rsid w:val="007E6254"/>
    <w:rsid w:val="007E67E8"/>
    <w:rsid w:val="007E6E23"/>
    <w:rsid w:val="007E700F"/>
    <w:rsid w:val="007E7634"/>
    <w:rsid w:val="007E76E8"/>
    <w:rsid w:val="007E78AB"/>
    <w:rsid w:val="007E795F"/>
    <w:rsid w:val="007E7B1B"/>
    <w:rsid w:val="007F026E"/>
    <w:rsid w:val="007F046C"/>
    <w:rsid w:val="007F0670"/>
    <w:rsid w:val="007F07AC"/>
    <w:rsid w:val="007F0ECD"/>
    <w:rsid w:val="007F112E"/>
    <w:rsid w:val="007F1B32"/>
    <w:rsid w:val="007F1F80"/>
    <w:rsid w:val="007F26EA"/>
    <w:rsid w:val="007F2E15"/>
    <w:rsid w:val="007F2F00"/>
    <w:rsid w:val="007F30DF"/>
    <w:rsid w:val="007F384F"/>
    <w:rsid w:val="007F3FED"/>
    <w:rsid w:val="007F406E"/>
    <w:rsid w:val="007F42F5"/>
    <w:rsid w:val="007F4A86"/>
    <w:rsid w:val="007F4FA6"/>
    <w:rsid w:val="007F5B76"/>
    <w:rsid w:val="007F657C"/>
    <w:rsid w:val="007F6679"/>
    <w:rsid w:val="007F6BDC"/>
    <w:rsid w:val="007F70A1"/>
    <w:rsid w:val="007F75AF"/>
    <w:rsid w:val="007F7F62"/>
    <w:rsid w:val="008009CA"/>
    <w:rsid w:val="00800AED"/>
    <w:rsid w:val="00801074"/>
    <w:rsid w:val="00801393"/>
    <w:rsid w:val="0080211A"/>
    <w:rsid w:val="00802200"/>
    <w:rsid w:val="0080235B"/>
    <w:rsid w:val="00802DE2"/>
    <w:rsid w:val="00802F88"/>
    <w:rsid w:val="00802FD1"/>
    <w:rsid w:val="0080422B"/>
    <w:rsid w:val="00804289"/>
    <w:rsid w:val="008046C0"/>
    <w:rsid w:val="008048B1"/>
    <w:rsid w:val="00804A62"/>
    <w:rsid w:val="00804B61"/>
    <w:rsid w:val="00804B6B"/>
    <w:rsid w:val="00804E4F"/>
    <w:rsid w:val="00804F66"/>
    <w:rsid w:val="00805139"/>
    <w:rsid w:val="0080527B"/>
    <w:rsid w:val="008052D7"/>
    <w:rsid w:val="00805643"/>
    <w:rsid w:val="0080579E"/>
    <w:rsid w:val="008061C0"/>
    <w:rsid w:val="008063BC"/>
    <w:rsid w:val="00806749"/>
    <w:rsid w:val="008067F5"/>
    <w:rsid w:val="00806A4C"/>
    <w:rsid w:val="00806AFF"/>
    <w:rsid w:val="00806DB9"/>
    <w:rsid w:val="00807103"/>
    <w:rsid w:val="00807550"/>
    <w:rsid w:val="008079C6"/>
    <w:rsid w:val="00807A54"/>
    <w:rsid w:val="00807ED9"/>
    <w:rsid w:val="00807FEC"/>
    <w:rsid w:val="008101A5"/>
    <w:rsid w:val="00810395"/>
    <w:rsid w:val="008103D3"/>
    <w:rsid w:val="008107C0"/>
    <w:rsid w:val="00810892"/>
    <w:rsid w:val="00810A6D"/>
    <w:rsid w:val="0081131B"/>
    <w:rsid w:val="00811796"/>
    <w:rsid w:val="00811BCA"/>
    <w:rsid w:val="008120E4"/>
    <w:rsid w:val="0081293E"/>
    <w:rsid w:val="00812CF7"/>
    <w:rsid w:val="0081301D"/>
    <w:rsid w:val="008135FE"/>
    <w:rsid w:val="00813B98"/>
    <w:rsid w:val="008148CE"/>
    <w:rsid w:val="00814A32"/>
    <w:rsid w:val="00814B15"/>
    <w:rsid w:val="00815204"/>
    <w:rsid w:val="00815382"/>
    <w:rsid w:val="008153A7"/>
    <w:rsid w:val="00815465"/>
    <w:rsid w:val="00815479"/>
    <w:rsid w:val="0081579E"/>
    <w:rsid w:val="008159D4"/>
    <w:rsid w:val="00815AFD"/>
    <w:rsid w:val="0081640B"/>
    <w:rsid w:val="0081674B"/>
    <w:rsid w:val="008168D1"/>
    <w:rsid w:val="00816E51"/>
    <w:rsid w:val="008171F1"/>
    <w:rsid w:val="00817A42"/>
    <w:rsid w:val="00817C88"/>
    <w:rsid w:val="00817E38"/>
    <w:rsid w:val="00817E9A"/>
    <w:rsid w:val="0082002E"/>
    <w:rsid w:val="00820565"/>
    <w:rsid w:val="00821094"/>
    <w:rsid w:val="0082113C"/>
    <w:rsid w:val="00821792"/>
    <w:rsid w:val="0082201F"/>
    <w:rsid w:val="00822025"/>
    <w:rsid w:val="008223A9"/>
    <w:rsid w:val="00822623"/>
    <w:rsid w:val="0082322A"/>
    <w:rsid w:val="0082351A"/>
    <w:rsid w:val="00823FB5"/>
    <w:rsid w:val="008243AC"/>
    <w:rsid w:val="00824403"/>
    <w:rsid w:val="00824F73"/>
    <w:rsid w:val="008253A9"/>
    <w:rsid w:val="008256FC"/>
    <w:rsid w:val="00825880"/>
    <w:rsid w:val="00825942"/>
    <w:rsid w:val="00825DB4"/>
    <w:rsid w:val="00825F33"/>
    <w:rsid w:val="00826306"/>
    <w:rsid w:val="00826BE3"/>
    <w:rsid w:val="00826D45"/>
    <w:rsid w:val="00826D8F"/>
    <w:rsid w:val="00826FD1"/>
    <w:rsid w:val="0082792B"/>
    <w:rsid w:val="008302AE"/>
    <w:rsid w:val="008305A6"/>
    <w:rsid w:val="008306BD"/>
    <w:rsid w:val="00830A61"/>
    <w:rsid w:val="00830FA2"/>
    <w:rsid w:val="00831604"/>
    <w:rsid w:val="00831711"/>
    <w:rsid w:val="00831A80"/>
    <w:rsid w:val="00831B05"/>
    <w:rsid w:val="00831D9E"/>
    <w:rsid w:val="008329F6"/>
    <w:rsid w:val="00832D6B"/>
    <w:rsid w:val="00832E71"/>
    <w:rsid w:val="00832E81"/>
    <w:rsid w:val="0083307E"/>
    <w:rsid w:val="008330F3"/>
    <w:rsid w:val="0083331F"/>
    <w:rsid w:val="00833743"/>
    <w:rsid w:val="00833876"/>
    <w:rsid w:val="008340A4"/>
    <w:rsid w:val="00834100"/>
    <w:rsid w:val="00834342"/>
    <w:rsid w:val="008343BC"/>
    <w:rsid w:val="00834A35"/>
    <w:rsid w:val="00834E90"/>
    <w:rsid w:val="00835A3C"/>
    <w:rsid w:val="00835B42"/>
    <w:rsid w:val="008360B6"/>
    <w:rsid w:val="00836372"/>
    <w:rsid w:val="00836397"/>
    <w:rsid w:val="0083680E"/>
    <w:rsid w:val="00836F8A"/>
    <w:rsid w:val="00837066"/>
    <w:rsid w:val="00837D83"/>
    <w:rsid w:val="008401CB"/>
    <w:rsid w:val="00840C48"/>
    <w:rsid w:val="00840D56"/>
    <w:rsid w:val="0084157E"/>
    <w:rsid w:val="00841B48"/>
    <w:rsid w:val="00841DE5"/>
    <w:rsid w:val="008427BC"/>
    <w:rsid w:val="00842818"/>
    <w:rsid w:val="00842846"/>
    <w:rsid w:val="00842CBD"/>
    <w:rsid w:val="00842D3A"/>
    <w:rsid w:val="00842FAB"/>
    <w:rsid w:val="00843729"/>
    <w:rsid w:val="00843914"/>
    <w:rsid w:val="008442A1"/>
    <w:rsid w:val="00844840"/>
    <w:rsid w:val="0084493B"/>
    <w:rsid w:val="00844C93"/>
    <w:rsid w:val="008457E9"/>
    <w:rsid w:val="00845994"/>
    <w:rsid w:val="00845E5F"/>
    <w:rsid w:val="008467A9"/>
    <w:rsid w:val="0084692B"/>
    <w:rsid w:val="0084782F"/>
    <w:rsid w:val="00847957"/>
    <w:rsid w:val="008479E8"/>
    <w:rsid w:val="008501CA"/>
    <w:rsid w:val="008506FD"/>
    <w:rsid w:val="00850715"/>
    <w:rsid w:val="00850ED6"/>
    <w:rsid w:val="00851332"/>
    <w:rsid w:val="00851B4B"/>
    <w:rsid w:val="00851DF0"/>
    <w:rsid w:val="00852100"/>
    <w:rsid w:val="008521B2"/>
    <w:rsid w:val="0085258D"/>
    <w:rsid w:val="0085259B"/>
    <w:rsid w:val="00852754"/>
    <w:rsid w:val="0085277A"/>
    <w:rsid w:val="00852E22"/>
    <w:rsid w:val="00852F63"/>
    <w:rsid w:val="00853883"/>
    <w:rsid w:val="00853B5F"/>
    <w:rsid w:val="00853E94"/>
    <w:rsid w:val="00853F52"/>
    <w:rsid w:val="0085419F"/>
    <w:rsid w:val="008543D1"/>
    <w:rsid w:val="008546A8"/>
    <w:rsid w:val="008549D5"/>
    <w:rsid w:val="00854FAD"/>
    <w:rsid w:val="0085544B"/>
    <w:rsid w:val="00855DC2"/>
    <w:rsid w:val="00856A16"/>
    <w:rsid w:val="00856EBE"/>
    <w:rsid w:val="00856F67"/>
    <w:rsid w:val="00857D3F"/>
    <w:rsid w:val="00857D5C"/>
    <w:rsid w:val="00860037"/>
    <w:rsid w:val="008604AD"/>
    <w:rsid w:val="008605FA"/>
    <w:rsid w:val="008613F5"/>
    <w:rsid w:val="00861506"/>
    <w:rsid w:val="0086151D"/>
    <w:rsid w:val="00861DE6"/>
    <w:rsid w:val="00861E2C"/>
    <w:rsid w:val="008621EB"/>
    <w:rsid w:val="00862295"/>
    <w:rsid w:val="008634DD"/>
    <w:rsid w:val="0086377A"/>
    <w:rsid w:val="00864087"/>
    <w:rsid w:val="00864438"/>
    <w:rsid w:val="0086560C"/>
    <w:rsid w:val="00865755"/>
    <w:rsid w:val="00865793"/>
    <w:rsid w:val="00865DEC"/>
    <w:rsid w:val="008664BA"/>
    <w:rsid w:val="00866B00"/>
    <w:rsid w:val="008670E8"/>
    <w:rsid w:val="0086721C"/>
    <w:rsid w:val="0086765B"/>
    <w:rsid w:val="0086797D"/>
    <w:rsid w:val="00867F6D"/>
    <w:rsid w:val="00870049"/>
    <w:rsid w:val="00870273"/>
    <w:rsid w:val="00870589"/>
    <w:rsid w:val="008707D5"/>
    <w:rsid w:val="00870A61"/>
    <w:rsid w:val="00870C18"/>
    <w:rsid w:val="00871213"/>
    <w:rsid w:val="0087123B"/>
    <w:rsid w:val="0087135F"/>
    <w:rsid w:val="00871A95"/>
    <w:rsid w:val="008728A0"/>
    <w:rsid w:val="00872D2E"/>
    <w:rsid w:val="00872D94"/>
    <w:rsid w:val="00872EAE"/>
    <w:rsid w:val="00873143"/>
    <w:rsid w:val="008734E0"/>
    <w:rsid w:val="008738C4"/>
    <w:rsid w:val="00873B4F"/>
    <w:rsid w:val="008746E9"/>
    <w:rsid w:val="0087484F"/>
    <w:rsid w:val="00874AF9"/>
    <w:rsid w:val="00874E46"/>
    <w:rsid w:val="008750A1"/>
    <w:rsid w:val="008751F8"/>
    <w:rsid w:val="0087567C"/>
    <w:rsid w:val="00875843"/>
    <w:rsid w:val="00875E03"/>
    <w:rsid w:val="00876408"/>
    <w:rsid w:val="00876983"/>
    <w:rsid w:val="00876D91"/>
    <w:rsid w:val="00877422"/>
    <w:rsid w:val="00877567"/>
    <w:rsid w:val="00877E89"/>
    <w:rsid w:val="00877EEE"/>
    <w:rsid w:val="0088016D"/>
    <w:rsid w:val="00880364"/>
    <w:rsid w:val="00880D5E"/>
    <w:rsid w:val="00880E88"/>
    <w:rsid w:val="00881738"/>
    <w:rsid w:val="00881BB1"/>
    <w:rsid w:val="00881F5A"/>
    <w:rsid w:val="00882090"/>
    <w:rsid w:val="00882494"/>
    <w:rsid w:val="00883354"/>
    <w:rsid w:val="0088366B"/>
    <w:rsid w:val="00883966"/>
    <w:rsid w:val="008840A7"/>
    <w:rsid w:val="008845E0"/>
    <w:rsid w:val="00884A34"/>
    <w:rsid w:val="00884CE5"/>
    <w:rsid w:val="00884D22"/>
    <w:rsid w:val="00884EC6"/>
    <w:rsid w:val="0088501B"/>
    <w:rsid w:val="008852D6"/>
    <w:rsid w:val="008855F1"/>
    <w:rsid w:val="00885751"/>
    <w:rsid w:val="0088611D"/>
    <w:rsid w:val="00886B63"/>
    <w:rsid w:val="00886E2B"/>
    <w:rsid w:val="00887371"/>
    <w:rsid w:val="0089012D"/>
    <w:rsid w:val="0089054F"/>
    <w:rsid w:val="0089098D"/>
    <w:rsid w:val="00890E80"/>
    <w:rsid w:val="00891592"/>
    <w:rsid w:val="00891668"/>
    <w:rsid w:val="0089166E"/>
    <w:rsid w:val="00891AF0"/>
    <w:rsid w:val="00891BF8"/>
    <w:rsid w:val="00891E75"/>
    <w:rsid w:val="00891E9E"/>
    <w:rsid w:val="0089217E"/>
    <w:rsid w:val="00892B98"/>
    <w:rsid w:val="008930A7"/>
    <w:rsid w:val="00893698"/>
    <w:rsid w:val="008936F7"/>
    <w:rsid w:val="00894202"/>
    <w:rsid w:val="008942C5"/>
    <w:rsid w:val="008946C0"/>
    <w:rsid w:val="00894976"/>
    <w:rsid w:val="00895232"/>
    <w:rsid w:val="008953A4"/>
    <w:rsid w:val="008957C3"/>
    <w:rsid w:val="00895D1F"/>
    <w:rsid w:val="00895EC8"/>
    <w:rsid w:val="00896097"/>
    <w:rsid w:val="008963BE"/>
    <w:rsid w:val="00896F16"/>
    <w:rsid w:val="00897699"/>
    <w:rsid w:val="008A03D3"/>
    <w:rsid w:val="008A0D3A"/>
    <w:rsid w:val="008A15B5"/>
    <w:rsid w:val="008A19A7"/>
    <w:rsid w:val="008A2B14"/>
    <w:rsid w:val="008A2D4E"/>
    <w:rsid w:val="008A2F68"/>
    <w:rsid w:val="008A3019"/>
    <w:rsid w:val="008A316F"/>
    <w:rsid w:val="008A34AB"/>
    <w:rsid w:val="008A35DF"/>
    <w:rsid w:val="008A40D0"/>
    <w:rsid w:val="008A4125"/>
    <w:rsid w:val="008A424A"/>
    <w:rsid w:val="008A4CA1"/>
    <w:rsid w:val="008A4E79"/>
    <w:rsid w:val="008A5154"/>
    <w:rsid w:val="008A51E3"/>
    <w:rsid w:val="008A5234"/>
    <w:rsid w:val="008A5754"/>
    <w:rsid w:val="008A575D"/>
    <w:rsid w:val="008A6702"/>
    <w:rsid w:val="008A6704"/>
    <w:rsid w:val="008A684E"/>
    <w:rsid w:val="008A74FB"/>
    <w:rsid w:val="008A7580"/>
    <w:rsid w:val="008A7697"/>
    <w:rsid w:val="008A79FB"/>
    <w:rsid w:val="008B007D"/>
    <w:rsid w:val="008B0B51"/>
    <w:rsid w:val="008B0CB1"/>
    <w:rsid w:val="008B0F79"/>
    <w:rsid w:val="008B197C"/>
    <w:rsid w:val="008B1BD9"/>
    <w:rsid w:val="008B234C"/>
    <w:rsid w:val="008B320A"/>
    <w:rsid w:val="008B3484"/>
    <w:rsid w:val="008B388E"/>
    <w:rsid w:val="008B38FD"/>
    <w:rsid w:val="008B3DF1"/>
    <w:rsid w:val="008B402E"/>
    <w:rsid w:val="008B4716"/>
    <w:rsid w:val="008B4A47"/>
    <w:rsid w:val="008B4DE6"/>
    <w:rsid w:val="008B4FA6"/>
    <w:rsid w:val="008B5009"/>
    <w:rsid w:val="008B5282"/>
    <w:rsid w:val="008B542C"/>
    <w:rsid w:val="008B54B6"/>
    <w:rsid w:val="008B54D3"/>
    <w:rsid w:val="008B5F0B"/>
    <w:rsid w:val="008B607E"/>
    <w:rsid w:val="008B6724"/>
    <w:rsid w:val="008B6B19"/>
    <w:rsid w:val="008B7089"/>
    <w:rsid w:val="008B71CA"/>
    <w:rsid w:val="008B7516"/>
    <w:rsid w:val="008B77FA"/>
    <w:rsid w:val="008B7893"/>
    <w:rsid w:val="008B7C17"/>
    <w:rsid w:val="008C09B1"/>
    <w:rsid w:val="008C0C8F"/>
    <w:rsid w:val="008C0DBE"/>
    <w:rsid w:val="008C0DF6"/>
    <w:rsid w:val="008C2145"/>
    <w:rsid w:val="008C21F5"/>
    <w:rsid w:val="008C262D"/>
    <w:rsid w:val="008C2841"/>
    <w:rsid w:val="008C2D01"/>
    <w:rsid w:val="008C366B"/>
    <w:rsid w:val="008C369A"/>
    <w:rsid w:val="008C3AB8"/>
    <w:rsid w:val="008C40A4"/>
    <w:rsid w:val="008C40E6"/>
    <w:rsid w:val="008C431F"/>
    <w:rsid w:val="008C43F8"/>
    <w:rsid w:val="008C4AFD"/>
    <w:rsid w:val="008C589A"/>
    <w:rsid w:val="008C59E3"/>
    <w:rsid w:val="008C5B25"/>
    <w:rsid w:val="008C6109"/>
    <w:rsid w:val="008C62D1"/>
    <w:rsid w:val="008C6C4A"/>
    <w:rsid w:val="008C6F2D"/>
    <w:rsid w:val="008C74E9"/>
    <w:rsid w:val="008C7563"/>
    <w:rsid w:val="008C76AD"/>
    <w:rsid w:val="008D02F9"/>
    <w:rsid w:val="008D0451"/>
    <w:rsid w:val="008D065F"/>
    <w:rsid w:val="008D0DBC"/>
    <w:rsid w:val="008D0F7A"/>
    <w:rsid w:val="008D185C"/>
    <w:rsid w:val="008D1E47"/>
    <w:rsid w:val="008D1E73"/>
    <w:rsid w:val="008D2024"/>
    <w:rsid w:val="008D227F"/>
    <w:rsid w:val="008D27A5"/>
    <w:rsid w:val="008D28B0"/>
    <w:rsid w:val="008D28E1"/>
    <w:rsid w:val="008D2C73"/>
    <w:rsid w:val="008D39F5"/>
    <w:rsid w:val="008D3FF7"/>
    <w:rsid w:val="008D4468"/>
    <w:rsid w:val="008D47C2"/>
    <w:rsid w:val="008D4B0E"/>
    <w:rsid w:val="008D5C6B"/>
    <w:rsid w:val="008D5CC9"/>
    <w:rsid w:val="008D5FE9"/>
    <w:rsid w:val="008D67D6"/>
    <w:rsid w:val="008D68E4"/>
    <w:rsid w:val="008D6A36"/>
    <w:rsid w:val="008D706C"/>
    <w:rsid w:val="008D70A8"/>
    <w:rsid w:val="008D7388"/>
    <w:rsid w:val="008D74EE"/>
    <w:rsid w:val="008D786D"/>
    <w:rsid w:val="008D7CCA"/>
    <w:rsid w:val="008E022C"/>
    <w:rsid w:val="008E034B"/>
    <w:rsid w:val="008E03FC"/>
    <w:rsid w:val="008E0506"/>
    <w:rsid w:val="008E0805"/>
    <w:rsid w:val="008E08BA"/>
    <w:rsid w:val="008E0937"/>
    <w:rsid w:val="008E0CFF"/>
    <w:rsid w:val="008E1389"/>
    <w:rsid w:val="008E1BC8"/>
    <w:rsid w:val="008E1EDC"/>
    <w:rsid w:val="008E21E9"/>
    <w:rsid w:val="008E22C3"/>
    <w:rsid w:val="008E24C2"/>
    <w:rsid w:val="008E28AE"/>
    <w:rsid w:val="008E2CCB"/>
    <w:rsid w:val="008E30E1"/>
    <w:rsid w:val="008E3100"/>
    <w:rsid w:val="008E35DA"/>
    <w:rsid w:val="008E36D8"/>
    <w:rsid w:val="008E3A25"/>
    <w:rsid w:val="008E4033"/>
    <w:rsid w:val="008E4037"/>
    <w:rsid w:val="008E40E3"/>
    <w:rsid w:val="008E4363"/>
    <w:rsid w:val="008E4450"/>
    <w:rsid w:val="008E4E34"/>
    <w:rsid w:val="008E51F3"/>
    <w:rsid w:val="008E533B"/>
    <w:rsid w:val="008E5D6B"/>
    <w:rsid w:val="008E5DDB"/>
    <w:rsid w:val="008E5E41"/>
    <w:rsid w:val="008E5E64"/>
    <w:rsid w:val="008E5FCB"/>
    <w:rsid w:val="008E60A3"/>
    <w:rsid w:val="008E6301"/>
    <w:rsid w:val="008E6547"/>
    <w:rsid w:val="008E6898"/>
    <w:rsid w:val="008E6A41"/>
    <w:rsid w:val="008E7268"/>
    <w:rsid w:val="008E7343"/>
    <w:rsid w:val="008E76F0"/>
    <w:rsid w:val="008E792B"/>
    <w:rsid w:val="008F0051"/>
    <w:rsid w:val="008F0233"/>
    <w:rsid w:val="008F080F"/>
    <w:rsid w:val="008F0924"/>
    <w:rsid w:val="008F0BB1"/>
    <w:rsid w:val="008F0D29"/>
    <w:rsid w:val="008F0FBC"/>
    <w:rsid w:val="008F15FE"/>
    <w:rsid w:val="008F1632"/>
    <w:rsid w:val="008F1A0F"/>
    <w:rsid w:val="008F1B2A"/>
    <w:rsid w:val="008F23B3"/>
    <w:rsid w:val="008F2D29"/>
    <w:rsid w:val="008F30C8"/>
    <w:rsid w:val="008F3241"/>
    <w:rsid w:val="008F35B4"/>
    <w:rsid w:val="008F3CE3"/>
    <w:rsid w:val="008F3DCC"/>
    <w:rsid w:val="008F41B0"/>
    <w:rsid w:val="008F4415"/>
    <w:rsid w:val="008F4A13"/>
    <w:rsid w:val="008F4CF4"/>
    <w:rsid w:val="008F4DFD"/>
    <w:rsid w:val="008F5029"/>
    <w:rsid w:val="008F5187"/>
    <w:rsid w:val="008F58B4"/>
    <w:rsid w:val="008F5A28"/>
    <w:rsid w:val="008F60D8"/>
    <w:rsid w:val="008F61D2"/>
    <w:rsid w:val="008F6212"/>
    <w:rsid w:val="008F6213"/>
    <w:rsid w:val="008F75E7"/>
    <w:rsid w:val="008F76CA"/>
    <w:rsid w:val="008F78B8"/>
    <w:rsid w:val="008F7934"/>
    <w:rsid w:val="008F7DE0"/>
    <w:rsid w:val="008F7E11"/>
    <w:rsid w:val="00900130"/>
    <w:rsid w:val="009003C3"/>
    <w:rsid w:val="00900896"/>
    <w:rsid w:val="00900DC1"/>
    <w:rsid w:val="00900FDE"/>
    <w:rsid w:val="00901ECC"/>
    <w:rsid w:val="00902077"/>
    <w:rsid w:val="00902727"/>
    <w:rsid w:val="0090312B"/>
    <w:rsid w:val="009032D8"/>
    <w:rsid w:val="009039FC"/>
    <w:rsid w:val="00903A59"/>
    <w:rsid w:val="00903C17"/>
    <w:rsid w:val="00904149"/>
    <w:rsid w:val="00904270"/>
    <w:rsid w:val="0090432C"/>
    <w:rsid w:val="0090451E"/>
    <w:rsid w:val="00904FB2"/>
    <w:rsid w:val="00905239"/>
    <w:rsid w:val="00905264"/>
    <w:rsid w:val="00905306"/>
    <w:rsid w:val="009060E9"/>
    <w:rsid w:val="00906142"/>
    <w:rsid w:val="0090658F"/>
    <w:rsid w:val="00906AC4"/>
    <w:rsid w:val="0090713A"/>
    <w:rsid w:val="009074AD"/>
    <w:rsid w:val="0090778F"/>
    <w:rsid w:val="00907C2D"/>
    <w:rsid w:val="00907C78"/>
    <w:rsid w:val="00907D99"/>
    <w:rsid w:val="009104C4"/>
    <w:rsid w:val="009114E8"/>
    <w:rsid w:val="00911688"/>
    <w:rsid w:val="00911EC4"/>
    <w:rsid w:val="009125DD"/>
    <w:rsid w:val="00912622"/>
    <w:rsid w:val="009130BC"/>
    <w:rsid w:val="00913890"/>
    <w:rsid w:val="00914361"/>
    <w:rsid w:val="009145B7"/>
    <w:rsid w:val="00914640"/>
    <w:rsid w:val="00914928"/>
    <w:rsid w:val="009153C9"/>
    <w:rsid w:val="0091736D"/>
    <w:rsid w:val="009173A7"/>
    <w:rsid w:val="009174CD"/>
    <w:rsid w:val="00917D2F"/>
    <w:rsid w:val="0092013D"/>
    <w:rsid w:val="00920576"/>
    <w:rsid w:val="0092065E"/>
    <w:rsid w:val="00920AAE"/>
    <w:rsid w:val="00920CF7"/>
    <w:rsid w:val="00921122"/>
    <w:rsid w:val="00921380"/>
    <w:rsid w:val="009214D1"/>
    <w:rsid w:val="0092191C"/>
    <w:rsid w:val="00921A79"/>
    <w:rsid w:val="0092207B"/>
    <w:rsid w:val="00922124"/>
    <w:rsid w:val="00922252"/>
    <w:rsid w:val="00922276"/>
    <w:rsid w:val="009222A4"/>
    <w:rsid w:val="0092237C"/>
    <w:rsid w:val="00922679"/>
    <w:rsid w:val="00922BFA"/>
    <w:rsid w:val="00922FB4"/>
    <w:rsid w:val="009234C8"/>
    <w:rsid w:val="00923AF4"/>
    <w:rsid w:val="00923BD2"/>
    <w:rsid w:val="0092404A"/>
    <w:rsid w:val="0092426C"/>
    <w:rsid w:val="0092455D"/>
    <w:rsid w:val="00924928"/>
    <w:rsid w:val="009252E8"/>
    <w:rsid w:val="00925949"/>
    <w:rsid w:val="00926031"/>
    <w:rsid w:val="009261B7"/>
    <w:rsid w:val="00926431"/>
    <w:rsid w:val="00926800"/>
    <w:rsid w:val="00926C07"/>
    <w:rsid w:val="009273C0"/>
    <w:rsid w:val="00927528"/>
    <w:rsid w:val="009275B3"/>
    <w:rsid w:val="0092764C"/>
    <w:rsid w:val="009279AF"/>
    <w:rsid w:val="00927C16"/>
    <w:rsid w:val="0093036B"/>
    <w:rsid w:val="0093037A"/>
    <w:rsid w:val="0093037B"/>
    <w:rsid w:val="00930390"/>
    <w:rsid w:val="009305A4"/>
    <w:rsid w:val="009306CB"/>
    <w:rsid w:val="009307E8"/>
    <w:rsid w:val="009309F3"/>
    <w:rsid w:val="00930BBD"/>
    <w:rsid w:val="00930F0E"/>
    <w:rsid w:val="00931502"/>
    <w:rsid w:val="00931B8D"/>
    <w:rsid w:val="00931F2E"/>
    <w:rsid w:val="00932311"/>
    <w:rsid w:val="009323E6"/>
    <w:rsid w:val="00932889"/>
    <w:rsid w:val="0093297C"/>
    <w:rsid w:val="00932D85"/>
    <w:rsid w:val="00933E48"/>
    <w:rsid w:val="00934305"/>
    <w:rsid w:val="00934691"/>
    <w:rsid w:val="00934BB3"/>
    <w:rsid w:val="00935761"/>
    <w:rsid w:val="00935C3B"/>
    <w:rsid w:val="0093681F"/>
    <w:rsid w:val="0093691C"/>
    <w:rsid w:val="00936C29"/>
    <w:rsid w:val="00936F49"/>
    <w:rsid w:val="009371CB"/>
    <w:rsid w:val="009377D7"/>
    <w:rsid w:val="00937EDD"/>
    <w:rsid w:val="0094021D"/>
    <w:rsid w:val="00940541"/>
    <w:rsid w:val="009405EB"/>
    <w:rsid w:val="0094084E"/>
    <w:rsid w:val="00940856"/>
    <w:rsid w:val="00940F6A"/>
    <w:rsid w:val="00941119"/>
    <w:rsid w:val="0094154D"/>
    <w:rsid w:val="00941616"/>
    <w:rsid w:val="00941B28"/>
    <w:rsid w:val="009424F3"/>
    <w:rsid w:val="009425C5"/>
    <w:rsid w:val="009437B8"/>
    <w:rsid w:val="00943CAD"/>
    <w:rsid w:val="009442FF"/>
    <w:rsid w:val="009446E3"/>
    <w:rsid w:val="00944836"/>
    <w:rsid w:val="00945111"/>
    <w:rsid w:val="009451FF"/>
    <w:rsid w:val="00945AA3"/>
    <w:rsid w:val="0094605A"/>
    <w:rsid w:val="00946717"/>
    <w:rsid w:val="00946754"/>
    <w:rsid w:val="0094773C"/>
    <w:rsid w:val="009478A2"/>
    <w:rsid w:val="00947CCD"/>
    <w:rsid w:val="00950470"/>
    <w:rsid w:val="009504E2"/>
    <w:rsid w:val="0095060A"/>
    <w:rsid w:val="00950673"/>
    <w:rsid w:val="00950745"/>
    <w:rsid w:val="00950D1F"/>
    <w:rsid w:val="0095155F"/>
    <w:rsid w:val="00951A8C"/>
    <w:rsid w:val="00951F81"/>
    <w:rsid w:val="00952E1F"/>
    <w:rsid w:val="009535D8"/>
    <w:rsid w:val="00953E5F"/>
    <w:rsid w:val="009541A3"/>
    <w:rsid w:val="00954429"/>
    <w:rsid w:val="0095456B"/>
    <w:rsid w:val="00954C9E"/>
    <w:rsid w:val="00954EED"/>
    <w:rsid w:val="009556A5"/>
    <w:rsid w:val="009559C2"/>
    <w:rsid w:val="009559FD"/>
    <w:rsid w:val="00955D39"/>
    <w:rsid w:val="00955F28"/>
    <w:rsid w:val="009563CE"/>
    <w:rsid w:val="0095649C"/>
    <w:rsid w:val="009567D5"/>
    <w:rsid w:val="00956D8D"/>
    <w:rsid w:val="00956F67"/>
    <w:rsid w:val="0095731B"/>
    <w:rsid w:val="009579A9"/>
    <w:rsid w:val="00957AF3"/>
    <w:rsid w:val="00957C05"/>
    <w:rsid w:val="00960299"/>
    <w:rsid w:val="00960721"/>
    <w:rsid w:val="00960874"/>
    <w:rsid w:val="00960AAB"/>
    <w:rsid w:val="00960CC3"/>
    <w:rsid w:val="00960E2F"/>
    <w:rsid w:val="0096160D"/>
    <w:rsid w:val="00961628"/>
    <w:rsid w:val="00961920"/>
    <w:rsid w:val="00961E76"/>
    <w:rsid w:val="00962F64"/>
    <w:rsid w:val="009632CF"/>
    <w:rsid w:val="009636F0"/>
    <w:rsid w:val="0096400F"/>
    <w:rsid w:val="00964117"/>
    <w:rsid w:val="00964796"/>
    <w:rsid w:val="00964BEE"/>
    <w:rsid w:val="00964E1B"/>
    <w:rsid w:val="00964E6C"/>
    <w:rsid w:val="00964EDF"/>
    <w:rsid w:val="009654D5"/>
    <w:rsid w:val="009658AC"/>
    <w:rsid w:val="009662E9"/>
    <w:rsid w:val="00967114"/>
    <w:rsid w:val="00967420"/>
    <w:rsid w:val="00967426"/>
    <w:rsid w:val="009677FC"/>
    <w:rsid w:val="00967861"/>
    <w:rsid w:val="00967BCE"/>
    <w:rsid w:val="00967EAC"/>
    <w:rsid w:val="009704BA"/>
    <w:rsid w:val="00970828"/>
    <w:rsid w:val="00970851"/>
    <w:rsid w:val="00970A87"/>
    <w:rsid w:val="00971437"/>
    <w:rsid w:val="009715B8"/>
    <w:rsid w:val="00971A79"/>
    <w:rsid w:val="009720B0"/>
    <w:rsid w:val="00972282"/>
    <w:rsid w:val="009725C3"/>
    <w:rsid w:val="009726C1"/>
    <w:rsid w:val="0097270A"/>
    <w:rsid w:val="00972744"/>
    <w:rsid w:val="009728FC"/>
    <w:rsid w:val="00972995"/>
    <w:rsid w:val="00972AEE"/>
    <w:rsid w:val="00973295"/>
    <w:rsid w:val="009736C6"/>
    <w:rsid w:val="00973999"/>
    <w:rsid w:val="009739FA"/>
    <w:rsid w:val="00973AC8"/>
    <w:rsid w:val="00973C86"/>
    <w:rsid w:val="00973CCF"/>
    <w:rsid w:val="00974C0E"/>
    <w:rsid w:val="00974CB2"/>
    <w:rsid w:val="00974DB6"/>
    <w:rsid w:val="00974FC9"/>
    <w:rsid w:val="009750F3"/>
    <w:rsid w:val="00975360"/>
    <w:rsid w:val="00975D8D"/>
    <w:rsid w:val="009761DB"/>
    <w:rsid w:val="00976328"/>
    <w:rsid w:val="009765DF"/>
    <w:rsid w:val="0097680D"/>
    <w:rsid w:val="00976E9F"/>
    <w:rsid w:val="0097731F"/>
    <w:rsid w:val="00977968"/>
    <w:rsid w:val="00980609"/>
    <w:rsid w:val="009806D5"/>
    <w:rsid w:val="00980898"/>
    <w:rsid w:val="00980BCC"/>
    <w:rsid w:val="00980CEC"/>
    <w:rsid w:val="009814BA"/>
    <w:rsid w:val="00981799"/>
    <w:rsid w:val="00982438"/>
    <w:rsid w:val="009826D4"/>
    <w:rsid w:val="00983104"/>
    <w:rsid w:val="00983309"/>
    <w:rsid w:val="009835B5"/>
    <w:rsid w:val="00983AFC"/>
    <w:rsid w:val="00984018"/>
    <w:rsid w:val="0098404C"/>
    <w:rsid w:val="00984195"/>
    <w:rsid w:val="00984658"/>
    <w:rsid w:val="00984679"/>
    <w:rsid w:val="00984A22"/>
    <w:rsid w:val="00984AE7"/>
    <w:rsid w:val="00984CE7"/>
    <w:rsid w:val="00985283"/>
    <w:rsid w:val="00985945"/>
    <w:rsid w:val="0098649F"/>
    <w:rsid w:val="009867EF"/>
    <w:rsid w:val="0098681A"/>
    <w:rsid w:val="00986C77"/>
    <w:rsid w:val="00986D33"/>
    <w:rsid w:val="00986EB4"/>
    <w:rsid w:val="009870D6"/>
    <w:rsid w:val="009875C5"/>
    <w:rsid w:val="009876CA"/>
    <w:rsid w:val="00987C74"/>
    <w:rsid w:val="00987EDE"/>
    <w:rsid w:val="009900E2"/>
    <w:rsid w:val="00990806"/>
    <w:rsid w:val="009909C4"/>
    <w:rsid w:val="00990C5C"/>
    <w:rsid w:val="00990CC3"/>
    <w:rsid w:val="00991A90"/>
    <w:rsid w:val="00991DA0"/>
    <w:rsid w:val="00992AF0"/>
    <w:rsid w:val="00992BB6"/>
    <w:rsid w:val="00992FDC"/>
    <w:rsid w:val="0099385A"/>
    <w:rsid w:val="00993AA8"/>
    <w:rsid w:val="009941EB"/>
    <w:rsid w:val="0099433A"/>
    <w:rsid w:val="0099446B"/>
    <w:rsid w:val="00994559"/>
    <w:rsid w:val="00994B39"/>
    <w:rsid w:val="00995899"/>
    <w:rsid w:val="00995992"/>
    <w:rsid w:val="009961C6"/>
    <w:rsid w:val="009965D6"/>
    <w:rsid w:val="009976FE"/>
    <w:rsid w:val="00997767"/>
    <w:rsid w:val="00997AC7"/>
    <w:rsid w:val="00997B11"/>
    <w:rsid w:val="00997CC0"/>
    <w:rsid w:val="00997FB6"/>
    <w:rsid w:val="009A03E5"/>
    <w:rsid w:val="009A0BE8"/>
    <w:rsid w:val="009A0C99"/>
    <w:rsid w:val="009A0EEF"/>
    <w:rsid w:val="009A0F3B"/>
    <w:rsid w:val="009A0FCC"/>
    <w:rsid w:val="009A103B"/>
    <w:rsid w:val="009A1BB4"/>
    <w:rsid w:val="009A1D93"/>
    <w:rsid w:val="009A2628"/>
    <w:rsid w:val="009A2879"/>
    <w:rsid w:val="009A2D3A"/>
    <w:rsid w:val="009A310B"/>
    <w:rsid w:val="009A3192"/>
    <w:rsid w:val="009A31A4"/>
    <w:rsid w:val="009A31D9"/>
    <w:rsid w:val="009A31F2"/>
    <w:rsid w:val="009A3200"/>
    <w:rsid w:val="009A323D"/>
    <w:rsid w:val="009A399E"/>
    <w:rsid w:val="009A465E"/>
    <w:rsid w:val="009A4ADC"/>
    <w:rsid w:val="009A4E44"/>
    <w:rsid w:val="009A4F6D"/>
    <w:rsid w:val="009A6200"/>
    <w:rsid w:val="009A645E"/>
    <w:rsid w:val="009A657D"/>
    <w:rsid w:val="009A681D"/>
    <w:rsid w:val="009A6B3D"/>
    <w:rsid w:val="009A6CD6"/>
    <w:rsid w:val="009A726A"/>
    <w:rsid w:val="009A7642"/>
    <w:rsid w:val="009A79CA"/>
    <w:rsid w:val="009B0897"/>
    <w:rsid w:val="009B0B57"/>
    <w:rsid w:val="009B0D83"/>
    <w:rsid w:val="009B0E27"/>
    <w:rsid w:val="009B21C6"/>
    <w:rsid w:val="009B2A63"/>
    <w:rsid w:val="009B32A8"/>
    <w:rsid w:val="009B337D"/>
    <w:rsid w:val="009B3538"/>
    <w:rsid w:val="009B3979"/>
    <w:rsid w:val="009B3BDF"/>
    <w:rsid w:val="009B3FD8"/>
    <w:rsid w:val="009B43DE"/>
    <w:rsid w:val="009B4715"/>
    <w:rsid w:val="009B4792"/>
    <w:rsid w:val="009B47F1"/>
    <w:rsid w:val="009B4951"/>
    <w:rsid w:val="009B5097"/>
    <w:rsid w:val="009B54A4"/>
    <w:rsid w:val="009B5933"/>
    <w:rsid w:val="009B5DEF"/>
    <w:rsid w:val="009B614E"/>
    <w:rsid w:val="009B61C4"/>
    <w:rsid w:val="009B61C8"/>
    <w:rsid w:val="009B6532"/>
    <w:rsid w:val="009B6898"/>
    <w:rsid w:val="009B6AC1"/>
    <w:rsid w:val="009B6DC5"/>
    <w:rsid w:val="009B7BD9"/>
    <w:rsid w:val="009B7DFD"/>
    <w:rsid w:val="009C04CB"/>
    <w:rsid w:val="009C05BC"/>
    <w:rsid w:val="009C0763"/>
    <w:rsid w:val="009C1015"/>
    <w:rsid w:val="009C1371"/>
    <w:rsid w:val="009C1428"/>
    <w:rsid w:val="009C165B"/>
    <w:rsid w:val="009C1E6E"/>
    <w:rsid w:val="009C2034"/>
    <w:rsid w:val="009C2192"/>
    <w:rsid w:val="009C2719"/>
    <w:rsid w:val="009C2859"/>
    <w:rsid w:val="009C291A"/>
    <w:rsid w:val="009C2E78"/>
    <w:rsid w:val="009C321C"/>
    <w:rsid w:val="009C397A"/>
    <w:rsid w:val="009C3B56"/>
    <w:rsid w:val="009C3E6D"/>
    <w:rsid w:val="009C4068"/>
    <w:rsid w:val="009C460B"/>
    <w:rsid w:val="009C48D0"/>
    <w:rsid w:val="009C4BF0"/>
    <w:rsid w:val="009C5090"/>
    <w:rsid w:val="009C53A8"/>
    <w:rsid w:val="009C5491"/>
    <w:rsid w:val="009C577D"/>
    <w:rsid w:val="009C5932"/>
    <w:rsid w:val="009C5E77"/>
    <w:rsid w:val="009C61AD"/>
    <w:rsid w:val="009C6257"/>
    <w:rsid w:val="009C6883"/>
    <w:rsid w:val="009C68A3"/>
    <w:rsid w:val="009C721B"/>
    <w:rsid w:val="009C79A4"/>
    <w:rsid w:val="009C7D8F"/>
    <w:rsid w:val="009C7DD5"/>
    <w:rsid w:val="009D092D"/>
    <w:rsid w:val="009D0AC1"/>
    <w:rsid w:val="009D18F8"/>
    <w:rsid w:val="009D1C11"/>
    <w:rsid w:val="009D22D2"/>
    <w:rsid w:val="009D264D"/>
    <w:rsid w:val="009D27EB"/>
    <w:rsid w:val="009D2EE7"/>
    <w:rsid w:val="009D3510"/>
    <w:rsid w:val="009D3951"/>
    <w:rsid w:val="009D3C3E"/>
    <w:rsid w:val="009D4401"/>
    <w:rsid w:val="009D46D6"/>
    <w:rsid w:val="009D4E5B"/>
    <w:rsid w:val="009D4F7C"/>
    <w:rsid w:val="009D5AF7"/>
    <w:rsid w:val="009D5DB5"/>
    <w:rsid w:val="009D627C"/>
    <w:rsid w:val="009D6475"/>
    <w:rsid w:val="009D67AC"/>
    <w:rsid w:val="009D70A6"/>
    <w:rsid w:val="009D769A"/>
    <w:rsid w:val="009D79DF"/>
    <w:rsid w:val="009D7C85"/>
    <w:rsid w:val="009E05B1"/>
    <w:rsid w:val="009E072C"/>
    <w:rsid w:val="009E227D"/>
    <w:rsid w:val="009E2B65"/>
    <w:rsid w:val="009E2D82"/>
    <w:rsid w:val="009E2DE0"/>
    <w:rsid w:val="009E31D2"/>
    <w:rsid w:val="009E3472"/>
    <w:rsid w:val="009E3588"/>
    <w:rsid w:val="009E39A2"/>
    <w:rsid w:val="009E3A34"/>
    <w:rsid w:val="009E3A55"/>
    <w:rsid w:val="009E41B4"/>
    <w:rsid w:val="009E455E"/>
    <w:rsid w:val="009E483F"/>
    <w:rsid w:val="009E4A7C"/>
    <w:rsid w:val="009E4C8B"/>
    <w:rsid w:val="009E4D41"/>
    <w:rsid w:val="009E5019"/>
    <w:rsid w:val="009E5060"/>
    <w:rsid w:val="009E5EBC"/>
    <w:rsid w:val="009E5FA9"/>
    <w:rsid w:val="009E6001"/>
    <w:rsid w:val="009E6A52"/>
    <w:rsid w:val="009E6C80"/>
    <w:rsid w:val="009E713F"/>
    <w:rsid w:val="009E7389"/>
    <w:rsid w:val="009E78A9"/>
    <w:rsid w:val="009E7AEA"/>
    <w:rsid w:val="009E7AFB"/>
    <w:rsid w:val="009E7C9B"/>
    <w:rsid w:val="009F0064"/>
    <w:rsid w:val="009F0677"/>
    <w:rsid w:val="009F0BB6"/>
    <w:rsid w:val="009F0CB9"/>
    <w:rsid w:val="009F0FF5"/>
    <w:rsid w:val="009F101C"/>
    <w:rsid w:val="009F1122"/>
    <w:rsid w:val="009F16A3"/>
    <w:rsid w:val="009F20DF"/>
    <w:rsid w:val="009F2EF4"/>
    <w:rsid w:val="009F3047"/>
    <w:rsid w:val="009F3375"/>
    <w:rsid w:val="009F3CF0"/>
    <w:rsid w:val="009F3DC9"/>
    <w:rsid w:val="009F427A"/>
    <w:rsid w:val="009F45E5"/>
    <w:rsid w:val="009F4BC6"/>
    <w:rsid w:val="009F4BFE"/>
    <w:rsid w:val="009F5014"/>
    <w:rsid w:val="009F5511"/>
    <w:rsid w:val="009F5BD1"/>
    <w:rsid w:val="009F5D17"/>
    <w:rsid w:val="009F5E7D"/>
    <w:rsid w:val="009F6303"/>
    <w:rsid w:val="009F64A5"/>
    <w:rsid w:val="009F6A69"/>
    <w:rsid w:val="009F6AB9"/>
    <w:rsid w:val="009F6C24"/>
    <w:rsid w:val="009F70A6"/>
    <w:rsid w:val="009F7629"/>
    <w:rsid w:val="009F7734"/>
    <w:rsid w:val="009F7F5E"/>
    <w:rsid w:val="00A00259"/>
    <w:rsid w:val="00A0053A"/>
    <w:rsid w:val="00A009B2"/>
    <w:rsid w:val="00A00D56"/>
    <w:rsid w:val="00A00F1F"/>
    <w:rsid w:val="00A00FCE"/>
    <w:rsid w:val="00A013B6"/>
    <w:rsid w:val="00A015B1"/>
    <w:rsid w:val="00A01C3D"/>
    <w:rsid w:val="00A026DC"/>
    <w:rsid w:val="00A02A49"/>
    <w:rsid w:val="00A02F38"/>
    <w:rsid w:val="00A02F68"/>
    <w:rsid w:val="00A03413"/>
    <w:rsid w:val="00A03870"/>
    <w:rsid w:val="00A03B40"/>
    <w:rsid w:val="00A03D59"/>
    <w:rsid w:val="00A043B5"/>
    <w:rsid w:val="00A04F1B"/>
    <w:rsid w:val="00A0501B"/>
    <w:rsid w:val="00A05770"/>
    <w:rsid w:val="00A05790"/>
    <w:rsid w:val="00A05889"/>
    <w:rsid w:val="00A05B83"/>
    <w:rsid w:val="00A05D04"/>
    <w:rsid w:val="00A05DBF"/>
    <w:rsid w:val="00A05FEC"/>
    <w:rsid w:val="00A0614C"/>
    <w:rsid w:val="00A06475"/>
    <w:rsid w:val="00A06CC6"/>
    <w:rsid w:val="00A0708F"/>
    <w:rsid w:val="00A07494"/>
    <w:rsid w:val="00A07CE1"/>
    <w:rsid w:val="00A10E1E"/>
    <w:rsid w:val="00A11497"/>
    <w:rsid w:val="00A13F45"/>
    <w:rsid w:val="00A14370"/>
    <w:rsid w:val="00A14760"/>
    <w:rsid w:val="00A14808"/>
    <w:rsid w:val="00A14947"/>
    <w:rsid w:val="00A15D63"/>
    <w:rsid w:val="00A15DBC"/>
    <w:rsid w:val="00A16A5A"/>
    <w:rsid w:val="00A16D01"/>
    <w:rsid w:val="00A172C4"/>
    <w:rsid w:val="00A17816"/>
    <w:rsid w:val="00A17C7C"/>
    <w:rsid w:val="00A17DF0"/>
    <w:rsid w:val="00A20538"/>
    <w:rsid w:val="00A20964"/>
    <w:rsid w:val="00A20A68"/>
    <w:rsid w:val="00A20B4E"/>
    <w:rsid w:val="00A20C04"/>
    <w:rsid w:val="00A20E3D"/>
    <w:rsid w:val="00A212CA"/>
    <w:rsid w:val="00A213F0"/>
    <w:rsid w:val="00A21702"/>
    <w:rsid w:val="00A21C23"/>
    <w:rsid w:val="00A21D63"/>
    <w:rsid w:val="00A22646"/>
    <w:rsid w:val="00A22E7C"/>
    <w:rsid w:val="00A23071"/>
    <w:rsid w:val="00A23510"/>
    <w:rsid w:val="00A23D2D"/>
    <w:rsid w:val="00A23F90"/>
    <w:rsid w:val="00A24178"/>
    <w:rsid w:val="00A24EB3"/>
    <w:rsid w:val="00A25C89"/>
    <w:rsid w:val="00A264F0"/>
    <w:rsid w:val="00A2664A"/>
    <w:rsid w:val="00A26759"/>
    <w:rsid w:val="00A2745B"/>
    <w:rsid w:val="00A276E8"/>
    <w:rsid w:val="00A27BB5"/>
    <w:rsid w:val="00A27E99"/>
    <w:rsid w:val="00A3004D"/>
    <w:rsid w:val="00A308CB"/>
    <w:rsid w:val="00A30AD1"/>
    <w:rsid w:val="00A30CCC"/>
    <w:rsid w:val="00A31328"/>
    <w:rsid w:val="00A3200F"/>
    <w:rsid w:val="00A32820"/>
    <w:rsid w:val="00A32A83"/>
    <w:rsid w:val="00A32F39"/>
    <w:rsid w:val="00A337B0"/>
    <w:rsid w:val="00A338A4"/>
    <w:rsid w:val="00A34702"/>
    <w:rsid w:val="00A349AA"/>
    <w:rsid w:val="00A34EFB"/>
    <w:rsid w:val="00A352F6"/>
    <w:rsid w:val="00A35D59"/>
    <w:rsid w:val="00A35F6F"/>
    <w:rsid w:val="00A3612C"/>
    <w:rsid w:val="00A36462"/>
    <w:rsid w:val="00A367CF"/>
    <w:rsid w:val="00A368DB"/>
    <w:rsid w:val="00A3694E"/>
    <w:rsid w:val="00A36F9E"/>
    <w:rsid w:val="00A370C9"/>
    <w:rsid w:val="00A3735D"/>
    <w:rsid w:val="00A37543"/>
    <w:rsid w:val="00A3780A"/>
    <w:rsid w:val="00A37A08"/>
    <w:rsid w:val="00A37C63"/>
    <w:rsid w:val="00A37DFB"/>
    <w:rsid w:val="00A40755"/>
    <w:rsid w:val="00A407FF"/>
    <w:rsid w:val="00A40945"/>
    <w:rsid w:val="00A40E58"/>
    <w:rsid w:val="00A41281"/>
    <w:rsid w:val="00A41ABD"/>
    <w:rsid w:val="00A4227D"/>
    <w:rsid w:val="00A4239B"/>
    <w:rsid w:val="00A423AA"/>
    <w:rsid w:val="00A42526"/>
    <w:rsid w:val="00A425A7"/>
    <w:rsid w:val="00A43741"/>
    <w:rsid w:val="00A43A44"/>
    <w:rsid w:val="00A43D97"/>
    <w:rsid w:val="00A4405B"/>
    <w:rsid w:val="00A443DE"/>
    <w:rsid w:val="00A444FC"/>
    <w:rsid w:val="00A44C3C"/>
    <w:rsid w:val="00A451A5"/>
    <w:rsid w:val="00A45BE2"/>
    <w:rsid w:val="00A466EB"/>
    <w:rsid w:val="00A4689C"/>
    <w:rsid w:val="00A46AA0"/>
    <w:rsid w:val="00A46C05"/>
    <w:rsid w:val="00A46C22"/>
    <w:rsid w:val="00A46DF1"/>
    <w:rsid w:val="00A46F40"/>
    <w:rsid w:val="00A4705D"/>
    <w:rsid w:val="00A471B0"/>
    <w:rsid w:val="00A475DF"/>
    <w:rsid w:val="00A476AE"/>
    <w:rsid w:val="00A47808"/>
    <w:rsid w:val="00A47844"/>
    <w:rsid w:val="00A47AE6"/>
    <w:rsid w:val="00A5003A"/>
    <w:rsid w:val="00A502CF"/>
    <w:rsid w:val="00A505AD"/>
    <w:rsid w:val="00A50A41"/>
    <w:rsid w:val="00A50A81"/>
    <w:rsid w:val="00A50CBE"/>
    <w:rsid w:val="00A51129"/>
    <w:rsid w:val="00A51C0A"/>
    <w:rsid w:val="00A52341"/>
    <w:rsid w:val="00A52357"/>
    <w:rsid w:val="00A527FF"/>
    <w:rsid w:val="00A52BAC"/>
    <w:rsid w:val="00A52C7F"/>
    <w:rsid w:val="00A52E76"/>
    <w:rsid w:val="00A52E98"/>
    <w:rsid w:val="00A533E2"/>
    <w:rsid w:val="00A53B0A"/>
    <w:rsid w:val="00A53EC6"/>
    <w:rsid w:val="00A53F07"/>
    <w:rsid w:val="00A544AB"/>
    <w:rsid w:val="00A547CC"/>
    <w:rsid w:val="00A547F1"/>
    <w:rsid w:val="00A5539F"/>
    <w:rsid w:val="00A556F0"/>
    <w:rsid w:val="00A55771"/>
    <w:rsid w:val="00A55A3A"/>
    <w:rsid w:val="00A55C0F"/>
    <w:rsid w:val="00A5603E"/>
    <w:rsid w:val="00A56140"/>
    <w:rsid w:val="00A562E0"/>
    <w:rsid w:val="00A5654E"/>
    <w:rsid w:val="00A5690A"/>
    <w:rsid w:val="00A56DE6"/>
    <w:rsid w:val="00A56F5F"/>
    <w:rsid w:val="00A5733C"/>
    <w:rsid w:val="00A574E5"/>
    <w:rsid w:val="00A57B5A"/>
    <w:rsid w:val="00A60797"/>
    <w:rsid w:val="00A60C3A"/>
    <w:rsid w:val="00A612E8"/>
    <w:rsid w:val="00A6146B"/>
    <w:rsid w:val="00A61A13"/>
    <w:rsid w:val="00A61B82"/>
    <w:rsid w:val="00A62A78"/>
    <w:rsid w:val="00A62C1C"/>
    <w:rsid w:val="00A63343"/>
    <w:rsid w:val="00A638CC"/>
    <w:rsid w:val="00A63BA6"/>
    <w:rsid w:val="00A63E5B"/>
    <w:rsid w:val="00A63F3F"/>
    <w:rsid w:val="00A6414F"/>
    <w:rsid w:val="00A644F7"/>
    <w:rsid w:val="00A64F7F"/>
    <w:rsid w:val="00A651CC"/>
    <w:rsid w:val="00A65512"/>
    <w:rsid w:val="00A6583E"/>
    <w:rsid w:val="00A65897"/>
    <w:rsid w:val="00A6591F"/>
    <w:rsid w:val="00A666B5"/>
    <w:rsid w:val="00A67CE5"/>
    <w:rsid w:val="00A70158"/>
    <w:rsid w:val="00A702DA"/>
    <w:rsid w:val="00A70E4C"/>
    <w:rsid w:val="00A70FCA"/>
    <w:rsid w:val="00A70FCE"/>
    <w:rsid w:val="00A71E89"/>
    <w:rsid w:val="00A71EA0"/>
    <w:rsid w:val="00A721F3"/>
    <w:rsid w:val="00A72A4A"/>
    <w:rsid w:val="00A72B6C"/>
    <w:rsid w:val="00A72BD0"/>
    <w:rsid w:val="00A732BD"/>
    <w:rsid w:val="00A7368D"/>
    <w:rsid w:val="00A73959"/>
    <w:rsid w:val="00A73AE5"/>
    <w:rsid w:val="00A73C15"/>
    <w:rsid w:val="00A7422E"/>
    <w:rsid w:val="00A744CF"/>
    <w:rsid w:val="00A748E7"/>
    <w:rsid w:val="00A74CDC"/>
    <w:rsid w:val="00A74DA1"/>
    <w:rsid w:val="00A74ED6"/>
    <w:rsid w:val="00A757F1"/>
    <w:rsid w:val="00A75C3D"/>
    <w:rsid w:val="00A75D9C"/>
    <w:rsid w:val="00A76611"/>
    <w:rsid w:val="00A76822"/>
    <w:rsid w:val="00A76DB6"/>
    <w:rsid w:val="00A7783A"/>
    <w:rsid w:val="00A77988"/>
    <w:rsid w:val="00A779C1"/>
    <w:rsid w:val="00A77B1A"/>
    <w:rsid w:val="00A77C38"/>
    <w:rsid w:val="00A77E2A"/>
    <w:rsid w:val="00A803C7"/>
    <w:rsid w:val="00A811C0"/>
    <w:rsid w:val="00A81664"/>
    <w:rsid w:val="00A816C9"/>
    <w:rsid w:val="00A81785"/>
    <w:rsid w:val="00A81F4D"/>
    <w:rsid w:val="00A82216"/>
    <w:rsid w:val="00A8255E"/>
    <w:rsid w:val="00A825DF"/>
    <w:rsid w:val="00A82959"/>
    <w:rsid w:val="00A82E5A"/>
    <w:rsid w:val="00A82F9D"/>
    <w:rsid w:val="00A8457F"/>
    <w:rsid w:val="00A845AF"/>
    <w:rsid w:val="00A8490D"/>
    <w:rsid w:val="00A84999"/>
    <w:rsid w:val="00A85115"/>
    <w:rsid w:val="00A85453"/>
    <w:rsid w:val="00A859B1"/>
    <w:rsid w:val="00A85F83"/>
    <w:rsid w:val="00A860C6"/>
    <w:rsid w:val="00A86C8D"/>
    <w:rsid w:val="00A86E61"/>
    <w:rsid w:val="00A86F38"/>
    <w:rsid w:val="00A870A8"/>
    <w:rsid w:val="00A87113"/>
    <w:rsid w:val="00A8713F"/>
    <w:rsid w:val="00A87AB8"/>
    <w:rsid w:val="00A9021F"/>
    <w:rsid w:val="00A903CF"/>
    <w:rsid w:val="00A90573"/>
    <w:rsid w:val="00A9092C"/>
    <w:rsid w:val="00A90BA1"/>
    <w:rsid w:val="00A90C09"/>
    <w:rsid w:val="00A90DAE"/>
    <w:rsid w:val="00A91025"/>
    <w:rsid w:val="00A91C2A"/>
    <w:rsid w:val="00A91C7D"/>
    <w:rsid w:val="00A9242E"/>
    <w:rsid w:val="00A926BA"/>
    <w:rsid w:val="00A92766"/>
    <w:rsid w:val="00A92D71"/>
    <w:rsid w:val="00A9353F"/>
    <w:rsid w:val="00A936E5"/>
    <w:rsid w:val="00A9381C"/>
    <w:rsid w:val="00A93B85"/>
    <w:rsid w:val="00A93D02"/>
    <w:rsid w:val="00A93FA3"/>
    <w:rsid w:val="00A94335"/>
    <w:rsid w:val="00A94581"/>
    <w:rsid w:val="00A94735"/>
    <w:rsid w:val="00A94BFB"/>
    <w:rsid w:val="00A94FFF"/>
    <w:rsid w:val="00A95414"/>
    <w:rsid w:val="00A95968"/>
    <w:rsid w:val="00A9617F"/>
    <w:rsid w:val="00A96877"/>
    <w:rsid w:val="00A97108"/>
    <w:rsid w:val="00A9744F"/>
    <w:rsid w:val="00A9755A"/>
    <w:rsid w:val="00A97747"/>
    <w:rsid w:val="00A97A9A"/>
    <w:rsid w:val="00AA0366"/>
    <w:rsid w:val="00AA0368"/>
    <w:rsid w:val="00AA0481"/>
    <w:rsid w:val="00AA064C"/>
    <w:rsid w:val="00AA0667"/>
    <w:rsid w:val="00AA0671"/>
    <w:rsid w:val="00AA0BCB"/>
    <w:rsid w:val="00AA0D8D"/>
    <w:rsid w:val="00AA1331"/>
    <w:rsid w:val="00AA181A"/>
    <w:rsid w:val="00AA2021"/>
    <w:rsid w:val="00AA212E"/>
    <w:rsid w:val="00AA2531"/>
    <w:rsid w:val="00AA2679"/>
    <w:rsid w:val="00AA26FF"/>
    <w:rsid w:val="00AA2B0D"/>
    <w:rsid w:val="00AA2FF9"/>
    <w:rsid w:val="00AA302A"/>
    <w:rsid w:val="00AA35D0"/>
    <w:rsid w:val="00AA409E"/>
    <w:rsid w:val="00AA43AF"/>
    <w:rsid w:val="00AA43E7"/>
    <w:rsid w:val="00AA49B5"/>
    <w:rsid w:val="00AA49DC"/>
    <w:rsid w:val="00AA4A31"/>
    <w:rsid w:val="00AA4C70"/>
    <w:rsid w:val="00AA5064"/>
    <w:rsid w:val="00AA52AD"/>
    <w:rsid w:val="00AA5763"/>
    <w:rsid w:val="00AA58C2"/>
    <w:rsid w:val="00AA5927"/>
    <w:rsid w:val="00AA6211"/>
    <w:rsid w:val="00AA65B5"/>
    <w:rsid w:val="00AA677A"/>
    <w:rsid w:val="00AA6A9D"/>
    <w:rsid w:val="00AA6C1F"/>
    <w:rsid w:val="00AA7A0D"/>
    <w:rsid w:val="00AA7C6B"/>
    <w:rsid w:val="00AB020F"/>
    <w:rsid w:val="00AB02F9"/>
    <w:rsid w:val="00AB07E4"/>
    <w:rsid w:val="00AB0A2F"/>
    <w:rsid w:val="00AB0B33"/>
    <w:rsid w:val="00AB102A"/>
    <w:rsid w:val="00AB1315"/>
    <w:rsid w:val="00AB146B"/>
    <w:rsid w:val="00AB17D7"/>
    <w:rsid w:val="00AB1811"/>
    <w:rsid w:val="00AB1D08"/>
    <w:rsid w:val="00AB1E09"/>
    <w:rsid w:val="00AB2B04"/>
    <w:rsid w:val="00AB35D2"/>
    <w:rsid w:val="00AB4326"/>
    <w:rsid w:val="00AB4C86"/>
    <w:rsid w:val="00AB5330"/>
    <w:rsid w:val="00AB53A2"/>
    <w:rsid w:val="00AB5433"/>
    <w:rsid w:val="00AB58F6"/>
    <w:rsid w:val="00AB5AEC"/>
    <w:rsid w:val="00AB5AFD"/>
    <w:rsid w:val="00AB5B04"/>
    <w:rsid w:val="00AB6033"/>
    <w:rsid w:val="00AB699B"/>
    <w:rsid w:val="00AB6FCF"/>
    <w:rsid w:val="00AB70F7"/>
    <w:rsid w:val="00AB72BE"/>
    <w:rsid w:val="00AB74EF"/>
    <w:rsid w:val="00AB7587"/>
    <w:rsid w:val="00AB7747"/>
    <w:rsid w:val="00AB777F"/>
    <w:rsid w:val="00AC074B"/>
    <w:rsid w:val="00AC0BD5"/>
    <w:rsid w:val="00AC0BD9"/>
    <w:rsid w:val="00AC0DFF"/>
    <w:rsid w:val="00AC0E94"/>
    <w:rsid w:val="00AC1008"/>
    <w:rsid w:val="00AC13FE"/>
    <w:rsid w:val="00AC14CE"/>
    <w:rsid w:val="00AC17F7"/>
    <w:rsid w:val="00AC2A56"/>
    <w:rsid w:val="00AC2A7C"/>
    <w:rsid w:val="00AC31B8"/>
    <w:rsid w:val="00AC31F2"/>
    <w:rsid w:val="00AC429A"/>
    <w:rsid w:val="00AC456A"/>
    <w:rsid w:val="00AC5968"/>
    <w:rsid w:val="00AC5E5C"/>
    <w:rsid w:val="00AC6287"/>
    <w:rsid w:val="00AC654E"/>
    <w:rsid w:val="00AC6BE2"/>
    <w:rsid w:val="00AC6F2C"/>
    <w:rsid w:val="00AC7030"/>
    <w:rsid w:val="00AC7565"/>
    <w:rsid w:val="00AC7B7C"/>
    <w:rsid w:val="00AD0059"/>
    <w:rsid w:val="00AD0167"/>
    <w:rsid w:val="00AD055E"/>
    <w:rsid w:val="00AD0579"/>
    <w:rsid w:val="00AD0AA9"/>
    <w:rsid w:val="00AD0FF4"/>
    <w:rsid w:val="00AD11DB"/>
    <w:rsid w:val="00AD195D"/>
    <w:rsid w:val="00AD200C"/>
    <w:rsid w:val="00AD248F"/>
    <w:rsid w:val="00AD259A"/>
    <w:rsid w:val="00AD2898"/>
    <w:rsid w:val="00AD47A7"/>
    <w:rsid w:val="00AD4844"/>
    <w:rsid w:val="00AD485A"/>
    <w:rsid w:val="00AD4DFC"/>
    <w:rsid w:val="00AD5247"/>
    <w:rsid w:val="00AD560E"/>
    <w:rsid w:val="00AD57E1"/>
    <w:rsid w:val="00AD5FD9"/>
    <w:rsid w:val="00AD6243"/>
    <w:rsid w:val="00AD6259"/>
    <w:rsid w:val="00AD650C"/>
    <w:rsid w:val="00AD66D4"/>
    <w:rsid w:val="00AD6726"/>
    <w:rsid w:val="00AD6879"/>
    <w:rsid w:val="00AD6904"/>
    <w:rsid w:val="00AD7030"/>
    <w:rsid w:val="00AD72D8"/>
    <w:rsid w:val="00AD755E"/>
    <w:rsid w:val="00AD7A73"/>
    <w:rsid w:val="00AD7DCA"/>
    <w:rsid w:val="00AE0183"/>
    <w:rsid w:val="00AE0915"/>
    <w:rsid w:val="00AE0DBB"/>
    <w:rsid w:val="00AE132E"/>
    <w:rsid w:val="00AE1955"/>
    <w:rsid w:val="00AE1BD3"/>
    <w:rsid w:val="00AE22CD"/>
    <w:rsid w:val="00AE2492"/>
    <w:rsid w:val="00AE29E1"/>
    <w:rsid w:val="00AE2A57"/>
    <w:rsid w:val="00AE2C63"/>
    <w:rsid w:val="00AE3865"/>
    <w:rsid w:val="00AE3E86"/>
    <w:rsid w:val="00AE4C67"/>
    <w:rsid w:val="00AE5461"/>
    <w:rsid w:val="00AE6183"/>
    <w:rsid w:val="00AE64F7"/>
    <w:rsid w:val="00AE660B"/>
    <w:rsid w:val="00AE7122"/>
    <w:rsid w:val="00AE72A1"/>
    <w:rsid w:val="00AE736D"/>
    <w:rsid w:val="00AE7819"/>
    <w:rsid w:val="00AF0198"/>
    <w:rsid w:val="00AF0233"/>
    <w:rsid w:val="00AF0301"/>
    <w:rsid w:val="00AF0AFC"/>
    <w:rsid w:val="00AF0C8F"/>
    <w:rsid w:val="00AF0CBF"/>
    <w:rsid w:val="00AF0D5B"/>
    <w:rsid w:val="00AF0D5F"/>
    <w:rsid w:val="00AF1220"/>
    <w:rsid w:val="00AF16C0"/>
    <w:rsid w:val="00AF1786"/>
    <w:rsid w:val="00AF19A4"/>
    <w:rsid w:val="00AF21FE"/>
    <w:rsid w:val="00AF2572"/>
    <w:rsid w:val="00AF257F"/>
    <w:rsid w:val="00AF2772"/>
    <w:rsid w:val="00AF2F8F"/>
    <w:rsid w:val="00AF33CF"/>
    <w:rsid w:val="00AF35C8"/>
    <w:rsid w:val="00AF35FE"/>
    <w:rsid w:val="00AF3CC5"/>
    <w:rsid w:val="00AF4802"/>
    <w:rsid w:val="00AF4A3B"/>
    <w:rsid w:val="00AF4D50"/>
    <w:rsid w:val="00AF4F91"/>
    <w:rsid w:val="00AF54F5"/>
    <w:rsid w:val="00AF598B"/>
    <w:rsid w:val="00AF5FDD"/>
    <w:rsid w:val="00AF6179"/>
    <w:rsid w:val="00AF625E"/>
    <w:rsid w:val="00AF637B"/>
    <w:rsid w:val="00AF649A"/>
    <w:rsid w:val="00AF749B"/>
    <w:rsid w:val="00AF7C08"/>
    <w:rsid w:val="00AF7E38"/>
    <w:rsid w:val="00B004CE"/>
    <w:rsid w:val="00B00642"/>
    <w:rsid w:val="00B007A9"/>
    <w:rsid w:val="00B0092D"/>
    <w:rsid w:val="00B01104"/>
    <w:rsid w:val="00B01FD4"/>
    <w:rsid w:val="00B03531"/>
    <w:rsid w:val="00B038E7"/>
    <w:rsid w:val="00B03AD3"/>
    <w:rsid w:val="00B04273"/>
    <w:rsid w:val="00B04547"/>
    <w:rsid w:val="00B046A4"/>
    <w:rsid w:val="00B04AF2"/>
    <w:rsid w:val="00B05AD7"/>
    <w:rsid w:val="00B05DAA"/>
    <w:rsid w:val="00B06117"/>
    <w:rsid w:val="00B06F56"/>
    <w:rsid w:val="00B0713B"/>
    <w:rsid w:val="00B1031F"/>
    <w:rsid w:val="00B10398"/>
    <w:rsid w:val="00B10679"/>
    <w:rsid w:val="00B1076C"/>
    <w:rsid w:val="00B111BB"/>
    <w:rsid w:val="00B113EC"/>
    <w:rsid w:val="00B11504"/>
    <w:rsid w:val="00B115C0"/>
    <w:rsid w:val="00B1197F"/>
    <w:rsid w:val="00B122DF"/>
    <w:rsid w:val="00B12385"/>
    <w:rsid w:val="00B12842"/>
    <w:rsid w:val="00B1295A"/>
    <w:rsid w:val="00B12972"/>
    <w:rsid w:val="00B12B7B"/>
    <w:rsid w:val="00B12D42"/>
    <w:rsid w:val="00B1353D"/>
    <w:rsid w:val="00B13C16"/>
    <w:rsid w:val="00B13DBA"/>
    <w:rsid w:val="00B13ECF"/>
    <w:rsid w:val="00B13FD2"/>
    <w:rsid w:val="00B147F1"/>
    <w:rsid w:val="00B14ABC"/>
    <w:rsid w:val="00B14EA3"/>
    <w:rsid w:val="00B154FD"/>
    <w:rsid w:val="00B15B24"/>
    <w:rsid w:val="00B16AD5"/>
    <w:rsid w:val="00B16CFC"/>
    <w:rsid w:val="00B16D1E"/>
    <w:rsid w:val="00B17054"/>
    <w:rsid w:val="00B17FC9"/>
    <w:rsid w:val="00B17FE9"/>
    <w:rsid w:val="00B204A2"/>
    <w:rsid w:val="00B20A45"/>
    <w:rsid w:val="00B21114"/>
    <w:rsid w:val="00B2114A"/>
    <w:rsid w:val="00B216BF"/>
    <w:rsid w:val="00B21D56"/>
    <w:rsid w:val="00B220C8"/>
    <w:rsid w:val="00B220E9"/>
    <w:rsid w:val="00B22C5C"/>
    <w:rsid w:val="00B2308E"/>
    <w:rsid w:val="00B233FE"/>
    <w:rsid w:val="00B23AF8"/>
    <w:rsid w:val="00B23BD1"/>
    <w:rsid w:val="00B23E12"/>
    <w:rsid w:val="00B24211"/>
    <w:rsid w:val="00B24307"/>
    <w:rsid w:val="00B2480D"/>
    <w:rsid w:val="00B24A46"/>
    <w:rsid w:val="00B24C3F"/>
    <w:rsid w:val="00B24EC5"/>
    <w:rsid w:val="00B24F30"/>
    <w:rsid w:val="00B25656"/>
    <w:rsid w:val="00B25881"/>
    <w:rsid w:val="00B26617"/>
    <w:rsid w:val="00B267AE"/>
    <w:rsid w:val="00B269D7"/>
    <w:rsid w:val="00B26EFB"/>
    <w:rsid w:val="00B2741C"/>
    <w:rsid w:val="00B27499"/>
    <w:rsid w:val="00B3029A"/>
    <w:rsid w:val="00B3048E"/>
    <w:rsid w:val="00B305AD"/>
    <w:rsid w:val="00B30ADA"/>
    <w:rsid w:val="00B30B05"/>
    <w:rsid w:val="00B312F4"/>
    <w:rsid w:val="00B31A40"/>
    <w:rsid w:val="00B31ABF"/>
    <w:rsid w:val="00B31BA9"/>
    <w:rsid w:val="00B329A5"/>
    <w:rsid w:val="00B32B65"/>
    <w:rsid w:val="00B32DA7"/>
    <w:rsid w:val="00B32DFB"/>
    <w:rsid w:val="00B33059"/>
    <w:rsid w:val="00B33BE3"/>
    <w:rsid w:val="00B33FF2"/>
    <w:rsid w:val="00B341F5"/>
    <w:rsid w:val="00B3493D"/>
    <w:rsid w:val="00B34D01"/>
    <w:rsid w:val="00B3671A"/>
    <w:rsid w:val="00B37D2F"/>
    <w:rsid w:val="00B37ED3"/>
    <w:rsid w:val="00B37F64"/>
    <w:rsid w:val="00B402AE"/>
    <w:rsid w:val="00B403AE"/>
    <w:rsid w:val="00B40FFD"/>
    <w:rsid w:val="00B41167"/>
    <w:rsid w:val="00B417CC"/>
    <w:rsid w:val="00B41D7F"/>
    <w:rsid w:val="00B41ECD"/>
    <w:rsid w:val="00B421E9"/>
    <w:rsid w:val="00B42B00"/>
    <w:rsid w:val="00B42D59"/>
    <w:rsid w:val="00B43015"/>
    <w:rsid w:val="00B432E5"/>
    <w:rsid w:val="00B439FE"/>
    <w:rsid w:val="00B442C3"/>
    <w:rsid w:val="00B44723"/>
    <w:rsid w:val="00B44745"/>
    <w:rsid w:val="00B457FB"/>
    <w:rsid w:val="00B461BA"/>
    <w:rsid w:val="00B46313"/>
    <w:rsid w:val="00B46582"/>
    <w:rsid w:val="00B46D99"/>
    <w:rsid w:val="00B47D34"/>
    <w:rsid w:val="00B50255"/>
    <w:rsid w:val="00B502DA"/>
    <w:rsid w:val="00B50664"/>
    <w:rsid w:val="00B51160"/>
    <w:rsid w:val="00B5128F"/>
    <w:rsid w:val="00B51456"/>
    <w:rsid w:val="00B51613"/>
    <w:rsid w:val="00B51FA5"/>
    <w:rsid w:val="00B5217A"/>
    <w:rsid w:val="00B52B47"/>
    <w:rsid w:val="00B52E80"/>
    <w:rsid w:val="00B52FDA"/>
    <w:rsid w:val="00B53402"/>
    <w:rsid w:val="00B53497"/>
    <w:rsid w:val="00B537C5"/>
    <w:rsid w:val="00B53B5D"/>
    <w:rsid w:val="00B53BCF"/>
    <w:rsid w:val="00B54042"/>
    <w:rsid w:val="00B54279"/>
    <w:rsid w:val="00B54995"/>
    <w:rsid w:val="00B5589D"/>
    <w:rsid w:val="00B55976"/>
    <w:rsid w:val="00B55A4F"/>
    <w:rsid w:val="00B55B87"/>
    <w:rsid w:val="00B55BF3"/>
    <w:rsid w:val="00B55DE4"/>
    <w:rsid w:val="00B564BC"/>
    <w:rsid w:val="00B5661D"/>
    <w:rsid w:val="00B56953"/>
    <w:rsid w:val="00B56B90"/>
    <w:rsid w:val="00B573D5"/>
    <w:rsid w:val="00B57429"/>
    <w:rsid w:val="00B57539"/>
    <w:rsid w:val="00B5776E"/>
    <w:rsid w:val="00B57A1D"/>
    <w:rsid w:val="00B60147"/>
    <w:rsid w:val="00B60198"/>
    <w:rsid w:val="00B6055E"/>
    <w:rsid w:val="00B60EA0"/>
    <w:rsid w:val="00B617B4"/>
    <w:rsid w:val="00B617D9"/>
    <w:rsid w:val="00B61B29"/>
    <w:rsid w:val="00B61E0A"/>
    <w:rsid w:val="00B61FB5"/>
    <w:rsid w:val="00B625B5"/>
    <w:rsid w:val="00B62C93"/>
    <w:rsid w:val="00B62DB2"/>
    <w:rsid w:val="00B62EC9"/>
    <w:rsid w:val="00B6317D"/>
    <w:rsid w:val="00B631F8"/>
    <w:rsid w:val="00B633DE"/>
    <w:rsid w:val="00B63550"/>
    <w:rsid w:val="00B64209"/>
    <w:rsid w:val="00B64284"/>
    <w:rsid w:val="00B642CA"/>
    <w:rsid w:val="00B643B4"/>
    <w:rsid w:val="00B64643"/>
    <w:rsid w:val="00B64663"/>
    <w:rsid w:val="00B64CA5"/>
    <w:rsid w:val="00B64CFA"/>
    <w:rsid w:val="00B650FA"/>
    <w:rsid w:val="00B657E1"/>
    <w:rsid w:val="00B65A1B"/>
    <w:rsid w:val="00B66229"/>
    <w:rsid w:val="00B66586"/>
    <w:rsid w:val="00B66AE1"/>
    <w:rsid w:val="00B67615"/>
    <w:rsid w:val="00B7001D"/>
    <w:rsid w:val="00B70084"/>
    <w:rsid w:val="00B70289"/>
    <w:rsid w:val="00B70411"/>
    <w:rsid w:val="00B7094E"/>
    <w:rsid w:val="00B70FEB"/>
    <w:rsid w:val="00B71639"/>
    <w:rsid w:val="00B717CD"/>
    <w:rsid w:val="00B719FC"/>
    <w:rsid w:val="00B71A19"/>
    <w:rsid w:val="00B71C6E"/>
    <w:rsid w:val="00B72011"/>
    <w:rsid w:val="00B7202D"/>
    <w:rsid w:val="00B720CA"/>
    <w:rsid w:val="00B7264F"/>
    <w:rsid w:val="00B72751"/>
    <w:rsid w:val="00B72C19"/>
    <w:rsid w:val="00B72DBD"/>
    <w:rsid w:val="00B72FB5"/>
    <w:rsid w:val="00B73161"/>
    <w:rsid w:val="00B73BA9"/>
    <w:rsid w:val="00B73D3C"/>
    <w:rsid w:val="00B73D54"/>
    <w:rsid w:val="00B73FB2"/>
    <w:rsid w:val="00B74548"/>
    <w:rsid w:val="00B74880"/>
    <w:rsid w:val="00B74CA5"/>
    <w:rsid w:val="00B75751"/>
    <w:rsid w:val="00B76230"/>
    <w:rsid w:val="00B76FE6"/>
    <w:rsid w:val="00B7723F"/>
    <w:rsid w:val="00B7775C"/>
    <w:rsid w:val="00B800A6"/>
    <w:rsid w:val="00B803C9"/>
    <w:rsid w:val="00B803D4"/>
    <w:rsid w:val="00B80534"/>
    <w:rsid w:val="00B80745"/>
    <w:rsid w:val="00B80D84"/>
    <w:rsid w:val="00B81186"/>
    <w:rsid w:val="00B81A68"/>
    <w:rsid w:val="00B82293"/>
    <w:rsid w:val="00B82377"/>
    <w:rsid w:val="00B829C4"/>
    <w:rsid w:val="00B82A43"/>
    <w:rsid w:val="00B83031"/>
    <w:rsid w:val="00B8327F"/>
    <w:rsid w:val="00B83395"/>
    <w:rsid w:val="00B83819"/>
    <w:rsid w:val="00B83C65"/>
    <w:rsid w:val="00B8433C"/>
    <w:rsid w:val="00B8445F"/>
    <w:rsid w:val="00B850AA"/>
    <w:rsid w:val="00B85627"/>
    <w:rsid w:val="00B86158"/>
    <w:rsid w:val="00B87491"/>
    <w:rsid w:val="00B87981"/>
    <w:rsid w:val="00B87FB6"/>
    <w:rsid w:val="00B9047C"/>
    <w:rsid w:val="00B90DFD"/>
    <w:rsid w:val="00B9149B"/>
    <w:rsid w:val="00B916EC"/>
    <w:rsid w:val="00B92095"/>
    <w:rsid w:val="00B9236D"/>
    <w:rsid w:val="00B92C96"/>
    <w:rsid w:val="00B92D09"/>
    <w:rsid w:val="00B9322D"/>
    <w:rsid w:val="00B93572"/>
    <w:rsid w:val="00B93B6E"/>
    <w:rsid w:val="00B93C57"/>
    <w:rsid w:val="00B93DAC"/>
    <w:rsid w:val="00B9439E"/>
    <w:rsid w:val="00B94A63"/>
    <w:rsid w:val="00B94A99"/>
    <w:rsid w:val="00B94D28"/>
    <w:rsid w:val="00B950A8"/>
    <w:rsid w:val="00B954D1"/>
    <w:rsid w:val="00B95B8E"/>
    <w:rsid w:val="00B960FF"/>
    <w:rsid w:val="00B962F1"/>
    <w:rsid w:val="00B96482"/>
    <w:rsid w:val="00B96B10"/>
    <w:rsid w:val="00B96CEF"/>
    <w:rsid w:val="00BA02A4"/>
    <w:rsid w:val="00BA02D0"/>
    <w:rsid w:val="00BA05C2"/>
    <w:rsid w:val="00BA05E5"/>
    <w:rsid w:val="00BA0954"/>
    <w:rsid w:val="00BA0A57"/>
    <w:rsid w:val="00BA0C76"/>
    <w:rsid w:val="00BA10B3"/>
    <w:rsid w:val="00BA12B9"/>
    <w:rsid w:val="00BA1511"/>
    <w:rsid w:val="00BA1BCD"/>
    <w:rsid w:val="00BA1E13"/>
    <w:rsid w:val="00BA1F7C"/>
    <w:rsid w:val="00BA23CD"/>
    <w:rsid w:val="00BA26D4"/>
    <w:rsid w:val="00BA29E9"/>
    <w:rsid w:val="00BA3AC6"/>
    <w:rsid w:val="00BA3DDA"/>
    <w:rsid w:val="00BA3E81"/>
    <w:rsid w:val="00BA3F13"/>
    <w:rsid w:val="00BA3FE6"/>
    <w:rsid w:val="00BA410F"/>
    <w:rsid w:val="00BA423E"/>
    <w:rsid w:val="00BA4D9F"/>
    <w:rsid w:val="00BA4F41"/>
    <w:rsid w:val="00BA5A8E"/>
    <w:rsid w:val="00BA5BBF"/>
    <w:rsid w:val="00BA5BDA"/>
    <w:rsid w:val="00BA5C18"/>
    <w:rsid w:val="00BA5CB7"/>
    <w:rsid w:val="00BA5E45"/>
    <w:rsid w:val="00BA5FDB"/>
    <w:rsid w:val="00BA6014"/>
    <w:rsid w:val="00BA6989"/>
    <w:rsid w:val="00BA6D61"/>
    <w:rsid w:val="00BA7142"/>
    <w:rsid w:val="00BA7A72"/>
    <w:rsid w:val="00BA7FB3"/>
    <w:rsid w:val="00BB0046"/>
    <w:rsid w:val="00BB0053"/>
    <w:rsid w:val="00BB0112"/>
    <w:rsid w:val="00BB14E8"/>
    <w:rsid w:val="00BB19BA"/>
    <w:rsid w:val="00BB2123"/>
    <w:rsid w:val="00BB237C"/>
    <w:rsid w:val="00BB2DB6"/>
    <w:rsid w:val="00BB2F0C"/>
    <w:rsid w:val="00BB31F5"/>
    <w:rsid w:val="00BB32F4"/>
    <w:rsid w:val="00BB4075"/>
    <w:rsid w:val="00BB40C8"/>
    <w:rsid w:val="00BB41A3"/>
    <w:rsid w:val="00BB4977"/>
    <w:rsid w:val="00BB4CEC"/>
    <w:rsid w:val="00BB4E71"/>
    <w:rsid w:val="00BB54D4"/>
    <w:rsid w:val="00BB5F46"/>
    <w:rsid w:val="00BB67C5"/>
    <w:rsid w:val="00BB7137"/>
    <w:rsid w:val="00BB72B0"/>
    <w:rsid w:val="00BB7329"/>
    <w:rsid w:val="00BB75F9"/>
    <w:rsid w:val="00BB79D0"/>
    <w:rsid w:val="00BB7EC6"/>
    <w:rsid w:val="00BC0A39"/>
    <w:rsid w:val="00BC0B21"/>
    <w:rsid w:val="00BC115F"/>
    <w:rsid w:val="00BC1328"/>
    <w:rsid w:val="00BC13D8"/>
    <w:rsid w:val="00BC166E"/>
    <w:rsid w:val="00BC2211"/>
    <w:rsid w:val="00BC240C"/>
    <w:rsid w:val="00BC25EC"/>
    <w:rsid w:val="00BC2978"/>
    <w:rsid w:val="00BC3101"/>
    <w:rsid w:val="00BC32DC"/>
    <w:rsid w:val="00BC339B"/>
    <w:rsid w:val="00BC35B6"/>
    <w:rsid w:val="00BC37C5"/>
    <w:rsid w:val="00BC3C21"/>
    <w:rsid w:val="00BC3C55"/>
    <w:rsid w:val="00BC3C98"/>
    <w:rsid w:val="00BC3D37"/>
    <w:rsid w:val="00BC3E01"/>
    <w:rsid w:val="00BC400E"/>
    <w:rsid w:val="00BC453C"/>
    <w:rsid w:val="00BC4A26"/>
    <w:rsid w:val="00BC4A97"/>
    <w:rsid w:val="00BC4D40"/>
    <w:rsid w:val="00BC56FC"/>
    <w:rsid w:val="00BC5911"/>
    <w:rsid w:val="00BC640C"/>
    <w:rsid w:val="00BC6631"/>
    <w:rsid w:val="00BC666B"/>
    <w:rsid w:val="00BC6690"/>
    <w:rsid w:val="00BC66AA"/>
    <w:rsid w:val="00BC68A5"/>
    <w:rsid w:val="00BC694A"/>
    <w:rsid w:val="00BC738C"/>
    <w:rsid w:val="00BC75D9"/>
    <w:rsid w:val="00BC7918"/>
    <w:rsid w:val="00BC7A93"/>
    <w:rsid w:val="00BC7E1B"/>
    <w:rsid w:val="00BD01FC"/>
    <w:rsid w:val="00BD0540"/>
    <w:rsid w:val="00BD1176"/>
    <w:rsid w:val="00BD1839"/>
    <w:rsid w:val="00BD1875"/>
    <w:rsid w:val="00BD1B51"/>
    <w:rsid w:val="00BD1C49"/>
    <w:rsid w:val="00BD1E9D"/>
    <w:rsid w:val="00BD261D"/>
    <w:rsid w:val="00BD2B99"/>
    <w:rsid w:val="00BD3035"/>
    <w:rsid w:val="00BD36E9"/>
    <w:rsid w:val="00BD3BDD"/>
    <w:rsid w:val="00BD3EE4"/>
    <w:rsid w:val="00BD41EE"/>
    <w:rsid w:val="00BD4596"/>
    <w:rsid w:val="00BD4AA2"/>
    <w:rsid w:val="00BD4D7C"/>
    <w:rsid w:val="00BD501D"/>
    <w:rsid w:val="00BD5893"/>
    <w:rsid w:val="00BD5912"/>
    <w:rsid w:val="00BD5C0D"/>
    <w:rsid w:val="00BD5C62"/>
    <w:rsid w:val="00BD5D90"/>
    <w:rsid w:val="00BD5F0E"/>
    <w:rsid w:val="00BD5F6C"/>
    <w:rsid w:val="00BD61A3"/>
    <w:rsid w:val="00BD63CB"/>
    <w:rsid w:val="00BD6408"/>
    <w:rsid w:val="00BD689A"/>
    <w:rsid w:val="00BD70AA"/>
    <w:rsid w:val="00BD7C36"/>
    <w:rsid w:val="00BD7E41"/>
    <w:rsid w:val="00BE006A"/>
    <w:rsid w:val="00BE017C"/>
    <w:rsid w:val="00BE035C"/>
    <w:rsid w:val="00BE0574"/>
    <w:rsid w:val="00BE0EB0"/>
    <w:rsid w:val="00BE1405"/>
    <w:rsid w:val="00BE1466"/>
    <w:rsid w:val="00BE18B7"/>
    <w:rsid w:val="00BE18B8"/>
    <w:rsid w:val="00BE2433"/>
    <w:rsid w:val="00BE2BE5"/>
    <w:rsid w:val="00BE2F7D"/>
    <w:rsid w:val="00BE2F93"/>
    <w:rsid w:val="00BE312D"/>
    <w:rsid w:val="00BE33D2"/>
    <w:rsid w:val="00BE3B58"/>
    <w:rsid w:val="00BE3CC1"/>
    <w:rsid w:val="00BE459E"/>
    <w:rsid w:val="00BE47EB"/>
    <w:rsid w:val="00BE48C2"/>
    <w:rsid w:val="00BE49EF"/>
    <w:rsid w:val="00BE4AB9"/>
    <w:rsid w:val="00BE6581"/>
    <w:rsid w:val="00BE6750"/>
    <w:rsid w:val="00BE6C10"/>
    <w:rsid w:val="00BE6EC2"/>
    <w:rsid w:val="00BE6EE4"/>
    <w:rsid w:val="00BE6F43"/>
    <w:rsid w:val="00BE70B8"/>
    <w:rsid w:val="00BE76BC"/>
    <w:rsid w:val="00BE796D"/>
    <w:rsid w:val="00BE7A54"/>
    <w:rsid w:val="00BE7DC4"/>
    <w:rsid w:val="00BF0128"/>
    <w:rsid w:val="00BF02AD"/>
    <w:rsid w:val="00BF1288"/>
    <w:rsid w:val="00BF1C20"/>
    <w:rsid w:val="00BF25F0"/>
    <w:rsid w:val="00BF27AE"/>
    <w:rsid w:val="00BF2C94"/>
    <w:rsid w:val="00BF2CFE"/>
    <w:rsid w:val="00BF31CA"/>
    <w:rsid w:val="00BF3732"/>
    <w:rsid w:val="00BF3F9A"/>
    <w:rsid w:val="00BF400B"/>
    <w:rsid w:val="00BF4893"/>
    <w:rsid w:val="00BF4CC6"/>
    <w:rsid w:val="00BF4DC4"/>
    <w:rsid w:val="00BF4E6D"/>
    <w:rsid w:val="00BF5016"/>
    <w:rsid w:val="00BF51D9"/>
    <w:rsid w:val="00BF5403"/>
    <w:rsid w:val="00BF549D"/>
    <w:rsid w:val="00BF5BDA"/>
    <w:rsid w:val="00BF5D90"/>
    <w:rsid w:val="00BF663C"/>
    <w:rsid w:val="00BF69E6"/>
    <w:rsid w:val="00BF70BE"/>
    <w:rsid w:val="00BF75BA"/>
    <w:rsid w:val="00BF7B71"/>
    <w:rsid w:val="00BF7FC1"/>
    <w:rsid w:val="00C005A3"/>
    <w:rsid w:val="00C0079A"/>
    <w:rsid w:val="00C007CF"/>
    <w:rsid w:val="00C00E2C"/>
    <w:rsid w:val="00C01369"/>
    <w:rsid w:val="00C019FF"/>
    <w:rsid w:val="00C01E7A"/>
    <w:rsid w:val="00C02346"/>
    <w:rsid w:val="00C02503"/>
    <w:rsid w:val="00C025D3"/>
    <w:rsid w:val="00C02B93"/>
    <w:rsid w:val="00C02E42"/>
    <w:rsid w:val="00C037DA"/>
    <w:rsid w:val="00C039FA"/>
    <w:rsid w:val="00C03A6D"/>
    <w:rsid w:val="00C04115"/>
    <w:rsid w:val="00C04533"/>
    <w:rsid w:val="00C04DB0"/>
    <w:rsid w:val="00C05A2B"/>
    <w:rsid w:val="00C06B44"/>
    <w:rsid w:val="00C06D7E"/>
    <w:rsid w:val="00C06DF3"/>
    <w:rsid w:val="00C06EF8"/>
    <w:rsid w:val="00C073CC"/>
    <w:rsid w:val="00C0743F"/>
    <w:rsid w:val="00C07848"/>
    <w:rsid w:val="00C07B34"/>
    <w:rsid w:val="00C07BF9"/>
    <w:rsid w:val="00C100FD"/>
    <w:rsid w:val="00C10351"/>
    <w:rsid w:val="00C10571"/>
    <w:rsid w:val="00C10578"/>
    <w:rsid w:val="00C109E8"/>
    <w:rsid w:val="00C10A8D"/>
    <w:rsid w:val="00C10AB1"/>
    <w:rsid w:val="00C10DFF"/>
    <w:rsid w:val="00C1159E"/>
    <w:rsid w:val="00C116EC"/>
    <w:rsid w:val="00C1189B"/>
    <w:rsid w:val="00C11D9F"/>
    <w:rsid w:val="00C12665"/>
    <w:rsid w:val="00C12754"/>
    <w:rsid w:val="00C12912"/>
    <w:rsid w:val="00C12E3E"/>
    <w:rsid w:val="00C135BC"/>
    <w:rsid w:val="00C13937"/>
    <w:rsid w:val="00C13AA0"/>
    <w:rsid w:val="00C13BE3"/>
    <w:rsid w:val="00C145D5"/>
    <w:rsid w:val="00C151C8"/>
    <w:rsid w:val="00C154CF"/>
    <w:rsid w:val="00C15540"/>
    <w:rsid w:val="00C1566D"/>
    <w:rsid w:val="00C159AE"/>
    <w:rsid w:val="00C15BCE"/>
    <w:rsid w:val="00C15C95"/>
    <w:rsid w:val="00C16BF8"/>
    <w:rsid w:val="00C17614"/>
    <w:rsid w:val="00C17D7A"/>
    <w:rsid w:val="00C20E25"/>
    <w:rsid w:val="00C21388"/>
    <w:rsid w:val="00C213C5"/>
    <w:rsid w:val="00C21EB3"/>
    <w:rsid w:val="00C222EA"/>
    <w:rsid w:val="00C227E3"/>
    <w:rsid w:val="00C22A00"/>
    <w:rsid w:val="00C22E0B"/>
    <w:rsid w:val="00C233D8"/>
    <w:rsid w:val="00C23B9E"/>
    <w:rsid w:val="00C23F4F"/>
    <w:rsid w:val="00C25248"/>
    <w:rsid w:val="00C2596A"/>
    <w:rsid w:val="00C26024"/>
    <w:rsid w:val="00C26401"/>
    <w:rsid w:val="00C2645E"/>
    <w:rsid w:val="00C26C72"/>
    <w:rsid w:val="00C272F6"/>
    <w:rsid w:val="00C27300"/>
    <w:rsid w:val="00C27537"/>
    <w:rsid w:val="00C27D20"/>
    <w:rsid w:val="00C27ECD"/>
    <w:rsid w:val="00C315FE"/>
    <w:rsid w:val="00C31687"/>
    <w:rsid w:val="00C31701"/>
    <w:rsid w:val="00C319D2"/>
    <w:rsid w:val="00C31E6E"/>
    <w:rsid w:val="00C31E94"/>
    <w:rsid w:val="00C328FE"/>
    <w:rsid w:val="00C32F73"/>
    <w:rsid w:val="00C3301F"/>
    <w:rsid w:val="00C33507"/>
    <w:rsid w:val="00C336A7"/>
    <w:rsid w:val="00C33BA4"/>
    <w:rsid w:val="00C33CC8"/>
    <w:rsid w:val="00C33E46"/>
    <w:rsid w:val="00C342ED"/>
    <w:rsid w:val="00C3463B"/>
    <w:rsid w:val="00C352D8"/>
    <w:rsid w:val="00C356BE"/>
    <w:rsid w:val="00C35EE4"/>
    <w:rsid w:val="00C36BBB"/>
    <w:rsid w:val="00C36E97"/>
    <w:rsid w:val="00C36ECA"/>
    <w:rsid w:val="00C372EB"/>
    <w:rsid w:val="00C37654"/>
    <w:rsid w:val="00C37DB2"/>
    <w:rsid w:val="00C400BB"/>
    <w:rsid w:val="00C40246"/>
    <w:rsid w:val="00C40306"/>
    <w:rsid w:val="00C408FD"/>
    <w:rsid w:val="00C40AB2"/>
    <w:rsid w:val="00C40CD1"/>
    <w:rsid w:val="00C414D1"/>
    <w:rsid w:val="00C41AA2"/>
    <w:rsid w:val="00C41CEC"/>
    <w:rsid w:val="00C4242B"/>
    <w:rsid w:val="00C42531"/>
    <w:rsid w:val="00C425BD"/>
    <w:rsid w:val="00C42A9A"/>
    <w:rsid w:val="00C42AAA"/>
    <w:rsid w:val="00C42D6B"/>
    <w:rsid w:val="00C4341C"/>
    <w:rsid w:val="00C43E0A"/>
    <w:rsid w:val="00C44070"/>
    <w:rsid w:val="00C4409D"/>
    <w:rsid w:val="00C4472A"/>
    <w:rsid w:val="00C44841"/>
    <w:rsid w:val="00C4486B"/>
    <w:rsid w:val="00C44BCF"/>
    <w:rsid w:val="00C44DFB"/>
    <w:rsid w:val="00C44E72"/>
    <w:rsid w:val="00C45A06"/>
    <w:rsid w:val="00C460B4"/>
    <w:rsid w:val="00C460D5"/>
    <w:rsid w:val="00C467E1"/>
    <w:rsid w:val="00C46CAD"/>
    <w:rsid w:val="00C478AD"/>
    <w:rsid w:val="00C47E5B"/>
    <w:rsid w:val="00C508C9"/>
    <w:rsid w:val="00C50F9E"/>
    <w:rsid w:val="00C510B3"/>
    <w:rsid w:val="00C52012"/>
    <w:rsid w:val="00C5221E"/>
    <w:rsid w:val="00C52714"/>
    <w:rsid w:val="00C52B5A"/>
    <w:rsid w:val="00C54DA6"/>
    <w:rsid w:val="00C55130"/>
    <w:rsid w:val="00C554DE"/>
    <w:rsid w:val="00C5561D"/>
    <w:rsid w:val="00C56644"/>
    <w:rsid w:val="00C56850"/>
    <w:rsid w:val="00C576D8"/>
    <w:rsid w:val="00C57C44"/>
    <w:rsid w:val="00C60287"/>
    <w:rsid w:val="00C60351"/>
    <w:rsid w:val="00C605C3"/>
    <w:rsid w:val="00C60B54"/>
    <w:rsid w:val="00C60DAB"/>
    <w:rsid w:val="00C60F7B"/>
    <w:rsid w:val="00C6132A"/>
    <w:rsid w:val="00C613B3"/>
    <w:rsid w:val="00C61403"/>
    <w:rsid w:val="00C619B2"/>
    <w:rsid w:val="00C61E4B"/>
    <w:rsid w:val="00C61F0A"/>
    <w:rsid w:val="00C623E1"/>
    <w:rsid w:val="00C62D3E"/>
    <w:rsid w:val="00C63139"/>
    <w:rsid w:val="00C6318F"/>
    <w:rsid w:val="00C63739"/>
    <w:rsid w:val="00C63956"/>
    <w:rsid w:val="00C639A4"/>
    <w:rsid w:val="00C63C88"/>
    <w:rsid w:val="00C64428"/>
    <w:rsid w:val="00C6444D"/>
    <w:rsid w:val="00C645E9"/>
    <w:rsid w:val="00C6472D"/>
    <w:rsid w:val="00C64883"/>
    <w:rsid w:val="00C64B83"/>
    <w:rsid w:val="00C64BFF"/>
    <w:rsid w:val="00C64EE9"/>
    <w:rsid w:val="00C655C5"/>
    <w:rsid w:val="00C65667"/>
    <w:rsid w:val="00C6676C"/>
    <w:rsid w:val="00C66953"/>
    <w:rsid w:val="00C670A5"/>
    <w:rsid w:val="00C670B2"/>
    <w:rsid w:val="00C67821"/>
    <w:rsid w:val="00C67DF4"/>
    <w:rsid w:val="00C703B9"/>
    <w:rsid w:val="00C704D3"/>
    <w:rsid w:val="00C704E9"/>
    <w:rsid w:val="00C70B79"/>
    <w:rsid w:val="00C70BF0"/>
    <w:rsid w:val="00C70C73"/>
    <w:rsid w:val="00C717C9"/>
    <w:rsid w:val="00C71E6D"/>
    <w:rsid w:val="00C725EC"/>
    <w:rsid w:val="00C7280D"/>
    <w:rsid w:val="00C72AE7"/>
    <w:rsid w:val="00C7328E"/>
    <w:rsid w:val="00C734FF"/>
    <w:rsid w:val="00C736F5"/>
    <w:rsid w:val="00C73750"/>
    <w:rsid w:val="00C74031"/>
    <w:rsid w:val="00C7434E"/>
    <w:rsid w:val="00C75470"/>
    <w:rsid w:val="00C755C6"/>
    <w:rsid w:val="00C7578A"/>
    <w:rsid w:val="00C76196"/>
    <w:rsid w:val="00C763C9"/>
    <w:rsid w:val="00C76997"/>
    <w:rsid w:val="00C76E36"/>
    <w:rsid w:val="00C772EA"/>
    <w:rsid w:val="00C7744F"/>
    <w:rsid w:val="00C774ED"/>
    <w:rsid w:val="00C7761A"/>
    <w:rsid w:val="00C77C68"/>
    <w:rsid w:val="00C80057"/>
    <w:rsid w:val="00C8018C"/>
    <w:rsid w:val="00C802DA"/>
    <w:rsid w:val="00C8055B"/>
    <w:rsid w:val="00C805BF"/>
    <w:rsid w:val="00C80B88"/>
    <w:rsid w:val="00C80CD4"/>
    <w:rsid w:val="00C81530"/>
    <w:rsid w:val="00C81794"/>
    <w:rsid w:val="00C81D4A"/>
    <w:rsid w:val="00C821C4"/>
    <w:rsid w:val="00C82232"/>
    <w:rsid w:val="00C82280"/>
    <w:rsid w:val="00C82528"/>
    <w:rsid w:val="00C82913"/>
    <w:rsid w:val="00C82FA9"/>
    <w:rsid w:val="00C8343E"/>
    <w:rsid w:val="00C8349B"/>
    <w:rsid w:val="00C83ACC"/>
    <w:rsid w:val="00C83D4D"/>
    <w:rsid w:val="00C844AC"/>
    <w:rsid w:val="00C84807"/>
    <w:rsid w:val="00C84A97"/>
    <w:rsid w:val="00C84AFA"/>
    <w:rsid w:val="00C84DAD"/>
    <w:rsid w:val="00C85126"/>
    <w:rsid w:val="00C85211"/>
    <w:rsid w:val="00C85487"/>
    <w:rsid w:val="00C8564F"/>
    <w:rsid w:val="00C856A3"/>
    <w:rsid w:val="00C85862"/>
    <w:rsid w:val="00C85BDD"/>
    <w:rsid w:val="00C860DA"/>
    <w:rsid w:val="00C86262"/>
    <w:rsid w:val="00C862A2"/>
    <w:rsid w:val="00C8637A"/>
    <w:rsid w:val="00C86EBB"/>
    <w:rsid w:val="00C86F46"/>
    <w:rsid w:val="00C8701C"/>
    <w:rsid w:val="00C87118"/>
    <w:rsid w:val="00C87165"/>
    <w:rsid w:val="00C87383"/>
    <w:rsid w:val="00C87448"/>
    <w:rsid w:val="00C87733"/>
    <w:rsid w:val="00C90444"/>
    <w:rsid w:val="00C905D5"/>
    <w:rsid w:val="00C90E4F"/>
    <w:rsid w:val="00C90F1B"/>
    <w:rsid w:val="00C90FF6"/>
    <w:rsid w:val="00C9132C"/>
    <w:rsid w:val="00C91797"/>
    <w:rsid w:val="00C91863"/>
    <w:rsid w:val="00C926D1"/>
    <w:rsid w:val="00C92B68"/>
    <w:rsid w:val="00C92C20"/>
    <w:rsid w:val="00C93167"/>
    <w:rsid w:val="00C935C0"/>
    <w:rsid w:val="00C93D62"/>
    <w:rsid w:val="00C93E28"/>
    <w:rsid w:val="00C94050"/>
    <w:rsid w:val="00C95874"/>
    <w:rsid w:val="00C95939"/>
    <w:rsid w:val="00C95C98"/>
    <w:rsid w:val="00C9602A"/>
    <w:rsid w:val="00C9638B"/>
    <w:rsid w:val="00C96E1C"/>
    <w:rsid w:val="00C96ED8"/>
    <w:rsid w:val="00C9708B"/>
    <w:rsid w:val="00C970F1"/>
    <w:rsid w:val="00C972B1"/>
    <w:rsid w:val="00C97999"/>
    <w:rsid w:val="00C97A5D"/>
    <w:rsid w:val="00C97D3C"/>
    <w:rsid w:val="00CA01D2"/>
    <w:rsid w:val="00CA10FA"/>
    <w:rsid w:val="00CA133D"/>
    <w:rsid w:val="00CA19CD"/>
    <w:rsid w:val="00CA1C48"/>
    <w:rsid w:val="00CA1CFF"/>
    <w:rsid w:val="00CA22B3"/>
    <w:rsid w:val="00CA2413"/>
    <w:rsid w:val="00CA2B62"/>
    <w:rsid w:val="00CA2CCE"/>
    <w:rsid w:val="00CA2ED0"/>
    <w:rsid w:val="00CA2F91"/>
    <w:rsid w:val="00CA3395"/>
    <w:rsid w:val="00CA3617"/>
    <w:rsid w:val="00CA381F"/>
    <w:rsid w:val="00CA3892"/>
    <w:rsid w:val="00CA43FD"/>
    <w:rsid w:val="00CA4F7C"/>
    <w:rsid w:val="00CA5350"/>
    <w:rsid w:val="00CA615D"/>
    <w:rsid w:val="00CA6349"/>
    <w:rsid w:val="00CA6933"/>
    <w:rsid w:val="00CA7078"/>
    <w:rsid w:val="00CA7EF8"/>
    <w:rsid w:val="00CB0608"/>
    <w:rsid w:val="00CB089E"/>
    <w:rsid w:val="00CB2507"/>
    <w:rsid w:val="00CB2C7C"/>
    <w:rsid w:val="00CB3811"/>
    <w:rsid w:val="00CB388B"/>
    <w:rsid w:val="00CB3A97"/>
    <w:rsid w:val="00CB3CB1"/>
    <w:rsid w:val="00CB4A0C"/>
    <w:rsid w:val="00CB4D6A"/>
    <w:rsid w:val="00CB5647"/>
    <w:rsid w:val="00CB5A21"/>
    <w:rsid w:val="00CB5B65"/>
    <w:rsid w:val="00CB628E"/>
    <w:rsid w:val="00CB65C3"/>
    <w:rsid w:val="00CB674C"/>
    <w:rsid w:val="00CB6F55"/>
    <w:rsid w:val="00CB75FD"/>
    <w:rsid w:val="00CB7DC8"/>
    <w:rsid w:val="00CB7DF8"/>
    <w:rsid w:val="00CC0011"/>
    <w:rsid w:val="00CC0503"/>
    <w:rsid w:val="00CC05A4"/>
    <w:rsid w:val="00CC0610"/>
    <w:rsid w:val="00CC0795"/>
    <w:rsid w:val="00CC0DE7"/>
    <w:rsid w:val="00CC0EE2"/>
    <w:rsid w:val="00CC12D8"/>
    <w:rsid w:val="00CC1632"/>
    <w:rsid w:val="00CC1888"/>
    <w:rsid w:val="00CC1E3E"/>
    <w:rsid w:val="00CC2A13"/>
    <w:rsid w:val="00CC2C61"/>
    <w:rsid w:val="00CC3244"/>
    <w:rsid w:val="00CC32AB"/>
    <w:rsid w:val="00CC34FA"/>
    <w:rsid w:val="00CC3538"/>
    <w:rsid w:val="00CC3C33"/>
    <w:rsid w:val="00CC43D1"/>
    <w:rsid w:val="00CC44F7"/>
    <w:rsid w:val="00CC489B"/>
    <w:rsid w:val="00CC48E5"/>
    <w:rsid w:val="00CC4B30"/>
    <w:rsid w:val="00CC5121"/>
    <w:rsid w:val="00CC5978"/>
    <w:rsid w:val="00CC5E45"/>
    <w:rsid w:val="00CC5FED"/>
    <w:rsid w:val="00CC6310"/>
    <w:rsid w:val="00CC6F7F"/>
    <w:rsid w:val="00CC714D"/>
    <w:rsid w:val="00CC724A"/>
    <w:rsid w:val="00CC77D4"/>
    <w:rsid w:val="00CC7894"/>
    <w:rsid w:val="00CD0025"/>
    <w:rsid w:val="00CD05EF"/>
    <w:rsid w:val="00CD06F0"/>
    <w:rsid w:val="00CD173C"/>
    <w:rsid w:val="00CD188B"/>
    <w:rsid w:val="00CD1F20"/>
    <w:rsid w:val="00CD201C"/>
    <w:rsid w:val="00CD20DA"/>
    <w:rsid w:val="00CD2BCD"/>
    <w:rsid w:val="00CD2EDF"/>
    <w:rsid w:val="00CD2FEB"/>
    <w:rsid w:val="00CD3305"/>
    <w:rsid w:val="00CD337D"/>
    <w:rsid w:val="00CD35C9"/>
    <w:rsid w:val="00CD3A4C"/>
    <w:rsid w:val="00CD3D54"/>
    <w:rsid w:val="00CD40F2"/>
    <w:rsid w:val="00CD438A"/>
    <w:rsid w:val="00CD44E7"/>
    <w:rsid w:val="00CD48FE"/>
    <w:rsid w:val="00CD4FDB"/>
    <w:rsid w:val="00CD5232"/>
    <w:rsid w:val="00CD530F"/>
    <w:rsid w:val="00CD5D03"/>
    <w:rsid w:val="00CD64D8"/>
    <w:rsid w:val="00CD6AD8"/>
    <w:rsid w:val="00CD6C61"/>
    <w:rsid w:val="00CD6DC9"/>
    <w:rsid w:val="00CD70FF"/>
    <w:rsid w:val="00CD7313"/>
    <w:rsid w:val="00CD73D8"/>
    <w:rsid w:val="00CD75ED"/>
    <w:rsid w:val="00CD79DA"/>
    <w:rsid w:val="00CD7AC9"/>
    <w:rsid w:val="00CE01A9"/>
    <w:rsid w:val="00CE01CA"/>
    <w:rsid w:val="00CE0709"/>
    <w:rsid w:val="00CE10E9"/>
    <w:rsid w:val="00CE17DD"/>
    <w:rsid w:val="00CE18A9"/>
    <w:rsid w:val="00CE1993"/>
    <w:rsid w:val="00CE1C23"/>
    <w:rsid w:val="00CE2104"/>
    <w:rsid w:val="00CE26BB"/>
    <w:rsid w:val="00CE2910"/>
    <w:rsid w:val="00CE2C32"/>
    <w:rsid w:val="00CE2F4D"/>
    <w:rsid w:val="00CE30D5"/>
    <w:rsid w:val="00CE3566"/>
    <w:rsid w:val="00CE3AF7"/>
    <w:rsid w:val="00CE3C87"/>
    <w:rsid w:val="00CE41EA"/>
    <w:rsid w:val="00CE477C"/>
    <w:rsid w:val="00CE489F"/>
    <w:rsid w:val="00CE5393"/>
    <w:rsid w:val="00CE553A"/>
    <w:rsid w:val="00CE5EF2"/>
    <w:rsid w:val="00CE63DE"/>
    <w:rsid w:val="00CE63F5"/>
    <w:rsid w:val="00CE6904"/>
    <w:rsid w:val="00CE7090"/>
    <w:rsid w:val="00CE717B"/>
    <w:rsid w:val="00CE7223"/>
    <w:rsid w:val="00CF05E8"/>
    <w:rsid w:val="00CF080F"/>
    <w:rsid w:val="00CF0C05"/>
    <w:rsid w:val="00CF0D8A"/>
    <w:rsid w:val="00CF1DCA"/>
    <w:rsid w:val="00CF254C"/>
    <w:rsid w:val="00CF2CDE"/>
    <w:rsid w:val="00CF2FA6"/>
    <w:rsid w:val="00CF2FEE"/>
    <w:rsid w:val="00CF34B5"/>
    <w:rsid w:val="00CF36BE"/>
    <w:rsid w:val="00CF3DFC"/>
    <w:rsid w:val="00CF43B3"/>
    <w:rsid w:val="00CF4E67"/>
    <w:rsid w:val="00CF4FBA"/>
    <w:rsid w:val="00CF5471"/>
    <w:rsid w:val="00CF5582"/>
    <w:rsid w:val="00CF5A22"/>
    <w:rsid w:val="00CF5DA8"/>
    <w:rsid w:val="00CF5FB7"/>
    <w:rsid w:val="00CF6000"/>
    <w:rsid w:val="00CF600C"/>
    <w:rsid w:val="00CF60E9"/>
    <w:rsid w:val="00CF610B"/>
    <w:rsid w:val="00CF66C7"/>
    <w:rsid w:val="00CF6878"/>
    <w:rsid w:val="00CF6929"/>
    <w:rsid w:val="00CF69A3"/>
    <w:rsid w:val="00CF6BC3"/>
    <w:rsid w:val="00CF7283"/>
    <w:rsid w:val="00CF7493"/>
    <w:rsid w:val="00CF7A9C"/>
    <w:rsid w:val="00CF7B11"/>
    <w:rsid w:val="00CF7C3D"/>
    <w:rsid w:val="00CF7C89"/>
    <w:rsid w:val="00D003F3"/>
    <w:rsid w:val="00D00C32"/>
    <w:rsid w:val="00D01094"/>
    <w:rsid w:val="00D010B8"/>
    <w:rsid w:val="00D012F7"/>
    <w:rsid w:val="00D01307"/>
    <w:rsid w:val="00D015D2"/>
    <w:rsid w:val="00D019D2"/>
    <w:rsid w:val="00D01C43"/>
    <w:rsid w:val="00D01CB6"/>
    <w:rsid w:val="00D0260F"/>
    <w:rsid w:val="00D029CB"/>
    <w:rsid w:val="00D02D41"/>
    <w:rsid w:val="00D0364F"/>
    <w:rsid w:val="00D03848"/>
    <w:rsid w:val="00D0391E"/>
    <w:rsid w:val="00D03BA7"/>
    <w:rsid w:val="00D043BD"/>
    <w:rsid w:val="00D0460D"/>
    <w:rsid w:val="00D04AB5"/>
    <w:rsid w:val="00D04BCE"/>
    <w:rsid w:val="00D04E27"/>
    <w:rsid w:val="00D04EEE"/>
    <w:rsid w:val="00D05097"/>
    <w:rsid w:val="00D05497"/>
    <w:rsid w:val="00D056C9"/>
    <w:rsid w:val="00D05806"/>
    <w:rsid w:val="00D05A87"/>
    <w:rsid w:val="00D05AC1"/>
    <w:rsid w:val="00D05B55"/>
    <w:rsid w:val="00D05DB5"/>
    <w:rsid w:val="00D0644E"/>
    <w:rsid w:val="00D06834"/>
    <w:rsid w:val="00D06AF8"/>
    <w:rsid w:val="00D071A6"/>
    <w:rsid w:val="00D07229"/>
    <w:rsid w:val="00D0732C"/>
    <w:rsid w:val="00D073AE"/>
    <w:rsid w:val="00D07574"/>
    <w:rsid w:val="00D07617"/>
    <w:rsid w:val="00D07EF7"/>
    <w:rsid w:val="00D10DEA"/>
    <w:rsid w:val="00D11776"/>
    <w:rsid w:val="00D11ABD"/>
    <w:rsid w:val="00D11B87"/>
    <w:rsid w:val="00D12963"/>
    <w:rsid w:val="00D12D10"/>
    <w:rsid w:val="00D13DF5"/>
    <w:rsid w:val="00D13EFB"/>
    <w:rsid w:val="00D1480C"/>
    <w:rsid w:val="00D14F2A"/>
    <w:rsid w:val="00D15A2C"/>
    <w:rsid w:val="00D16C5C"/>
    <w:rsid w:val="00D17302"/>
    <w:rsid w:val="00D17BBD"/>
    <w:rsid w:val="00D20157"/>
    <w:rsid w:val="00D20243"/>
    <w:rsid w:val="00D20997"/>
    <w:rsid w:val="00D20B58"/>
    <w:rsid w:val="00D20E49"/>
    <w:rsid w:val="00D212F2"/>
    <w:rsid w:val="00D214DB"/>
    <w:rsid w:val="00D218D5"/>
    <w:rsid w:val="00D21B19"/>
    <w:rsid w:val="00D21C95"/>
    <w:rsid w:val="00D21E1A"/>
    <w:rsid w:val="00D22143"/>
    <w:rsid w:val="00D222F2"/>
    <w:rsid w:val="00D2232D"/>
    <w:rsid w:val="00D224E4"/>
    <w:rsid w:val="00D225E5"/>
    <w:rsid w:val="00D227CB"/>
    <w:rsid w:val="00D2309A"/>
    <w:rsid w:val="00D2321B"/>
    <w:rsid w:val="00D233E6"/>
    <w:rsid w:val="00D23EBA"/>
    <w:rsid w:val="00D241D1"/>
    <w:rsid w:val="00D244CD"/>
    <w:rsid w:val="00D246EF"/>
    <w:rsid w:val="00D24F0A"/>
    <w:rsid w:val="00D25B1D"/>
    <w:rsid w:val="00D25BA7"/>
    <w:rsid w:val="00D25DD8"/>
    <w:rsid w:val="00D25EC3"/>
    <w:rsid w:val="00D26158"/>
    <w:rsid w:val="00D267A3"/>
    <w:rsid w:val="00D275DB"/>
    <w:rsid w:val="00D27884"/>
    <w:rsid w:val="00D27EE4"/>
    <w:rsid w:val="00D308ED"/>
    <w:rsid w:val="00D30B74"/>
    <w:rsid w:val="00D30CC9"/>
    <w:rsid w:val="00D3118D"/>
    <w:rsid w:val="00D31326"/>
    <w:rsid w:val="00D3260A"/>
    <w:rsid w:val="00D3279B"/>
    <w:rsid w:val="00D32A8F"/>
    <w:rsid w:val="00D32CF6"/>
    <w:rsid w:val="00D3302F"/>
    <w:rsid w:val="00D33734"/>
    <w:rsid w:val="00D3374A"/>
    <w:rsid w:val="00D33FD6"/>
    <w:rsid w:val="00D348BC"/>
    <w:rsid w:val="00D34C81"/>
    <w:rsid w:val="00D35441"/>
    <w:rsid w:val="00D35629"/>
    <w:rsid w:val="00D3570E"/>
    <w:rsid w:val="00D357F8"/>
    <w:rsid w:val="00D361D6"/>
    <w:rsid w:val="00D36395"/>
    <w:rsid w:val="00D36D86"/>
    <w:rsid w:val="00D37707"/>
    <w:rsid w:val="00D37976"/>
    <w:rsid w:val="00D37DED"/>
    <w:rsid w:val="00D40011"/>
    <w:rsid w:val="00D404C2"/>
    <w:rsid w:val="00D40B1C"/>
    <w:rsid w:val="00D41188"/>
    <w:rsid w:val="00D41771"/>
    <w:rsid w:val="00D422CC"/>
    <w:rsid w:val="00D426C9"/>
    <w:rsid w:val="00D428AA"/>
    <w:rsid w:val="00D42A13"/>
    <w:rsid w:val="00D42DD4"/>
    <w:rsid w:val="00D42F19"/>
    <w:rsid w:val="00D433FC"/>
    <w:rsid w:val="00D44C63"/>
    <w:rsid w:val="00D44DAD"/>
    <w:rsid w:val="00D44FE9"/>
    <w:rsid w:val="00D45931"/>
    <w:rsid w:val="00D45954"/>
    <w:rsid w:val="00D464D5"/>
    <w:rsid w:val="00D4680A"/>
    <w:rsid w:val="00D469A0"/>
    <w:rsid w:val="00D46C9B"/>
    <w:rsid w:val="00D46EF4"/>
    <w:rsid w:val="00D47445"/>
    <w:rsid w:val="00D478CB"/>
    <w:rsid w:val="00D47A4A"/>
    <w:rsid w:val="00D47F14"/>
    <w:rsid w:val="00D502B1"/>
    <w:rsid w:val="00D50A34"/>
    <w:rsid w:val="00D512C6"/>
    <w:rsid w:val="00D5184F"/>
    <w:rsid w:val="00D5274C"/>
    <w:rsid w:val="00D527CC"/>
    <w:rsid w:val="00D534E2"/>
    <w:rsid w:val="00D53A95"/>
    <w:rsid w:val="00D53BBB"/>
    <w:rsid w:val="00D53C1A"/>
    <w:rsid w:val="00D53EFA"/>
    <w:rsid w:val="00D543FE"/>
    <w:rsid w:val="00D5442E"/>
    <w:rsid w:val="00D546FC"/>
    <w:rsid w:val="00D548BC"/>
    <w:rsid w:val="00D54AB2"/>
    <w:rsid w:val="00D54DF2"/>
    <w:rsid w:val="00D54E1D"/>
    <w:rsid w:val="00D559C3"/>
    <w:rsid w:val="00D568F9"/>
    <w:rsid w:val="00D56913"/>
    <w:rsid w:val="00D56927"/>
    <w:rsid w:val="00D56B0B"/>
    <w:rsid w:val="00D56C19"/>
    <w:rsid w:val="00D57308"/>
    <w:rsid w:val="00D57808"/>
    <w:rsid w:val="00D6068D"/>
    <w:rsid w:val="00D60803"/>
    <w:rsid w:val="00D609BA"/>
    <w:rsid w:val="00D61295"/>
    <w:rsid w:val="00D61400"/>
    <w:rsid w:val="00D61CA3"/>
    <w:rsid w:val="00D61CBA"/>
    <w:rsid w:val="00D61DC0"/>
    <w:rsid w:val="00D620DC"/>
    <w:rsid w:val="00D6230E"/>
    <w:rsid w:val="00D62C07"/>
    <w:rsid w:val="00D62C49"/>
    <w:rsid w:val="00D630ED"/>
    <w:rsid w:val="00D6343D"/>
    <w:rsid w:val="00D63EA0"/>
    <w:rsid w:val="00D64B92"/>
    <w:rsid w:val="00D65727"/>
    <w:rsid w:val="00D6583F"/>
    <w:rsid w:val="00D658BF"/>
    <w:rsid w:val="00D65928"/>
    <w:rsid w:val="00D66551"/>
    <w:rsid w:val="00D66DF8"/>
    <w:rsid w:val="00D6720E"/>
    <w:rsid w:val="00D67410"/>
    <w:rsid w:val="00D6781C"/>
    <w:rsid w:val="00D67B79"/>
    <w:rsid w:val="00D67D16"/>
    <w:rsid w:val="00D67E58"/>
    <w:rsid w:val="00D67FBE"/>
    <w:rsid w:val="00D70132"/>
    <w:rsid w:val="00D708CC"/>
    <w:rsid w:val="00D70FC0"/>
    <w:rsid w:val="00D712B3"/>
    <w:rsid w:val="00D714D9"/>
    <w:rsid w:val="00D71C95"/>
    <w:rsid w:val="00D723B7"/>
    <w:rsid w:val="00D7256A"/>
    <w:rsid w:val="00D726C8"/>
    <w:rsid w:val="00D72B0A"/>
    <w:rsid w:val="00D734F3"/>
    <w:rsid w:val="00D73536"/>
    <w:rsid w:val="00D739F7"/>
    <w:rsid w:val="00D73DCC"/>
    <w:rsid w:val="00D7491C"/>
    <w:rsid w:val="00D74BB4"/>
    <w:rsid w:val="00D74F55"/>
    <w:rsid w:val="00D75B69"/>
    <w:rsid w:val="00D76041"/>
    <w:rsid w:val="00D761F4"/>
    <w:rsid w:val="00D76402"/>
    <w:rsid w:val="00D76684"/>
    <w:rsid w:val="00D76A81"/>
    <w:rsid w:val="00D771E7"/>
    <w:rsid w:val="00D77B69"/>
    <w:rsid w:val="00D806A0"/>
    <w:rsid w:val="00D80C46"/>
    <w:rsid w:val="00D80E7A"/>
    <w:rsid w:val="00D826CB"/>
    <w:rsid w:val="00D8281F"/>
    <w:rsid w:val="00D82AA1"/>
    <w:rsid w:val="00D83034"/>
    <w:rsid w:val="00D83F27"/>
    <w:rsid w:val="00D8414C"/>
    <w:rsid w:val="00D8497A"/>
    <w:rsid w:val="00D84A0A"/>
    <w:rsid w:val="00D84BD1"/>
    <w:rsid w:val="00D84DDC"/>
    <w:rsid w:val="00D84E4D"/>
    <w:rsid w:val="00D8531F"/>
    <w:rsid w:val="00D8541C"/>
    <w:rsid w:val="00D85BEF"/>
    <w:rsid w:val="00D85D21"/>
    <w:rsid w:val="00D86406"/>
    <w:rsid w:val="00D86610"/>
    <w:rsid w:val="00D868D8"/>
    <w:rsid w:val="00D86D48"/>
    <w:rsid w:val="00D86E99"/>
    <w:rsid w:val="00D870A3"/>
    <w:rsid w:val="00D8786E"/>
    <w:rsid w:val="00D87D04"/>
    <w:rsid w:val="00D87E51"/>
    <w:rsid w:val="00D902D4"/>
    <w:rsid w:val="00D923B5"/>
    <w:rsid w:val="00D92A45"/>
    <w:rsid w:val="00D92CB8"/>
    <w:rsid w:val="00D93207"/>
    <w:rsid w:val="00D9359D"/>
    <w:rsid w:val="00D93796"/>
    <w:rsid w:val="00D937B1"/>
    <w:rsid w:val="00D93B1F"/>
    <w:rsid w:val="00D93C76"/>
    <w:rsid w:val="00D94195"/>
    <w:rsid w:val="00D94649"/>
    <w:rsid w:val="00D94A7C"/>
    <w:rsid w:val="00D94AA1"/>
    <w:rsid w:val="00D94FCD"/>
    <w:rsid w:val="00D9529E"/>
    <w:rsid w:val="00D95731"/>
    <w:rsid w:val="00D95896"/>
    <w:rsid w:val="00D95E8B"/>
    <w:rsid w:val="00D95F24"/>
    <w:rsid w:val="00D96247"/>
    <w:rsid w:val="00D962F8"/>
    <w:rsid w:val="00D964C7"/>
    <w:rsid w:val="00D96848"/>
    <w:rsid w:val="00D96A1B"/>
    <w:rsid w:val="00D9749D"/>
    <w:rsid w:val="00D974D0"/>
    <w:rsid w:val="00D978A8"/>
    <w:rsid w:val="00DA0AD3"/>
    <w:rsid w:val="00DA1E61"/>
    <w:rsid w:val="00DA1E8F"/>
    <w:rsid w:val="00DA3174"/>
    <w:rsid w:val="00DA32EA"/>
    <w:rsid w:val="00DA3B1B"/>
    <w:rsid w:val="00DA3E5B"/>
    <w:rsid w:val="00DA4741"/>
    <w:rsid w:val="00DA4F23"/>
    <w:rsid w:val="00DA4F84"/>
    <w:rsid w:val="00DA5531"/>
    <w:rsid w:val="00DA58D2"/>
    <w:rsid w:val="00DA5A71"/>
    <w:rsid w:val="00DA5D87"/>
    <w:rsid w:val="00DA5D92"/>
    <w:rsid w:val="00DA6082"/>
    <w:rsid w:val="00DA6717"/>
    <w:rsid w:val="00DA68B6"/>
    <w:rsid w:val="00DA763D"/>
    <w:rsid w:val="00DA7F24"/>
    <w:rsid w:val="00DB04E2"/>
    <w:rsid w:val="00DB07EB"/>
    <w:rsid w:val="00DB08B9"/>
    <w:rsid w:val="00DB1134"/>
    <w:rsid w:val="00DB1253"/>
    <w:rsid w:val="00DB1847"/>
    <w:rsid w:val="00DB1BF8"/>
    <w:rsid w:val="00DB1DDA"/>
    <w:rsid w:val="00DB1E42"/>
    <w:rsid w:val="00DB1E99"/>
    <w:rsid w:val="00DB1F77"/>
    <w:rsid w:val="00DB204A"/>
    <w:rsid w:val="00DB2064"/>
    <w:rsid w:val="00DB2148"/>
    <w:rsid w:val="00DB2983"/>
    <w:rsid w:val="00DB2F7C"/>
    <w:rsid w:val="00DB31D6"/>
    <w:rsid w:val="00DB39A0"/>
    <w:rsid w:val="00DB3E65"/>
    <w:rsid w:val="00DB4B53"/>
    <w:rsid w:val="00DB4FB7"/>
    <w:rsid w:val="00DB524C"/>
    <w:rsid w:val="00DB5417"/>
    <w:rsid w:val="00DB60EA"/>
    <w:rsid w:val="00DB67EF"/>
    <w:rsid w:val="00DB6BE2"/>
    <w:rsid w:val="00DB6C33"/>
    <w:rsid w:val="00DB6DCF"/>
    <w:rsid w:val="00DB6F9D"/>
    <w:rsid w:val="00DB71A5"/>
    <w:rsid w:val="00DB7690"/>
    <w:rsid w:val="00DB7741"/>
    <w:rsid w:val="00DB7A31"/>
    <w:rsid w:val="00DB7F18"/>
    <w:rsid w:val="00DB7F3F"/>
    <w:rsid w:val="00DC032C"/>
    <w:rsid w:val="00DC0F74"/>
    <w:rsid w:val="00DC10EE"/>
    <w:rsid w:val="00DC1257"/>
    <w:rsid w:val="00DC1315"/>
    <w:rsid w:val="00DC167F"/>
    <w:rsid w:val="00DC2200"/>
    <w:rsid w:val="00DC22C3"/>
    <w:rsid w:val="00DC2D78"/>
    <w:rsid w:val="00DC38E8"/>
    <w:rsid w:val="00DC3966"/>
    <w:rsid w:val="00DC39BF"/>
    <w:rsid w:val="00DC3A96"/>
    <w:rsid w:val="00DC3BBE"/>
    <w:rsid w:val="00DC3DC0"/>
    <w:rsid w:val="00DC454F"/>
    <w:rsid w:val="00DC4A67"/>
    <w:rsid w:val="00DC545D"/>
    <w:rsid w:val="00DC54A0"/>
    <w:rsid w:val="00DC59B1"/>
    <w:rsid w:val="00DC5A68"/>
    <w:rsid w:val="00DC5B2B"/>
    <w:rsid w:val="00DC5CAF"/>
    <w:rsid w:val="00DC60AB"/>
    <w:rsid w:val="00DC6543"/>
    <w:rsid w:val="00DC6628"/>
    <w:rsid w:val="00DC665C"/>
    <w:rsid w:val="00DC7415"/>
    <w:rsid w:val="00DC7474"/>
    <w:rsid w:val="00DC7885"/>
    <w:rsid w:val="00DC7A59"/>
    <w:rsid w:val="00DC7BA1"/>
    <w:rsid w:val="00DC7EB0"/>
    <w:rsid w:val="00DC7EE3"/>
    <w:rsid w:val="00DD051A"/>
    <w:rsid w:val="00DD06B3"/>
    <w:rsid w:val="00DD0A86"/>
    <w:rsid w:val="00DD0C91"/>
    <w:rsid w:val="00DD1F66"/>
    <w:rsid w:val="00DD1FCA"/>
    <w:rsid w:val="00DD23DD"/>
    <w:rsid w:val="00DD26A0"/>
    <w:rsid w:val="00DD2797"/>
    <w:rsid w:val="00DD29AA"/>
    <w:rsid w:val="00DD2C15"/>
    <w:rsid w:val="00DD318D"/>
    <w:rsid w:val="00DD32C9"/>
    <w:rsid w:val="00DD3711"/>
    <w:rsid w:val="00DD3B20"/>
    <w:rsid w:val="00DD3B8F"/>
    <w:rsid w:val="00DD4113"/>
    <w:rsid w:val="00DD4AC8"/>
    <w:rsid w:val="00DD4D07"/>
    <w:rsid w:val="00DD4F19"/>
    <w:rsid w:val="00DD5117"/>
    <w:rsid w:val="00DD58BF"/>
    <w:rsid w:val="00DD58FB"/>
    <w:rsid w:val="00DD597C"/>
    <w:rsid w:val="00DD5A53"/>
    <w:rsid w:val="00DD5B05"/>
    <w:rsid w:val="00DD5F4B"/>
    <w:rsid w:val="00DD5F8B"/>
    <w:rsid w:val="00DD6167"/>
    <w:rsid w:val="00DD61A6"/>
    <w:rsid w:val="00DD6DB6"/>
    <w:rsid w:val="00DD77F9"/>
    <w:rsid w:val="00DD7854"/>
    <w:rsid w:val="00DD796A"/>
    <w:rsid w:val="00DD7AD5"/>
    <w:rsid w:val="00DD7FD3"/>
    <w:rsid w:val="00DE0646"/>
    <w:rsid w:val="00DE0D32"/>
    <w:rsid w:val="00DE1DF8"/>
    <w:rsid w:val="00DE255C"/>
    <w:rsid w:val="00DE2780"/>
    <w:rsid w:val="00DE29DE"/>
    <w:rsid w:val="00DE3080"/>
    <w:rsid w:val="00DE4708"/>
    <w:rsid w:val="00DE48F4"/>
    <w:rsid w:val="00DE4B47"/>
    <w:rsid w:val="00DE4BD6"/>
    <w:rsid w:val="00DE55D1"/>
    <w:rsid w:val="00DE5614"/>
    <w:rsid w:val="00DE562B"/>
    <w:rsid w:val="00DE5AEF"/>
    <w:rsid w:val="00DE608A"/>
    <w:rsid w:val="00DE6A46"/>
    <w:rsid w:val="00DE6B50"/>
    <w:rsid w:val="00DE76A8"/>
    <w:rsid w:val="00DE7CAF"/>
    <w:rsid w:val="00DE7D62"/>
    <w:rsid w:val="00DE7FDC"/>
    <w:rsid w:val="00DF089B"/>
    <w:rsid w:val="00DF0D4B"/>
    <w:rsid w:val="00DF0D9E"/>
    <w:rsid w:val="00DF0EE2"/>
    <w:rsid w:val="00DF1172"/>
    <w:rsid w:val="00DF11F2"/>
    <w:rsid w:val="00DF13AB"/>
    <w:rsid w:val="00DF1496"/>
    <w:rsid w:val="00DF1F57"/>
    <w:rsid w:val="00DF224C"/>
    <w:rsid w:val="00DF23C3"/>
    <w:rsid w:val="00DF2A15"/>
    <w:rsid w:val="00DF2E12"/>
    <w:rsid w:val="00DF2F1E"/>
    <w:rsid w:val="00DF3648"/>
    <w:rsid w:val="00DF3A84"/>
    <w:rsid w:val="00DF3ABF"/>
    <w:rsid w:val="00DF4292"/>
    <w:rsid w:val="00DF514A"/>
    <w:rsid w:val="00DF5929"/>
    <w:rsid w:val="00DF6388"/>
    <w:rsid w:val="00DF6690"/>
    <w:rsid w:val="00DF6804"/>
    <w:rsid w:val="00DF6FAA"/>
    <w:rsid w:val="00DF7395"/>
    <w:rsid w:val="00DF77A6"/>
    <w:rsid w:val="00DF7BE0"/>
    <w:rsid w:val="00DF7D37"/>
    <w:rsid w:val="00E00FDF"/>
    <w:rsid w:val="00E018E9"/>
    <w:rsid w:val="00E01992"/>
    <w:rsid w:val="00E028A8"/>
    <w:rsid w:val="00E030F6"/>
    <w:rsid w:val="00E0358D"/>
    <w:rsid w:val="00E035AF"/>
    <w:rsid w:val="00E035DD"/>
    <w:rsid w:val="00E0385F"/>
    <w:rsid w:val="00E0393F"/>
    <w:rsid w:val="00E03A5D"/>
    <w:rsid w:val="00E03B0E"/>
    <w:rsid w:val="00E03C42"/>
    <w:rsid w:val="00E03CBF"/>
    <w:rsid w:val="00E03F45"/>
    <w:rsid w:val="00E03FA1"/>
    <w:rsid w:val="00E0405B"/>
    <w:rsid w:val="00E04073"/>
    <w:rsid w:val="00E0414D"/>
    <w:rsid w:val="00E04323"/>
    <w:rsid w:val="00E05089"/>
    <w:rsid w:val="00E05158"/>
    <w:rsid w:val="00E05695"/>
    <w:rsid w:val="00E05910"/>
    <w:rsid w:val="00E05D49"/>
    <w:rsid w:val="00E063D6"/>
    <w:rsid w:val="00E06ADE"/>
    <w:rsid w:val="00E06C28"/>
    <w:rsid w:val="00E070A2"/>
    <w:rsid w:val="00E076BB"/>
    <w:rsid w:val="00E07C64"/>
    <w:rsid w:val="00E07D64"/>
    <w:rsid w:val="00E07E0F"/>
    <w:rsid w:val="00E07E20"/>
    <w:rsid w:val="00E1027C"/>
    <w:rsid w:val="00E10424"/>
    <w:rsid w:val="00E107EE"/>
    <w:rsid w:val="00E108B8"/>
    <w:rsid w:val="00E108C3"/>
    <w:rsid w:val="00E1117E"/>
    <w:rsid w:val="00E114D7"/>
    <w:rsid w:val="00E12112"/>
    <w:rsid w:val="00E12472"/>
    <w:rsid w:val="00E1284B"/>
    <w:rsid w:val="00E12CFA"/>
    <w:rsid w:val="00E12FDD"/>
    <w:rsid w:val="00E12FF7"/>
    <w:rsid w:val="00E13402"/>
    <w:rsid w:val="00E141B8"/>
    <w:rsid w:val="00E141F3"/>
    <w:rsid w:val="00E14381"/>
    <w:rsid w:val="00E149A7"/>
    <w:rsid w:val="00E14CF6"/>
    <w:rsid w:val="00E152D1"/>
    <w:rsid w:val="00E156F6"/>
    <w:rsid w:val="00E15C3F"/>
    <w:rsid w:val="00E15CA3"/>
    <w:rsid w:val="00E15F8C"/>
    <w:rsid w:val="00E161BF"/>
    <w:rsid w:val="00E16312"/>
    <w:rsid w:val="00E164EA"/>
    <w:rsid w:val="00E16A74"/>
    <w:rsid w:val="00E16F35"/>
    <w:rsid w:val="00E170B2"/>
    <w:rsid w:val="00E170FA"/>
    <w:rsid w:val="00E1761D"/>
    <w:rsid w:val="00E179A0"/>
    <w:rsid w:val="00E17F0C"/>
    <w:rsid w:val="00E20052"/>
    <w:rsid w:val="00E20102"/>
    <w:rsid w:val="00E203B8"/>
    <w:rsid w:val="00E20968"/>
    <w:rsid w:val="00E20BD7"/>
    <w:rsid w:val="00E20BEB"/>
    <w:rsid w:val="00E20F04"/>
    <w:rsid w:val="00E213C6"/>
    <w:rsid w:val="00E21CAD"/>
    <w:rsid w:val="00E220C8"/>
    <w:rsid w:val="00E227F2"/>
    <w:rsid w:val="00E228D2"/>
    <w:rsid w:val="00E2306B"/>
    <w:rsid w:val="00E232AC"/>
    <w:rsid w:val="00E2359A"/>
    <w:rsid w:val="00E23935"/>
    <w:rsid w:val="00E23E84"/>
    <w:rsid w:val="00E23F60"/>
    <w:rsid w:val="00E242A6"/>
    <w:rsid w:val="00E24316"/>
    <w:rsid w:val="00E248DA"/>
    <w:rsid w:val="00E24C56"/>
    <w:rsid w:val="00E24E38"/>
    <w:rsid w:val="00E24EA8"/>
    <w:rsid w:val="00E2580F"/>
    <w:rsid w:val="00E25E7E"/>
    <w:rsid w:val="00E2656A"/>
    <w:rsid w:val="00E2669E"/>
    <w:rsid w:val="00E26787"/>
    <w:rsid w:val="00E2691D"/>
    <w:rsid w:val="00E26A6A"/>
    <w:rsid w:val="00E26B01"/>
    <w:rsid w:val="00E26D95"/>
    <w:rsid w:val="00E270C1"/>
    <w:rsid w:val="00E27768"/>
    <w:rsid w:val="00E307A1"/>
    <w:rsid w:val="00E30D34"/>
    <w:rsid w:val="00E30D3C"/>
    <w:rsid w:val="00E3145D"/>
    <w:rsid w:val="00E31743"/>
    <w:rsid w:val="00E31A9C"/>
    <w:rsid w:val="00E321C2"/>
    <w:rsid w:val="00E32431"/>
    <w:rsid w:val="00E325E4"/>
    <w:rsid w:val="00E32EF8"/>
    <w:rsid w:val="00E33581"/>
    <w:rsid w:val="00E339C6"/>
    <w:rsid w:val="00E33B61"/>
    <w:rsid w:val="00E33B82"/>
    <w:rsid w:val="00E33B8B"/>
    <w:rsid w:val="00E33E1C"/>
    <w:rsid w:val="00E341B9"/>
    <w:rsid w:val="00E348B9"/>
    <w:rsid w:val="00E3532B"/>
    <w:rsid w:val="00E35F29"/>
    <w:rsid w:val="00E35F2A"/>
    <w:rsid w:val="00E360A4"/>
    <w:rsid w:val="00E3710B"/>
    <w:rsid w:val="00E3727F"/>
    <w:rsid w:val="00E37604"/>
    <w:rsid w:val="00E37733"/>
    <w:rsid w:val="00E37A37"/>
    <w:rsid w:val="00E37BF4"/>
    <w:rsid w:val="00E37C06"/>
    <w:rsid w:val="00E37D2E"/>
    <w:rsid w:val="00E37E41"/>
    <w:rsid w:val="00E4013B"/>
    <w:rsid w:val="00E40882"/>
    <w:rsid w:val="00E41268"/>
    <w:rsid w:val="00E412D0"/>
    <w:rsid w:val="00E41B76"/>
    <w:rsid w:val="00E41ED9"/>
    <w:rsid w:val="00E42056"/>
    <w:rsid w:val="00E42199"/>
    <w:rsid w:val="00E422B0"/>
    <w:rsid w:val="00E42535"/>
    <w:rsid w:val="00E42747"/>
    <w:rsid w:val="00E43260"/>
    <w:rsid w:val="00E441A7"/>
    <w:rsid w:val="00E441CB"/>
    <w:rsid w:val="00E443AF"/>
    <w:rsid w:val="00E444CF"/>
    <w:rsid w:val="00E445DC"/>
    <w:rsid w:val="00E44607"/>
    <w:rsid w:val="00E44FD7"/>
    <w:rsid w:val="00E45960"/>
    <w:rsid w:val="00E45A2E"/>
    <w:rsid w:val="00E45C69"/>
    <w:rsid w:val="00E463B3"/>
    <w:rsid w:val="00E468D2"/>
    <w:rsid w:val="00E469BB"/>
    <w:rsid w:val="00E46AE8"/>
    <w:rsid w:val="00E4798B"/>
    <w:rsid w:val="00E501B8"/>
    <w:rsid w:val="00E505C0"/>
    <w:rsid w:val="00E50AE7"/>
    <w:rsid w:val="00E51339"/>
    <w:rsid w:val="00E51958"/>
    <w:rsid w:val="00E525B7"/>
    <w:rsid w:val="00E52C5B"/>
    <w:rsid w:val="00E53515"/>
    <w:rsid w:val="00E5362A"/>
    <w:rsid w:val="00E53D22"/>
    <w:rsid w:val="00E53D4E"/>
    <w:rsid w:val="00E54374"/>
    <w:rsid w:val="00E549DE"/>
    <w:rsid w:val="00E5529C"/>
    <w:rsid w:val="00E55550"/>
    <w:rsid w:val="00E555A7"/>
    <w:rsid w:val="00E55987"/>
    <w:rsid w:val="00E55D35"/>
    <w:rsid w:val="00E55D36"/>
    <w:rsid w:val="00E560B8"/>
    <w:rsid w:val="00E56322"/>
    <w:rsid w:val="00E56A04"/>
    <w:rsid w:val="00E56E09"/>
    <w:rsid w:val="00E5792B"/>
    <w:rsid w:val="00E57C31"/>
    <w:rsid w:val="00E6000F"/>
    <w:rsid w:val="00E60318"/>
    <w:rsid w:val="00E6037F"/>
    <w:rsid w:val="00E60492"/>
    <w:rsid w:val="00E60686"/>
    <w:rsid w:val="00E60982"/>
    <w:rsid w:val="00E61515"/>
    <w:rsid w:val="00E62327"/>
    <w:rsid w:val="00E62457"/>
    <w:rsid w:val="00E624F9"/>
    <w:rsid w:val="00E62C62"/>
    <w:rsid w:val="00E62C82"/>
    <w:rsid w:val="00E631F9"/>
    <w:rsid w:val="00E63875"/>
    <w:rsid w:val="00E63CDB"/>
    <w:rsid w:val="00E63F77"/>
    <w:rsid w:val="00E64051"/>
    <w:rsid w:val="00E6437B"/>
    <w:rsid w:val="00E64AA8"/>
    <w:rsid w:val="00E64CA2"/>
    <w:rsid w:val="00E651CE"/>
    <w:rsid w:val="00E654C1"/>
    <w:rsid w:val="00E6592F"/>
    <w:rsid w:val="00E65ABB"/>
    <w:rsid w:val="00E65BF2"/>
    <w:rsid w:val="00E65C5A"/>
    <w:rsid w:val="00E65C6B"/>
    <w:rsid w:val="00E65D97"/>
    <w:rsid w:val="00E668F9"/>
    <w:rsid w:val="00E66C7E"/>
    <w:rsid w:val="00E66FE0"/>
    <w:rsid w:val="00E6729B"/>
    <w:rsid w:val="00E67500"/>
    <w:rsid w:val="00E67E20"/>
    <w:rsid w:val="00E706AD"/>
    <w:rsid w:val="00E7106E"/>
    <w:rsid w:val="00E7188A"/>
    <w:rsid w:val="00E71CC1"/>
    <w:rsid w:val="00E71F19"/>
    <w:rsid w:val="00E723AE"/>
    <w:rsid w:val="00E7258B"/>
    <w:rsid w:val="00E72A5A"/>
    <w:rsid w:val="00E72CAA"/>
    <w:rsid w:val="00E72DF5"/>
    <w:rsid w:val="00E72F04"/>
    <w:rsid w:val="00E73322"/>
    <w:rsid w:val="00E73354"/>
    <w:rsid w:val="00E73D89"/>
    <w:rsid w:val="00E73DE4"/>
    <w:rsid w:val="00E74195"/>
    <w:rsid w:val="00E7438A"/>
    <w:rsid w:val="00E74431"/>
    <w:rsid w:val="00E74476"/>
    <w:rsid w:val="00E74532"/>
    <w:rsid w:val="00E746DC"/>
    <w:rsid w:val="00E7497B"/>
    <w:rsid w:val="00E74D1A"/>
    <w:rsid w:val="00E76302"/>
    <w:rsid w:val="00E76515"/>
    <w:rsid w:val="00E76577"/>
    <w:rsid w:val="00E76596"/>
    <w:rsid w:val="00E772E8"/>
    <w:rsid w:val="00E77632"/>
    <w:rsid w:val="00E77CBB"/>
    <w:rsid w:val="00E800F3"/>
    <w:rsid w:val="00E801DF"/>
    <w:rsid w:val="00E80C1E"/>
    <w:rsid w:val="00E80FDF"/>
    <w:rsid w:val="00E810FE"/>
    <w:rsid w:val="00E81267"/>
    <w:rsid w:val="00E8170F"/>
    <w:rsid w:val="00E81CD3"/>
    <w:rsid w:val="00E81E70"/>
    <w:rsid w:val="00E81F49"/>
    <w:rsid w:val="00E82168"/>
    <w:rsid w:val="00E82872"/>
    <w:rsid w:val="00E82B05"/>
    <w:rsid w:val="00E82BA7"/>
    <w:rsid w:val="00E82D05"/>
    <w:rsid w:val="00E839E3"/>
    <w:rsid w:val="00E84167"/>
    <w:rsid w:val="00E8479D"/>
    <w:rsid w:val="00E84AA9"/>
    <w:rsid w:val="00E85541"/>
    <w:rsid w:val="00E8571E"/>
    <w:rsid w:val="00E8640B"/>
    <w:rsid w:val="00E87A2B"/>
    <w:rsid w:val="00E90066"/>
    <w:rsid w:val="00E903B1"/>
    <w:rsid w:val="00E9066C"/>
    <w:rsid w:val="00E90935"/>
    <w:rsid w:val="00E90AED"/>
    <w:rsid w:val="00E90B0D"/>
    <w:rsid w:val="00E90D0D"/>
    <w:rsid w:val="00E91E5F"/>
    <w:rsid w:val="00E91FE2"/>
    <w:rsid w:val="00E9220E"/>
    <w:rsid w:val="00E9242D"/>
    <w:rsid w:val="00E93325"/>
    <w:rsid w:val="00E9369D"/>
    <w:rsid w:val="00E93715"/>
    <w:rsid w:val="00E9373C"/>
    <w:rsid w:val="00E93C90"/>
    <w:rsid w:val="00E94495"/>
    <w:rsid w:val="00E9519C"/>
    <w:rsid w:val="00E9555E"/>
    <w:rsid w:val="00E95660"/>
    <w:rsid w:val="00E958BC"/>
    <w:rsid w:val="00E9597E"/>
    <w:rsid w:val="00E963BF"/>
    <w:rsid w:val="00E968DE"/>
    <w:rsid w:val="00E96D47"/>
    <w:rsid w:val="00E96DAC"/>
    <w:rsid w:val="00E972F2"/>
    <w:rsid w:val="00E97D48"/>
    <w:rsid w:val="00EA0727"/>
    <w:rsid w:val="00EA1159"/>
    <w:rsid w:val="00EA122C"/>
    <w:rsid w:val="00EA1697"/>
    <w:rsid w:val="00EA2123"/>
    <w:rsid w:val="00EA25B5"/>
    <w:rsid w:val="00EA2627"/>
    <w:rsid w:val="00EA297A"/>
    <w:rsid w:val="00EA2DC2"/>
    <w:rsid w:val="00EA3A1F"/>
    <w:rsid w:val="00EA3A20"/>
    <w:rsid w:val="00EA41FD"/>
    <w:rsid w:val="00EA423D"/>
    <w:rsid w:val="00EA428D"/>
    <w:rsid w:val="00EA48CB"/>
    <w:rsid w:val="00EA4A57"/>
    <w:rsid w:val="00EA4E3E"/>
    <w:rsid w:val="00EA4E5D"/>
    <w:rsid w:val="00EA534E"/>
    <w:rsid w:val="00EA55B3"/>
    <w:rsid w:val="00EA56F3"/>
    <w:rsid w:val="00EA5C56"/>
    <w:rsid w:val="00EA5FFD"/>
    <w:rsid w:val="00EA6B8F"/>
    <w:rsid w:val="00EA70B4"/>
    <w:rsid w:val="00EA770D"/>
    <w:rsid w:val="00EA7E48"/>
    <w:rsid w:val="00EB02A7"/>
    <w:rsid w:val="00EB0866"/>
    <w:rsid w:val="00EB08E5"/>
    <w:rsid w:val="00EB0B40"/>
    <w:rsid w:val="00EB0EB1"/>
    <w:rsid w:val="00EB1803"/>
    <w:rsid w:val="00EB20BB"/>
    <w:rsid w:val="00EB26CE"/>
    <w:rsid w:val="00EB2887"/>
    <w:rsid w:val="00EB2AB1"/>
    <w:rsid w:val="00EB2EDC"/>
    <w:rsid w:val="00EB356C"/>
    <w:rsid w:val="00EB36B6"/>
    <w:rsid w:val="00EB3BC0"/>
    <w:rsid w:val="00EB3CB2"/>
    <w:rsid w:val="00EB45A5"/>
    <w:rsid w:val="00EB45AF"/>
    <w:rsid w:val="00EB48D1"/>
    <w:rsid w:val="00EB4E6A"/>
    <w:rsid w:val="00EB5255"/>
    <w:rsid w:val="00EB5644"/>
    <w:rsid w:val="00EB5C47"/>
    <w:rsid w:val="00EB5DB0"/>
    <w:rsid w:val="00EB6104"/>
    <w:rsid w:val="00EB64CE"/>
    <w:rsid w:val="00EB67BD"/>
    <w:rsid w:val="00EB6DBB"/>
    <w:rsid w:val="00EB6DE4"/>
    <w:rsid w:val="00EB6EC3"/>
    <w:rsid w:val="00EB6F60"/>
    <w:rsid w:val="00EB776B"/>
    <w:rsid w:val="00EB786B"/>
    <w:rsid w:val="00EB78FA"/>
    <w:rsid w:val="00EC0191"/>
    <w:rsid w:val="00EC0565"/>
    <w:rsid w:val="00EC0611"/>
    <w:rsid w:val="00EC0BB7"/>
    <w:rsid w:val="00EC129B"/>
    <w:rsid w:val="00EC1365"/>
    <w:rsid w:val="00EC16F4"/>
    <w:rsid w:val="00EC1791"/>
    <w:rsid w:val="00EC1FB2"/>
    <w:rsid w:val="00EC2578"/>
    <w:rsid w:val="00EC39C4"/>
    <w:rsid w:val="00EC4A54"/>
    <w:rsid w:val="00EC4B74"/>
    <w:rsid w:val="00EC4F7B"/>
    <w:rsid w:val="00EC534E"/>
    <w:rsid w:val="00EC5AA1"/>
    <w:rsid w:val="00EC5DB5"/>
    <w:rsid w:val="00EC64C5"/>
    <w:rsid w:val="00EC65E6"/>
    <w:rsid w:val="00EC705D"/>
    <w:rsid w:val="00EC7357"/>
    <w:rsid w:val="00EC7412"/>
    <w:rsid w:val="00EC7578"/>
    <w:rsid w:val="00EC765A"/>
    <w:rsid w:val="00ED00AE"/>
    <w:rsid w:val="00ED042E"/>
    <w:rsid w:val="00ED0639"/>
    <w:rsid w:val="00ED0A1B"/>
    <w:rsid w:val="00ED0DE5"/>
    <w:rsid w:val="00ED164D"/>
    <w:rsid w:val="00ED19F5"/>
    <w:rsid w:val="00ED216E"/>
    <w:rsid w:val="00ED2179"/>
    <w:rsid w:val="00ED25DD"/>
    <w:rsid w:val="00ED28AB"/>
    <w:rsid w:val="00ED2B1D"/>
    <w:rsid w:val="00ED2CA9"/>
    <w:rsid w:val="00ED3117"/>
    <w:rsid w:val="00ED37CA"/>
    <w:rsid w:val="00ED40BD"/>
    <w:rsid w:val="00ED4721"/>
    <w:rsid w:val="00ED48FD"/>
    <w:rsid w:val="00ED562F"/>
    <w:rsid w:val="00ED5B53"/>
    <w:rsid w:val="00ED6738"/>
    <w:rsid w:val="00ED6990"/>
    <w:rsid w:val="00ED6A07"/>
    <w:rsid w:val="00ED7146"/>
    <w:rsid w:val="00ED761B"/>
    <w:rsid w:val="00ED7F24"/>
    <w:rsid w:val="00ED7F40"/>
    <w:rsid w:val="00ED7F5B"/>
    <w:rsid w:val="00EE001A"/>
    <w:rsid w:val="00EE0076"/>
    <w:rsid w:val="00EE0139"/>
    <w:rsid w:val="00EE06D8"/>
    <w:rsid w:val="00EE0821"/>
    <w:rsid w:val="00EE0A10"/>
    <w:rsid w:val="00EE0B9D"/>
    <w:rsid w:val="00EE1098"/>
    <w:rsid w:val="00EE1511"/>
    <w:rsid w:val="00EE1A37"/>
    <w:rsid w:val="00EE2191"/>
    <w:rsid w:val="00EE2644"/>
    <w:rsid w:val="00EE284E"/>
    <w:rsid w:val="00EE2A31"/>
    <w:rsid w:val="00EE2B1B"/>
    <w:rsid w:val="00EE3028"/>
    <w:rsid w:val="00EE30F6"/>
    <w:rsid w:val="00EE3386"/>
    <w:rsid w:val="00EE3758"/>
    <w:rsid w:val="00EE3CE2"/>
    <w:rsid w:val="00EE4CF1"/>
    <w:rsid w:val="00EE4FBB"/>
    <w:rsid w:val="00EE5017"/>
    <w:rsid w:val="00EE586A"/>
    <w:rsid w:val="00EE6666"/>
    <w:rsid w:val="00EE66FC"/>
    <w:rsid w:val="00EE6787"/>
    <w:rsid w:val="00EE6C98"/>
    <w:rsid w:val="00EE7509"/>
    <w:rsid w:val="00EE75C6"/>
    <w:rsid w:val="00EE7A76"/>
    <w:rsid w:val="00EF0D0E"/>
    <w:rsid w:val="00EF0F4B"/>
    <w:rsid w:val="00EF12B2"/>
    <w:rsid w:val="00EF14A7"/>
    <w:rsid w:val="00EF1BCE"/>
    <w:rsid w:val="00EF1E9D"/>
    <w:rsid w:val="00EF2A3F"/>
    <w:rsid w:val="00EF2A47"/>
    <w:rsid w:val="00EF2C1C"/>
    <w:rsid w:val="00EF34F6"/>
    <w:rsid w:val="00EF36CF"/>
    <w:rsid w:val="00EF3BA2"/>
    <w:rsid w:val="00EF3D70"/>
    <w:rsid w:val="00EF3E3C"/>
    <w:rsid w:val="00EF416A"/>
    <w:rsid w:val="00EF4755"/>
    <w:rsid w:val="00EF4947"/>
    <w:rsid w:val="00EF49B8"/>
    <w:rsid w:val="00EF510A"/>
    <w:rsid w:val="00EF5189"/>
    <w:rsid w:val="00EF5756"/>
    <w:rsid w:val="00EF5F71"/>
    <w:rsid w:val="00EF66E2"/>
    <w:rsid w:val="00EF6958"/>
    <w:rsid w:val="00EF7135"/>
    <w:rsid w:val="00EF717C"/>
    <w:rsid w:val="00EF74CA"/>
    <w:rsid w:val="00EF760B"/>
    <w:rsid w:val="00EF7925"/>
    <w:rsid w:val="00EF7A58"/>
    <w:rsid w:val="00EF7BDD"/>
    <w:rsid w:val="00F01153"/>
    <w:rsid w:val="00F017EB"/>
    <w:rsid w:val="00F01994"/>
    <w:rsid w:val="00F02737"/>
    <w:rsid w:val="00F027DB"/>
    <w:rsid w:val="00F02A00"/>
    <w:rsid w:val="00F02E53"/>
    <w:rsid w:val="00F036F3"/>
    <w:rsid w:val="00F038B7"/>
    <w:rsid w:val="00F0390B"/>
    <w:rsid w:val="00F040CA"/>
    <w:rsid w:val="00F04A62"/>
    <w:rsid w:val="00F04AF9"/>
    <w:rsid w:val="00F050AE"/>
    <w:rsid w:val="00F05322"/>
    <w:rsid w:val="00F054CE"/>
    <w:rsid w:val="00F056A8"/>
    <w:rsid w:val="00F060FA"/>
    <w:rsid w:val="00F0652F"/>
    <w:rsid w:val="00F065FD"/>
    <w:rsid w:val="00F0660D"/>
    <w:rsid w:val="00F06A8A"/>
    <w:rsid w:val="00F06D34"/>
    <w:rsid w:val="00F06E6F"/>
    <w:rsid w:val="00F06EE4"/>
    <w:rsid w:val="00F071EA"/>
    <w:rsid w:val="00F07459"/>
    <w:rsid w:val="00F07504"/>
    <w:rsid w:val="00F07C0D"/>
    <w:rsid w:val="00F07DCB"/>
    <w:rsid w:val="00F106DC"/>
    <w:rsid w:val="00F108E5"/>
    <w:rsid w:val="00F10C5F"/>
    <w:rsid w:val="00F10CAE"/>
    <w:rsid w:val="00F10F9E"/>
    <w:rsid w:val="00F115A5"/>
    <w:rsid w:val="00F115E9"/>
    <w:rsid w:val="00F1190B"/>
    <w:rsid w:val="00F11B10"/>
    <w:rsid w:val="00F11E9A"/>
    <w:rsid w:val="00F12958"/>
    <w:rsid w:val="00F12A52"/>
    <w:rsid w:val="00F12A86"/>
    <w:rsid w:val="00F12E1C"/>
    <w:rsid w:val="00F131A2"/>
    <w:rsid w:val="00F131EA"/>
    <w:rsid w:val="00F13558"/>
    <w:rsid w:val="00F1409E"/>
    <w:rsid w:val="00F14755"/>
    <w:rsid w:val="00F14A38"/>
    <w:rsid w:val="00F14A7A"/>
    <w:rsid w:val="00F14B1A"/>
    <w:rsid w:val="00F14CAC"/>
    <w:rsid w:val="00F153DD"/>
    <w:rsid w:val="00F15ECF"/>
    <w:rsid w:val="00F1622D"/>
    <w:rsid w:val="00F1676D"/>
    <w:rsid w:val="00F16BB5"/>
    <w:rsid w:val="00F16F1F"/>
    <w:rsid w:val="00F170C0"/>
    <w:rsid w:val="00F174D4"/>
    <w:rsid w:val="00F1781F"/>
    <w:rsid w:val="00F20019"/>
    <w:rsid w:val="00F2006E"/>
    <w:rsid w:val="00F203C0"/>
    <w:rsid w:val="00F207A1"/>
    <w:rsid w:val="00F208DA"/>
    <w:rsid w:val="00F20B93"/>
    <w:rsid w:val="00F20BE4"/>
    <w:rsid w:val="00F20DFB"/>
    <w:rsid w:val="00F21419"/>
    <w:rsid w:val="00F2144B"/>
    <w:rsid w:val="00F21A2D"/>
    <w:rsid w:val="00F2217B"/>
    <w:rsid w:val="00F222BD"/>
    <w:rsid w:val="00F2293B"/>
    <w:rsid w:val="00F2293D"/>
    <w:rsid w:val="00F22985"/>
    <w:rsid w:val="00F22AF8"/>
    <w:rsid w:val="00F22D5E"/>
    <w:rsid w:val="00F22E5C"/>
    <w:rsid w:val="00F2353A"/>
    <w:rsid w:val="00F239CD"/>
    <w:rsid w:val="00F23EA3"/>
    <w:rsid w:val="00F24215"/>
    <w:rsid w:val="00F24528"/>
    <w:rsid w:val="00F2479B"/>
    <w:rsid w:val="00F25124"/>
    <w:rsid w:val="00F251B0"/>
    <w:rsid w:val="00F25455"/>
    <w:rsid w:val="00F255BF"/>
    <w:rsid w:val="00F25A41"/>
    <w:rsid w:val="00F25A6D"/>
    <w:rsid w:val="00F25CD0"/>
    <w:rsid w:val="00F26799"/>
    <w:rsid w:val="00F268C5"/>
    <w:rsid w:val="00F26A15"/>
    <w:rsid w:val="00F26D9B"/>
    <w:rsid w:val="00F27648"/>
    <w:rsid w:val="00F27C2C"/>
    <w:rsid w:val="00F30109"/>
    <w:rsid w:val="00F30466"/>
    <w:rsid w:val="00F3059C"/>
    <w:rsid w:val="00F3096C"/>
    <w:rsid w:val="00F30990"/>
    <w:rsid w:val="00F30FE0"/>
    <w:rsid w:val="00F31105"/>
    <w:rsid w:val="00F31692"/>
    <w:rsid w:val="00F31C4D"/>
    <w:rsid w:val="00F31EA1"/>
    <w:rsid w:val="00F32A9E"/>
    <w:rsid w:val="00F32F30"/>
    <w:rsid w:val="00F3323E"/>
    <w:rsid w:val="00F3344E"/>
    <w:rsid w:val="00F3383E"/>
    <w:rsid w:val="00F33893"/>
    <w:rsid w:val="00F33927"/>
    <w:rsid w:val="00F33AC4"/>
    <w:rsid w:val="00F33F7D"/>
    <w:rsid w:val="00F345C9"/>
    <w:rsid w:val="00F346B0"/>
    <w:rsid w:val="00F34872"/>
    <w:rsid w:val="00F34B9F"/>
    <w:rsid w:val="00F34F82"/>
    <w:rsid w:val="00F34FA0"/>
    <w:rsid w:val="00F35455"/>
    <w:rsid w:val="00F357CD"/>
    <w:rsid w:val="00F35D30"/>
    <w:rsid w:val="00F35E5A"/>
    <w:rsid w:val="00F36E67"/>
    <w:rsid w:val="00F37170"/>
    <w:rsid w:val="00F37314"/>
    <w:rsid w:val="00F37340"/>
    <w:rsid w:val="00F37521"/>
    <w:rsid w:val="00F37923"/>
    <w:rsid w:val="00F3797E"/>
    <w:rsid w:val="00F37C14"/>
    <w:rsid w:val="00F37E76"/>
    <w:rsid w:val="00F40446"/>
    <w:rsid w:val="00F4092B"/>
    <w:rsid w:val="00F409F7"/>
    <w:rsid w:val="00F40BED"/>
    <w:rsid w:val="00F40BF8"/>
    <w:rsid w:val="00F411F0"/>
    <w:rsid w:val="00F41290"/>
    <w:rsid w:val="00F41B3D"/>
    <w:rsid w:val="00F41DD9"/>
    <w:rsid w:val="00F420E9"/>
    <w:rsid w:val="00F42334"/>
    <w:rsid w:val="00F4325C"/>
    <w:rsid w:val="00F43A76"/>
    <w:rsid w:val="00F43B5B"/>
    <w:rsid w:val="00F440C2"/>
    <w:rsid w:val="00F44355"/>
    <w:rsid w:val="00F446CA"/>
    <w:rsid w:val="00F4483A"/>
    <w:rsid w:val="00F44B4A"/>
    <w:rsid w:val="00F44D18"/>
    <w:rsid w:val="00F45986"/>
    <w:rsid w:val="00F45CB8"/>
    <w:rsid w:val="00F4639D"/>
    <w:rsid w:val="00F46527"/>
    <w:rsid w:val="00F465A4"/>
    <w:rsid w:val="00F465A7"/>
    <w:rsid w:val="00F465EC"/>
    <w:rsid w:val="00F467AD"/>
    <w:rsid w:val="00F46837"/>
    <w:rsid w:val="00F46986"/>
    <w:rsid w:val="00F47BBD"/>
    <w:rsid w:val="00F47F7C"/>
    <w:rsid w:val="00F50319"/>
    <w:rsid w:val="00F50370"/>
    <w:rsid w:val="00F5054C"/>
    <w:rsid w:val="00F5058B"/>
    <w:rsid w:val="00F50B7C"/>
    <w:rsid w:val="00F50C27"/>
    <w:rsid w:val="00F50EFF"/>
    <w:rsid w:val="00F50F90"/>
    <w:rsid w:val="00F51543"/>
    <w:rsid w:val="00F51CAB"/>
    <w:rsid w:val="00F5287F"/>
    <w:rsid w:val="00F533AC"/>
    <w:rsid w:val="00F536C6"/>
    <w:rsid w:val="00F53C0E"/>
    <w:rsid w:val="00F54B4E"/>
    <w:rsid w:val="00F54FAF"/>
    <w:rsid w:val="00F550E6"/>
    <w:rsid w:val="00F5520A"/>
    <w:rsid w:val="00F5554D"/>
    <w:rsid w:val="00F55710"/>
    <w:rsid w:val="00F55C2A"/>
    <w:rsid w:val="00F55FCC"/>
    <w:rsid w:val="00F562EB"/>
    <w:rsid w:val="00F5727F"/>
    <w:rsid w:val="00F57CBE"/>
    <w:rsid w:val="00F57FC2"/>
    <w:rsid w:val="00F60193"/>
    <w:rsid w:val="00F60A37"/>
    <w:rsid w:val="00F60CB5"/>
    <w:rsid w:val="00F62560"/>
    <w:rsid w:val="00F62A35"/>
    <w:rsid w:val="00F6324A"/>
    <w:rsid w:val="00F641B1"/>
    <w:rsid w:val="00F643EA"/>
    <w:rsid w:val="00F664FC"/>
    <w:rsid w:val="00F665FD"/>
    <w:rsid w:val="00F66693"/>
    <w:rsid w:val="00F6677A"/>
    <w:rsid w:val="00F668BC"/>
    <w:rsid w:val="00F66A88"/>
    <w:rsid w:val="00F66B7F"/>
    <w:rsid w:val="00F6756D"/>
    <w:rsid w:val="00F67611"/>
    <w:rsid w:val="00F6774B"/>
    <w:rsid w:val="00F703B1"/>
    <w:rsid w:val="00F706AA"/>
    <w:rsid w:val="00F7094B"/>
    <w:rsid w:val="00F70C67"/>
    <w:rsid w:val="00F71349"/>
    <w:rsid w:val="00F713DB"/>
    <w:rsid w:val="00F714CE"/>
    <w:rsid w:val="00F716A9"/>
    <w:rsid w:val="00F71B7E"/>
    <w:rsid w:val="00F71C79"/>
    <w:rsid w:val="00F722FA"/>
    <w:rsid w:val="00F729D3"/>
    <w:rsid w:val="00F72D6F"/>
    <w:rsid w:val="00F72EA3"/>
    <w:rsid w:val="00F730BC"/>
    <w:rsid w:val="00F733BE"/>
    <w:rsid w:val="00F739BB"/>
    <w:rsid w:val="00F73D10"/>
    <w:rsid w:val="00F73D7B"/>
    <w:rsid w:val="00F7429B"/>
    <w:rsid w:val="00F74345"/>
    <w:rsid w:val="00F748A5"/>
    <w:rsid w:val="00F756BC"/>
    <w:rsid w:val="00F75FD5"/>
    <w:rsid w:val="00F76856"/>
    <w:rsid w:val="00F76EF4"/>
    <w:rsid w:val="00F77410"/>
    <w:rsid w:val="00F7790F"/>
    <w:rsid w:val="00F77B43"/>
    <w:rsid w:val="00F77F54"/>
    <w:rsid w:val="00F80088"/>
    <w:rsid w:val="00F80462"/>
    <w:rsid w:val="00F808F1"/>
    <w:rsid w:val="00F809FB"/>
    <w:rsid w:val="00F80A0A"/>
    <w:rsid w:val="00F80AA4"/>
    <w:rsid w:val="00F813A8"/>
    <w:rsid w:val="00F813D7"/>
    <w:rsid w:val="00F81EDB"/>
    <w:rsid w:val="00F820BC"/>
    <w:rsid w:val="00F82459"/>
    <w:rsid w:val="00F824AD"/>
    <w:rsid w:val="00F82745"/>
    <w:rsid w:val="00F828AA"/>
    <w:rsid w:val="00F82B19"/>
    <w:rsid w:val="00F83123"/>
    <w:rsid w:val="00F8319C"/>
    <w:rsid w:val="00F841BF"/>
    <w:rsid w:val="00F8424C"/>
    <w:rsid w:val="00F8465F"/>
    <w:rsid w:val="00F84771"/>
    <w:rsid w:val="00F84BDE"/>
    <w:rsid w:val="00F85224"/>
    <w:rsid w:val="00F85483"/>
    <w:rsid w:val="00F855DE"/>
    <w:rsid w:val="00F85AB6"/>
    <w:rsid w:val="00F85B21"/>
    <w:rsid w:val="00F86987"/>
    <w:rsid w:val="00F86F31"/>
    <w:rsid w:val="00F8710C"/>
    <w:rsid w:val="00F875A3"/>
    <w:rsid w:val="00F87892"/>
    <w:rsid w:val="00F879E1"/>
    <w:rsid w:val="00F879EC"/>
    <w:rsid w:val="00F87CE4"/>
    <w:rsid w:val="00F87D16"/>
    <w:rsid w:val="00F90C6A"/>
    <w:rsid w:val="00F9131D"/>
    <w:rsid w:val="00F91397"/>
    <w:rsid w:val="00F914FC"/>
    <w:rsid w:val="00F91D4E"/>
    <w:rsid w:val="00F9212D"/>
    <w:rsid w:val="00F92A3C"/>
    <w:rsid w:val="00F92A87"/>
    <w:rsid w:val="00F92AF8"/>
    <w:rsid w:val="00F92DE8"/>
    <w:rsid w:val="00F939E4"/>
    <w:rsid w:val="00F94CC5"/>
    <w:rsid w:val="00F960B2"/>
    <w:rsid w:val="00F965DA"/>
    <w:rsid w:val="00F970B3"/>
    <w:rsid w:val="00FA01E7"/>
    <w:rsid w:val="00FA05AE"/>
    <w:rsid w:val="00FA07B1"/>
    <w:rsid w:val="00FA07CD"/>
    <w:rsid w:val="00FA0898"/>
    <w:rsid w:val="00FA0DD0"/>
    <w:rsid w:val="00FA0E16"/>
    <w:rsid w:val="00FA154B"/>
    <w:rsid w:val="00FA17AA"/>
    <w:rsid w:val="00FA1A1E"/>
    <w:rsid w:val="00FA1B51"/>
    <w:rsid w:val="00FA1CAE"/>
    <w:rsid w:val="00FA224A"/>
    <w:rsid w:val="00FA23F5"/>
    <w:rsid w:val="00FA2505"/>
    <w:rsid w:val="00FA2728"/>
    <w:rsid w:val="00FA2AFE"/>
    <w:rsid w:val="00FA2B28"/>
    <w:rsid w:val="00FA36D1"/>
    <w:rsid w:val="00FA382B"/>
    <w:rsid w:val="00FA3AE3"/>
    <w:rsid w:val="00FA406A"/>
    <w:rsid w:val="00FA4438"/>
    <w:rsid w:val="00FA474E"/>
    <w:rsid w:val="00FA47CA"/>
    <w:rsid w:val="00FA485E"/>
    <w:rsid w:val="00FA4C1F"/>
    <w:rsid w:val="00FA4C97"/>
    <w:rsid w:val="00FA558E"/>
    <w:rsid w:val="00FA60DD"/>
    <w:rsid w:val="00FA6ACC"/>
    <w:rsid w:val="00FA6EAD"/>
    <w:rsid w:val="00FA7939"/>
    <w:rsid w:val="00FA7FC5"/>
    <w:rsid w:val="00FB03E6"/>
    <w:rsid w:val="00FB04A0"/>
    <w:rsid w:val="00FB054A"/>
    <w:rsid w:val="00FB06E4"/>
    <w:rsid w:val="00FB1775"/>
    <w:rsid w:val="00FB1B9B"/>
    <w:rsid w:val="00FB2320"/>
    <w:rsid w:val="00FB30D3"/>
    <w:rsid w:val="00FB3EF1"/>
    <w:rsid w:val="00FB4730"/>
    <w:rsid w:val="00FB503A"/>
    <w:rsid w:val="00FB516C"/>
    <w:rsid w:val="00FB5347"/>
    <w:rsid w:val="00FB5DB6"/>
    <w:rsid w:val="00FB6187"/>
    <w:rsid w:val="00FB6262"/>
    <w:rsid w:val="00FB7194"/>
    <w:rsid w:val="00FB77FE"/>
    <w:rsid w:val="00FB7853"/>
    <w:rsid w:val="00FC00D4"/>
    <w:rsid w:val="00FC0614"/>
    <w:rsid w:val="00FC09F8"/>
    <w:rsid w:val="00FC0BF3"/>
    <w:rsid w:val="00FC1052"/>
    <w:rsid w:val="00FC14F3"/>
    <w:rsid w:val="00FC1CE0"/>
    <w:rsid w:val="00FC1DD8"/>
    <w:rsid w:val="00FC211F"/>
    <w:rsid w:val="00FC2CF8"/>
    <w:rsid w:val="00FC2D07"/>
    <w:rsid w:val="00FC2E72"/>
    <w:rsid w:val="00FC2FDE"/>
    <w:rsid w:val="00FC3163"/>
    <w:rsid w:val="00FC3AC3"/>
    <w:rsid w:val="00FC3B4A"/>
    <w:rsid w:val="00FC405C"/>
    <w:rsid w:val="00FC4289"/>
    <w:rsid w:val="00FC493F"/>
    <w:rsid w:val="00FC4EF4"/>
    <w:rsid w:val="00FC50AF"/>
    <w:rsid w:val="00FC53BC"/>
    <w:rsid w:val="00FC56E6"/>
    <w:rsid w:val="00FC57FA"/>
    <w:rsid w:val="00FC5813"/>
    <w:rsid w:val="00FC5E27"/>
    <w:rsid w:val="00FC5EBA"/>
    <w:rsid w:val="00FC5F34"/>
    <w:rsid w:val="00FC5FB5"/>
    <w:rsid w:val="00FC6320"/>
    <w:rsid w:val="00FC6521"/>
    <w:rsid w:val="00FC6751"/>
    <w:rsid w:val="00FC6B34"/>
    <w:rsid w:val="00FC6C1E"/>
    <w:rsid w:val="00FC6F69"/>
    <w:rsid w:val="00FC74FF"/>
    <w:rsid w:val="00FC7583"/>
    <w:rsid w:val="00FC7A0F"/>
    <w:rsid w:val="00FC7A46"/>
    <w:rsid w:val="00FC7AD4"/>
    <w:rsid w:val="00FC7C67"/>
    <w:rsid w:val="00FC7DF5"/>
    <w:rsid w:val="00FD01FB"/>
    <w:rsid w:val="00FD0236"/>
    <w:rsid w:val="00FD0C0C"/>
    <w:rsid w:val="00FD18F4"/>
    <w:rsid w:val="00FD1956"/>
    <w:rsid w:val="00FD1A18"/>
    <w:rsid w:val="00FD260C"/>
    <w:rsid w:val="00FD27DF"/>
    <w:rsid w:val="00FD2965"/>
    <w:rsid w:val="00FD2C9B"/>
    <w:rsid w:val="00FD2EE9"/>
    <w:rsid w:val="00FD315E"/>
    <w:rsid w:val="00FD3BD7"/>
    <w:rsid w:val="00FD3C88"/>
    <w:rsid w:val="00FD4DD9"/>
    <w:rsid w:val="00FD4E77"/>
    <w:rsid w:val="00FD4FC5"/>
    <w:rsid w:val="00FD50B3"/>
    <w:rsid w:val="00FD54DB"/>
    <w:rsid w:val="00FD5857"/>
    <w:rsid w:val="00FD5C1B"/>
    <w:rsid w:val="00FD5C1E"/>
    <w:rsid w:val="00FD6005"/>
    <w:rsid w:val="00FD619F"/>
    <w:rsid w:val="00FD621E"/>
    <w:rsid w:val="00FD6E8F"/>
    <w:rsid w:val="00FD6E9D"/>
    <w:rsid w:val="00FD6FB2"/>
    <w:rsid w:val="00FD70EC"/>
    <w:rsid w:val="00FD71AC"/>
    <w:rsid w:val="00FD75A5"/>
    <w:rsid w:val="00FD7928"/>
    <w:rsid w:val="00FD7B32"/>
    <w:rsid w:val="00FE0178"/>
    <w:rsid w:val="00FE01EA"/>
    <w:rsid w:val="00FE03B1"/>
    <w:rsid w:val="00FE03D5"/>
    <w:rsid w:val="00FE07D9"/>
    <w:rsid w:val="00FE0914"/>
    <w:rsid w:val="00FE091F"/>
    <w:rsid w:val="00FE0A1B"/>
    <w:rsid w:val="00FE12D2"/>
    <w:rsid w:val="00FE1428"/>
    <w:rsid w:val="00FE15F0"/>
    <w:rsid w:val="00FE1708"/>
    <w:rsid w:val="00FE199A"/>
    <w:rsid w:val="00FE1D77"/>
    <w:rsid w:val="00FE1D97"/>
    <w:rsid w:val="00FE251E"/>
    <w:rsid w:val="00FE25D1"/>
    <w:rsid w:val="00FE2A1B"/>
    <w:rsid w:val="00FE2A66"/>
    <w:rsid w:val="00FE2D79"/>
    <w:rsid w:val="00FE32DB"/>
    <w:rsid w:val="00FE372F"/>
    <w:rsid w:val="00FE3BC3"/>
    <w:rsid w:val="00FE3DBF"/>
    <w:rsid w:val="00FE3DC9"/>
    <w:rsid w:val="00FE3F8C"/>
    <w:rsid w:val="00FE43FF"/>
    <w:rsid w:val="00FE4893"/>
    <w:rsid w:val="00FE489E"/>
    <w:rsid w:val="00FE512B"/>
    <w:rsid w:val="00FE5804"/>
    <w:rsid w:val="00FE5906"/>
    <w:rsid w:val="00FE59A5"/>
    <w:rsid w:val="00FE5AC4"/>
    <w:rsid w:val="00FE621F"/>
    <w:rsid w:val="00FE6412"/>
    <w:rsid w:val="00FE66B9"/>
    <w:rsid w:val="00FE66F7"/>
    <w:rsid w:val="00FE69C8"/>
    <w:rsid w:val="00FF007E"/>
    <w:rsid w:val="00FF017E"/>
    <w:rsid w:val="00FF0265"/>
    <w:rsid w:val="00FF0DB8"/>
    <w:rsid w:val="00FF0EEC"/>
    <w:rsid w:val="00FF134C"/>
    <w:rsid w:val="00FF1D2F"/>
    <w:rsid w:val="00FF1F48"/>
    <w:rsid w:val="00FF21C6"/>
    <w:rsid w:val="00FF23B7"/>
    <w:rsid w:val="00FF27E0"/>
    <w:rsid w:val="00FF3026"/>
    <w:rsid w:val="00FF3A40"/>
    <w:rsid w:val="00FF3BCD"/>
    <w:rsid w:val="00FF3F37"/>
    <w:rsid w:val="00FF45A3"/>
    <w:rsid w:val="00FF4CFB"/>
    <w:rsid w:val="00FF4E46"/>
    <w:rsid w:val="00FF5461"/>
    <w:rsid w:val="00FF55E9"/>
    <w:rsid w:val="00FF57C5"/>
    <w:rsid w:val="00FF57E3"/>
    <w:rsid w:val="00FF5CE8"/>
    <w:rsid w:val="00FF5E05"/>
    <w:rsid w:val="00FF5F4A"/>
    <w:rsid w:val="00FF60C1"/>
    <w:rsid w:val="00FF6268"/>
    <w:rsid w:val="00FF6538"/>
    <w:rsid w:val="00FF6895"/>
    <w:rsid w:val="00FF7010"/>
    <w:rsid w:val="00FF761F"/>
    <w:rsid w:val="00FF7690"/>
    <w:rsid w:val="00FF775E"/>
    <w:rsid w:val="00FF7A1F"/>
    <w:rsid w:val="00FF7AD3"/>
    <w:rsid w:val="01290F7E"/>
    <w:rsid w:val="014018DC"/>
    <w:rsid w:val="0141128E"/>
    <w:rsid w:val="0147090B"/>
    <w:rsid w:val="014E290D"/>
    <w:rsid w:val="015D1E09"/>
    <w:rsid w:val="01924B58"/>
    <w:rsid w:val="01A72EEE"/>
    <w:rsid w:val="01B1529E"/>
    <w:rsid w:val="01B93864"/>
    <w:rsid w:val="01D203AC"/>
    <w:rsid w:val="01ED559C"/>
    <w:rsid w:val="0206306B"/>
    <w:rsid w:val="02125852"/>
    <w:rsid w:val="0221697A"/>
    <w:rsid w:val="0227136C"/>
    <w:rsid w:val="02487628"/>
    <w:rsid w:val="025905B8"/>
    <w:rsid w:val="025C5C80"/>
    <w:rsid w:val="025F0B06"/>
    <w:rsid w:val="02615C8A"/>
    <w:rsid w:val="02697903"/>
    <w:rsid w:val="02714278"/>
    <w:rsid w:val="027427F8"/>
    <w:rsid w:val="027C52B9"/>
    <w:rsid w:val="02810A67"/>
    <w:rsid w:val="02A2764B"/>
    <w:rsid w:val="02D23086"/>
    <w:rsid w:val="02DF57A3"/>
    <w:rsid w:val="02EE59E6"/>
    <w:rsid w:val="02F53218"/>
    <w:rsid w:val="02F96569"/>
    <w:rsid w:val="031D7830"/>
    <w:rsid w:val="03253AFD"/>
    <w:rsid w:val="03433F84"/>
    <w:rsid w:val="034B4BE6"/>
    <w:rsid w:val="034D20BF"/>
    <w:rsid w:val="034E3CB1"/>
    <w:rsid w:val="03577A2F"/>
    <w:rsid w:val="035B12CD"/>
    <w:rsid w:val="03621441"/>
    <w:rsid w:val="03636E84"/>
    <w:rsid w:val="03766107"/>
    <w:rsid w:val="03803D7E"/>
    <w:rsid w:val="03804374"/>
    <w:rsid w:val="038F541B"/>
    <w:rsid w:val="0399389A"/>
    <w:rsid w:val="039E6A20"/>
    <w:rsid w:val="03AC1601"/>
    <w:rsid w:val="03AF4B56"/>
    <w:rsid w:val="03B00336"/>
    <w:rsid w:val="03BA1EAE"/>
    <w:rsid w:val="03C21D62"/>
    <w:rsid w:val="03C91278"/>
    <w:rsid w:val="03CA0201"/>
    <w:rsid w:val="03D80C63"/>
    <w:rsid w:val="03E97463"/>
    <w:rsid w:val="03EA7B21"/>
    <w:rsid w:val="03EF778E"/>
    <w:rsid w:val="03F31506"/>
    <w:rsid w:val="03F54432"/>
    <w:rsid w:val="0405748B"/>
    <w:rsid w:val="040A59AF"/>
    <w:rsid w:val="041B6CAE"/>
    <w:rsid w:val="042B6695"/>
    <w:rsid w:val="043579F7"/>
    <w:rsid w:val="045D1A76"/>
    <w:rsid w:val="048760F2"/>
    <w:rsid w:val="048B3E34"/>
    <w:rsid w:val="048F5BF6"/>
    <w:rsid w:val="049C58E0"/>
    <w:rsid w:val="04A647CA"/>
    <w:rsid w:val="04A66CF6"/>
    <w:rsid w:val="04AB3B8E"/>
    <w:rsid w:val="04AD3D62"/>
    <w:rsid w:val="04AD6302"/>
    <w:rsid w:val="04BD1688"/>
    <w:rsid w:val="04C21D16"/>
    <w:rsid w:val="04C61BC5"/>
    <w:rsid w:val="04F31B83"/>
    <w:rsid w:val="04F43BBA"/>
    <w:rsid w:val="05037796"/>
    <w:rsid w:val="050634BB"/>
    <w:rsid w:val="050A4859"/>
    <w:rsid w:val="051716E1"/>
    <w:rsid w:val="05261D24"/>
    <w:rsid w:val="053376FC"/>
    <w:rsid w:val="0537007C"/>
    <w:rsid w:val="053C7036"/>
    <w:rsid w:val="056401E1"/>
    <w:rsid w:val="056742A9"/>
    <w:rsid w:val="05687CD1"/>
    <w:rsid w:val="058762A2"/>
    <w:rsid w:val="05960A24"/>
    <w:rsid w:val="059960DD"/>
    <w:rsid w:val="05B03029"/>
    <w:rsid w:val="05BD7B21"/>
    <w:rsid w:val="05C3315A"/>
    <w:rsid w:val="05CA41B8"/>
    <w:rsid w:val="05D1385B"/>
    <w:rsid w:val="05EA06E6"/>
    <w:rsid w:val="05F03B35"/>
    <w:rsid w:val="05F244BB"/>
    <w:rsid w:val="05F83EAE"/>
    <w:rsid w:val="05FC2F88"/>
    <w:rsid w:val="061614DB"/>
    <w:rsid w:val="06230B23"/>
    <w:rsid w:val="062C096C"/>
    <w:rsid w:val="06303ACB"/>
    <w:rsid w:val="0633430C"/>
    <w:rsid w:val="06364E9C"/>
    <w:rsid w:val="063E7D85"/>
    <w:rsid w:val="06422214"/>
    <w:rsid w:val="06522865"/>
    <w:rsid w:val="065C6C20"/>
    <w:rsid w:val="0663023B"/>
    <w:rsid w:val="067A4160"/>
    <w:rsid w:val="06CF4CC2"/>
    <w:rsid w:val="06D1100B"/>
    <w:rsid w:val="06D80E87"/>
    <w:rsid w:val="071A0A86"/>
    <w:rsid w:val="072106C5"/>
    <w:rsid w:val="0724643B"/>
    <w:rsid w:val="07293586"/>
    <w:rsid w:val="07295285"/>
    <w:rsid w:val="07306FDE"/>
    <w:rsid w:val="073D15CC"/>
    <w:rsid w:val="074B7CE2"/>
    <w:rsid w:val="075F6EB2"/>
    <w:rsid w:val="07636392"/>
    <w:rsid w:val="07770C56"/>
    <w:rsid w:val="077A4185"/>
    <w:rsid w:val="078D7776"/>
    <w:rsid w:val="07BA0027"/>
    <w:rsid w:val="07BC1C3D"/>
    <w:rsid w:val="07D433FC"/>
    <w:rsid w:val="07D94EB6"/>
    <w:rsid w:val="07EA0E72"/>
    <w:rsid w:val="07EC308B"/>
    <w:rsid w:val="07F719DE"/>
    <w:rsid w:val="07FF124E"/>
    <w:rsid w:val="08044D40"/>
    <w:rsid w:val="080B67FC"/>
    <w:rsid w:val="081159E9"/>
    <w:rsid w:val="0817778D"/>
    <w:rsid w:val="081F346D"/>
    <w:rsid w:val="08327F63"/>
    <w:rsid w:val="0837135E"/>
    <w:rsid w:val="0842480A"/>
    <w:rsid w:val="08431698"/>
    <w:rsid w:val="085F62F6"/>
    <w:rsid w:val="086956BA"/>
    <w:rsid w:val="08730E67"/>
    <w:rsid w:val="087707D2"/>
    <w:rsid w:val="087B4365"/>
    <w:rsid w:val="087D0F03"/>
    <w:rsid w:val="087F7BA3"/>
    <w:rsid w:val="08967659"/>
    <w:rsid w:val="08B17BE1"/>
    <w:rsid w:val="08B31717"/>
    <w:rsid w:val="08B5322E"/>
    <w:rsid w:val="08CC6344"/>
    <w:rsid w:val="08D95826"/>
    <w:rsid w:val="08DD09D6"/>
    <w:rsid w:val="08DD2784"/>
    <w:rsid w:val="08E50D18"/>
    <w:rsid w:val="08F35B63"/>
    <w:rsid w:val="08FA3336"/>
    <w:rsid w:val="08FC70AE"/>
    <w:rsid w:val="090110CB"/>
    <w:rsid w:val="090221EB"/>
    <w:rsid w:val="09046925"/>
    <w:rsid w:val="090A1B88"/>
    <w:rsid w:val="090D6585"/>
    <w:rsid w:val="0916557A"/>
    <w:rsid w:val="09181C0F"/>
    <w:rsid w:val="092217DD"/>
    <w:rsid w:val="092245FB"/>
    <w:rsid w:val="092433E0"/>
    <w:rsid w:val="09290A37"/>
    <w:rsid w:val="093A7294"/>
    <w:rsid w:val="094840A2"/>
    <w:rsid w:val="095F763D"/>
    <w:rsid w:val="09635B45"/>
    <w:rsid w:val="096831A7"/>
    <w:rsid w:val="0980019F"/>
    <w:rsid w:val="098042B7"/>
    <w:rsid w:val="098E11E0"/>
    <w:rsid w:val="09A16942"/>
    <w:rsid w:val="09A514F4"/>
    <w:rsid w:val="09B45E7A"/>
    <w:rsid w:val="09B747C4"/>
    <w:rsid w:val="09B76C4E"/>
    <w:rsid w:val="09BE4364"/>
    <w:rsid w:val="09E9185F"/>
    <w:rsid w:val="09EC3B66"/>
    <w:rsid w:val="09FB405F"/>
    <w:rsid w:val="09FC72FB"/>
    <w:rsid w:val="0A053D41"/>
    <w:rsid w:val="0A077A73"/>
    <w:rsid w:val="0A077CE8"/>
    <w:rsid w:val="0A1013F3"/>
    <w:rsid w:val="0A145BA3"/>
    <w:rsid w:val="0A182DEC"/>
    <w:rsid w:val="0A214E21"/>
    <w:rsid w:val="0A263993"/>
    <w:rsid w:val="0A2D3AC2"/>
    <w:rsid w:val="0A32478C"/>
    <w:rsid w:val="0A3C09D6"/>
    <w:rsid w:val="0A3D2CB1"/>
    <w:rsid w:val="0A442345"/>
    <w:rsid w:val="0A4520B6"/>
    <w:rsid w:val="0A4A7482"/>
    <w:rsid w:val="0A4F7F09"/>
    <w:rsid w:val="0A674CCF"/>
    <w:rsid w:val="0A6E18D8"/>
    <w:rsid w:val="0A72077A"/>
    <w:rsid w:val="0A7333A0"/>
    <w:rsid w:val="0A7A5E11"/>
    <w:rsid w:val="0A7B7EBA"/>
    <w:rsid w:val="0A825391"/>
    <w:rsid w:val="0A830AEC"/>
    <w:rsid w:val="0A852B6F"/>
    <w:rsid w:val="0AA41D45"/>
    <w:rsid w:val="0AA755DF"/>
    <w:rsid w:val="0AAC68B2"/>
    <w:rsid w:val="0AB516F0"/>
    <w:rsid w:val="0AF24392"/>
    <w:rsid w:val="0AF3517B"/>
    <w:rsid w:val="0AFD2C6A"/>
    <w:rsid w:val="0AFF6A98"/>
    <w:rsid w:val="0B066570"/>
    <w:rsid w:val="0B0C7351"/>
    <w:rsid w:val="0B1142BB"/>
    <w:rsid w:val="0B120D44"/>
    <w:rsid w:val="0B156206"/>
    <w:rsid w:val="0B246449"/>
    <w:rsid w:val="0B492353"/>
    <w:rsid w:val="0B5B0346"/>
    <w:rsid w:val="0B6C01B9"/>
    <w:rsid w:val="0B7441FA"/>
    <w:rsid w:val="0B8555BA"/>
    <w:rsid w:val="0B972EB6"/>
    <w:rsid w:val="0B9C1D53"/>
    <w:rsid w:val="0BAF665A"/>
    <w:rsid w:val="0BB342DB"/>
    <w:rsid w:val="0BB73AA3"/>
    <w:rsid w:val="0BBC2DC3"/>
    <w:rsid w:val="0BBE43CC"/>
    <w:rsid w:val="0BC34AAF"/>
    <w:rsid w:val="0BD27BF6"/>
    <w:rsid w:val="0BD42982"/>
    <w:rsid w:val="0BDF6813"/>
    <w:rsid w:val="0BEB5A3D"/>
    <w:rsid w:val="0BF77CFA"/>
    <w:rsid w:val="0BFC73C5"/>
    <w:rsid w:val="0BFF7002"/>
    <w:rsid w:val="0C0A1AE2"/>
    <w:rsid w:val="0C142961"/>
    <w:rsid w:val="0C165A3C"/>
    <w:rsid w:val="0C18404A"/>
    <w:rsid w:val="0C2222DC"/>
    <w:rsid w:val="0C2C6E4C"/>
    <w:rsid w:val="0C3B3C7D"/>
    <w:rsid w:val="0C48260B"/>
    <w:rsid w:val="0C59751A"/>
    <w:rsid w:val="0C5F2824"/>
    <w:rsid w:val="0C601F5F"/>
    <w:rsid w:val="0C63485B"/>
    <w:rsid w:val="0C6632C1"/>
    <w:rsid w:val="0C6D1703"/>
    <w:rsid w:val="0C811ADB"/>
    <w:rsid w:val="0CAB2EAE"/>
    <w:rsid w:val="0CB11F5E"/>
    <w:rsid w:val="0CB56EB9"/>
    <w:rsid w:val="0CC40697"/>
    <w:rsid w:val="0CD24660"/>
    <w:rsid w:val="0CD4025C"/>
    <w:rsid w:val="0CE40585"/>
    <w:rsid w:val="0CE71E24"/>
    <w:rsid w:val="0CE735DF"/>
    <w:rsid w:val="0CE77102"/>
    <w:rsid w:val="0CEB1484"/>
    <w:rsid w:val="0D0227BA"/>
    <w:rsid w:val="0D166208"/>
    <w:rsid w:val="0D1C0EA4"/>
    <w:rsid w:val="0D242E42"/>
    <w:rsid w:val="0D273768"/>
    <w:rsid w:val="0D277E89"/>
    <w:rsid w:val="0D295F98"/>
    <w:rsid w:val="0D2E622B"/>
    <w:rsid w:val="0D3B6CD1"/>
    <w:rsid w:val="0D3F57BC"/>
    <w:rsid w:val="0D4D0739"/>
    <w:rsid w:val="0D4D75F3"/>
    <w:rsid w:val="0D556DB9"/>
    <w:rsid w:val="0D563F24"/>
    <w:rsid w:val="0D621C7D"/>
    <w:rsid w:val="0D7116ED"/>
    <w:rsid w:val="0DA12871"/>
    <w:rsid w:val="0DA9532B"/>
    <w:rsid w:val="0DB630DE"/>
    <w:rsid w:val="0DBF7CBA"/>
    <w:rsid w:val="0DC13B67"/>
    <w:rsid w:val="0DC963D0"/>
    <w:rsid w:val="0DD26782"/>
    <w:rsid w:val="0DE63E89"/>
    <w:rsid w:val="0E020517"/>
    <w:rsid w:val="0E022DD3"/>
    <w:rsid w:val="0E091A72"/>
    <w:rsid w:val="0E0D1416"/>
    <w:rsid w:val="0E1B502F"/>
    <w:rsid w:val="0E1F00A2"/>
    <w:rsid w:val="0E244F68"/>
    <w:rsid w:val="0E4F1A2E"/>
    <w:rsid w:val="0E5139F9"/>
    <w:rsid w:val="0E5862B0"/>
    <w:rsid w:val="0E73034D"/>
    <w:rsid w:val="0E807489"/>
    <w:rsid w:val="0E8611C8"/>
    <w:rsid w:val="0E894A5D"/>
    <w:rsid w:val="0EA13650"/>
    <w:rsid w:val="0EA46AC8"/>
    <w:rsid w:val="0EAA0074"/>
    <w:rsid w:val="0EB977F0"/>
    <w:rsid w:val="0EDC6E6D"/>
    <w:rsid w:val="0EEC0810"/>
    <w:rsid w:val="0EEC1973"/>
    <w:rsid w:val="0EEF585A"/>
    <w:rsid w:val="0F124695"/>
    <w:rsid w:val="0F13775A"/>
    <w:rsid w:val="0F1655F8"/>
    <w:rsid w:val="0F1F58A5"/>
    <w:rsid w:val="0F294401"/>
    <w:rsid w:val="0F295426"/>
    <w:rsid w:val="0F2A57D8"/>
    <w:rsid w:val="0F383AF6"/>
    <w:rsid w:val="0F3B4464"/>
    <w:rsid w:val="0F454FCB"/>
    <w:rsid w:val="0F4A15F0"/>
    <w:rsid w:val="0F5F45FE"/>
    <w:rsid w:val="0F625D1B"/>
    <w:rsid w:val="0F633CB0"/>
    <w:rsid w:val="0F694D72"/>
    <w:rsid w:val="0F6C5E1D"/>
    <w:rsid w:val="0F763231"/>
    <w:rsid w:val="0F765B52"/>
    <w:rsid w:val="0F871413"/>
    <w:rsid w:val="0F9A112B"/>
    <w:rsid w:val="0F9A2447"/>
    <w:rsid w:val="0FBA47F8"/>
    <w:rsid w:val="0FBF2BE4"/>
    <w:rsid w:val="0FDE2A3C"/>
    <w:rsid w:val="0FF66786"/>
    <w:rsid w:val="0FFB0C5E"/>
    <w:rsid w:val="10020826"/>
    <w:rsid w:val="10071870"/>
    <w:rsid w:val="10227581"/>
    <w:rsid w:val="1026641D"/>
    <w:rsid w:val="10401F77"/>
    <w:rsid w:val="10430481"/>
    <w:rsid w:val="104B56BD"/>
    <w:rsid w:val="1052655D"/>
    <w:rsid w:val="10672FC6"/>
    <w:rsid w:val="106B68C8"/>
    <w:rsid w:val="106D2F64"/>
    <w:rsid w:val="108C786A"/>
    <w:rsid w:val="108F04DE"/>
    <w:rsid w:val="108F72D8"/>
    <w:rsid w:val="10930CDF"/>
    <w:rsid w:val="10994203"/>
    <w:rsid w:val="10A32F80"/>
    <w:rsid w:val="10A735B3"/>
    <w:rsid w:val="10AF2C58"/>
    <w:rsid w:val="10B63710"/>
    <w:rsid w:val="10BF1B74"/>
    <w:rsid w:val="10CC53CD"/>
    <w:rsid w:val="10D75D0B"/>
    <w:rsid w:val="10E261ED"/>
    <w:rsid w:val="10ED6948"/>
    <w:rsid w:val="10F10820"/>
    <w:rsid w:val="10FA3AA2"/>
    <w:rsid w:val="10FB2BF7"/>
    <w:rsid w:val="10FE4272"/>
    <w:rsid w:val="10FE773C"/>
    <w:rsid w:val="1102076E"/>
    <w:rsid w:val="110F4C3F"/>
    <w:rsid w:val="110F7B9B"/>
    <w:rsid w:val="111C2F7A"/>
    <w:rsid w:val="11240F5A"/>
    <w:rsid w:val="11390308"/>
    <w:rsid w:val="11513D10"/>
    <w:rsid w:val="115864E0"/>
    <w:rsid w:val="11665CA1"/>
    <w:rsid w:val="11877731"/>
    <w:rsid w:val="118903A3"/>
    <w:rsid w:val="118F3D3D"/>
    <w:rsid w:val="11943BFC"/>
    <w:rsid w:val="11AC5D7A"/>
    <w:rsid w:val="11B07E68"/>
    <w:rsid w:val="11B91577"/>
    <w:rsid w:val="11C41BD9"/>
    <w:rsid w:val="11F42103"/>
    <w:rsid w:val="11FE7E60"/>
    <w:rsid w:val="120A2110"/>
    <w:rsid w:val="12114C2D"/>
    <w:rsid w:val="12136EED"/>
    <w:rsid w:val="121847B7"/>
    <w:rsid w:val="12242563"/>
    <w:rsid w:val="122431D2"/>
    <w:rsid w:val="125937F3"/>
    <w:rsid w:val="125C7C32"/>
    <w:rsid w:val="126B2BAF"/>
    <w:rsid w:val="127A7296"/>
    <w:rsid w:val="12850115"/>
    <w:rsid w:val="12906AB9"/>
    <w:rsid w:val="12B37A80"/>
    <w:rsid w:val="12B4475A"/>
    <w:rsid w:val="12BC3C29"/>
    <w:rsid w:val="12D06C35"/>
    <w:rsid w:val="12DC4B77"/>
    <w:rsid w:val="12E95054"/>
    <w:rsid w:val="12ED1816"/>
    <w:rsid w:val="12F7648C"/>
    <w:rsid w:val="13202F26"/>
    <w:rsid w:val="13226738"/>
    <w:rsid w:val="13262C1E"/>
    <w:rsid w:val="134069B9"/>
    <w:rsid w:val="13516249"/>
    <w:rsid w:val="13536C6B"/>
    <w:rsid w:val="136441CE"/>
    <w:rsid w:val="13770847"/>
    <w:rsid w:val="138D01D6"/>
    <w:rsid w:val="13951726"/>
    <w:rsid w:val="13CC58CF"/>
    <w:rsid w:val="13CE7899"/>
    <w:rsid w:val="13E175CD"/>
    <w:rsid w:val="13F56FCA"/>
    <w:rsid w:val="13FC4407"/>
    <w:rsid w:val="1410303C"/>
    <w:rsid w:val="142C636E"/>
    <w:rsid w:val="14396509"/>
    <w:rsid w:val="1467496E"/>
    <w:rsid w:val="14840870"/>
    <w:rsid w:val="148550F6"/>
    <w:rsid w:val="14883EEC"/>
    <w:rsid w:val="14904B4F"/>
    <w:rsid w:val="149C7998"/>
    <w:rsid w:val="14A405FA"/>
    <w:rsid w:val="14BB6070"/>
    <w:rsid w:val="14D25998"/>
    <w:rsid w:val="14D53FF6"/>
    <w:rsid w:val="14DD2C3C"/>
    <w:rsid w:val="14E92F8E"/>
    <w:rsid w:val="14F1084B"/>
    <w:rsid w:val="15050F5C"/>
    <w:rsid w:val="151859FE"/>
    <w:rsid w:val="151A20E9"/>
    <w:rsid w:val="15247B8E"/>
    <w:rsid w:val="15252C38"/>
    <w:rsid w:val="153A360A"/>
    <w:rsid w:val="15655FDB"/>
    <w:rsid w:val="157E0624"/>
    <w:rsid w:val="157E657C"/>
    <w:rsid w:val="158922FD"/>
    <w:rsid w:val="1589524E"/>
    <w:rsid w:val="159702D6"/>
    <w:rsid w:val="159B37AB"/>
    <w:rsid w:val="159F1436"/>
    <w:rsid w:val="15B14D7D"/>
    <w:rsid w:val="15B66837"/>
    <w:rsid w:val="15C56A7A"/>
    <w:rsid w:val="15C72AA2"/>
    <w:rsid w:val="15FF1F8D"/>
    <w:rsid w:val="160146A2"/>
    <w:rsid w:val="16087E1D"/>
    <w:rsid w:val="161A5018"/>
    <w:rsid w:val="16225C7A"/>
    <w:rsid w:val="165B7F9E"/>
    <w:rsid w:val="165C3B21"/>
    <w:rsid w:val="165F1AF0"/>
    <w:rsid w:val="16602007"/>
    <w:rsid w:val="16722B69"/>
    <w:rsid w:val="16797F90"/>
    <w:rsid w:val="167C14C4"/>
    <w:rsid w:val="169C6A08"/>
    <w:rsid w:val="16A13043"/>
    <w:rsid w:val="16B3681F"/>
    <w:rsid w:val="16C3120C"/>
    <w:rsid w:val="16C80B57"/>
    <w:rsid w:val="16CC6FF8"/>
    <w:rsid w:val="16DD382F"/>
    <w:rsid w:val="16E0748B"/>
    <w:rsid w:val="16EA48D7"/>
    <w:rsid w:val="16EF436B"/>
    <w:rsid w:val="16FA7359"/>
    <w:rsid w:val="17096AC8"/>
    <w:rsid w:val="170D692B"/>
    <w:rsid w:val="1711091E"/>
    <w:rsid w:val="172A779C"/>
    <w:rsid w:val="17356ACA"/>
    <w:rsid w:val="17462D1A"/>
    <w:rsid w:val="174C7453"/>
    <w:rsid w:val="174E322F"/>
    <w:rsid w:val="175D54EB"/>
    <w:rsid w:val="17701D14"/>
    <w:rsid w:val="17722B56"/>
    <w:rsid w:val="17735226"/>
    <w:rsid w:val="177B26C2"/>
    <w:rsid w:val="1782362B"/>
    <w:rsid w:val="178A1D29"/>
    <w:rsid w:val="178F2ED2"/>
    <w:rsid w:val="17A42169"/>
    <w:rsid w:val="17A91D29"/>
    <w:rsid w:val="17AC143C"/>
    <w:rsid w:val="17AE238B"/>
    <w:rsid w:val="17C6454A"/>
    <w:rsid w:val="17D71404"/>
    <w:rsid w:val="17DA3AB4"/>
    <w:rsid w:val="17E520B1"/>
    <w:rsid w:val="17EC57B1"/>
    <w:rsid w:val="17EE4066"/>
    <w:rsid w:val="18005E60"/>
    <w:rsid w:val="18070CD6"/>
    <w:rsid w:val="18182DCD"/>
    <w:rsid w:val="18194E5B"/>
    <w:rsid w:val="182446AE"/>
    <w:rsid w:val="18283C1C"/>
    <w:rsid w:val="182E28BA"/>
    <w:rsid w:val="18381785"/>
    <w:rsid w:val="183A54FD"/>
    <w:rsid w:val="184E2D57"/>
    <w:rsid w:val="18512847"/>
    <w:rsid w:val="185C6144"/>
    <w:rsid w:val="185D11EC"/>
    <w:rsid w:val="186474C4"/>
    <w:rsid w:val="186E65D3"/>
    <w:rsid w:val="186F43DF"/>
    <w:rsid w:val="18757D0B"/>
    <w:rsid w:val="189F624C"/>
    <w:rsid w:val="18A92683"/>
    <w:rsid w:val="18A939A2"/>
    <w:rsid w:val="18B35F90"/>
    <w:rsid w:val="18CB43A7"/>
    <w:rsid w:val="18D07C10"/>
    <w:rsid w:val="18D43E2A"/>
    <w:rsid w:val="18DB6FA4"/>
    <w:rsid w:val="18E05AD1"/>
    <w:rsid w:val="18E24B73"/>
    <w:rsid w:val="18E55226"/>
    <w:rsid w:val="18E84F59"/>
    <w:rsid w:val="19043A12"/>
    <w:rsid w:val="19203A59"/>
    <w:rsid w:val="19445F08"/>
    <w:rsid w:val="1957391A"/>
    <w:rsid w:val="1963172E"/>
    <w:rsid w:val="19740339"/>
    <w:rsid w:val="19856C4C"/>
    <w:rsid w:val="19917C24"/>
    <w:rsid w:val="19A505F2"/>
    <w:rsid w:val="19B541F9"/>
    <w:rsid w:val="19C21C4E"/>
    <w:rsid w:val="19C800DF"/>
    <w:rsid w:val="19D41982"/>
    <w:rsid w:val="19D7053C"/>
    <w:rsid w:val="19E93D63"/>
    <w:rsid w:val="19F604CF"/>
    <w:rsid w:val="19F634C7"/>
    <w:rsid w:val="19F870F5"/>
    <w:rsid w:val="1A02204B"/>
    <w:rsid w:val="1A0758B3"/>
    <w:rsid w:val="1A1104E0"/>
    <w:rsid w:val="1A174E7D"/>
    <w:rsid w:val="1A1C66C0"/>
    <w:rsid w:val="1A3413A4"/>
    <w:rsid w:val="1A3F329F"/>
    <w:rsid w:val="1A42393B"/>
    <w:rsid w:val="1A445D6D"/>
    <w:rsid w:val="1A455C20"/>
    <w:rsid w:val="1A5605E9"/>
    <w:rsid w:val="1A56679D"/>
    <w:rsid w:val="1A590917"/>
    <w:rsid w:val="1A5F3E46"/>
    <w:rsid w:val="1A6F2170"/>
    <w:rsid w:val="1A872550"/>
    <w:rsid w:val="1A974E89"/>
    <w:rsid w:val="1A9C241A"/>
    <w:rsid w:val="1AA7263A"/>
    <w:rsid w:val="1AAD3323"/>
    <w:rsid w:val="1AAD45DE"/>
    <w:rsid w:val="1AB8095B"/>
    <w:rsid w:val="1ABD41C4"/>
    <w:rsid w:val="1ABE6C88"/>
    <w:rsid w:val="1AFA28BC"/>
    <w:rsid w:val="1B017A6D"/>
    <w:rsid w:val="1B046F80"/>
    <w:rsid w:val="1B0B39CB"/>
    <w:rsid w:val="1B1F6C2C"/>
    <w:rsid w:val="1B3267B5"/>
    <w:rsid w:val="1B3C77DE"/>
    <w:rsid w:val="1B40161D"/>
    <w:rsid w:val="1B441859"/>
    <w:rsid w:val="1B4D5548"/>
    <w:rsid w:val="1B4E306E"/>
    <w:rsid w:val="1B5543FC"/>
    <w:rsid w:val="1B571E62"/>
    <w:rsid w:val="1B627A6D"/>
    <w:rsid w:val="1B6606B1"/>
    <w:rsid w:val="1B6B19E4"/>
    <w:rsid w:val="1B7927E1"/>
    <w:rsid w:val="1B7E5454"/>
    <w:rsid w:val="1B826AF7"/>
    <w:rsid w:val="1B91188D"/>
    <w:rsid w:val="1B9E3FF5"/>
    <w:rsid w:val="1BA11A37"/>
    <w:rsid w:val="1BB67591"/>
    <w:rsid w:val="1BC6330C"/>
    <w:rsid w:val="1BCE4B75"/>
    <w:rsid w:val="1BE85270"/>
    <w:rsid w:val="1BEA723A"/>
    <w:rsid w:val="1BFB1448"/>
    <w:rsid w:val="1BFF03A6"/>
    <w:rsid w:val="1C2E5D94"/>
    <w:rsid w:val="1C327D05"/>
    <w:rsid w:val="1C44112D"/>
    <w:rsid w:val="1C4A1FC6"/>
    <w:rsid w:val="1C521EDF"/>
    <w:rsid w:val="1C5E7925"/>
    <w:rsid w:val="1C684366"/>
    <w:rsid w:val="1C6D0116"/>
    <w:rsid w:val="1C6D7258"/>
    <w:rsid w:val="1C6F4973"/>
    <w:rsid w:val="1C710E65"/>
    <w:rsid w:val="1C8C2C96"/>
    <w:rsid w:val="1C944F83"/>
    <w:rsid w:val="1C981374"/>
    <w:rsid w:val="1C9B7450"/>
    <w:rsid w:val="1CA42C3C"/>
    <w:rsid w:val="1CBD0FD8"/>
    <w:rsid w:val="1CE0295E"/>
    <w:rsid w:val="1CE262CE"/>
    <w:rsid w:val="1CE86FEA"/>
    <w:rsid w:val="1CEB3D8A"/>
    <w:rsid w:val="1CFD070F"/>
    <w:rsid w:val="1CFD1725"/>
    <w:rsid w:val="1D017DE2"/>
    <w:rsid w:val="1D134C32"/>
    <w:rsid w:val="1D1E6CBB"/>
    <w:rsid w:val="1D1F1166"/>
    <w:rsid w:val="1D527AD0"/>
    <w:rsid w:val="1D5E05AA"/>
    <w:rsid w:val="1D5F5398"/>
    <w:rsid w:val="1D5F6196"/>
    <w:rsid w:val="1D6132A5"/>
    <w:rsid w:val="1D644E03"/>
    <w:rsid w:val="1D6628F1"/>
    <w:rsid w:val="1D682B0D"/>
    <w:rsid w:val="1D6E31CB"/>
    <w:rsid w:val="1D6F5C49"/>
    <w:rsid w:val="1D746560"/>
    <w:rsid w:val="1D8E5562"/>
    <w:rsid w:val="1D8E56D5"/>
    <w:rsid w:val="1D9341B6"/>
    <w:rsid w:val="1DA5166B"/>
    <w:rsid w:val="1DB97AD0"/>
    <w:rsid w:val="1DBB2952"/>
    <w:rsid w:val="1DC87107"/>
    <w:rsid w:val="1DF21B9E"/>
    <w:rsid w:val="1DFE7C94"/>
    <w:rsid w:val="1E0068A1"/>
    <w:rsid w:val="1E1672C7"/>
    <w:rsid w:val="1E200F5D"/>
    <w:rsid w:val="1E205195"/>
    <w:rsid w:val="1E2922F9"/>
    <w:rsid w:val="1E4075E6"/>
    <w:rsid w:val="1E41383A"/>
    <w:rsid w:val="1E4A51C0"/>
    <w:rsid w:val="1E733517"/>
    <w:rsid w:val="1E7A3208"/>
    <w:rsid w:val="1E7A43DA"/>
    <w:rsid w:val="1E9A4F48"/>
    <w:rsid w:val="1EB56BD5"/>
    <w:rsid w:val="1ED2546E"/>
    <w:rsid w:val="1ED818B4"/>
    <w:rsid w:val="1EDF6DFF"/>
    <w:rsid w:val="1EFA2607"/>
    <w:rsid w:val="1F196ADE"/>
    <w:rsid w:val="1F1E35F8"/>
    <w:rsid w:val="1F236DCD"/>
    <w:rsid w:val="1F2667DB"/>
    <w:rsid w:val="1F282DA9"/>
    <w:rsid w:val="1F29091D"/>
    <w:rsid w:val="1F2C36C6"/>
    <w:rsid w:val="1F552C03"/>
    <w:rsid w:val="1F56509F"/>
    <w:rsid w:val="1F567059"/>
    <w:rsid w:val="1F94236F"/>
    <w:rsid w:val="1FA83FF3"/>
    <w:rsid w:val="1FB56DC7"/>
    <w:rsid w:val="1FC018D0"/>
    <w:rsid w:val="1FCB70E9"/>
    <w:rsid w:val="1FD06057"/>
    <w:rsid w:val="1FD10B1B"/>
    <w:rsid w:val="1FE7539E"/>
    <w:rsid w:val="1FF22EB1"/>
    <w:rsid w:val="1FF27875"/>
    <w:rsid w:val="1FF84ACA"/>
    <w:rsid w:val="2005075E"/>
    <w:rsid w:val="20073DBA"/>
    <w:rsid w:val="200A7EAB"/>
    <w:rsid w:val="202A176E"/>
    <w:rsid w:val="202B2F68"/>
    <w:rsid w:val="20324F9D"/>
    <w:rsid w:val="203A4322"/>
    <w:rsid w:val="20486E58"/>
    <w:rsid w:val="20671BE0"/>
    <w:rsid w:val="20684BD2"/>
    <w:rsid w:val="206D3F96"/>
    <w:rsid w:val="207D68CF"/>
    <w:rsid w:val="20855784"/>
    <w:rsid w:val="20963CB8"/>
    <w:rsid w:val="20970180"/>
    <w:rsid w:val="20994D8B"/>
    <w:rsid w:val="20A81A1B"/>
    <w:rsid w:val="20B07FB6"/>
    <w:rsid w:val="20B10747"/>
    <w:rsid w:val="20B40FA7"/>
    <w:rsid w:val="20B646FB"/>
    <w:rsid w:val="20C51CD3"/>
    <w:rsid w:val="20C90158"/>
    <w:rsid w:val="20D3414F"/>
    <w:rsid w:val="20D9162C"/>
    <w:rsid w:val="20E03F56"/>
    <w:rsid w:val="20EA1BF7"/>
    <w:rsid w:val="211B175E"/>
    <w:rsid w:val="211B17E5"/>
    <w:rsid w:val="21204AE0"/>
    <w:rsid w:val="21240AF9"/>
    <w:rsid w:val="212E3725"/>
    <w:rsid w:val="213B74B1"/>
    <w:rsid w:val="213E4FEA"/>
    <w:rsid w:val="213F5933"/>
    <w:rsid w:val="214F0403"/>
    <w:rsid w:val="215A2310"/>
    <w:rsid w:val="21622114"/>
    <w:rsid w:val="216931FD"/>
    <w:rsid w:val="216A6FFF"/>
    <w:rsid w:val="21935C7E"/>
    <w:rsid w:val="21A67B84"/>
    <w:rsid w:val="21B305A5"/>
    <w:rsid w:val="21BC6F83"/>
    <w:rsid w:val="21CF1302"/>
    <w:rsid w:val="21D11D62"/>
    <w:rsid w:val="21D4251F"/>
    <w:rsid w:val="21DE318A"/>
    <w:rsid w:val="21DE339D"/>
    <w:rsid w:val="21EB7868"/>
    <w:rsid w:val="21EF5B80"/>
    <w:rsid w:val="21F205E9"/>
    <w:rsid w:val="21F91F85"/>
    <w:rsid w:val="220843DA"/>
    <w:rsid w:val="222A6016"/>
    <w:rsid w:val="22393F62"/>
    <w:rsid w:val="223A0EF1"/>
    <w:rsid w:val="22576990"/>
    <w:rsid w:val="225D0766"/>
    <w:rsid w:val="225F58B0"/>
    <w:rsid w:val="227405AA"/>
    <w:rsid w:val="22747349"/>
    <w:rsid w:val="228E4DC3"/>
    <w:rsid w:val="229D5007"/>
    <w:rsid w:val="22A77C33"/>
    <w:rsid w:val="22AC3D01"/>
    <w:rsid w:val="22AD2D70"/>
    <w:rsid w:val="22B2255A"/>
    <w:rsid w:val="22C83F7D"/>
    <w:rsid w:val="22CF718A"/>
    <w:rsid w:val="22EB6F90"/>
    <w:rsid w:val="22F47480"/>
    <w:rsid w:val="230E0845"/>
    <w:rsid w:val="23103EFD"/>
    <w:rsid w:val="2325339B"/>
    <w:rsid w:val="232746D3"/>
    <w:rsid w:val="2329603A"/>
    <w:rsid w:val="232D2755"/>
    <w:rsid w:val="233C2A9D"/>
    <w:rsid w:val="2343105D"/>
    <w:rsid w:val="2360426A"/>
    <w:rsid w:val="23646266"/>
    <w:rsid w:val="236A4CD3"/>
    <w:rsid w:val="237D0994"/>
    <w:rsid w:val="238241C2"/>
    <w:rsid w:val="238426D3"/>
    <w:rsid w:val="23853035"/>
    <w:rsid w:val="23867849"/>
    <w:rsid w:val="23933082"/>
    <w:rsid w:val="239A7415"/>
    <w:rsid w:val="23A44173"/>
    <w:rsid w:val="23A66C9C"/>
    <w:rsid w:val="23A934D0"/>
    <w:rsid w:val="23AB31CC"/>
    <w:rsid w:val="23BF4B92"/>
    <w:rsid w:val="23D02E19"/>
    <w:rsid w:val="23D35F9D"/>
    <w:rsid w:val="23DE1C48"/>
    <w:rsid w:val="23E159C5"/>
    <w:rsid w:val="23E164A8"/>
    <w:rsid w:val="23FC7B0B"/>
    <w:rsid w:val="240210CD"/>
    <w:rsid w:val="240A012B"/>
    <w:rsid w:val="240B6D58"/>
    <w:rsid w:val="242D053E"/>
    <w:rsid w:val="24381314"/>
    <w:rsid w:val="24476E71"/>
    <w:rsid w:val="245C59BF"/>
    <w:rsid w:val="24637B8A"/>
    <w:rsid w:val="247226D4"/>
    <w:rsid w:val="247A4BEB"/>
    <w:rsid w:val="24861ACA"/>
    <w:rsid w:val="24927B90"/>
    <w:rsid w:val="24945477"/>
    <w:rsid w:val="24975A86"/>
    <w:rsid w:val="24A361D8"/>
    <w:rsid w:val="24A93B72"/>
    <w:rsid w:val="24A9572A"/>
    <w:rsid w:val="24B131CC"/>
    <w:rsid w:val="24B41C3D"/>
    <w:rsid w:val="24BF09F7"/>
    <w:rsid w:val="24E715BB"/>
    <w:rsid w:val="24EF7670"/>
    <w:rsid w:val="24F50FAF"/>
    <w:rsid w:val="24F9681D"/>
    <w:rsid w:val="24FA5E1A"/>
    <w:rsid w:val="251371A5"/>
    <w:rsid w:val="2516639C"/>
    <w:rsid w:val="251B0465"/>
    <w:rsid w:val="251D3FBB"/>
    <w:rsid w:val="252B4B4C"/>
    <w:rsid w:val="252C6A3C"/>
    <w:rsid w:val="252D53FE"/>
    <w:rsid w:val="253A4D8F"/>
    <w:rsid w:val="253F4153"/>
    <w:rsid w:val="25401FFC"/>
    <w:rsid w:val="254C061E"/>
    <w:rsid w:val="254F09D7"/>
    <w:rsid w:val="25572234"/>
    <w:rsid w:val="25621279"/>
    <w:rsid w:val="2564005E"/>
    <w:rsid w:val="25767323"/>
    <w:rsid w:val="258E0C37"/>
    <w:rsid w:val="25911D97"/>
    <w:rsid w:val="25963F72"/>
    <w:rsid w:val="259D7DED"/>
    <w:rsid w:val="25C2504F"/>
    <w:rsid w:val="25C60D09"/>
    <w:rsid w:val="25CB3C39"/>
    <w:rsid w:val="25DD304C"/>
    <w:rsid w:val="25E20F82"/>
    <w:rsid w:val="25E257F4"/>
    <w:rsid w:val="25EC2D81"/>
    <w:rsid w:val="26057119"/>
    <w:rsid w:val="260E1D77"/>
    <w:rsid w:val="262A0C5F"/>
    <w:rsid w:val="263C583E"/>
    <w:rsid w:val="263F63D5"/>
    <w:rsid w:val="264627BF"/>
    <w:rsid w:val="264B6754"/>
    <w:rsid w:val="265C0D35"/>
    <w:rsid w:val="26822D5C"/>
    <w:rsid w:val="26842D50"/>
    <w:rsid w:val="26891E8A"/>
    <w:rsid w:val="268B4A0F"/>
    <w:rsid w:val="26A16D31"/>
    <w:rsid w:val="26A5448A"/>
    <w:rsid w:val="26B15A9F"/>
    <w:rsid w:val="26B434B9"/>
    <w:rsid w:val="26DE0FF1"/>
    <w:rsid w:val="26DF1D3A"/>
    <w:rsid w:val="26DF60E6"/>
    <w:rsid w:val="26E0332B"/>
    <w:rsid w:val="26E225DA"/>
    <w:rsid w:val="26ED4021"/>
    <w:rsid w:val="26FD42C6"/>
    <w:rsid w:val="272F38F9"/>
    <w:rsid w:val="273852FE"/>
    <w:rsid w:val="27604855"/>
    <w:rsid w:val="276C23CB"/>
    <w:rsid w:val="277025E4"/>
    <w:rsid w:val="277057A2"/>
    <w:rsid w:val="27720EF8"/>
    <w:rsid w:val="27A2233C"/>
    <w:rsid w:val="27A42993"/>
    <w:rsid w:val="27B81A61"/>
    <w:rsid w:val="27CC3F44"/>
    <w:rsid w:val="27CF0A0A"/>
    <w:rsid w:val="280155BC"/>
    <w:rsid w:val="28035141"/>
    <w:rsid w:val="2805423A"/>
    <w:rsid w:val="28072F22"/>
    <w:rsid w:val="28186EDD"/>
    <w:rsid w:val="283046C5"/>
    <w:rsid w:val="28620159"/>
    <w:rsid w:val="286C134F"/>
    <w:rsid w:val="2872415C"/>
    <w:rsid w:val="28724840"/>
    <w:rsid w:val="287E0FDF"/>
    <w:rsid w:val="28833520"/>
    <w:rsid w:val="28890F73"/>
    <w:rsid w:val="288D3427"/>
    <w:rsid w:val="28953BF2"/>
    <w:rsid w:val="28AF65AD"/>
    <w:rsid w:val="28B84EFE"/>
    <w:rsid w:val="28CB230D"/>
    <w:rsid w:val="28CB29B3"/>
    <w:rsid w:val="28D3362D"/>
    <w:rsid w:val="28DD3C93"/>
    <w:rsid w:val="28E86CDC"/>
    <w:rsid w:val="28EC1992"/>
    <w:rsid w:val="28F34E5F"/>
    <w:rsid w:val="28FA7668"/>
    <w:rsid w:val="28FB09E2"/>
    <w:rsid w:val="290F5D0C"/>
    <w:rsid w:val="290F6532"/>
    <w:rsid w:val="291C6AB6"/>
    <w:rsid w:val="29206BF6"/>
    <w:rsid w:val="29206EB8"/>
    <w:rsid w:val="29227FEE"/>
    <w:rsid w:val="292E639B"/>
    <w:rsid w:val="2936586D"/>
    <w:rsid w:val="29464EDD"/>
    <w:rsid w:val="29472C62"/>
    <w:rsid w:val="29595666"/>
    <w:rsid w:val="295C1BCF"/>
    <w:rsid w:val="295C3C6A"/>
    <w:rsid w:val="296A19BB"/>
    <w:rsid w:val="296B041C"/>
    <w:rsid w:val="296F57A4"/>
    <w:rsid w:val="29874881"/>
    <w:rsid w:val="298F03D6"/>
    <w:rsid w:val="29946A38"/>
    <w:rsid w:val="2996630C"/>
    <w:rsid w:val="299A533E"/>
    <w:rsid w:val="29A93B28"/>
    <w:rsid w:val="29AF0985"/>
    <w:rsid w:val="29B27D0E"/>
    <w:rsid w:val="29CA0AEB"/>
    <w:rsid w:val="29E325E0"/>
    <w:rsid w:val="29E94168"/>
    <w:rsid w:val="29EB25A5"/>
    <w:rsid w:val="29EC7621"/>
    <w:rsid w:val="29ED043E"/>
    <w:rsid w:val="29F86FC6"/>
    <w:rsid w:val="2A1831C5"/>
    <w:rsid w:val="2A3A5B80"/>
    <w:rsid w:val="2A452503"/>
    <w:rsid w:val="2A570A56"/>
    <w:rsid w:val="2A5A558B"/>
    <w:rsid w:val="2A672D78"/>
    <w:rsid w:val="2A6C5F22"/>
    <w:rsid w:val="2A7E4EA1"/>
    <w:rsid w:val="2A8A2271"/>
    <w:rsid w:val="2A8E16D9"/>
    <w:rsid w:val="2AA03741"/>
    <w:rsid w:val="2AA809EC"/>
    <w:rsid w:val="2AB06A22"/>
    <w:rsid w:val="2AB43021"/>
    <w:rsid w:val="2AB92402"/>
    <w:rsid w:val="2AC24A4E"/>
    <w:rsid w:val="2AC977B8"/>
    <w:rsid w:val="2AE32EFA"/>
    <w:rsid w:val="2AED38DE"/>
    <w:rsid w:val="2AFE597E"/>
    <w:rsid w:val="2B165956"/>
    <w:rsid w:val="2B1E480B"/>
    <w:rsid w:val="2B2275CE"/>
    <w:rsid w:val="2B2E632D"/>
    <w:rsid w:val="2B3226A1"/>
    <w:rsid w:val="2B522B5D"/>
    <w:rsid w:val="2B5F24B5"/>
    <w:rsid w:val="2B6C7799"/>
    <w:rsid w:val="2B8509FC"/>
    <w:rsid w:val="2B8723B0"/>
    <w:rsid w:val="2B922948"/>
    <w:rsid w:val="2B980A61"/>
    <w:rsid w:val="2BA4454F"/>
    <w:rsid w:val="2BA60333"/>
    <w:rsid w:val="2BA936A8"/>
    <w:rsid w:val="2BC058C2"/>
    <w:rsid w:val="2BC16D79"/>
    <w:rsid w:val="2BC71A2F"/>
    <w:rsid w:val="2BC81B13"/>
    <w:rsid w:val="2BCD6736"/>
    <w:rsid w:val="2BE42462"/>
    <w:rsid w:val="2C172757"/>
    <w:rsid w:val="2C1C1C6D"/>
    <w:rsid w:val="2C1C3440"/>
    <w:rsid w:val="2C295DCB"/>
    <w:rsid w:val="2C315A5A"/>
    <w:rsid w:val="2C3D33B6"/>
    <w:rsid w:val="2C411584"/>
    <w:rsid w:val="2C416A03"/>
    <w:rsid w:val="2C4936A5"/>
    <w:rsid w:val="2C4B1C25"/>
    <w:rsid w:val="2C5867E5"/>
    <w:rsid w:val="2C6464A2"/>
    <w:rsid w:val="2C6A312A"/>
    <w:rsid w:val="2C7631DB"/>
    <w:rsid w:val="2C8178B7"/>
    <w:rsid w:val="2C844BEF"/>
    <w:rsid w:val="2C8965FC"/>
    <w:rsid w:val="2CA657D1"/>
    <w:rsid w:val="2CB2345D"/>
    <w:rsid w:val="2CB326C9"/>
    <w:rsid w:val="2CB35427"/>
    <w:rsid w:val="2CBC42DB"/>
    <w:rsid w:val="2CD07C62"/>
    <w:rsid w:val="2CD23AFF"/>
    <w:rsid w:val="2CD52306"/>
    <w:rsid w:val="2CDB6126"/>
    <w:rsid w:val="2CDE24A4"/>
    <w:rsid w:val="2D042986"/>
    <w:rsid w:val="2D0F4BB5"/>
    <w:rsid w:val="2D1467E1"/>
    <w:rsid w:val="2D1A101C"/>
    <w:rsid w:val="2D297497"/>
    <w:rsid w:val="2D2A0769"/>
    <w:rsid w:val="2D2D1B91"/>
    <w:rsid w:val="2D334BA9"/>
    <w:rsid w:val="2D361744"/>
    <w:rsid w:val="2D60771E"/>
    <w:rsid w:val="2D6E7B29"/>
    <w:rsid w:val="2D7059CD"/>
    <w:rsid w:val="2D790B9C"/>
    <w:rsid w:val="2D9603B8"/>
    <w:rsid w:val="2D983721"/>
    <w:rsid w:val="2D9E56F5"/>
    <w:rsid w:val="2DB66F7C"/>
    <w:rsid w:val="2DB87198"/>
    <w:rsid w:val="2DBF0527"/>
    <w:rsid w:val="2DC1791F"/>
    <w:rsid w:val="2DD65871"/>
    <w:rsid w:val="2DDA234E"/>
    <w:rsid w:val="2DDA6B1D"/>
    <w:rsid w:val="2DE007D6"/>
    <w:rsid w:val="2DE81BBA"/>
    <w:rsid w:val="2DEA131C"/>
    <w:rsid w:val="2DF9149C"/>
    <w:rsid w:val="2DF93839"/>
    <w:rsid w:val="2E2D1F39"/>
    <w:rsid w:val="2E37263A"/>
    <w:rsid w:val="2E393B89"/>
    <w:rsid w:val="2E3B4FF7"/>
    <w:rsid w:val="2E3B56D4"/>
    <w:rsid w:val="2E43476A"/>
    <w:rsid w:val="2E4E62C4"/>
    <w:rsid w:val="2E584E32"/>
    <w:rsid w:val="2E667F96"/>
    <w:rsid w:val="2E6C3ADF"/>
    <w:rsid w:val="2E6F41BA"/>
    <w:rsid w:val="2E8226AB"/>
    <w:rsid w:val="2E8357DC"/>
    <w:rsid w:val="2E840E29"/>
    <w:rsid w:val="2E862DF3"/>
    <w:rsid w:val="2E8A1747"/>
    <w:rsid w:val="2E8D650C"/>
    <w:rsid w:val="2E9848D4"/>
    <w:rsid w:val="2EA25C4E"/>
    <w:rsid w:val="2EC55E53"/>
    <w:rsid w:val="2ECE479A"/>
    <w:rsid w:val="2ED17E11"/>
    <w:rsid w:val="2ED33B5E"/>
    <w:rsid w:val="2ED50D35"/>
    <w:rsid w:val="2EDA071F"/>
    <w:rsid w:val="2EE35F25"/>
    <w:rsid w:val="2EED4AA2"/>
    <w:rsid w:val="2EF2058E"/>
    <w:rsid w:val="2EF625EF"/>
    <w:rsid w:val="2EFC6F48"/>
    <w:rsid w:val="2F046BEC"/>
    <w:rsid w:val="2F371257"/>
    <w:rsid w:val="2F394933"/>
    <w:rsid w:val="2F4D1B62"/>
    <w:rsid w:val="2F7E3ACA"/>
    <w:rsid w:val="2F80100D"/>
    <w:rsid w:val="2F826459"/>
    <w:rsid w:val="2F8729B5"/>
    <w:rsid w:val="2F920605"/>
    <w:rsid w:val="2FB86512"/>
    <w:rsid w:val="2FBC2844"/>
    <w:rsid w:val="2FC018D4"/>
    <w:rsid w:val="2FD065E6"/>
    <w:rsid w:val="2FD656B4"/>
    <w:rsid w:val="2FD67E2E"/>
    <w:rsid w:val="2FD96870"/>
    <w:rsid w:val="2FDE6378"/>
    <w:rsid w:val="2FE313FF"/>
    <w:rsid w:val="2FF22726"/>
    <w:rsid w:val="2FFE2E5D"/>
    <w:rsid w:val="300C37CC"/>
    <w:rsid w:val="3012602F"/>
    <w:rsid w:val="30152F04"/>
    <w:rsid w:val="30156CB5"/>
    <w:rsid w:val="302C79CA"/>
    <w:rsid w:val="303B2207"/>
    <w:rsid w:val="303E774B"/>
    <w:rsid w:val="30423A81"/>
    <w:rsid w:val="30580BC9"/>
    <w:rsid w:val="30662713"/>
    <w:rsid w:val="306A57B2"/>
    <w:rsid w:val="306D1539"/>
    <w:rsid w:val="30815CAE"/>
    <w:rsid w:val="308E08AF"/>
    <w:rsid w:val="30A803E7"/>
    <w:rsid w:val="30A92DC8"/>
    <w:rsid w:val="30AA6DBE"/>
    <w:rsid w:val="30B9319B"/>
    <w:rsid w:val="30C06FFD"/>
    <w:rsid w:val="30CA4E30"/>
    <w:rsid w:val="30DB035E"/>
    <w:rsid w:val="30DC54D6"/>
    <w:rsid w:val="30E27B15"/>
    <w:rsid w:val="30ED546B"/>
    <w:rsid w:val="30F02253"/>
    <w:rsid w:val="30F524B2"/>
    <w:rsid w:val="311E2ED7"/>
    <w:rsid w:val="312468F3"/>
    <w:rsid w:val="31271A64"/>
    <w:rsid w:val="313C5908"/>
    <w:rsid w:val="31413C60"/>
    <w:rsid w:val="314F4B3B"/>
    <w:rsid w:val="315619EE"/>
    <w:rsid w:val="315C449C"/>
    <w:rsid w:val="315F792B"/>
    <w:rsid w:val="316339BD"/>
    <w:rsid w:val="316B2857"/>
    <w:rsid w:val="316E7B6E"/>
    <w:rsid w:val="31723B02"/>
    <w:rsid w:val="31844239"/>
    <w:rsid w:val="318E6273"/>
    <w:rsid w:val="3196141C"/>
    <w:rsid w:val="319673E9"/>
    <w:rsid w:val="319E66A5"/>
    <w:rsid w:val="31A45B90"/>
    <w:rsid w:val="31A57818"/>
    <w:rsid w:val="31B00187"/>
    <w:rsid w:val="31B82709"/>
    <w:rsid w:val="31D05482"/>
    <w:rsid w:val="31F75DB5"/>
    <w:rsid w:val="320F547B"/>
    <w:rsid w:val="321A353E"/>
    <w:rsid w:val="32207918"/>
    <w:rsid w:val="32400B34"/>
    <w:rsid w:val="324C4353"/>
    <w:rsid w:val="32513718"/>
    <w:rsid w:val="325F4087"/>
    <w:rsid w:val="32717907"/>
    <w:rsid w:val="327B1811"/>
    <w:rsid w:val="328C5BED"/>
    <w:rsid w:val="32925435"/>
    <w:rsid w:val="32931F82"/>
    <w:rsid w:val="32933D30"/>
    <w:rsid w:val="3293788C"/>
    <w:rsid w:val="329E6876"/>
    <w:rsid w:val="32A72AE9"/>
    <w:rsid w:val="32B74433"/>
    <w:rsid w:val="32C018F9"/>
    <w:rsid w:val="32D337B9"/>
    <w:rsid w:val="32EA70EF"/>
    <w:rsid w:val="32F95B01"/>
    <w:rsid w:val="32FE389F"/>
    <w:rsid w:val="330850D6"/>
    <w:rsid w:val="331D0B7B"/>
    <w:rsid w:val="333015F2"/>
    <w:rsid w:val="33335D21"/>
    <w:rsid w:val="334B6320"/>
    <w:rsid w:val="33584C40"/>
    <w:rsid w:val="336A2681"/>
    <w:rsid w:val="336E10BA"/>
    <w:rsid w:val="33784CD4"/>
    <w:rsid w:val="337C2B8E"/>
    <w:rsid w:val="338627A7"/>
    <w:rsid w:val="339715FE"/>
    <w:rsid w:val="33983F94"/>
    <w:rsid w:val="33B573FF"/>
    <w:rsid w:val="33D74181"/>
    <w:rsid w:val="33D934D4"/>
    <w:rsid w:val="33D93F7F"/>
    <w:rsid w:val="33E34843"/>
    <w:rsid w:val="33E505BB"/>
    <w:rsid w:val="33FE2F6A"/>
    <w:rsid w:val="33FF588D"/>
    <w:rsid w:val="340E07E5"/>
    <w:rsid w:val="3422459A"/>
    <w:rsid w:val="34235BF7"/>
    <w:rsid w:val="342C7B97"/>
    <w:rsid w:val="34316ACF"/>
    <w:rsid w:val="343F57B5"/>
    <w:rsid w:val="344A48C0"/>
    <w:rsid w:val="34590242"/>
    <w:rsid w:val="345E036E"/>
    <w:rsid w:val="34624BE8"/>
    <w:rsid w:val="34795A29"/>
    <w:rsid w:val="34816E69"/>
    <w:rsid w:val="3482405C"/>
    <w:rsid w:val="348C0A37"/>
    <w:rsid w:val="348D1FF9"/>
    <w:rsid w:val="34B21461"/>
    <w:rsid w:val="34C25C26"/>
    <w:rsid w:val="34E24AFB"/>
    <w:rsid w:val="34E645EB"/>
    <w:rsid w:val="34EB5DC0"/>
    <w:rsid w:val="34F85D50"/>
    <w:rsid w:val="34FE1BAC"/>
    <w:rsid w:val="35385E67"/>
    <w:rsid w:val="353A207E"/>
    <w:rsid w:val="353A66E5"/>
    <w:rsid w:val="35463792"/>
    <w:rsid w:val="354D7794"/>
    <w:rsid w:val="355219B7"/>
    <w:rsid w:val="355E6877"/>
    <w:rsid w:val="355F7A56"/>
    <w:rsid w:val="35727C2D"/>
    <w:rsid w:val="35793047"/>
    <w:rsid w:val="358C5FA8"/>
    <w:rsid w:val="358D3DA7"/>
    <w:rsid w:val="359A2503"/>
    <w:rsid w:val="35A156BB"/>
    <w:rsid w:val="35A3072E"/>
    <w:rsid w:val="35A86E2F"/>
    <w:rsid w:val="35C15DF1"/>
    <w:rsid w:val="35CF6FF8"/>
    <w:rsid w:val="35DE1A4D"/>
    <w:rsid w:val="35E07F32"/>
    <w:rsid w:val="35E35248"/>
    <w:rsid w:val="35F01CF7"/>
    <w:rsid w:val="35F270EF"/>
    <w:rsid w:val="36074A7F"/>
    <w:rsid w:val="360966B1"/>
    <w:rsid w:val="360B7CC4"/>
    <w:rsid w:val="360F01BC"/>
    <w:rsid w:val="361A1227"/>
    <w:rsid w:val="361C3345"/>
    <w:rsid w:val="362744B9"/>
    <w:rsid w:val="362B4280"/>
    <w:rsid w:val="36363350"/>
    <w:rsid w:val="363B0967"/>
    <w:rsid w:val="36481A4A"/>
    <w:rsid w:val="36496FA8"/>
    <w:rsid w:val="364F61C0"/>
    <w:rsid w:val="365E3C94"/>
    <w:rsid w:val="3668197E"/>
    <w:rsid w:val="367B0D63"/>
    <w:rsid w:val="3681150D"/>
    <w:rsid w:val="36923549"/>
    <w:rsid w:val="369C06FA"/>
    <w:rsid w:val="36B75FBF"/>
    <w:rsid w:val="36BD0C45"/>
    <w:rsid w:val="36C27E0A"/>
    <w:rsid w:val="36C84B60"/>
    <w:rsid w:val="36DC1676"/>
    <w:rsid w:val="36DC3BD7"/>
    <w:rsid w:val="36DF13C5"/>
    <w:rsid w:val="36F03D87"/>
    <w:rsid w:val="370063A7"/>
    <w:rsid w:val="37055FAB"/>
    <w:rsid w:val="3756210A"/>
    <w:rsid w:val="37681464"/>
    <w:rsid w:val="376D3584"/>
    <w:rsid w:val="376F1E40"/>
    <w:rsid w:val="37796963"/>
    <w:rsid w:val="379A16BD"/>
    <w:rsid w:val="37AA5140"/>
    <w:rsid w:val="37AB11CC"/>
    <w:rsid w:val="37B02C8E"/>
    <w:rsid w:val="37BB40C8"/>
    <w:rsid w:val="37BD4F97"/>
    <w:rsid w:val="37C00976"/>
    <w:rsid w:val="37C454A5"/>
    <w:rsid w:val="37CA0CA7"/>
    <w:rsid w:val="37CB7AC8"/>
    <w:rsid w:val="37D42376"/>
    <w:rsid w:val="37DF3574"/>
    <w:rsid w:val="37E00298"/>
    <w:rsid w:val="37EF1A09"/>
    <w:rsid w:val="37F56473"/>
    <w:rsid w:val="37FF59C4"/>
    <w:rsid w:val="380A4A95"/>
    <w:rsid w:val="38163439"/>
    <w:rsid w:val="3821399A"/>
    <w:rsid w:val="38280C01"/>
    <w:rsid w:val="382F696C"/>
    <w:rsid w:val="38332EB4"/>
    <w:rsid w:val="3839318E"/>
    <w:rsid w:val="384977AD"/>
    <w:rsid w:val="385D0006"/>
    <w:rsid w:val="38761E53"/>
    <w:rsid w:val="387C7014"/>
    <w:rsid w:val="387E51A1"/>
    <w:rsid w:val="38804D57"/>
    <w:rsid w:val="38864D2D"/>
    <w:rsid w:val="389B2805"/>
    <w:rsid w:val="389F0433"/>
    <w:rsid w:val="38B26CF0"/>
    <w:rsid w:val="38B302F9"/>
    <w:rsid w:val="38B974BB"/>
    <w:rsid w:val="38BA474F"/>
    <w:rsid w:val="38C22C79"/>
    <w:rsid w:val="38CF2505"/>
    <w:rsid w:val="38D26C34"/>
    <w:rsid w:val="38DB3D3B"/>
    <w:rsid w:val="38E32E59"/>
    <w:rsid w:val="38E37DBF"/>
    <w:rsid w:val="38EF2C7C"/>
    <w:rsid w:val="38F12CD3"/>
    <w:rsid w:val="38F94775"/>
    <w:rsid w:val="39236A45"/>
    <w:rsid w:val="392971ED"/>
    <w:rsid w:val="39325651"/>
    <w:rsid w:val="39334707"/>
    <w:rsid w:val="39356E7F"/>
    <w:rsid w:val="394C61B4"/>
    <w:rsid w:val="395263C4"/>
    <w:rsid w:val="39537572"/>
    <w:rsid w:val="3957085A"/>
    <w:rsid w:val="39574BC0"/>
    <w:rsid w:val="3962445C"/>
    <w:rsid w:val="3973697B"/>
    <w:rsid w:val="39767608"/>
    <w:rsid w:val="39852E54"/>
    <w:rsid w:val="398E676A"/>
    <w:rsid w:val="399446DA"/>
    <w:rsid w:val="39A71E6F"/>
    <w:rsid w:val="39A73FC3"/>
    <w:rsid w:val="39A86990"/>
    <w:rsid w:val="39C360D5"/>
    <w:rsid w:val="39CA6EC7"/>
    <w:rsid w:val="39D569DC"/>
    <w:rsid w:val="39D707F0"/>
    <w:rsid w:val="39F01A68"/>
    <w:rsid w:val="39F50DE7"/>
    <w:rsid w:val="39F84F3A"/>
    <w:rsid w:val="3A142864"/>
    <w:rsid w:val="3A1439A2"/>
    <w:rsid w:val="3A213C86"/>
    <w:rsid w:val="3A226D45"/>
    <w:rsid w:val="3A2E1EF0"/>
    <w:rsid w:val="3A3011FD"/>
    <w:rsid w:val="3A3162E5"/>
    <w:rsid w:val="3A401221"/>
    <w:rsid w:val="3A4E50DB"/>
    <w:rsid w:val="3A551A8C"/>
    <w:rsid w:val="3A585D88"/>
    <w:rsid w:val="3A63223A"/>
    <w:rsid w:val="3A6B3438"/>
    <w:rsid w:val="3A707DE1"/>
    <w:rsid w:val="3A741CFF"/>
    <w:rsid w:val="3A7C65AB"/>
    <w:rsid w:val="3A872856"/>
    <w:rsid w:val="3A9A0617"/>
    <w:rsid w:val="3AA12781"/>
    <w:rsid w:val="3AA32726"/>
    <w:rsid w:val="3AA64CE4"/>
    <w:rsid w:val="3AAF7591"/>
    <w:rsid w:val="3AB152FC"/>
    <w:rsid w:val="3AB202B5"/>
    <w:rsid w:val="3AB40CE8"/>
    <w:rsid w:val="3AC729D2"/>
    <w:rsid w:val="3AEA295B"/>
    <w:rsid w:val="3AF17846"/>
    <w:rsid w:val="3AF25411"/>
    <w:rsid w:val="3B037579"/>
    <w:rsid w:val="3B091033"/>
    <w:rsid w:val="3B0D4B58"/>
    <w:rsid w:val="3B155E5D"/>
    <w:rsid w:val="3B2457BE"/>
    <w:rsid w:val="3B261CFB"/>
    <w:rsid w:val="3B3458B1"/>
    <w:rsid w:val="3B355156"/>
    <w:rsid w:val="3B3763D1"/>
    <w:rsid w:val="3B3D47A9"/>
    <w:rsid w:val="3B4E0B64"/>
    <w:rsid w:val="3B4E4C98"/>
    <w:rsid w:val="3B6778BE"/>
    <w:rsid w:val="3B927A22"/>
    <w:rsid w:val="3BAE5489"/>
    <w:rsid w:val="3BAF674E"/>
    <w:rsid w:val="3BB258EA"/>
    <w:rsid w:val="3BBE0583"/>
    <w:rsid w:val="3BCE5517"/>
    <w:rsid w:val="3BDB4502"/>
    <w:rsid w:val="3BE07D18"/>
    <w:rsid w:val="3C0B6912"/>
    <w:rsid w:val="3C125CC6"/>
    <w:rsid w:val="3C1B6BE7"/>
    <w:rsid w:val="3C2C6246"/>
    <w:rsid w:val="3C2F6E1E"/>
    <w:rsid w:val="3C3D103F"/>
    <w:rsid w:val="3C4F64BA"/>
    <w:rsid w:val="3C7349C7"/>
    <w:rsid w:val="3C89390F"/>
    <w:rsid w:val="3C8C0892"/>
    <w:rsid w:val="3C965191"/>
    <w:rsid w:val="3C9E6EDF"/>
    <w:rsid w:val="3CA1541F"/>
    <w:rsid w:val="3CA23FA5"/>
    <w:rsid w:val="3CA27DBE"/>
    <w:rsid w:val="3CB05FC0"/>
    <w:rsid w:val="3CB10995"/>
    <w:rsid w:val="3CB44FCF"/>
    <w:rsid w:val="3CB82D3D"/>
    <w:rsid w:val="3CC33464"/>
    <w:rsid w:val="3CC75C01"/>
    <w:rsid w:val="3CCE4FA1"/>
    <w:rsid w:val="3CDA245A"/>
    <w:rsid w:val="3CE25107"/>
    <w:rsid w:val="3CED21BF"/>
    <w:rsid w:val="3CFC5AF5"/>
    <w:rsid w:val="3D0C4E0B"/>
    <w:rsid w:val="3D116693"/>
    <w:rsid w:val="3D154C6F"/>
    <w:rsid w:val="3D1A3EB4"/>
    <w:rsid w:val="3D1E06B7"/>
    <w:rsid w:val="3D3E74D0"/>
    <w:rsid w:val="3D472E44"/>
    <w:rsid w:val="3D490967"/>
    <w:rsid w:val="3D4B5206"/>
    <w:rsid w:val="3D5312C2"/>
    <w:rsid w:val="3D6407A3"/>
    <w:rsid w:val="3D934282"/>
    <w:rsid w:val="3D9372DA"/>
    <w:rsid w:val="3D95578C"/>
    <w:rsid w:val="3D976F39"/>
    <w:rsid w:val="3D9917FC"/>
    <w:rsid w:val="3D9D2253"/>
    <w:rsid w:val="3D9F070E"/>
    <w:rsid w:val="3DAC5CA6"/>
    <w:rsid w:val="3DCB0115"/>
    <w:rsid w:val="3DCB4B05"/>
    <w:rsid w:val="3DE85637"/>
    <w:rsid w:val="3DF93261"/>
    <w:rsid w:val="3E1875F3"/>
    <w:rsid w:val="3E216694"/>
    <w:rsid w:val="3E2D5039"/>
    <w:rsid w:val="3E3934D5"/>
    <w:rsid w:val="3E3F35C3"/>
    <w:rsid w:val="3E410AE4"/>
    <w:rsid w:val="3E4A2A9D"/>
    <w:rsid w:val="3E506F79"/>
    <w:rsid w:val="3E522CF1"/>
    <w:rsid w:val="3E5F540E"/>
    <w:rsid w:val="3E66054B"/>
    <w:rsid w:val="3E6C6EAB"/>
    <w:rsid w:val="3E916A5A"/>
    <w:rsid w:val="3E927592"/>
    <w:rsid w:val="3E9B64DE"/>
    <w:rsid w:val="3E9C5C1A"/>
    <w:rsid w:val="3EAD482D"/>
    <w:rsid w:val="3EC001C4"/>
    <w:rsid w:val="3EC06CF4"/>
    <w:rsid w:val="3ED970D7"/>
    <w:rsid w:val="3EDA0523"/>
    <w:rsid w:val="3EE3071E"/>
    <w:rsid w:val="3EEE1DEA"/>
    <w:rsid w:val="3F0A1978"/>
    <w:rsid w:val="3F110BE1"/>
    <w:rsid w:val="3F1F1BBE"/>
    <w:rsid w:val="3F1F68E1"/>
    <w:rsid w:val="3F212046"/>
    <w:rsid w:val="3F2B7918"/>
    <w:rsid w:val="3F380B25"/>
    <w:rsid w:val="3F381380"/>
    <w:rsid w:val="3F397872"/>
    <w:rsid w:val="3F4F7281"/>
    <w:rsid w:val="3F501303"/>
    <w:rsid w:val="3F626F64"/>
    <w:rsid w:val="3F695775"/>
    <w:rsid w:val="3F743A62"/>
    <w:rsid w:val="3F7D53BE"/>
    <w:rsid w:val="3F7E18C4"/>
    <w:rsid w:val="3F827A5D"/>
    <w:rsid w:val="3F9F1F66"/>
    <w:rsid w:val="3FA255B3"/>
    <w:rsid w:val="3FA426FC"/>
    <w:rsid w:val="3FAC01DF"/>
    <w:rsid w:val="3FC714BD"/>
    <w:rsid w:val="3FC7326B"/>
    <w:rsid w:val="3FE060DB"/>
    <w:rsid w:val="3FEB2F5C"/>
    <w:rsid w:val="40062423"/>
    <w:rsid w:val="400E49F6"/>
    <w:rsid w:val="4010076E"/>
    <w:rsid w:val="401633E9"/>
    <w:rsid w:val="40167D4F"/>
    <w:rsid w:val="40186E05"/>
    <w:rsid w:val="40227D55"/>
    <w:rsid w:val="40273D0A"/>
    <w:rsid w:val="40274C7E"/>
    <w:rsid w:val="40512B35"/>
    <w:rsid w:val="40533034"/>
    <w:rsid w:val="405614B4"/>
    <w:rsid w:val="405873DA"/>
    <w:rsid w:val="406153A8"/>
    <w:rsid w:val="406724F6"/>
    <w:rsid w:val="406D1B5C"/>
    <w:rsid w:val="406D6AC3"/>
    <w:rsid w:val="407A6407"/>
    <w:rsid w:val="407F457D"/>
    <w:rsid w:val="408465EB"/>
    <w:rsid w:val="40866EFA"/>
    <w:rsid w:val="4093314D"/>
    <w:rsid w:val="40950FDF"/>
    <w:rsid w:val="40B416B7"/>
    <w:rsid w:val="40B732E0"/>
    <w:rsid w:val="40C04865"/>
    <w:rsid w:val="40C25558"/>
    <w:rsid w:val="40D4166E"/>
    <w:rsid w:val="40D57834"/>
    <w:rsid w:val="40DB1852"/>
    <w:rsid w:val="40E30A90"/>
    <w:rsid w:val="40E43809"/>
    <w:rsid w:val="40E6555F"/>
    <w:rsid w:val="40E74363"/>
    <w:rsid w:val="40EA55B0"/>
    <w:rsid w:val="40EF50F1"/>
    <w:rsid w:val="412A5678"/>
    <w:rsid w:val="412D018D"/>
    <w:rsid w:val="41405083"/>
    <w:rsid w:val="41550197"/>
    <w:rsid w:val="416074D3"/>
    <w:rsid w:val="41633A4C"/>
    <w:rsid w:val="417818C1"/>
    <w:rsid w:val="41840C58"/>
    <w:rsid w:val="418852D6"/>
    <w:rsid w:val="418F6E96"/>
    <w:rsid w:val="4199221E"/>
    <w:rsid w:val="41AC44C7"/>
    <w:rsid w:val="41B4490A"/>
    <w:rsid w:val="41B60561"/>
    <w:rsid w:val="41C54EC8"/>
    <w:rsid w:val="41CB669E"/>
    <w:rsid w:val="41D81760"/>
    <w:rsid w:val="41EA1226"/>
    <w:rsid w:val="41EC0D67"/>
    <w:rsid w:val="41EF14D0"/>
    <w:rsid w:val="4200449D"/>
    <w:rsid w:val="420B5C33"/>
    <w:rsid w:val="42133728"/>
    <w:rsid w:val="42164036"/>
    <w:rsid w:val="421D3616"/>
    <w:rsid w:val="42204EB5"/>
    <w:rsid w:val="42344C97"/>
    <w:rsid w:val="423A3BCC"/>
    <w:rsid w:val="42443CF5"/>
    <w:rsid w:val="424E57D2"/>
    <w:rsid w:val="425A2175"/>
    <w:rsid w:val="42633D20"/>
    <w:rsid w:val="426D3788"/>
    <w:rsid w:val="4275749C"/>
    <w:rsid w:val="42842512"/>
    <w:rsid w:val="42843695"/>
    <w:rsid w:val="42892A5A"/>
    <w:rsid w:val="428C42F8"/>
    <w:rsid w:val="428F5B2B"/>
    <w:rsid w:val="429F402B"/>
    <w:rsid w:val="42A15FF5"/>
    <w:rsid w:val="42B26C49"/>
    <w:rsid w:val="42B51C7D"/>
    <w:rsid w:val="42B6122F"/>
    <w:rsid w:val="42E84B37"/>
    <w:rsid w:val="42F61468"/>
    <w:rsid w:val="42FB3958"/>
    <w:rsid w:val="430802FC"/>
    <w:rsid w:val="430E4F29"/>
    <w:rsid w:val="4318393A"/>
    <w:rsid w:val="431F61A7"/>
    <w:rsid w:val="43254E12"/>
    <w:rsid w:val="43291B47"/>
    <w:rsid w:val="433A6FE6"/>
    <w:rsid w:val="4340418D"/>
    <w:rsid w:val="43434363"/>
    <w:rsid w:val="43452214"/>
    <w:rsid w:val="43480868"/>
    <w:rsid w:val="4350713C"/>
    <w:rsid w:val="435430CB"/>
    <w:rsid w:val="435D0175"/>
    <w:rsid w:val="435E7A42"/>
    <w:rsid w:val="43652248"/>
    <w:rsid w:val="436653E0"/>
    <w:rsid w:val="43727992"/>
    <w:rsid w:val="437E6337"/>
    <w:rsid w:val="43881C1A"/>
    <w:rsid w:val="43954569"/>
    <w:rsid w:val="43AD0EE4"/>
    <w:rsid w:val="43B20585"/>
    <w:rsid w:val="43BF0967"/>
    <w:rsid w:val="43C4431A"/>
    <w:rsid w:val="43CE2333"/>
    <w:rsid w:val="43D5245C"/>
    <w:rsid w:val="44031BD8"/>
    <w:rsid w:val="441A27D0"/>
    <w:rsid w:val="442C7152"/>
    <w:rsid w:val="442C7B41"/>
    <w:rsid w:val="44322204"/>
    <w:rsid w:val="444066D4"/>
    <w:rsid w:val="444A7117"/>
    <w:rsid w:val="44580936"/>
    <w:rsid w:val="445826E4"/>
    <w:rsid w:val="446007FC"/>
    <w:rsid w:val="44651F6F"/>
    <w:rsid w:val="447103EC"/>
    <w:rsid w:val="44761B24"/>
    <w:rsid w:val="44776972"/>
    <w:rsid w:val="449627A2"/>
    <w:rsid w:val="449B69D0"/>
    <w:rsid w:val="449C6A74"/>
    <w:rsid w:val="44B0710C"/>
    <w:rsid w:val="44B33BB0"/>
    <w:rsid w:val="44B44617"/>
    <w:rsid w:val="44B951CC"/>
    <w:rsid w:val="44BC0A07"/>
    <w:rsid w:val="44BC7CA6"/>
    <w:rsid w:val="44CD14E0"/>
    <w:rsid w:val="44CD1D41"/>
    <w:rsid w:val="44E77002"/>
    <w:rsid w:val="44E97761"/>
    <w:rsid w:val="44EE4DF6"/>
    <w:rsid w:val="44F20B0B"/>
    <w:rsid w:val="44F228BD"/>
    <w:rsid w:val="44FC551F"/>
    <w:rsid w:val="45044D7E"/>
    <w:rsid w:val="45144351"/>
    <w:rsid w:val="451707F1"/>
    <w:rsid w:val="45276244"/>
    <w:rsid w:val="452A0524"/>
    <w:rsid w:val="452E5F4C"/>
    <w:rsid w:val="454B0272"/>
    <w:rsid w:val="454B6546"/>
    <w:rsid w:val="45592BB7"/>
    <w:rsid w:val="45612018"/>
    <w:rsid w:val="45626687"/>
    <w:rsid w:val="45790B64"/>
    <w:rsid w:val="458946E9"/>
    <w:rsid w:val="459B4F7E"/>
    <w:rsid w:val="459C2AA4"/>
    <w:rsid w:val="45A47C0E"/>
    <w:rsid w:val="45AF4C4B"/>
    <w:rsid w:val="45C550EA"/>
    <w:rsid w:val="45DB59FA"/>
    <w:rsid w:val="45EF2A66"/>
    <w:rsid w:val="46003033"/>
    <w:rsid w:val="4607345B"/>
    <w:rsid w:val="46101AAB"/>
    <w:rsid w:val="461B60BF"/>
    <w:rsid w:val="46207A66"/>
    <w:rsid w:val="464253F9"/>
    <w:rsid w:val="46477F70"/>
    <w:rsid w:val="4651216B"/>
    <w:rsid w:val="46577FD6"/>
    <w:rsid w:val="465B6B84"/>
    <w:rsid w:val="465F64D2"/>
    <w:rsid w:val="46754139"/>
    <w:rsid w:val="4678096D"/>
    <w:rsid w:val="468B7C88"/>
    <w:rsid w:val="469B70B3"/>
    <w:rsid w:val="46A72415"/>
    <w:rsid w:val="46B06807"/>
    <w:rsid w:val="46D2254F"/>
    <w:rsid w:val="46D955A7"/>
    <w:rsid w:val="46E415E0"/>
    <w:rsid w:val="46ED38E8"/>
    <w:rsid w:val="46FD62A3"/>
    <w:rsid w:val="47001FC6"/>
    <w:rsid w:val="47133957"/>
    <w:rsid w:val="47190252"/>
    <w:rsid w:val="473E2065"/>
    <w:rsid w:val="474E3196"/>
    <w:rsid w:val="4755115C"/>
    <w:rsid w:val="4760647F"/>
    <w:rsid w:val="476D64A6"/>
    <w:rsid w:val="476E0F9A"/>
    <w:rsid w:val="47997CE8"/>
    <w:rsid w:val="47A07E0C"/>
    <w:rsid w:val="47A3636C"/>
    <w:rsid w:val="47BB5CB3"/>
    <w:rsid w:val="47BE6D02"/>
    <w:rsid w:val="47C20CFA"/>
    <w:rsid w:val="47C62141"/>
    <w:rsid w:val="47C744A7"/>
    <w:rsid w:val="47E22D61"/>
    <w:rsid w:val="48054809"/>
    <w:rsid w:val="480B1442"/>
    <w:rsid w:val="48270D4B"/>
    <w:rsid w:val="482E032B"/>
    <w:rsid w:val="48311BC9"/>
    <w:rsid w:val="483671E0"/>
    <w:rsid w:val="48367201"/>
    <w:rsid w:val="485E1B6B"/>
    <w:rsid w:val="485E651B"/>
    <w:rsid w:val="48630DDD"/>
    <w:rsid w:val="4870272E"/>
    <w:rsid w:val="487D4E0F"/>
    <w:rsid w:val="488717E9"/>
    <w:rsid w:val="48877A3B"/>
    <w:rsid w:val="48943C93"/>
    <w:rsid w:val="48A759E8"/>
    <w:rsid w:val="48C05C56"/>
    <w:rsid w:val="48DC480D"/>
    <w:rsid w:val="48DD58AD"/>
    <w:rsid w:val="48EC0549"/>
    <w:rsid w:val="48F84495"/>
    <w:rsid w:val="490630FC"/>
    <w:rsid w:val="49175E2C"/>
    <w:rsid w:val="49210BBC"/>
    <w:rsid w:val="49270BA4"/>
    <w:rsid w:val="49296D45"/>
    <w:rsid w:val="492E6109"/>
    <w:rsid w:val="49397445"/>
    <w:rsid w:val="4941432D"/>
    <w:rsid w:val="497D499A"/>
    <w:rsid w:val="4995057B"/>
    <w:rsid w:val="49AD1A79"/>
    <w:rsid w:val="49AF0FF8"/>
    <w:rsid w:val="49B21925"/>
    <w:rsid w:val="49B76927"/>
    <w:rsid w:val="49DA3B9B"/>
    <w:rsid w:val="49DC7715"/>
    <w:rsid w:val="49F20EE5"/>
    <w:rsid w:val="49FD33BA"/>
    <w:rsid w:val="49FF3A8D"/>
    <w:rsid w:val="4A023139"/>
    <w:rsid w:val="4A033BC9"/>
    <w:rsid w:val="4A1B48DF"/>
    <w:rsid w:val="4A1C040A"/>
    <w:rsid w:val="4A204EA9"/>
    <w:rsid w:val="4A274AE1"/>
    <w:rsid w:val="4A364928"/>
    <w:rsid w:val="4A3B456D"/>
    <w:rsid w:val="4A45370A"/>
    <w:rsid w:val="4A6468C8"/>
    <w:rsid w:val="4A6B26BC"/>
    <w:rsid w:val="4A7B576F"/>
    <w:rsid w:val="4A9C5B8D"/>
    <w:rsid w:val="4AAE2406"/>
    <w:rsid w:val="4AB97C54"/>
    <w:rsid w:val="4ABC5FF2"/>
    <w:rsid w:val="4AC9233F"/>
    <w:rsid w:val="4AD31FF5"/>
    <w:rsid w:val="4ADB406F"/>
    <w:rsid w:val="4ADC6612"/>
    <w:rsid w:val="4AE20F59"/>
    <w:rsid w:val="4AE36042"/>
    <w:rsid w:val="4AEC69C1"/>
    <w:rsid w:val="4AF561A9"/>
    <w:rsid w:val="4B1307D7"/>
    <w:rsid w:val="4B1F7F43"/>
    <w:rsid w:val="4B22461D"/>
    <w:rsid w:val="4B307BAE"/>
    <w:rsid w:val="4B497330"/>
    <w:rsid w:val="4B4A0EF0"/>
    <w:rsid w:val="4B4E2F35"/>
    <w:rsid w:val="4B7169B7"/>
    <w:rsid w:val="4B731383"/>
    <w:rsid w:val="4B8A4E96"/>
    <w:rsid w:val="4B8C1791"/>
    <w:rsid w:val="4B9761E7"/>
    <w:rsid w:val="4BAB57EF"/>
    <w:rsid w:val="4BAB6F60"/>
    <w:rsid w:val="4BB1658B"/>
    <w:rsid w:val="4BB30ECF"/>
    <w:rsid w:val="4BB5666E"/>
    <w:rsid w:val="4BB5751E"/>
    <w:rsid w:val="4BC922BF"/>
    <w:rsid w:val="4BD5286C"/>
    <w:rsid w:val="4BD8046B"/>
    <w:rsid w:val="4BED4F3F"/>
    <w:rsid w:val="4C004255"/>
    <w:rsid w:val="4C030EDF"/>
    <w:rsid w:val="4C0A69B9"/>
    <w:rsid w:val="4C36009F"/>
    <w:rsid w:val="4C497E8C"/>
    <w:rsid w:val="4C4A0649"/>
    <w:rsid w:val="4C515DE0"/>
    <w:rsid w:val="4C6755B6"/>
    <w:rsid w:val="4C701E77"/>
    <w:rsid w:val="4C714C8A"/>
    <w:rsid w:val="4C7332AA"/>
    <w:rsid w:val="4C796142"/>
    <w:rsid w:val="4C7E5ECA"/>
    <w:rsid w:val="4C876AA5"/>
    <w:rsid w:val="4C892F9C"/>
    <w:rsid w:val="4C942727"/>
    <w:rsid w:val="4CA86F3C"/>
    <w:rsid w:val="4CAC181F"/>
    <w:rsid w:val="4CB86683"/>
    <w:rsid w:val="4CDE5EC1"/>
    <w:rsid w:val="4CDF7E3F"/>
    <w:rsid w:val="4CEA446B"/>
    <w:rsid w:val="4CF46E1E"/>
    <w:rsid w:val="4D0E00FB"/>
    <w:rsid w:val="4D176606"/>
    <w:rsid w:val="4D183358"/>
    <w:rsid w:val="4D241F8E"/>
    <w:rsid w:val="4D2C23B8"/>
    <w:rsid w:val="4D3874B5"/>
    <w:rsid w:val="4D4B2A75"/>
    <w:rsid w:val="4D58647C"/>
    <w:rsid w:val="4D61085B"/>
    <w:rsid w:val="4D6476DD"/>
    <w:rsid w:val="4D654860"/>
    <w:rsid w:val="4D7D5005"/>
    <w:rsid w:val="4D7E765F"/>
    <w:rsid w:val="4D987FF5"/>
    <w:rsid w:val="4D9A5448"/>
    <w:rsid w:val="4D9B69D3"/>
    <w:rsid w:val="4DAC584E"/>
    <w:rsid w:val="4DB72B71"/>
    <w:rsid w:val="4DC13E93"/>
    <w:rsid w:val="4DC34FAA"/>
    <w:rsid w:val="4DCE45CA"/>
    <w:rsid w:val="4DDD0F25"/>
    <w:rsid w:val="4DE82D2A"/>
    <w:rsid w:val="4DEC4FB0"/>
    <w:rsid w:val="4E075D8A"/>
    <w:rsid w:val="4E0E2B8A"/>
    <w:rsid w:val="4E1564BD"/>
    <w:rsid w:val="4E2536B9"/>
    <w:rsid w:val="4E3255EA"/>
    <w:rsid w:val="4E346AB0"/>
    <w:rsid w:val="4E35691A"/>
    <w:rsid w:val="4E4B72E5"/>
    <w:rsid w:val="4E801C29"/>
    <w:rsid w:val="4E805980"/>
    <w:rsid w:val="4E89266D"/>
    <w:rsid w:val="4E8A1845"/>
    <w:rsid w:val="4E9C58C3"/>
    <w:rsid w:val="4EA76741"/>
    <w:rsid w:val="4EAF0762"/>
    <w:rsid w:val="4EB30A2B"/>
    <w:rsid w:val="4EC00FAD"/>
    <w:rsid w:val="4EC031D6"/>
    <w:rsid w:val="4EC54E1A"/>
    <w:rsid w:val="4ECA0682"/>
    <w:rsid w:val="4ED7455B"/>
    <w:rsid w:val="4EDC0A76"/>
    <w:rsid w:val="4EDC1F57"/>
    <w:rsid w:val="4EEC5AEA"/>
    <w:rsid w:val="4EFE2C71"/>
    <w:rsid w:val="4F134F4A"/>
    <w:rsid w:val="4F1766DE"/>
    <w:rsid w:val="4F183BE6"/>
    <w:rsid w:val="4F1A1343"/>
    <w:rsid w:val="4F1E4F93"/>
    <w:rsid w:val="4F1E6F06"/>
    <w:rsid w:val="4F1F72EC"/>
    <w:rsid w:val="4F2A2ECF"/>
    <w:rsid w:val="4F2D77F5"/>
    <w:rsid w:val="4F3124AF"/>
    <w:rsid w:val="4F3D2C02"/>
    <w:rsid w:val="4F3F165E"/>
    <w:rsid w:val="4F4376E8"/>
    <w:rsid w:val="4F4F55E6"/>
    <w:rsid w:val="4F563CC4"/>
    <w:rsid w:val="4F5F5007"/>
    <w:rsid w:val="4F923591"/>
    <w:rsid w:val="4F9843DC"/>
    <w:rsid w:val="4FA4689F"/>
    <w:rsid w:val="4FAB400F"/>
    <w:rsid w:val="4FB37AF2"/>
    <w:rsid w:val="4FBC292A"/>
    <w:rsid w:val="4FC45A1B"/>
    <w:rsid w:val="4FC62A8C"/>
    <w:rsid w:val="4FCC48AC"/>
    <w:rsid w:val="4FD72978"/>
    <w:rsid w:val="4FDC066D"/>
    <w:rsid w:val="4FE20F0D"/>
    <w:rsid w:val="4FE27AED"/>
    <w:rsid w:val="4FE51552"/>
    <w:rsid w:val="4FF85861"/>
    <w:rsid w:val="5002561A"/>
    <w:rsid w:val="500E55E8"/>
    <w:rsid w:val="50487920"/>
    <w:rsid w:val="504D156B"/>
    <w:rsid w:val="50504C4B"/>
    <w:rsid w:val="505B6325"/>
    <w:rsid w:val="505F76BB"/>
    <w:rsid w:val="506A211C"/>
    <w:rsid w:val="506D6F8E"/>
    <w:rsid w:val="5071117D"/>
    <w:rsid w:val="507B345B"/>
    <w:rsid w:val="508A00C9"/>
    <w:rsid w:val="508F0136"/>
    <w:rsid w:val="509176A9"/>
    <w:rsid w:val="50977558"/>
    <w:rsid w:val="509C6E7C"/>
    <w:rsid w:val="50A2617C"/>
    <w:rsid w:val="50B25281"/>
    <w:rsid w:val="50C475EB"/>
    <w:rsid w:val="50D92DFE"/>
    <w:rsid w:val="50D9480F"/>
    <w:rsid w:val="51031C29"/>
    <w:rsid w:val="51085492"/>
    <w:rsid w:val="51165E00"/>
    <w:rsid w:val="511D0F3D"/>
    <w:rsid w:val="512A18AC"/>
    <w:rsid w:val="51346287"/>
    <w:rsid w:val="5139389D"/>
    <w:rsid w:val="513F6E41"/>
    <w:rsid w:val="514738AD"/>
    <w:rsid w:val="51477D68"/>
    <w:rsid w:val="514E1CA3"/>
    <w:rsid w:val="51505381"/>
    <w:rsid w:val="51591D27"/>
    <w:rsid w:val="5162104E"/>
    <w:rsid w:val="517D27BC"/>
    <w:rsid w:val="51874608"/>
    <w:rsid w:val="51894824"/>
    <w:rsid w:val="519572FE"/>
    <w:rsid w:val="51963298"/>
    <w:rsid w:val="51976CDE"/>
    <w:rsid w:val="519D030C"/>
    <w:rsid w:val="51B1181C"/>
    <w:rsid w:val="51C63383"/>
    <w:rsid w:val="51E521EC"/>
    <w:rsid w:val="51E6296E"/>
    <w:rsid w:val="51F109A6"/>
    <w:rsid w:val="51F8694F"/>
    <w:rsid w:val="520C1F8E"/>
    <w:rsid w:val="52144B02"/>
    <w:rsid w:val="523D1AB9"/>
    <w:rsid w:val="52731EE3"/>
    <w:rsid w:val="528079D5"/>
    <w:rsid w:val="529A65BD"/>
    <w:rsid w:val="52A03BD4"/>
    <w:rsid w:val="52A56E3A"/>
    <w:rsid w:val="52B355A3"/>
    <w:rsid w:val="52B46DDC"/>
    <w:rsid w:val="52C8577B"/>
    <w:rsid w:val="52D92E74"/>
    <w:rsid w:val="52EF06B7"/>
    <w:rsid w:val="5302089C"/>
    <w:rsid w:val="530C3017"/>
    <w:rsid w:val="53294C7A"/>
    <w:rsid w:val="53404042"/>
    <w:rsid w:val="534722A1"/>
    <w:rsid w:val="5348343B"/>
    <w:rsid w:val="53503344"/>
    <w:rsid w:val="535C3C82"/>
    <w:rsid w:val="535E75EB"/>
    <w:rsid w:val="53604040"/>
    <w:rsid w:val="53690469"/>
    <w:rsid w:val="537A08C9"/>
    <w:rsid w:val="53812AC1"/>
    <w:rsid w:val="539A38B6"/>
    <w:rsid w:val="539A6875"/>
    <w:rsid w:val="53A039CC"/>
    <w:rsid w:val="53A1505A"/>
    <w:rsid w:val="53AF7E46"/>
    <w:rsid w:val="53B05467"/>
    <w:rsid w:val="53B41AC9"/>
    <w:rsid w:val="53B4507C"/>
    <w:rsid w:val="53C41B44"/>
    <w:rsid w:val="53CA237F"/>
    <w:rsid w:val="53D55AFF"/>
    <w:rsid w:val="53D55FE2"/>
    <w:rsid w:val="53FA7313"/>
    <w:rsid w:val="53FC3282"/>
    <w:rsid w:val="53FE2C5D"/>
    <w:rsid w:val="54063E08"/>
    <w:rsid w:val="540C5299"/>
    <w:rsid w:val="542D105D"/>
    <w:rsid w:val="54324CFF"/>
    <w:rsid w:val="543437E8"/>
    <w:rsid w:val="5438608E"/>
    <w:rsid w:val="5440567D"/>
    <w:rsid w:val="54576514"/>
    <w:rsid w:val="545930C2"/>
    <w:rsid w:val="54693EAB"/>
    <w:rsid w:val="54714BDF"/>
    <w:rsid w:val="54893697"/>
    <w:rsid w:val="548B2BDE"/>
    <w:rsid w:val="548E5012"/>
    <w:rsid w:val="548F3006"/>
    <w:rsid w:val="548F46E6"/>
    <w:rsid w:val="54984490"/>
    <w:rsid w:val="549E54E0"/>
    <w:rsid w:val="54C87F4D"/>
    <w:rsid w:val="54C91C49"/>
    <w:rsid w:val="54CB700C"/>
    <w:rsid w:val="54D264E2"/>
    <w:rsid w:val="54E156A7"/>
    <w:rsid w:val="54E60FBB"/>
    <w:rsid w:val="54E66AC6"/>
    <w:rsid w:val="54F36948"/>
    <w:rsid w:val="54F73313"/>
    <w:rsid w:val="54F80955"/>
    <w:rsid w:val="54FA2A36"/>
    <w:rsid w:val="55063E7B"/>
    <w:rsid w:val="552848CB"/>
    <w:rsid w:val="55346855"/>
    <w:rsid w:val="55352DC1"/>
    <w:rsid w:val="554F2A1F"/>
    <w:rsid w:val="555170A7"/>
    <w:rsid w:val="555E434F"/>
    <w:rsid w:val="55690291"/>
    <w:rsid w:val="556D6D4F"/>
    <w:rsid w:val="55722710"/>
    <w:rsid w:val="55743C5E"/>
    <w:rsid w:val="557C3F08"/>
    <w:rsid w:val="5587536D"/>
    <w:rsid w:val="558E065B"/>
    <w:rsid w:val="55976973"/>
    <w:rsid w:val="559806B9"/>
    <w:rsid w:val="559B174B"/>
    <w:rsid w:val="55A76435"/>
    <w:rsid w:val="55AA0FA2"/>
    <w:rsid w:val="55AA2FBB"/>
    <w:rsid w:val="55B24B8E"/>
    <w:rsid w:val="55C12867"/>
    <w:rsid w:val="55C27D23"/>
    <w:rsid w:val="55CA0F67"/>
    <w:rsid w:val="55CE0CF4"/>
    <w:rsid w:val="55DE29C4"/>
    <w:rsid w:val="55EC7130"/>
    <w:rsid w:val="55EE10FA"/>
    <w:rsid w:val="55F57708"/>
    <w:rsid w:val="55FA7A9F"/>
    <w:rsid w:val="56134F4B"/>
    <w:rsid w:val="561F12B3"/>
    <w:rsid w:val="56242D6E"/>
    <w:rsid w:val="56343D82"/>
    <w:rsid w:val="5641747C"/>
    <w:rsid w:val="564727F1"/>
    <w:rsid w:val="56536F44"/>
    <w:rsid w:val="565F35CD"/>
    <w:rsid w:val="56634D44"/>
    <w:rsid w:val="567C1E96"/>
    <w:rsid w:val="567F2E60"/>
    <w:rsid w:val="567F61F6"/>
    <w:rsid w:val="568B1FB7"/>
    <w:rsid w:val="56A875C7"/>
    <w:rsid w:val="56B22127"/>
    <w:rsid w:val="56B22A9C"/>
    <w:rsid w:val="56BA722E"/>
    <w:rsid w:val="56BE0ACC"/>
    <w:rsid w:val="56C32E63"/>
    <w:rsid w:val="56CD6F61"/>
    <w:rsid w:val="56E11FFE"/>
    <w:rsid w:val="56E2111D"/>
    <w:rsid w:val="56E50C4A"/>
    <w:rsid w:val="56EA7B13"/>
    <w:rsid w:val="56F72230"/>
    <w:rsid w:val="56FF2E93"/>
    <w:rsid w:val="570C4FE7"/>
    <w:rsid w:val="571701DC"/>
    <w:rsid w:val="57323268"/>
    <w:rsid w:val="57390153"/>
    <w:rsid w:val="574A4837"/>
    <w:rsid w:val="575E22AF"/>
    <w:rsid w:val="576661CC"/>
    <w:rsid w:val="576D604E"/>
    <w:rsid w:val="5796448F"/>
    <w:rsid w:val="57996CFE"/>
    <w:rsid w:val="579E26AC"/>
    <w:rsid w:val="57A726CA"/>
    <w:rsid w:val="57B72A76"/>
    <w:rsid w:val="57C3426C"/>
    <w:rsid w:val="57CD4D3F"/>
    <w:rsid w:val="57CE1F93"/>
    <w:rsid w:val="57D343FF"/>
    <w:rsid w:val="57D64C7F"/>
    <w:rsid w:val="57DC7226"/>
    <w:rsid w:val="57E0772B"/>
    <w:rsid w:val="57EE244A"/>
    <w:rsid w:val="57EE2DAE"/>
    <w:rsid w:val="57EE7FD1"/>
    <w:rsid w:val="57F66044"/>
    <w:rsid w:val="58093666"/>
    <w:rsid w:val="580B1C5D"/>
    <w:rsid w:val="580E7831"/>
    <w:rsid w:val="581428C4"/>
    <w:rsid w:val="582232DD"/>
    <w:rsid w:val="58337AFC"/>
    <w:rsid w:val="5842261A"/>
    <w:rsid w:val="58596C4E"/>
    <w:rsid w:val="585C6F9A"/>
    <w:rsid w:val="586239D9"/>
    <w:rsid w:val="58690128"/>
    <w:rsid w:val="586B4F13"/>
    <w:rsid w:val="58773629"/>
    <w:rsid w:val="587B7E00"/>
    <w:rsid w:val="587E5831"/>
    <w:rsid w:val="5884755E"/>
    <w:rsid w:val="58850D17"/>
    <w:rsid w:val="588743D1"/>
    <w:rsid w:val="5887701A"/>
    <w:rsid w:val="588D4BFA"/>
    <w:rsid w:val="58921C29"/>
    <w:rsid w:val="589C3798"/>
    <w:rsid w:val="58B32187"/>
    <w:rsid w:val="58B865DA"/>
    <w:rsid w:val="58BA4EE6"/>
    <w:rsid w:val="58BC07AD"/>
    <w:rsid w:val="58C163C4"/>
    <w:rsid w:val="58C7159D"/>
    <w:rsid w:val="58CB5722"/>
    <w:rsid w:val="58E30669"/>
    <w:rsid w:val="58E72190"/>
    <w:rsid w:val="58F74F2B"/>
    <w:rsid w:val="590C2C3C"/>
    <w:rsid w:val="59136AB9"/>
    <w:rsid w:val="591F1A64"/>
    <w:rsid w:val="592A069B"/>
    <w:rsid w:val="592B71C2"/>
    <w:rsid w:val="593155C9"/>
    <w:rsid w:val="594716AD"/>
    <w:rsid w:val="595C431C"/>
    <w:rsid w:val="595F4697"/>
    <w:rsid w:val="59663F29"/>
    <w:rsid w:val="598B3EF7"/>
    <w:rsid w:val="5996188C"/>
    <w:rsid w:val="59A359AF"/>
    <w:rsid w:val="59C0439F"/>
    <w:rsid w:val="59C535DA"/>
    <w:rsid w:val="59C7413C"/>
    <w:rsid w:val="59CD0E34"/>
    <w:rsid w:val="59D2663D"/>
    <w:rsid w:val="59D32AE1"/>
    <w:rsid w:val="59D71692"/>
    <w:rsid w:val="59D86349"/>
    <w:rsid w:val="59DB5186"/>
    <w:rsid w:val="59DB53F4"/>
    <w:rsid w:val="59DE3233"/>
    <w:rsid w:val="59DF3316"/>
    <w:rsid w:val="59FB7764"/>
    <w:rsid w:val="5A290952"/>
    <w:rsid w:val="5A296F28"/>
    <w:rsid w:val="5A570576"/>
    <w:rsid w:val="5A643739"/>
    <w:rsid w:val="5A6D1724"/>
    <w:rsid w:val="5A77776E"/>
    <w:rsid w:val="5AAE0103"/>
    <w:rsid w:val="5ABE2233"/>
    <w:rsid w:val="5AD40392"/>
    <w:rsid w:val="5AD75724"/>
    <w:rsid w:val="5AFE4D24"/>
    <w:rsid w:val="5B0867BA"/>
    <w:rsid w:val="5B18658D"/>
    <w:rsid w:val="5B232629"/>
    <w:rsid w:val="5B650D01"/>
    <w:rsid w:val="5B6B21CB"/>
    <w:rsid w:val="5B72369B"/>
    <w:rsid w:val="5B726329"/>
    <w:rsid w:val="5B7670F3"/>
    <w:rsid w:val="5B7A01D0"/>
    <w:rsid w:val="5BA107DB"/>
    <w:rsid w:val="5BA51B90"/>
    <w:rsid w:val="5BC8419B"/>
    <w:rsid w:val="5BDF5D95"/>
    <w:rsid w:val="5BE40C56"/>
    <w:rsid w:val="5BE535AE"/>
    <w:rsid w:val="5BF741A2"/>
    <w:rsid w:val="5BFE7528"/>
    <w:rsid w:val="5C034792"/>
    <w:rsid w:val="5C1365D9"/>
    <w:rsid w:val="5C22681A"/>
    <w:rsid w:val="5C2D131E"/>
    <w:rsid w:val="5C2F529D"/>
    <w:rsid w:val="5C4C1857"/>
    <w:rsid w:val="5C4D3874"/>
    <w:rsid w:val="5C515F3F"/>
    <w:rsid w:val="5C5B500F"/>
    <w:rsid w:val="5C62014C"/>
    <w:rsid w:val="5C657C3C"/>
    <w:rsid w:val="5C732359"/>
    <w:rsid w:val="5C735408"/>
    <w:rsid w:val="5C740C20"/>
    <w:rsid w:val="5C835120"/>
    <w:rsid w:val="5C901728"/>
    <w:rsid w:val="5C9F314E"/>
    <w:rsid w:val="5CAB1AF3"/>
    <w:rsid w:val="5CB87D6C"/>
    <w:rsid w:val="5CBB0AC5"/>
    <w:rsid w:val="5CC00537"/>
    <w:rsid w:val="5CD34900"/>
    <w:rsid w:val="5CD66444"/>
    <w:rsid w:val="5CD86660"/>
    <w:rsid w:val="5CF94C07"/>
    <w:rsid w:val="5D1A35E4"/>
    <w:rsid w:val="5D2501A1"/>
    <w:rsid w:val="5D2D1620"/>
    <w:rsid w:val="5D2D3374"/>
    <w:rsid w:val="5D3B7AC8"/>
    <w:rsid w:val="5D42613A"/>
    <w:rsid w:val="5D4F34C0"/>
    <w:rsid w:val="5D5033E3"/>
    <w:rsid w:val="5D541739"/>
    <w:rsid w:val="5D5B0C2B"/>
    <w:rsid w:val="5D63484D"/>
    <w:rsid w:val="5D764D1A"/>
    <w:rsid w:val="5D8A369A"/>
    <w:rsid w:val="5D924A61"/>
    <w:rsid w:val="5D950278"/>
    <w:rsid w:val="5DA11295"/>
    <w:rsid w:val="5DA12EF6"/>
    <w:rsid w:val="5DA80011"/>
    <w:rsid w:val="5DAB167E"/>
    <w:rsid w:val="5DB16712"/>
    <w:rsid w:val="5DB27FB3"/>
    <w:rsid w:val="5DCB1D21"/>
    <w:rsid w:val="5DD460E3"/>
    <w:rsid w:val="5DF82489"/>
    <w:rsid w:val="5DFB34D0"/>
    <w:rsid w:val="5E0F1C0D"/>
    <w:rsid w:val="5E11474B"/>
    <w:rsid w:val="5E123765"/>
    <w:rsid w:val="5E143C8D"/>
    <w:rsid w:val="5E1B4453"/>
    <w:rsid w:val="5E1D1BF5"/>
    <w:rsid w:val="5E20698A"/>
    <w:rsid w:val="5E2467F1"/>
    <w:rsid w:val="5E31427A"/>
    <w:rsid w:val="5E3C3BF4"/>
    <w:rsid w:val="5E3C49EC"/>
    <w:rsid w:val="5E3E639A"/>
    <w:rsid w:val="5E414336"/>
    <w:rsid w:val="5E4D6C13"/>
    <w:rsid w:val="5E59187D"/>
    <w:rsid w:val="5E701DBD"/>
    <w:rsid w:val="5E911A69"/>
    <w:rsid w:val="5E960581"/>
    <w:rsid w:val="5EC813FE"/>
    <w:rsid w:val="5ECB022A"/>
    <w:rsid w:val="5EDA66BF"/>
    <w:rsid w:val="5F0D2E36"/>
    <w:rsid w:val="5F134FFE"/>
    <w:rsid w:val="5F14556A"/>
    <w:rsid w:val="5F155949"/>
    <w:rsid w:val="5F177DFA"/>
    <w:rsid w:val="5F1A2B43"/>
    <w:rsid w:val="5F2A5ECB"/>
    <w:rsid w:val="5F2B66F9"/>
    <w:rsid w:val="5F2E1F17"/>
    <w:rsid w:val="5F407D73"/>
    <w:rsid w:val="5F491D49"/>
    <w:rsid w:val="5F4D2437"/>
    <w:rsid w:val="5F531564"/>
    <w:rsid w:val="5F5F4E16"/>
    <w:rsid w:val="5F6E2A32"/>
    <w:rsid w:val="5F7A1C50"/>
    <w:rsid w:val="5F904FD0"/>
    <w:rsid w:val="5F997703"/>
    <w:rsid w:val="5F9C3975"/>
    <w:rsid w:val="5FAF36A8"/>
    <w:rsid w:val="5FB837BB"/>
    <w:rsid w:val="5FD90725"/>
    <w:rsid w:val="5FDF4042"/>
    <w:rsid w:val="5FE83810"/>
    <w:rsid w:val="5FEF619A"/>
    <w:rsid w:val="5FF217E7"/>
    <w:rsid w:val="60007367"/>
    <w:rsid w:val="601577B0"/>
    <w:rsid w:val="604B1742"/>
    <w:rsid w:val="60536017"/>
    <w:rsid w:val="60557152"/>
    <w:rsid w:val="6062031C"/>
    <w:rsid w:val="606A043D"/>
    <w:rsid w:val="60714E01"/>
    <w:rsid w:val="60725EBB"/>
    <w:rsid w:val="60727266"/>
    <w:rsid w:val="607448F1"/>
    <w:rsid w:val="60CC405A"/>
    <w:rsid w:val="60CF1B28"/>
    <w:rsid w:val="60DB227B"/>
    <w:rsid w:val="60F17CF0"/>
    <w:rsid w:val="60F57DD6"/>
    <w:rsid w:val="60FC01E7"/>
    <w:rsid w:val="60FE664A"/>
    <w:rsid w:val="6117731B"/>
    <w:rsid w:val="612003CD"/>
    <w:rsid w:val="6124385C"/>
    <w:rsid w:val="61265BEC"/>
    <w:rsid w:val="612B3C0E"/>
    <w:rsid w:val="613A51F3"/>
    <w:rsid w:val="613D6A07"/>
    <w:rsid w:val="614A42DF"/>
    <w:rsid w:val="61662634"/>
    <w:rsid w:val="61663A18"/>
    <w:rsid w:val="617A0E8B"/>
    <w:rsid w:val="617C1C95"/>
    <w:rsid w:val="617E669E"/>
    <w:rsid w:val="6184627C"/>
    <w:rsid w:val="61876ABE"/>
    <w:rsid w:val="61882E8F"/>
    <w:rsid w:val="618C17C7"/>
    <w:rsid w:val="619150A0"/>
    <w:rsid w:val="619C1E94"/>
    <w:rsid w:val="61A13872"/>
    <w:rsid w:val="61B575C2"/>
    <w:rsid w:val="61B64F19"/>
    <w:rsid w:val="61B72AF5"/>
    <w:rsid w:val="61BA2D18"/>
    <w:rsid w:val="61CA338F"/>
    <w:rsid w:val="61CF739C"/>
    <w:rsid w:val="61D65823"/>
    <w:rsid w:val="61DA2E84"/>
    <w:rsid w:val="61E215D8"/>
    <w:rsid w:val="61E64C2D"/>
    <w:rsid w:val="61EB473F"/>
    <w:rsid w:val="61FA4982"/>
    <w:rsid w:val="62031A89"/>
    <w:rsid w:val="621B3775"/>
    <w:rsid w:val="62344338"/>
    <w:rsid w:val="62364782"/>
    <w:rsid w:val="623B3879"/>
    <w:rsid w:val="62487DE4"/>
    <w:rsid w:val="62650996"/>
    <w:rsid w:val="62677FF9"/>
    <w:rsid w:val="627B5AC3"/>
    <w:rsid w:val="62810CE5"/>
    <w:rsid w:val="628A21AA"/>
    <w:rsid w:val="628F2677"/>
    <w:rsid w:val="6292271E"/>
    <w:rsid w:val="62A80882"/>
    <w:rsid w:val="62B50877"/>
    <w:rsid w:val="62C21944"/>
    <w:rsid w:val="62C465B7"/>
    <w:rsid w:val="62C92CD3"/>
    <w:rsid w:val="62CE653B"/>
    <w:rsid w:val="62D573F5"/>
    <w:rsid w:val="62F5057B"/>
    <w:rsid w:val="62FE7FB2"/>
    <w:rsid w:val="63033260"/>
    <w:rsid w:val="63093BEF"/>
    <w:rsid w:val="631C50A7"/>
    <w:rsid w:val="634436DA"/>
    <w:rsid w:val="634467FD"/>
    <w:rsid w:val="63495349"/>
    <w:rsid w:val="63601FD4"/>
    <w:rsid w:val="63627F9A"/>
    <w:rsid w:val="63656FC2"/>
    <w:rsid w:val="63736A93"/>
    <w:rsid w:val="637569B7"/>
    <w:rsid w:val="63780255"/>
    <w:rsid w:val="638B5363"/>
    <w:rsid w:val="638E5CCA"/>
    <w:rsid w:val="6394356A"/>
    <w:rsid w:val="639D78AC"/>
    <w:rsid w:val="63A608DD"/>
    <w:rsid w:val="63AB1602"/>
    <w:rsid w:val="63C452FC"/>
    <w:rsid w:val="63C61B2C"/>
    <w:rsid w:val="63CB4828"/>
    <w:rsid w:val="63D40BE9"/>
    <w:rsid w:val="63EB3FBA"/>
    <w:rsid w:val="63F9629E"/>
    <w:rsid w:val="63FA510E"/>
    <w:rsid w:val="640D3093"/>
    <w:rsid w:val="64102431"/>
    <w:rsid w:val="643B5637"/>
    <w:rsid w:val="644A1AD6"/>
    <w:rsid w:val="647245C0"/>
    <w:rsid w:val="647B7FFD"/>
    <w:rsid w:val="647F559F"/>
    <w:rsid w:val="64892E4D"/>
    <w:rsid w:val="64925D9F"/>
    <w:rsid w:val="64A23EB6"/>
    <w:rsid w:val="64A5243A"/>
    <w:rsid w:val="64AE79DC"/>
    <w:rsid w:val="64CE3D3A"/>
    <w:rsid w:val="64E41C1A"/>
    <w:rsid w:val="64F531DE"/>
    <w:rsid w:val="64FC3272"/>
    <w:rsid w:val="64FE0438"/>
    <w:rsid w:val="64FE29DC"/>
    <w:rsid w:val="650A48C8"/>
    <w:rsid w:val="65160F79"/>
    <w:rsid w:val="651969AD"/>
    <w:rsid w:val="652B4BC8"/>
    <w:rsid w:val="65373578"/>
    <w:rsid w:val="653F727C"/>
    <w:rsid w:val="654B3E73"/>
    <w:rsid w:val="65562818"/>
    <w:rsid w:val="655645C6"/>
    <w:rsid w:val="655B4E13"/>
    <w:rsid w:val="656573CD"/>
    <w:rsid w:val="657C502B"/>
    <w:rsid w:val="659572F1"/>
    <w:rsid w:val="65A6317E"/>
    <w:rsid w:val="65AD6E7D"/>
    <w:rsid w:val="65B5753E"/>
    <w:rsid w:val="65D65307"/>
    <w:rsid w:val="65D8322D"/>
    <w:rsid w:val="65DC2149"/>
    <w:rsid w:val="65EB79CE"/>
    <w:rsid w:val="65F8567D"/>
    <w:rsid w:val="65FF6A0B"/>
    <w:rsid w:val="66032284"/>
    <w:rsid w:val="660364FC"/>
    <w:rsid w:val="660A20EF"/>
    <w:rsid w:val="66131BA9"/>
    <w:rsid w:val="663F32AC"/>
    <w:rsid w:val="663F5646"/>
    <w:rsid w:val="664C721E"/>
    <w:rsid w:val="666A0329"/>
    <w:rsid w:val="6671005B"/>
    <w:rsid w:val="66763E5C"/>
    <w:rsid w:val="667A42E4"/>
    <w:rsid w:val="66866763"/>
    <w:rsid w:val="668A3A19"/>
    <w:rsid w:val="669C425A"/>
    <w:rsid w:val="669F47CA"/>
    <w:rsid w:val="66BC7274"/>
    <w:rsid w:val="66CC1E9D"/>
    <w:rsid w:val="66E17556"/>
    <w:rsid w:val="66E265A9"/>
    <w:rsid w:val="66FF5CBC"/>
    <w:rsid w:val="671F124A"/>
    <w:rsid w:val="672F1572"/>
    <w:rsid w:val="67387587"/>
    <w:rsid w:val="673E6667"/>
    <w:rsid w:val="673F5CE3"/>
    <w:rsid w:val="67467569"/>
    <w:rsid w:val="674F6004"/>
    <w:rsid w:val="67670B02"/>
    <w:rsid w:val="677A33C6"/>
    <w:rsid w:val="677A7351"/>
    <w:rsid w:val="678553D7"/>
    <w:rsid w:val="678E00BB"/>
    <w:rsid w:val="67A40AD9"/>
    <w:rsid w:val="67A97859"/>
    <w:rsid w:val="67B84CDB"/>
    <w:rsid w:val="67C2339D"/>
    <w:rsid w:val="67D31B43"/>
    <w:rsid w:val="67E269CA"/>
    <w:rsid w:val="67E2773C"/>
    <w:rsid w:val="67F87BB6"/>
    <w:rsid w:val="68014CBD"/>
    <w:rsid w:val="681349F0"/>
    <w:rsid w:val="681625B9"/>
    <w:rsid w:val="681F6961"/>
    <w:rsid w:val="68225A02"/>
    <w:rsid w:val="682D7860"/>
    <w:rsid w:val="684B499F"/>
    <w:rsid w:val="684D68B2"/>
    <w:rsid w:val="684F0EFE"/>
    <w:rsid w:val="6851119A"/>
    <w:rsid w:val="6854215D"/>
    <w:rsid w:val="685D5AC5"/>
    <w:rsid w:val="685E555F"/>
    <w:rsid w:val="68610A2F"/>
    <w:rsid w:val="68692862"/>
    <w:rsid w:val="687014CD"/>
    <w:rsid w:val="68710D40"/>
    <w:rsid w:val="68805514"/>
    <w:rsid w:val="68817BAC"/>
    <w:rsid w:val="689E250C"/>
    <w:rsid w:val="68A034E1"/>
    <w:rsid w:val="68A22A8D"/>
    <w:rsid w:val="68A7448A"/>
    <w:rsid w:val="68BA12ED"/>
    <w:rsid w:val="68C53F3C"/>
    <w:rsid w:val="68CD4B9F"/>
    <w:rsid w:val="68D04220"/>
    <w:rsid w:val="68D472AC"/>
    <w:rsid w:val="68FD1C09"/>
    <w:rsid w:val="69021D1F"/>
    <w:rsid w:val="692D5055"/>
    <w:rsid w:val="69316E2F"/>
    <w:rsid w:val="694E2071"/>
    <w:rsid w:val="694F1A58"/>
    <w:rsid w:val="695123D0"/>
    <w:rsid w:val="69594684"/>
    <w:rsid w:val="696C2652"/>
    <w:rsid w:val="696C37B6"/>
    <w:rsid w:val="69766163"/>
    <w:rsid w:val="697812D4"/>
    <w:rsid w:val="697A3B33"/>
    <w:rsid w:val="697B17DF"/>
    <w:rsid w:val="69831C0D"/>
    <w:rsid w:val="69947628"/>
    <w:rsid w:val="69A00505"/>
    <w:rsid w:val="69AD5F03"/>
    <w:rsid w:val="69C441F4"/>
    <w:rsid w:val="69C65B30"/>
    <w:rsid w:val="69CF7A51"/>
    <w:rsid w:val="69D44760"/>
    <w:rsid w:val="69F04FE9"/>
    <w:rsid w:val="69FC1BE0"/>
    <w:rsid w:val="6A06093A"/>
    <w:rsid w:val="6A12400C"/>
    <w:rsid w:val="6A244A2F"/>
    <w:rsid w:val="6A2F7006"/>
    <w:rsid w:val="6A424CE9"/>
    <w:rsid w:val="6A470981"/>
    <w:rsid w:val="6A520EC7"/>
    <w:rsid w:val="6A7509A2"/>
    <w:rsid w:val="6A785127"/>
    <w:rsid w:val="6A85240C"/>
    <w:rsid w:val="6A8C1117"/>
    <w:rsid w:val="6A9B2433"/>
    <w:rsid w:val="6AA0778E"/>
    <w:rsid w:val="6AA17D5B"/>
    <w:rsid w:val="6AAD482C"/>
    <w:rsid w:val="6AAF154A"/>
    <w:rsid w:val="6AC87C2F"/>
    <w:rsid w:val="6ADA0C12"/>
    <w:rsid w:val="6AF87310"/>
    <w:rsid w:val="6AF87E20"/>
    <w:rsid w:val="6AFA2F6A"/>
    <w:rsid w:val="6AFE3B75"/>
    <w:rsid w:val="6B08115A"/>
    <w:rsid w:val="6B0A3E88"/>
    <w:rsid w:val="6B0F033A"/>
    <w:rsid w:val="6B131669"/>
    <w:rsid w:val="6B182A49"/>
    <w:rsid w:val="6B322639"/>
    <w:rsid w:val="6B413622"/>
    <w:rsid w:val="6B452EB7"/>
    <w:rsid w:val="6B454EC0"/>
    <w:rsid w:val="6B476D11"/>
    <w:rsid w:val="6B496B0F"/>
    <w:rsid w:val="6B4F0589"/>
    <w:rsid w:val="6B5B0B88"/>
    <w:rsid w:val="6B642897"/>
    <w:rsid w:val="6B73521F"/>
    <w:rsid w:val="6B7869D7"/>
    <w:rsid w:val="6B821726"/>
    <w:rsid w:val="6B9320D0"/>
    <w:rsid w:val="6B947A10"/>
    <w:rsid w:val="6B9B5A27"/>
    <w:rsid w:val="6BA314D4"/>
    <w:rsid w:val="6BA92E11"/>
    <w:rsid w:val="6BB0301A"/>
    <w:rsid w:val="6BC4672D"/>
    <w:rsid w:val="6BD75E00"/>
    <w:rsid w:val="6BFD3363"/>
    <w:rsid w:val="6C01510C"/>
    <w:rsid w:val="6C0226FC"/>
    <w:rsid w:val="6C022DB1"/>
    <w:rsid w:val="6C05025B"/>
    <w:rsid w:val="6C0D5BD4"/>
    <w:rsid w:val="6C155E31"/>
    <w:rsid w:val="6C2B52DB"/>
    <w:rsid w:val="6C515AE7"/>
    <w:rsid w:val="6C577324"/>
    <w:rsid w:val="6C636C38"/>
    <w:rsid w:val="6C7236B4"/>
    <w:rsid w:val="6C8C0E73"/>
    <w:rsid w:val="6C9360FF"/>
    <w:rsid w:val="6CA92936"/>
    <w:rsid w:val="6CB0213D"/>
    <w:rsid w:val="6CB542C8"/>
    <w:rsid w:val="6CC61905"/>
    <w:rsid w:val="6CD40BF2"/>
    <w:rsid w:val="6CDA5BDB"/>
    <w:rsid w:val="6CE257D9"/>
    <w:rsid w:val="6CEA49BE"/>
    <w:rsid w:val="6CEF556F"/>
    <w:rsid w:val="6CF61E3D"/>
    <w:rsid w:val="6CF75036"/>
    <w:rsid w:val="6D1C66E8"/>
    <w:rsid w:val="6D2C7F78"/>
    <w:rsid w:val="6D475F5F"/>
    <w:rsid w:val="6D490954"/>
    <w:rsid w:val="6D4A4A10"/>
    <w:rsid w:val="6D53301E"/>
    <w:rsid w:val="6D5831AB"/>
    <w:rsid w:val="6D5C4743"/>
    <w:rsid w:val="6D7044CA"/>
    <w:rsid w:val="6D775E6F"/>
    <w:rsid w:val="6D8B6C3D"/>
    <w:rsid w:val="6D8D61FB"/>
    <w:rsid w:val="6DA02882"/>
    <w:rsid w:val="6DA22AE7"/>
    <w:rsid w:val="6DB34098"/>
    <w:rsid w:val="6DB545B6"/>
    <w:rsid w:val="6DBC462A"/>
    <w:rsid w:val="6DBD5979"/>
    <w:rsid w:val="6DC15E57"/>
    <w:rsid w:val="6DCF13B9"/>
    <w:rsid w:val="6DD11C28"/>
    <w:rsid w:val="6DD8026E"/>
    <w:rsid w:val="6DDB7D5E"/>
    <w:rsid w:val="6DE02FB4"/>
    <w:rsid w:val="6DF1132F"/>
    <w:rsid w:val="6E0B0643"/>
    <w:rsid w:val="6E143AB1"/>
    <w:rsid w:val="6E14501E"/>
    <w:rsid w:val="6E2B2A93"/>
    <w:rsid w:val="6E344B24"/>
    <w:rsid w:val="6E41799C"/>
    <w:rsid w:val="6E421D5D"/>
    <w:rsid w:val="6E4F6056"/>
    <w:rsid w:val="6E514CED"/>
    <w:rsid w:val="6E742D93"/>
    <w:rsid w:val="6E766B35"/>
    <w:rsid w:val="6E7F693B"/>
    <w:rsid w:val="6E8126B3"/>
    <w:rsid w:val="6E84712D"/>
    <w:rsid w:val="6E850527"/>
    <w:rsid w:val="6E96287D"/>
    <w:rsid w:val="6E966AF8"/>
    <w:rsid w:val="6EB563D5"/>
    <w:rsid w:val="6EBC7B8F"/>
    <w:rsid w:val="6EC425A0"/>
    <w:rsid w:val="6EC57F07"/>
    <w:rsid w:val="6ECE183D"/>
    <w:rsid w:val="6ED24CBD"/>
    <w:rsid w:val="6ED73588"/>
    <w:rsid w:val="6ED92677"/>
    <w:rsid w:val="6EFD65CC"/>
    <w:rsid w:val="6F060E0B"/>
    <w:rsid w:val="6F0A0A50"/>
    <w:rsid w:val="6F0F5F11"/>
    <w:rsid w:val="6F1B2B08"/>
    <w:rsid w:val="6F1B729E"/>
    <w:rsid w:val="6F1F5EC8"/>
    <w:rsid w:val="6F22123F"/>
    <w:rsid w:val="6F225983"/>
    <w:rsid w:val="6F2968A7"/>
    <w:rsid w:val="6F2B2AB5"/>
    <w:rsid w:val="6F345B6D"/>
    <w:rsid w:val="6F414CE4"/>
    <w:rsid w:val="6F48550D"/>
    <w:rsid w:val="6F4A7509"/>
    <w:rsid w:val="6F502821"/>
    <w:rsid w:val="6F5E7260"/>
    <w:rsid w:val="6F6B414A"/>
    <w:rsid w:val="6F721AFC"/>
    <w:rsid w:val="6F7256FE"/>
    <w:rsid w:val="6F7B68ED"/>
    <w:rsid w:val="6F912DCA"/>
    <w:rsid w:val="6F983DC8"/>
    <w:rsid w:val="6F9B77A5"/>
    <w:rsid w:val="6FB62831"/>
    <w:rsid w:val="6FC07921"/>
    <w:rsid w:val="6FC3279B"/>
    <w:rsid w:val="6FE876F7"/>
    <w:rsid w:val="6FED07FD"/>
    <w:rsid w:val="6FF46EB5"/>
    <w:rsid w:val="6FFC5590"/>
    <w:rsid w:val="70016E1E"/>
    <w:rsid w:val="700E1353"/>
    <w:rsid w:val="700F51B3"/>
    <w:rsid w:val="70111F9E"/>
    <w:rsid w:val="70145FF6"/>
    <w:rsid w:val="701D465E"/>
    <w:rsid w:val="701F58F4"/>
    <w:rsid w:val="70335C2F"/>
    <w:rsid w:val="703B33D2"/>
    <w:rsid w:val="70480FAF"/>
    <w:rsid w:val="70553C92"/>
    <w:rsid w:val="705E3501"/>
    <w:rsid w:val="70622071"/>
    <w:rsid w:val="706D1DD0"/>
    <w:rsid w:val="707834EE"/>
    <w:rsid w:val="707D2EED"/>
    <w:rsid w:val="70856B87"/>
    <w:rsid w:val="709A3C70"/>
    <w:rsid w:val="70A703CB"/>
    <w:rsid w:val="70AB7FF5"/>
    <w:rsid w:val="70B76860"/>
    <w:rsid w:val="70C63C3D"/>
    <w:rsid w:val="70D527EE"/>
    <w:rsid w:val="70DE62BD"/>
    <w:rsid w:val="70E02D85"/>
    <w:rsid w:val="70E909E4"/>
    <w:rsid w:val="70ED4649"/>
    <w:rsid w:val="70F23011"/>
    <w:rsid w:val="70F2737D"/>
    <w:rsid w:val="70F4004C"/>
    <w:rsid w:val="711315BD"/>
    <w:rsid w:val="71325EE7"/>
    <w:rsid w:val="713D4158"/>
    <w:rsid w:val="715B5300"/>
    <w:rsid w:val="716D6F1F"/>
    <w:rsid w:val="717633E2"/>
    <w:rsid w:val="71866138"/>
    <w:rsid w:val="718E7D4B"/>
    <w:rsid w:val="719454B4"/>
    <w:rsid w:val="71964E8A"/>
    <w:rsid w:val="719A64CD"/>
    <w:rsid w:val="71B21356"/>
    <w:rsid w:val="71B30C80"/>
    <w:rsid w:val="71C4397A"/>
    <w:rsid w:val="71D27F8A"/>
    <w:rsid w:val="71D63797"/>
    <w:rsid w:val="71DB5212"/>
    <w:rsid w:val="71E81282"/>
    <w:rsid w:val="720A594F"/>
    <w:rsid w:val="720F6228"/>
    <w:rsid w:val="721525CE"/>
    <w:rsid w:val="721E317E"/>
    <w:rsid w:val="72216A9C"/>
    <w:rsid w:val="72227D09"/>
    <w:rsid w:val="722A055E"/>
    <w:rsid w:val="722A11E8"/>
    <w:rsid w:val="722C13C8"/>
    <w:rsid w:val="72477770"/>
    <w:rsid w:val="72553024"/>
    <w:rsid w:val="725F0F5E"/>
    <w:rsid w:val="72812904"/>
    <w:rsid w:val="72960BBB"/>
    <w:rsid w:val="72966949"/>
    <w:rsid w:val="729803A0"/>
    <w:rsid w:val="72A03324"/>
    <w:rsid w:val="72B8241C"/>
    <w:rsid w:val="72E2039E"/>
    <w:rsid w:val="73122968"/>
    <w:rsid w:val="73180A5F"/>
    <w:rsid w:val="731B299D"/>
    <w:rsid w:val="731E0004"/>
    <w:rsid w:val="731F5D5E"/>
    <w:rsid w:val="733D6639"/>
    <w:rsid w:val="733F3E45"/>
    <w:rsid w:val="734A070C"/>
    <w:rsid w:val="73510A68"/>
    <w:rsid w:val="73602CDF"/>
    <w:rsid w:val="736305DA"/>
    <w:rsid w:val="73644352"/>
    <w:rsid w:val="73740A39"/>
    <w:rsid w:val="73917DC3"/>
    <w:rsid w:val="73920EBF"/>
    <w:rsid w:val="739500E1"/>
    <w:rsid w:val="739764D5"/>
    <w:rsid w:val="73C51AD5"/>
    <w:rsid w:val="73CA00C9"/>
    <w:rsid w:val="73EA06EE"/>
    <w:rsid w:val="73EB05CF"/>
    <w:rsid w:val="73F12078"/>
    <w:rsid w:val="73F2195D"/>
    <w:rsid w:val="73F76F74"/>
    <w:rsid w:val="73FD4D77"/>
    <w:rsid w:val="73FE786D"/>
    <w:rsid w:val="74011BED"/>
    <w:rsid w:val="74044B3E"/>
    <w:rsid w:val="74070338"/>
    <w:rsid w:val="740A0D9A"/>
    <w:rsid w:val="74146D69"/>
    <w:rsid w:val="741E793C"/>
    <w:rsid w:val="74317323"/>
    <w:rsid w:val="743C1484"/>
    <w:rsid w:val="74414613"/>
    <w:rsid w:val="74457DEA"/>
    <w:rsid w:val="744878F0"/>
    <w:rsid w:val="74593764"/>
    <w:rsid w:val="745E3944"/>
    <w:rsid w:val="74655505"/>
    <w:rsid w:val="74725680"/>
    <w:rsid w:val="74982505"/>
    <w:rsid w:val="74A64FA5"/>
    <w:rsid w:val="74D73B20"/>
    <w:rsid w:val="74D8065D"/>
    <w:rsid w:val="74E61994"/>
    <w:rsid w:val="74E67714"/>
    <w:rsid w:val="74EA0887"/>
    <w:rsid w:val="74EC6E6F"/>
    <w:rsid w:val="74F236DC"/>
    <w:rsid w:val="74F33BDF"/>
    <w:rsid w:val="74F43CFE"/>
    <w:rsid w:val="74F75E16"/>
    <w:rsid w:val="75012DAC"/>
    <w:rsid w:val="751C619F"/>
    <w:rsid w:val="753D46BE"/>
    <w:rsid w:val="75412B9C"/>
    <w:rsid w:val="75464FA9"/>
    <w:rsid w:val="755521A4"/>
    <w:rsid w:val="75577EDF"/>
    <w:rsid w:val="75605838"/>
    <w:rsid w:val="756354BA"/>
    <w:rsid w:val="7564619A"/>
    <w:rsid w:val="756E3266"/>
    <w:rsid w:val="757F2B91"/>
    <w:rsid w:val="75906A9D"/>
    <w:rsid w:val="75944446"/>
    <w:rsid w:val="75CB7F88"/>
    <w:rsid w:val="75DA6B4D"/>
    <w:rsid w:val="75F714AD"/>
    <w:rsid w:val="75F809EC"/>
    <w:rsid w:val="75FB71EF"/>
    <w:rsid w:val="760C2423"/>
    <w:rsid w:val="76130DF3"/>
    <w:rsid w:val="7616433E"/>
    <w:rsid w:val="7635099D"/>
    <w:rsid w:val="76465F91"/>
    <w:rsid w:val="765936EE"/>
    <w:rsid w:val="766C1548"/>
    <w:rsid w:val="76866C66"/>
    <w:rsid w:val="768B5AAE"/>
    <w:rsid w:val="7692605C"/>
    <w:rsid w:val="76AE75D0"/>
    <w:rsid w:val="76B26CEA"/>
    <w:rsid w:val="76B6724A"/>
    <w:rsid w:val="76C053FA"/>
    <w:rsid w:val="76C26B60"/>
    <w:rsid w:val="76D0242A"/>
    <w:rsid w:val="76F0011C"/>
    <w:rsid w:val="77294E8F"/>
    <w:rsid w:val="77456248"/>
    <w:rsid w:val="774921DC"/>
    <w:rsid w:val="774A113D"/>
    <w:rsid w:val="77546631"/>
    <w:rsid w:val="775766A7"/>
    <w:rsid w:val="775D7A36"/>
    <w:rsid w:val="776217A2"/>
    <w:rsid w:val="77652AEB"/>
    <w:rsid w:val="77762421"/>
    <w:rsid w:val="77862AE9"/>
    <w:rsid w:val="778A1684"/>
    <w:rsid w:val="779A355D"/>
    <w:rsid w:val="77B56B1F"/>
    <w:rsid w:val="77C1521A"/>
    <w:rsid w:val="77C251B5"/>
    <w:rsid w:val="77C878B3"/>
    <w:rsid w:val="77D23F80"/>
    <w:rsid w:val="77D701DF"/>
    <w:rsid w:val="77EC38D1"/>
    <w:rsid w:val="77F61E0D"/>
    <w:rsid w:val="77FC003B"/>
    <w:rsid w:val="77FE2E54"/>
    <w:rsid w:val="780B7492"/>
    <w:rsid w:val="780F09F4"/>
    <w:rsid w:val="78135E10"/>
    <w:rsid w:val="781845D4"/>
    <w:rsid w:val="781E7167"/>
    <w:rsid w:val="782F4F2E"/>
    <w:rsid w:val="783066AA"/>
    <w:rsid w:val="78324A1E"/>
    <w:rsid w:val="78326C2D"/>
    <w:rsid w:val="78362D6D"/>
    <w:rsid w:val="78486CF0"/>
    <w:rsid w:val="786E41E1"/>
    <w:rsid w:val="786F0FEA"/>
    <w:rsid w:val="787F3DD7"/>
    <w:rsid w:val="78916020"/>
    <w:rsid w:val="78961C65"/>
    <w:rsid w:val="78A70F68"/>
    <w:rsid w:val="78A90480"/>
    <w:rsid w:val="78B54348"/>
    <w:rsid w:val="78C074D3"/>
    <w:rsid w:val="78C77E4C"/>
    <w:rsid w:val="78D45AD6"/>
    <w:rsid w:val="78D9465E"/>
    <w:rsid w:val="78E15307"/>
    <w:rsid w:val="78EF0B61"/>
    <w:rsid w:val="79066165"/>
    <w:rsid w:val="790740FD"/>
    <w:rsid w:val="792F71B0"/>
    <w:rsid w:val="793151CE"/>
    <w:rsid w:val="79323B8C"/>
    <w:rsid w:val="793622EC"/>
    <w:rsid w:val="796079B8"/>
    <w:rsid w:val="79782905"/>
    <w:rsid w:val="798C63B0"/>
    <w:rsid w:val="799E7819"/>
    <w:rsid w:val="79B34BE1"/>
    <w:rsid w:val="79D95772"/>
    <w:rsid w:val="79DC7338"/>
    <w:rsid w:val="79DD09BA"/>
    <w:rsid w:val="79DF0F8B"/>
    <w:rsid w:val="79E32474"/>
    <w:rsid w:val="79EE26B2"/>
    <w:rsid w:val="79F00928"/>
    <w:rsid w:val="79FD53F2"/>
    <w:rsid w:val="7A1563A6"/>
    <w:rsid w:val="7A1A30D2"/>
    <w:rsid w:val="7A1B7E60"/>
    <w:rsid w:val="7A28257D"/>
    <w:rsid w:val="7A364017"/>
    <w:rsid w:val="7A436A50"/>
    <w:rsid w:val="7A473EED"/>
    <w:rsid w:val="7A500FF9"/>
    <w:rsid w:val="7A5B3271"/>
    <w:rsid w:val="7A670E2C"/>
    <w:rsid w:val="7A8265E1"/>
    <w:rsid w:val="7A874E33"/>
    <w:rsid w:val="7A921D66"/>
    <w:rsid w:val="7A9554CC"/>
    <w:rsid w:val="7A981959"/>
    <w:rsid w:val="7AAF1ED9"/>
    <w:rsid w:val="7AC85234"/>
    <w:rsid w:val="7AF1470D"/>
    <w:rsid w:val="7B002BB2"/>
    <w:rsid w:val="7B073F40"/>
    <w:rsid w:val="7B0A1C83"/>
    <w:rsid w:val="7B1228E5"/>
    <w:rsid w:val="7B261CB3"/>
    <w:rsid w:val="7B2E5971"/>
    <w:rsid w:val="7B312C81"/>
    <w:rsid w:val="7B31720F"/>
    <w:rsid w:val="7B52435D"/>
    <w:rsid w:val="7B57151D"/>
    <w:rsid w:val="7B686D42"/>
    <w:rsid w:val="7B6A7CE5"/>
    <w:rsid w:val="7B716354"/>
    <w:rsid w:val="7B7D1F8B"/>
    <w:rsid w:val="7B81089F"/>
    <w:rsid w:val="7B841746"/>
    <w:rsid w:val="7B853EC3"/>
    <w:rsid w:val="7BA94FF8"/>
    <w:rsid w:val="7BAE6AB2"/>
    <w:rsid w:val="7BB13E4E"/>
    <w:rsid w:val="7BD8369B"/>
    <w:rsid w:val="7BEE5100"/>
    <w:rsid w:val="7BEF5F60"/>
    <w:rsid w:val="7BFA1CF7"/>
    <w:rsid w:val="7C030BAC"/>
    <w:rsid w:val="7C0B5619"/>
    <w:rsid w:val="7C146225"/>
    <w:rsid w:val="7C1F1C39"/>
    <w:rsid w:val="7C2B0102"/>
    <w:rsid w:val="7C2C046B"/>
    <w:rsid w:val="7C3B04AB"/>
    <w:rsid w:val="7C460E3C"/>
    <w:rsid w:val="7C637FBE"/>
    <w:rsid w:val="7C6453C2"/>
    <w:rsid w:val="7C662EE9"/>
    <w:rsid w:val="7C6C5AC7"/>
    <w:rsid w:val="7C6D0FF5"/>
    <w:rsid w:val="7C6E0099"/>
    <w:rsid w:val="7C7524A0"/>
    <w:rsid w:val="7C7E0464"/>
    <w:rsid w:val="7C7F3FAA"/>
    <w:rsid w:val="7CA26617"/>
    <w:rsid w:val="7CA915F3"/>
    <w:rsid w:val="7CBA6CCB"/>
    <w:rsid w:val="7CC04805"/>
    <w:rsid w:val="7CC6544B"/>
    <w:rsid w:val="7CED69DA"/>
    <w:rsid w:val="7CEF2EDE"/>
    <w:rsid w:val="7CFB1883"/>
    <w:rsid w:val="7D0239FF"/>
    <w:rsid w:val="7D146DE8"/>
    <w:rsid w:val="7D216A0C"/>
    <w:rsid w:val="7D225061"/>
    <w:rsid w:val="7D2F58DD"/>
    <w:rsid w:val="7D3427EA"/>
    <w:rsid w:val="7D3827E1"/>
    <w:rsid w:val="7D3A1C0A"/>
    <w:rsid w:val="7D3B0266"/>
    <w:rsid w:val="7D474AC8"/>
    <w:rsid w:val="7D4F6BA7"/>
    <w:rsid w:val="7D566A4C"/>
    <w:rsid w:val="7D58271D"/>
    <w:rsid w:val="7D5E40CD"/>
    <w:rsid w:val="7D6531A0"/>
    <w:rsid w:val="7D660653"/>
    <w:rsid w:val="7D6F31CB"/>
    <w:rsid w:val="7D7863C9"/>
    <w:rsid w:val="7D791FF7"/>
    <w:rsid w:val="7D7C354A"/>
    <w:rsid w:val="7D831878"/>
    <w:rsid w:val="7D991BFC"/>
    <w:rsid w:val="7DAE6176"/>
    <w:rsid w:val="7DB163E5"/>
    <w:rsid w:val="7DBE4F22"/>
    <w:rsid w:val="7DC4436B"/>
    <w:rsid w:val="7DCB53EE"/>
    <w:rsid w:val="7DCD56F2"/>
    <w:rsid w:val="7DD86068"/>
    <w:rsid w:val="7DE22A43"/>
    <w:rsid w:val="7DEC556A"/>
    <w:rsid w:val="7DF32EA2"/>
    <w:rsid w:val="7DFC516E"/>
    <w:rsid w:val="7E0724A9"/>
    <w:rsid w:val="7E100354"/>
    <w:rsid w:val="7E1225C0"/>
    <w:rsid w:val="7E2C6FF3"/>
    <w:rsid w:val="7E2E75AE"/>
    <w:rsid w:val="7E3714BD"/>
    <w:rsid w:val="7E3F5A96"/>
    <w:rsid w:val="7E4A7A5C"/>
    <w:rsid w:val="7E4C4AB4"/>
    <w:rsid w:val="7E501F1B"/>
    <w:rsid w:val="7E563362"/>
    <w:rsid w:val="7E6B4E81"/>
    <w:rsid w:val="7E83781A"/>
    <w:rsid w:val="7E915B3F"/>
    <w:rsid w:val="7EA7077D"/>
    <w:rsid w:val="7EBE1717"/>
    <w:rsid w:val="7EE30820"/>
    <w:rsid w:val="7EED4B66"/>
    <w:rsid w:val="7EF0593D"/>
    <w:rsid w:val="7EF23159"/>
    <w:rsid w:val="7EF72BC0"/>
    <w:rsid w:val="7F001CE7"/>
    <w:rsid w:val="7F0215EE"/>
    <w:rsid w:val="7F044F86"/>
    <w:rsid w:val="7F0B0898"/>
    <w:rsid w:val="7F1629A4"/>
    <w:rsid w:val="7F2443AD"/>
    <w:rsid w:val="7F2A28F3"/>
    <w:rsid w:val="7F392DC5"/>
    <w:rsid w:val="7F3E014D"/>
    <w:rsid w:val="7F410748"/>
    <w:rsid w:val="7F48605E"/>
    <w:rsid w:val="7F7C3899"/>
    <w:rsid w:val="7F7C38D3"/>
    <w:rsid w:val="7F7D0C75"/>
    <w:rsid w:val="7F8E360D"/>
    <w:rsid w:val="7F980D98"/>
    <w:rsid w:val="7F9F6E3D"/>
    <w:rsid w:val="7FA73F44"/>
    <w:rsid w:val="7FA977A8"/>
    <w:rsid w:val="7FBC6850"/>
    <w:rsid w:val="7FD05249"/>
    <w:rsid w:val="7FE13AD2"/>
    <w:rsid w:val="7FE47E50"/>
    <w:rsid w:val="7FF6222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iPriority="0" w:semiHidden="0" w:name="heading 3" w:locked="1"/>
    <w:lsdException w:qFormat="1"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nhideWhenUsed="0" w:uiPriority="0" w:semiHidden="0" w:name="index 1" w:locked="1"/>
    <w:lsdException w:qFormat="1" w:unhideWhenUsed="0" w:uiPriority="0" w:semiHidden="0" w:name="index 2" w:locked="1"/>
    <w:lsdException w:qFormat="1" w:unhideWhenUsed="0" w:uiPriority="0" w:semiHidden="0" w:name="index 3" w:locked="1"/>
    <w:lsdException w:qFormat="1" w:unhideWhenUsed="0" w:uiPriority="0" w:semiHidden="0" w:name="index 4" w:locked="1"/>
    <w:lsdException w:qFormat="1" w:unhideWhenUsed="0" w:uiPriority="0" w:semiHidden="0" w:name="index 5" w:locked="1"/>
    <w:lsdException w:qFormat="1" w:unhideWhenUsed="0" w:uiPriority="0" w:semiHidden="0" w:name="index 6" w:locked="1"/>
    <w:lsdException w:qFormat="1" w:unhideWhenUsed="0" w:uiPriority="0" w:semiHidden="0" w:name="index 7" w:locked="1"/>
    <w:lsdException w:qFormat="1" w:unhideWhenUsed="0" w:uiPriority="0" w:semiHidden="0" w:name="index 8" w:locked="1"/>
    <w:lsdException w:qFormat="1"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qFormat="1" w:unhideWhenUsed="0" w:uiPriority="0" w:semiHidden="0" w:name="Normal Indent" w:locked="1"/>
    <w:lsdException w:qFormat="1" w:unhideWhenUsed="0" w:uiPriority="0" w:semiHidden="0"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ocked="1"/>
    <w:lsdException w:qFormat="1" w:unhideWhenUsed="0" w:uiPriority="0" w:semiHidden="0" w:name="caption" w:locked="1"/>
    <w:lsdException w:qFormat="1" w:unhideWhenUsed="0" w:uiPriority="0" w:semiHidden="0" w:name="table of figures" w:locked="1"/>
    <w:lsdException w:qFormat="1" w:unhideWhenUsed="0" w:uiPriority="0" w:semiHidden="0" w:name="envelope address" w:locked="1"/>
    <w:lsdException w:qFormat="1" w:unhideWhenUsed="0" w:uiPriority="0" w:semiHidden="0" w:name="envelope return" w:locked="1"/>
    <w:lsdException w:qFormat="1" w:unhideWhenUsed="0" w:uiPriority="0" w:semiHidden="0" w:name="footnote reference" w:locked="1"/>
    <w:lsdException w:qFormat="1" w:unhideWhenUsed="0" w:uiPriority="99" w:semiHidden="0" w:name="annotation reference"/>
    <w:lsdException w:qFormat="1" w:unhideWhenUsed="0" w:uiPriority="0" w:semiHidden="0" w:name="line number" w:locked="1"/>
    <w:lsdException w:qFormat="1" w:unhideWhenUsed="0" w:uiPriority="0" w:semiHidden="0" w:name="page number" w:locked="1"/>
    <w:lsdException w:qFormat="1" w:unhideWhenUsed="0" w:uiPriority="0" w:semiHidden="0" w:name="endnote reference" w:locked="1"/>
    <w:lsdException w:qFormat="1" w:unhideWhenUsed="0" w:uiPriority="0" w:semiHidden="0" w:name="endnote text" w:locked="1"/>
    <w:lsdException w:qFormat="1" w:unhideWhenUsed="0" w:uiPriority="0" w:semiHidden="0" w:name="table of authorities" w:locked="1"/>
    <w:lsdException w:qFormat="1" w:unhideWhenUsed="0" w:uiPriority="99" w:semiHidden="0" w:name="macro" w:locked="1"/>
    <w:lsdException w:qFormat="1" w:unhideWhenUsed="0" w:uiPriority="0" w:semiHidden="0" w:name="toa heading" w:locked="1"/>
    <w:lsdException w:qFormat="1" w:unhideWhenUsed="0" w:uiPriority="0" w:semiHidden="0" w:name="List" w:locked="1"/>
    <w:lsdException w:qFormat="1" w:unhideWhenUsed="0" w:uiPriority="0" w:semiHidden="0" w:name="List Bullet" w:locked="1"/>
    <w:lsdException w:qFormat="1" w:unhideWhenUsed="0" w:uiPriority="0" w:semiHidden="0" w:name="List Number" w:locked="1"/>
    <w:lsdException w:qFormat="1" w:unhideWhenUsed="0" w:uiPriority="0" w:semiHidden="0" w:name="List 2" w:locked="1"/>
    <w:lsdException w:qFormat="1" w:uiPriority="0" w:semiHidden="0" w:name="List 3" w:locked="1"/>
    <w:lsdException w:qFormat="1" w:unhideWhenUsed="0" w:uiPriority="0" w:semiHidden="0" w:name="List 4" w:locked="1"/>
    <w:lsdException w:qFormat="1" w:unhideWhenUsed="0" w:uiPriority="0" w:semiHidden="0" w:name="List 5" w:locked="1"/>
    <w:lsdException w:qFormat="1" w:unhideWhenUsed="0" w:uiPriority="0" w:semiHidden="0" w:name="List Bullet 2" w:locked="1"/>
    <w:lsdException w:qFormat="1" w:unhideWhenUsed="0" w:uiPriority="0" w:semiHidden="0" w:name="List Bullet 3" w:locked="1"/>
    <w:lsdException w:qFormat="1" w:unhideWhenUsed="0" w:uiPriority="0" w:semiHidden="0" w:name="List Bullet 4" w:locked="1"/>
    <w:lsdException w:qFormat="1" w:unhideWhenUsed="0" w:uiPriority="0" w:semiHidden="0" w:name="List Bullet 5" w:locked="1"/>
    <w:lsdException w:qFormat="1" w:unhideWhenUsed="0" w:uiPriority="0" w:semiHidden="0" w:name="List Number 2" w:locked="1"/>
    <w:lsdException w:qFormat="1" w:unhideWhenUsed="0" w:uiPriority="0" w:semiHidden="0" w:name="List Number 3" w:locked="1"/>
    <w:lsdException w:qFormat="1" w:unhideWhenUsed="0" w:uiPriority="0" w:semiHidden="0" w:name="List Number 4" w:locked="1"/>
    <w:lsdException w:qFormat="1" w:unhideWhenUsed="0" w:uiPriority="0" w:semiHidden="0" w:name="List Number 5" w:locked="1"/>
    <w:lsdException w:qFormat="1" w:unhideWhenUsed="0" w:uiPriority="0" w:semiHidden="0" w:name="Title" w:locked="1"/>
    <w:lsdException w:qFormat="1" w:unhideWhenUsed="0" w:uiPriority="0" w:semiHidden="0" w:name="Closing" w:locked="1"/>
    <w:lsdException w:qFormat="1" w:unhideWhenUsed="0" w:uiPriority="0" w:semiHidden="0" w:name="Signature" w:locked="1"/>
    <w:lsdException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ocked="1"/>
    <w:lsdException w:qFormat="1" w:unhideWhenUsed="0" w:uiPriority="0" w:semiHidden="0" w:name="List Continue 2" w:locked="1"/>
    <w:lsdException w:qFormat="1" w:unhideWhenUsed="0" w:uiPriority="0" w:semiHidden="0" w:name="List Continue 3" w:locked="1"/>
    <w:lsdException w:qFormat="1" w:unhideWhenUsed="0" w:uiPriority="0" w:semiHidden="0" w:name="List Continue 4" w:locked="1"/>
    <w:lsdException w:qFormat="1"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nhideWhenUsed="0" w:uiPriority="99"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99" w:semiHidden="0" w:name="Normal (Web)"/>
    <w:lsdException w:qFormat="1" w:unhideWhenUsed="0" w:uiPriority="0" w:semiHidden="0" w:name="HTML Acronym" w:locked="1"/>
    <w:lsdException w:qFormat="1" w:unhideWhenUsed="0" w:uiPriority="0" w:semiHidden="0" w:name="HTML Address" w:locked="1"/>
    <w:lsdException w:qFormat="1" w:unhideWhenUsed="0" w:uiPriority="0" w:semiHidden="0" w:name="HTML Cite" w:locked="1"/>
    <w:lsdException w:qFormat="1" w:unhideWhenUsed="0" w:uiPriority="0" w:semiHidden="0" w:name="HTML Code" w:locked="1"/>
    <w:lsdException w:qFormat="1" w:unhideWhenUsed="0" w:uiPriority="0" w:semiHidden="0" w:name="HTML Definition" w:locked="1"/>
    <w:lsdException w:qFormat="1" w:unhideWhenUsed="0" w:uiPriority="0" w:semiHidden="0" w:name="HTML Keyboard" w:locked="1"/>
    <w:lsdException w:qFormat="1" w:unhideWhenUsed="0" w:uiPriority="0" w:semiHidden="0" w:name="HTML Preformatted" w:locked="1"/>
    <w:lsdException w:qFormat="1" w:unhideWhenUsed="0" w:uiPriority="0" w:semiHidden="0" w:name="HTML Sample" w:locked="1"/>
    <w:lsdException w:qFormat="1" w:unhideWhenUsed="0" w:uiPriority="0" w:semiHidden="0" w:name="HTML Typewriter" w:locked="1"/>
    <w:lsdException w:qFormat="1" w:unhideWhenUsed="0" w:uiPriority="0" w:semiHidden="0" w:name="HTML Variable" w:locked="1"/>
    <w:lsdException w:uiPriority="99" w:name="Normal Table"/>
    <w:lsdException w:qFormat="1" w:unhideWhenUsed="0" w:uiPriority="0" w:semiHidden="0" w:name="annotation subject"/>
    <w:lsdException w:qFormat="1" w:uiPriority="0" w:name="Table Simple 1" w:locked="1"/>
    <w:lsdException w:qFormat="1" w:uiPriority="0" w:name="Table Simple 2" w:locked="1"/>
    <w:lsdException w:qFormat="1" w:uiPriority="0" w:name="Table Simple 3" w:locked="1"/>
    <w:lsdException w:qFormat="1" w:uiPriority="0" w:name="Table Classic 1" w:locked="1"/>
    <w:lsdException w:qFormat="1" w:uiPriority="0" w:name="Table Classic 2" w:locked="1"/>
    <w:lsdException w:qFormat="1" w:uiPriority="0" w:name="Table Classic 3" w:locked="1"/>
    <w:lsdException w:qFormat="1" w:uiPriority="0" w:name="Table Classic 4" w:locked="1"/>
    <w:lsdException w:qFormat="1" w:uiPriority="0" w:name="Table Colorful 1" w:locked="1"/>
    <w:lsdException w:qFormat="1" w:uiPriority="0" w:name="Table Colorful 2" w:locked="1"/>
    <w:lsdException w:qFormat="1" w:uiPriority="0" w:name="Table Colorful 3" w:locked="1"/>
    <w:lsdException w:qFormat="1" w:uiPriority="0" w:name="Table Columns 1" w:locked="1"/>
    <w:lsdException w:qFormat="1" w:uiPriority="0" w:name="Table Columns 2" w:locked="1"/>
    <w:lsdException w:qFormat="1" w:uiPriority="0" w:name="Table Columns 3" w:locked="1"/>
    <w:lsdException w:qFormat="1" w:uiPriority="0" w:name="Table Columns 4" w:locked="1"/>
    <w:lsdException w:qFormat="1" w:uiPriority="0" w:name="Table Columns 5" w:locked="1"/>
    <w:lsdException w:qFormat="1" w:uiPriority="0" w:name="Table Grid 1" w:locked="1"/>
    <w:lsdException w:qFormat="1" w:uiPriority="0" w:name="Table Grid 2" w:locked="1"/>
    <w:lsdException w:qFormat="1" w:uiPriority="0" w:name="Table Grid 3" w:locked="1"/>
    <w:lsdException w:qFormat="1" w:uiPriority="0" w:name="Table Grid 4" w:locked="1"/>
    <w:lsdException w:qFormat="1" w:uiPriority="0" w:name="Table Grid 5" w:locked="1"/>
    <w:lsdException w:qFormat="1" w:uiPriority="0" w:name="Table Grid 6" w:locked="1"/>
    <w:lsdException w:qFormat="1" w:uiPriority="0" w:name="Table Grid 7" w:locked="1"/>
    <w:lsdException w:qFormat="1" w:uiPriority="0" w:name="Table Grid 8" w:locked="1"/>
    <w:lsdException w:qFormat="1" w:uiPriority="0" w:name="Table List 1" w:locked="1"/>
    <w:lsdException w:qFormat="1" w:uiPriority="0" w:name="Table List 2" w:locked="1"/>
    <w:lsdException w:qFormat="1" w:uiPriority="0" w:name="Table List 3" w:locked="1"/>
    <w:lsdException w:qFormat="1" w:uiPriority="0" w:name="Table List 4" w:locked="1"/>
    <w:lsdException w:qFormat="1" w:uiPriority="0" w:name="Table List 5" w:locked="1"/>
    <w:lsdException w:qFormat="1" w:uiPriority="0" w:name="Table List 6" w:locked="1"/>
    <w:lsdException w:qFormat="1" w:uiPriority="0" w:name="Table List 7" w:locked="1"/>
    <w:lsdException w:qFormat="1" w:uiPriority="0" w:name="Table List 8" w:locked="1"/>
    <w:lsdException w:qFormat="1" w:uiPriority="0" w:name="Table 3D effects 1" w:locked="1"/>
    <w:lsdException w:qFormat="1" w:uiPriority="0" w:name="Table 3D effects 2" w:locked="1"/>
    <w:lsdException w:qFormat="1" w:uiPriority="0" w:name="Table 3D effects 3" w:locked="1"/>
    <w:lsdException w:qFormat="1" w:uiPriority="0" w:name="Table Contemporary" w:locked="1"/>
    <w:lsdException w:qFormat="1" w:uiPriority="0" w:name="Table Elegant" w:locked="1"/>
    <w:lsdException w:qFormat="1" w:uiPriority="0" w:name="Table Professional" w:locked="1"/>
    <w:lsdException w:qFormat="1" w:uiPriority="0" w:name="Table Subtle 1" w:locked="1"/>
    <w:lsdException w:qFormat="1" w:uiPriority="0" w:name="Table Subtle 2" w:locked="1"/>
    <w:lsdException w:qFormat="1" w:uiPriority="0" w:name="Table Web 1" w:locked="1"/>
    <w:lsdException w:qFormat="1" w:uiPriority="0" w:name="Table Web 2" w:locked="1"/>
    <w:lsdException w:qFormat="1" w:uiPriority="0" w:name="Table Web 3" w:locked="1"/>
    <w:lsdException w:qFormat="1" w:unhideWhenUsed="0" w:uiPriority="0" w:semiHidden="0" w:name="Balloon Text"/>
    <w:lsdException w:qFormat="1" w:unhideWhenUsed="0" w:uiPriority="59" w:semiHidden="0" w:name="Table Grid"/>
    <w:lsdException w:qFormat="1" w:uiPriority="0" w:name="Table Theme" w:locked="1"/>
    <w:lsdException w:qFormat="1" w:uiPriority="99"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3">
    <w:name w:val="heading 1"/>
    <w:basedOn w:val="1"/>
    <w:next w:val="1"/>
    <w:link w:val="109"/>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110"/>
    <w:qFormat/>
    <w:locked/>
    <w:uiPriority w:val="0"/>
    <w:pPr>
      <w:keepNext/>
      <w:keepLines/>
      <w:numPr>
        <w:ilvl w:val="1"/>
        <w:numId w:val="1"/>
      </w:numPr>
      <w:spacing w:before="260" w:after="260" w:line="413" w:lineRule="auto"/>
      <w:outlineLvl w:val="1"/>
    </w:pPr>
    <w:rPr>
      <w:rFonts w:ascii="Arial" w:hAnsi="Arial" w:eastAsia="黑体"/>
      <w:b/>
      <w:sz w:val="32"/>
    </w:rPr>
  </w:style>
  <w:style w:type="paragraph" w:styleId="5">
    <w:name w:val="heading 3"/>
    <w:basedOn w:val="1"/>
    <w:next w:val="1"/>
    <w:link w:val="111"/>
    <w:unhideWhenUsed/>
    <w:qFormat/>
    <w:locked/>
    <w:uiPriority w:val="0"/>
    <w:pPr>
      <w:keepNext/>
      <w:keepLines/>
      <w:spacing w:before="260" w:after="260" w:line="416" w:lineRule="auto"/>
      <w:outlineLvl w:val="2"/>
    </w:pPr>
    <w:rPr>
      <w:b/>
      <w:bCs/>
      <w:sz w:val="32"/>
      <w:szCs w:val="32"/>
    </w:rPr>
  </w:style>
  <w:style w:type="paragraph" w:styleId="6">
    <w:name w:val="heading 4"/>
    <w:basedOn w:val="1"/>
    <w:next w:val="1"/>
    <w:link w:val="112"/>
    <w:unhideWhenUsed/>
    <w:qFormat/>
    <w:locked/>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link w:val="113"/>
    <w:qFormat/>
    <w:locked/>
    <w:uiPriority w:val="0"/>
    <w:pPr>
      <w:keepNext/>
      <w:keepLines/>
      <w:widowControl w:val="0"/>
      <w:tabs>
        <w:tab w:val="left" w:pos="945"/>
        <w:tab w:val="right" w:leader="dot" w:pos="1155"/>
        <w:tab w:val="left" w:pos="2551"/>
        <w:tab w:val="left" w:pos="8715"/>
      </w:tabs>
      <w:adjustRightInd w:val="0"/>
      <w:snapToGrid w:val="0"/>
      <w:spacing w:before="280" w:after="290" w:line="376" w:lineRule="auto"/>
      <w:ind w:left="2551" w:hanging="2551"/>
      <w:jc w:val="both"/>
      <w:outlineLvl w:val="4"/>
    </w:pPr>
    <w:rPr>
      <w:rFonts w:ascii="Times New Roman" w:hAnsi="Times New Roman" w:cs="Times New Roman"/>
      <w:b/>
      <w:snapToGrid w:val="0"/>
      <w:sz w:val="28"/>
      <w:szCs w:val="20"/>
    </w:rPr>
  </w:style>
  <w:style w:type="paragraph" w:styleId="8">
    <w:name w:val="heading 6"/>
    <w:basedOn w:val="1"/>
    <w:next w:val="1"/>
    <w:link w:val="114"/>
    <w:qFormat/>
    <w:locked/>
    <w:uiPriority w:val="0"/>
    <w:pPr>
      <w:keepNext/>
      <w:keepLines/>
      <w:widowControl w:val="0"/>
      <w:tabs>
        <w:tab w:val="left" w:pos="945"/>
        <w:tab w:val="right" w:leader="dot" w:pos="1155"/>
        <w:tab w:val="left" w:pos="3260"/>
        <w:tab w:val="left" w:pos="8715"/>
      </w:tabs>
      <w:adjustRightInd w:val="0"/>
      <w:snapToGrid w:val="0"/>
      <w:spacing w:before="240" w:after="64" w:line="320" w:lineRule="auto"/>
      <w:ind w:left="3260" w:hanging="3260"/>
      <w:jc w:val="both"/>
      <w:outlineLvl w:val="5"/>
    </w:pPr>
    <w:rPr>
      <w:rFonts w:ascii="Arial" w:hAnsi="Arial" w:eastAsia="Symbol" w:cs="Times New Roman"/>
      <w:b/>
      <w:snapToGrid w:val="0"/>
      <w:szCs w:val="20"/>
    </w:rPr>
  </w:style>
  <w:style w:type="paragraph" w:styleId="9">
    <w:name w:val="heading 7"/>
    <w:basedOn w:val="1"/>
    <w:next w:val="1"/>
    <w:link w:val="115"/>
    <w:qFormat/>
    <w:locked/>
    <w:uiPriority w:val="0"/>
    <w:pPr>
      <w:keepNext/>
      <w:keepLines/>
      <w:widowControl w:val="0"/>
      <w:tabs>
        <w:tab w:val="left" w:pos="1296"/>
      </w:tabs>
      <w:spacing w:before="240" w:after="64" w:line="320" w:lineRule="auto"/>
      <w:ind w:left="1296" w:hanging="1296"/>
      <w:jc w:val="both"/>
      <w:outlineLvl w:val="6"/>
    </w:pPr>
    <w:rPr>
      <w:rFonts w:ascii="Times New Roman" w:hAnsi="Times New Roman" w:cs="Times New Roman"/>
      <w:b/>
      <w:bCs/>
      <w:snapToGrid w:val="0"/>
    </w:rPr>
  </w:style>
  <w:style w:type="paragraph" w:styleId="10">
    <w:name w:val="heading 8"/>
    <w:basedOn w:val="1"/>
    <w:next w:val="1"/>
    <w:link w:val="116"/>
    <w:qFormat/>
    <w:locked/>
    <w:uiPriority w:val="0"/>
    <w:pPr>
      <w:keepNext/>
      <w:keepLines/>
      <w:widowControl w:val="0"/>
      <w:tabs>
        <w:tab w:val="left" w:pos="1440"/>
      </w:tabs>
      <w:spacing w:before="240" w:after="64" w:line="320" w:lineRule="auto"/>
      <w:ind w:left="1440" w:hanging="1440"/>
      <w:jc w:val="both"/>
      <w:outlineLvl w:val="7"/>
    </w:pPr>
    <w:rPr>
      <w:rFonts w:ascii="Arial" w:hAnsi="Arial" w:eastAsia="Symbol" w:cs="Times New Roman"/>
      <w:snapToGrid w:val="0"/>
    </w:rPr>
  </w:style>
  <w:style w:type="paragraph" w:styleId="11">
    <w:name w:val="heading 9"/>
    <w:basedOn w:val="1"/>
    <w:next w:val="1"/>
    <w:link w:val="117"/>
    <w:qFormat/>
    <w:locked/>
    <w:uiPriority w:val="0"/>
    <w:pPr>
      <w:keepNext/>
      <w:keepLines/>
      <w:widowControl w:val="0"/>
      <w:tabs>
        <w:tab w:val="left" w:pos="1584"/>
      </w:tabs>
      <w:spacing w:before="240" w:after="64" w:line="320" w:lineRule="auto"/>
      <w:ind w:left="1584" w:hanging="1584"/>
      <w:jc w:val="both"/>
      <w:outlineLvl w:val="8"/>
    </w:pPr>
    <w:rPr>
      <w:rFonts w:ascii="Arial" w:hAnsi="Arial" w:eastAsia="Symbol" w:cs="Times New Roman"/>
      <w:snapToGrid w:val="0"/>
      <w:szCs w:val="21"/>
    </w:rPr>
  </w:style>
  <w:style w:type="character" w:default="1" w:styleId="90">
    <w:name w:val="Default Paragraph Font"/>
    <w:semiHidden/>
    <w:unhideWhenUsed/>
    <w:uiPriority w:val="1"/>
  </w:style>
  <w:style w:type="table" w:default="1" w:styleId="88">
    <w:name w:val="Normal Table"/>
    <w:semiHidden/>
    <w:unhideWhenUsed/>
    <w:uiPriority w:val="99"/>
    <w:tblPr>
      <w:tblCellMar>
        <w:top w:w="0" w:type="dxa"/>
        <w:left w:w="108" w:type="dxa"/>
        <w:bottom w:w="0" w:type="dxa"/>
        <w:right w:w="108" w:type="dxa"/>
      </w:tblCellMar>
    </w:tblPr>
  </w:style>
  <w:style w:type="paragraph" w:styleId="2">
    <w:name w:val="macro"/>
    <w:link w:val="219"/>
    <w:qFormat/>
    <w:locked/>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200" w:firstLineChars="200"/>
    </w:pPr>
    <w:rPr>
      <w:rFonts w:ascii="Courier New" w:hAnsi="Courier New" w:eastAsia="宋体" w:cs="Times New Roman"/>
      <w:kern w:val="2"/>
      <w:sz w:val="24"/>
      <w:szCs w:val="24"/>
      <w:lang w:val="en-US" w:eastAsia="zh-CN" w:bidi="ar-SA"/>
    </w:rPr>
  </w:style>
  <w:style w:type="paragraph" w:styleId="12">
    <w:name w:val="List 3"/>
    <w:basedOn w:val="1"/>
    <w:next w:val="1"/>
    <w:unhideWhenUsed/>
    <w:qFormat/>
    <w:locked/>
    <w:uiPriority w:val="0"/>
    <w:pPr>
      <w:ind w:left="100" w:leftChars="400" w:hanging="200" w:hangingChars="200"/>
      <w:contextualSpacing/>
    </w:pPr>
  </w:style>
  <w:style w:type="paragraph" w:styleId="13">
    <w:name w:val="toc 7"/>
    <w:basedOn w:val="1"/>
    <w:next w:val="1"/>
    <w:qFormat/>
    <w:locked/>
    <w:uiPriority w:val="39"/>
    <w:pPr>
      <w:widowControl w:val="0"/>
      <w:ind w:left="1260"/>
    </w:pPr>
    <w:rPr>
      <w:rFonts w:ascii="Times New Roman" w:hAnsi="Times New Roman" w:cs="Times New Roman"/>
      <w:kern w:val="2"/>
      <w:sz w:val="18"/>
      <w:szCs w:val="18"/>
    </w:rPr>
  </w:style>
  <w:style w:type="paragraph" w:styleId="14">
    <w:name w:val="List Number 2"/>
    <w:basedOn w:val="1"/>
    <w:qFormat/>
    <w:locked/>
    <w:uiPriority w:val="0"/>
    <w:pPr>
      <w:widowControl w:val="0"/>
      <w:tabs>
        <w:tab w:val="left" w:pos="1440"/>
      </w:tabs>
      <w:spacing w:line="360" w:lineRule="auto"/>
    </w:pPr>
    <w:rPr>
      <w:rFonts w:ascii="Times New Roman" w:hAnsi="Times New Roman" w:cs="Times New Roman"/>
      <w:kern w:val="2"/>
      <w:szCs w:val="20"/>
    </w:rPr>
  </w:style>
  <w:style w:type="paragraph" w:styleId="15">
    <w:name w:val="table of authorities"/>
    <w:basedOn w:val="1"/>
    <w:next w:val="1"/>
    <w:qFormat/>
    <w:locked/>
    <w:uiPriority w:val="0"/>
    <w:pPr>
      <w:widowControl w:val="0"/>
      <w:ind w:left="420" w:leftChars="200"/>
      <w:jc w:val="both"/>
    </w:pPr>
    <w:rPr>
      <w:rFonts w:ascii="Times New Roman" w:hAnsi="Times New Roman" w:cs="Times New Roman"/>
      <w:kern w:val="2"/>
      <w:sz w:val="21"/>
      <w:szCs w:val="20"/>
    </w:rPr>
  </w:style>
  <w:style w:type="paragraph" w:styleId="16">
    <w:name w:val="Note Heading"/>
    <w:basedOn w:val="1"/>
    <w:next w:val="1"/>
    <w:link w:val="220"/>
    <w:qFormat/>
    <w:locked/>
    <w:uiPriority w:val="0"/>
    <w:pPr>
      <w:widowControl w:val="0"/>
      <w:jc w:val="center"/>
    </w:pPr>
    <w:rPr>
      <w:rFonts w:ascii="Times New Roman" w:hAnsi="Times New Roman" w:cs="Times New Roman"/>
      <w:kern w:val="2"/>
      <w:szCs w:val="20"/>
    </w:rPr>
  </w:style>
  <w:style w:type="paragraph" w:styleId="17">
    <w:name w:val="List Bullet 4"/>
    <w:basedOn w:val="1"/>
    <w:qFormat/>
    <w:locked/>
    <w:uiPriority w:val="0"/>
    <w:pPr>
      <w:widowControl w:val="0"/>
      <w:tabs>
        <w:tab w:val="left" w:pos="360"/>
      </w:tabs>
      <w:spacing w:line="360" w:lineRule="auto"/>
    </w:pPr>
    <w:rPr>
      <w:rFonts w:ascii="Times New Roman" w:hAnsi="Times New Roman" w:cs="Times New Roman"/>
      <w:kern w:val="2"/>
      <w:szCs w:val="20"/>
    </w:rPr>
  </w:style>
  <w:style w:type="paragraph" w:styleId="18">
    <w:name w:val="index 8"/>
    <w:basedOn w:val="1"/>
    <w:next w:val="1"/>
    <w:qFormat/>
    <w:locked/>
    <w:uiPriority w:val="0"/>
    <w:pPr>
      <w:widowControl w:val="0"/>
      <w:jc w:val="center"/>
    </w:pPr>
    <w:rPr>
      <w:rFonts w:ascii="Times New Roman" w:hAnsi="Times New Roman" w:cs="Times New Roman"/>
      <w:kern w:val="2"/>
      <w:sz w:val="21"/>
    </w:rPr>
  </w:style>
  <w:style w:type="paragraph" w:styleId="19">
    <w:name w:val="E-mail Signature"/>
    <w:basedOn w:val="1"/>
    <w:link w:val="221"/>
    <w:qFormat/>
    <w:locked/>
    <w:uiPriority w:val="0"/>
    <w:pPr>
      <w:widowControl w:val="0"/>
      <w:spacing w:line="360" w:lineRule="auto"/>
      <w:ind w:firstLine="420"/>
    </w:pPr>
    <w:rPr>
      <w:rFonts w:ascii="Times New Roman" w:hAnsi="Times New Roman" w:cs="Times New Roman"/>
      <w:kern w:val="2"/>
      <w:szCs w:val="20"/>
    </w:rPr>
  </w:style>
  <w:style w:type="paragraph" w:styleId="20">
    <w:name w:val="List Number"/>
    <w:basedOn w:val="1"/>
    <w:qFormat/>
    <w:locked/>
    <w:uiPriority w:val="0"/>
    <w:pPr>
      <w:widowControl w:val="0"/>
      <w:tabs>
        <w:tab w:val="left" w:pos="360"/>
      </w:tabs>
      <w:spacing w:line="360" w:lineRule="auto"/>
      <w:ind w:left="360" w:hanging="360"/>
      <w:jc w:val="both"/>
    </w:pPr>
    <w:rPr>
      <w:rFonts w:ascii="Times New Roman" w:hAnsi="Times New Roman" w:cs="Times New Roman"/>
      <w:spacing w:val="2"/>
      <w:kern w:val="2"/>
      <w:szCs w:val="20"/>
    </w:rPr>
  </w:style>
  <w:style w:type="paragraph" w:styleId="21">
    <w:name w:val="Normal Indent"/>
    <w:basedOn w:val="1"/>
    <w:link w:val="120"/>
    <w:qFormat/>
    <w:locked/>
    <w:uiPriority w:val="0"/>
    <w:pPr>
      <w:ind w:left="624"/>
    </w:pPr>
    <w:rPr>
      <w:sz w:val="28"/>
      <w:szCs w:val="20"/>
    </w:rPr>
  </w:style>
  <w:style w:type="paragraph" w:styleId="22">
    <w:name w:val="caption"/>
    <w:basedOn w:val="1"/>
    <w:next w:val="1"/>
    <w:link w:val="121"/>
    <w:qFormat/>
    <w:locked/>
    <w:uiPriority w:val="0"/>
    <w:rPr>
      <w:rFonts w:ascii="Cambria" w:hAnsi="Cambria" w:eastAsia="黑体"/>
    </w:rPr>
  </w:style>
  <w:style w:type="paragraph" w:styleId="23">
    <w:name w:val="index 5"/>
    <w:basedOn w:val="1"/>
    <w:next w:val="1"/>
    <w:qFormat/>
    <w:locked/>
    <w:uiPriority w:val="0"/>
    <w:pPr>
      <w:widowControl w:val="0"/>
      <w:spacing w:line="300" w:lineRule="auto"/>
      <w:ind w:left="800" w:leftChars="800" w:firstLine="200" w:firstLineChars="200"/>
      <w:jc w:val="both"/>
    </w:pPr>
    <w:rPr>
      <w:rFonts w:ascii="Times New Roman" w:hAnsi="Times New Roman" w:cs="Times New Roman"/>
      <w:kern w:val="2"/>
    </w:rPr>
  </w:style>
  <w:style w:type="paragraph" w:styleId="24">
    <w:name w:val="List Bullet"/>
    <w:basedOn w:val="1"/>
    <w:qFormat/>
    <w:locked/>
    <w:uiPriority w:val="0"/>
    <w:pPr>
      <w:widowControl w:val="0"/>
      <w:tabs>
        <w:tab w:val="left" w:pos="360"/>
      </w:tabs>
      <w:ind w:left="360" w:hanging="360"/>
      <w:jc w:val="both"/>
    </w:pPr>
    <w:rPr>
      <w:rFonts w:ascii="Times New Roman" w:hAnsi="Times New Roman" w:cs="Times New Roman"/>
      <w:kern w:val="2"/>
      <w:sz w:val="21"/>
      <w:szCs w:val="20"/>
    </w:rPr>
  </w:style>
  <w:style w:type="paragraph" w:styleId="25">
    <w:name w:val="envelope address"/>
    <w:basedOn w:val="1"/>
    <w:qFormat/>
    <w:locked/>
    <w:uiPriority w:val="0"/>
    <w:pPr>
      <w:widowControl w:val="0"/>
      <w:snapToGrid w:val="0"/>
      <w:spacing w:line="360" w:lineRule="auto"/>
      <w:ind w:left="100" w:leftChars="1400" w:firstLine="420"/>
    </w:pPr>
    <w:rPr>
      <w:rFonts w:ascii="Arial" w:hAnsi="Arial" w:cs="Times New Roman"/>
      <w:kern w:val="2"/>
      <w:szCs w:val="20"/>
    </w:rPr>
  </w:style>
  <w:style w:type="paragraph" w:styleId="26">
    <w:name w:val="Document Map"/>
    <w:basedOn w:val="1"/>
    <w:link w:val="122"/>
    <w:qFormat/>
    <w:locked/>
    <w:uiPriority w:val="0"/>
    <w:rPr>
      <w:sz w:val="18"/>
      <w:szCs w:val="18"/>
    </w:rPr>
  </w:style>
  <w:style w:type="paragraph" w:styleId="27">
    <w:name w:val="toa heading"/>
    <w:basedOn w:val="1"/>
    <w:next w:val="1"/>
    <w:qFormat/>
    <w:locked/>
    <w:uiPriority w:val="0"/>
    <w:pPr>
      <w:widowControl w:val="0"/>
      <w:spacing w:before="120"/>
      <w:jc w:val="both"/>
    </w:pPr>
    <w:rPr>
      <w:rFonts w:ascii="Arial" w:hAnsi="Arial" w:cs="Times New Roman"/>
      <w:kern w:val="2"/>
      <w:szCs w:val="20"/>
    </w:rPr>
  </w:style>
  <w:style w:type="paragraph" w:styleId="28">
    <w:name w:val="annotation text"/>
    <w:basedOn w:val="1"/>
    <w:link w:val="123"/>
    <w:qFormat/>
    <w:uiPriority w:val="99"/>
    <w:rPr>
      <w:szCs w:val="20"/>
    </w:rPr>
  </w:style>
  <w:style w:type="paragraph" w:styleId="29">
    <w:name w:val="index 6"/>
    <w:basedOn w:val="1"/>
    <w:next w:val="1"/>
    <w:qFormat/>
    <w:locked/>
    <w:uiPriority w:val="0"/>
    <w:pPr>
      <w:widowControl w:val="0"/>
      <w:spacing w:line="300" w:lineRule="auto"/>
      <w:ind w:left="1000" w:leftChars="1000" w:firstLine="200" w:firstLineChars="200"/>
      <w:jc w:val="both"/>
    </w:pPr>
    <w:rPr>
      <w:rFonts w:ascii="Times New Roman" w:hAnsi="Times New Roman" w:cs="Times New Roman"/>
      <w:kern w:val="2"/>
    </w:rPr>
  </w:style>
  <w:style w:type="paragraph" w:styleId="30">
    <w:name w:val="Salutation"/>
    <w:basedOn w:val="1"/>
    <w:next w:val="1"/>
    <w:link w:val="222"/>
    <w:qFormat/>
    <w:locked/>
    <w:uiPriority w:val="0"/>
    <w:pPr>
      <w:widowControl w:val="0"/>
      <w:spacing w:line="360" w:lineRule="auto"/>
      <w:jc w:val="both"/>
    </w:pPr>
    <w:rPr>
      <w:rFonts w:ascii="Times New Roman" w:hAnsi="Times New Roman" w:cs="Times New Roman"/>
      <w:kern w:val="2"/>
      <w:sz w:val="28"/>
      <w:szCs w:val="20"/>
    </w:rPr>
  </w:style>
  <w:style w:type="paragraph" w:styleId="31">
    <w:name w:val="Body Text 3"/>
    <w:basedOn w:val="1"/>
    <w:link w:val="223"/>
    <w:qFormat/>
    <w:locked/>
    <w:uiPriority w:val="0"/>
    <w:pPr>
      <w:widowControl w:val="0"/>
      <w:spacing w:after="120"/>
      <w:jc w:val="both"/>
    </w:pPr>
    <w:rPr>
      <w:rFonts w:ascii="Times New Roman" w:hAnsi="Times New Roman" w:cs="Times New Roman"/>
      <w:kern w:val="2"/>
      <w:sz w:val="16"/>
      <w:szCs w:val="16"/>
    </w:rPr>
  </w:style>
  <w:style w:type="paragraph" w:styleId="32">
    <w:name w:val="Closing"/>
    <w:basedOn w:val="1"/>
    <w:link w:val="224"/>
    <w:qFormat/>
    <w:locked/>
    <w:uiPriority w:val="0"/>
    <w:pPr>
      <w:widowControl w:val="0"/>
      <w:spacing w:line="360" w:lineRule="auto"/>
      <w:ind w:left="100" w:leftChars="2100" w:firstLine="420"/>
    </w:pPr>
    <w:rPr>
      <w:rFonts w:ascii="Times New Roman" w:hAnsi="Times New Roman" w:cs="Times New Roman"/>
      <w:kern w:val="2"/>
      <w:szCs w:val="20"/>
    </w:rPr>
  </w:style>
  <w:style w:type="paragraph" w:styleId="33">
    <w:name w:val="List Bullet 3"/>
    <w:basedOn w:val="1"/>
    <w:qFormat/>
    <w:locked/>
    <w:uiPriority w:val="0"/>
    <w:pPr>
      <w:widowControl w:val="0"/>
      <w:tabs>
        <w:tab w:val="left" w:pos="360"/>
      </w:tabs>
      <w:spacing w:line="360" w:lineRule="auto"/>
    </w:pPr>
    <w:rPr>
      <w:rFonts w:ascii="Times New Roman" w:hAnsi="Times New Roman" w:cs="Times New Roman"/>
      <w:kern w:val="2"/>
      <w:szCs w:val="20"/>
    </w:rPr>
  </w:style>
  <w:style w:type="paragraph" w:styleId="34">
    <w:name w:val="Body Text"/>
    <w:basedOn w:val="1"/>
    <w:link w:val="124"/>
    <w:qFormat/>
    <w:uiPriority w:val="0"/>
    <w:pPr>
      <w:snapToGrid w:val="0"/>
      <w:spacing w:before="60" w:after="160" w:line="259" w:lineRule="auto"/>
      <w:ind w:right="113"/>
    </w:pPr>
    <w:rPr>
      <w:sz w:val="18"/>
      <w:szCs w:val="20"/>
    </w:rPr>
  </w:style>
  <w:style w:type="paragraph" w:styleId="35">
    <w:name w:val="Body Text Indent"/>
    <w:basedOn w:val="1"/>
    <w:next w:val="36"/>
    <w:link w:val="125"/>
    <w:qFormat/>
    <w:uiPriority w:val="0"/>
    <w:pPr>
      <w:spacing w:after="120"/>
      <w:ind w:left="420" w:leftChars="200"/>
    </w:pPr>
    <w:rPr>
      <w:szCs w:val="20"/>
    </w:rPr>
  </w:style>
  <w:style w:type="paragraph" w:styleId="36">
    <w:name w:val="Body Text Indent 2"/>
    <w:basedOn w:val="1"/>
    <w:next w:val="1"/>
    <w:link w:val="128"/>
    <w:qFormat/>
    <w:locked/>
    <w:uiPriority w:val="0"/>
    <w:pPr>
      <w:adjustRightInd w:val="0"/>
      <w:snapToGrid w:val="0"/>
      <w:ind w:firstLine="560" w:firstLineChars="200"/>
    </w:pPr>
    <w:rPr>
      <w:sz w:val="28"/>
      <w:szCs w:val="20"/>
    </w:rPr>
  </w:style>
  <w:style w:type="paragraph" w:styleId="37">
    <w:name w:val="List Number 3"/>
    <w:basedOn w:val="1"/>
    <w:qFormat/>
    <w:locked/>
    <w:uiPriority w:val="0"/>
    <w:pPr>
      <w:widowControl w:val="0"/>
      <w:tabs>
        <w:tab w:val="left" w:pos="360"/>
      </w:tabs>
      <w:spacing w:line="360" w:lineRule="auto"/>
    </w:pPr>
    <w:rPr>
      <w:rFonts w:ascii="Times New Roman" w:hAnsi="Times New Roman" w:cs="Times New Roman"/>
      <w:kern w:val="2"/>
      <w:szCs w:val="20"/>
    </w:rPr>
  </w:style>
  <w:style w:type="paragraph" w:styleId="38">
    <w:name w:val="List 2"/>
    <w:basedOn w:val="1"/>
    <w:qFormat/>
    <w:locked/>
    <w:uiPriority w:val="0"/>
    <w:pPr>
      <w:widowControl w:val="0"/>
      <w:spacing w:before="15" w:beforeLines="5" w:after="78" w:afterLines="25" w:line="324" w:lineRule="auto"/>
      <w:ind w:left="100" w:leftChars="200" w:hanging="200" w:hangingChars="200"/>
      <w:jc w:val="both"/>
    </w:pPr>
    <w:rPr>
      <w:rFonts w:ascii="Times New Roman" w:hAnsi="Times New Roman" w:cs="Times New Roman"/>
      <w:kern w:val="2"/>
      <w:szCs w:val="20"/>
    </w:rPr>
  </w:style>
  <w:style w:type="paragraph" w:styleId="39">
    <w:name w:val="List Continue"/>
    <w:basedOn w:val="1"/>
    <w:qFormat/>
    <w:locked/>
    <w:uiPriority w:val="0"/>
    <w:pPr>
      <w:widowControl w:val="0"/>
      <w:spacing w:after="120" w:line="360" w:lineRule="auto"/>
      <w:ind w:left="420" w:leftChars="200" w:firstLine="420"/>
    </w:pPr>
    <w:rPr>
      <w:rFonts w:ascii="Times New Roman" w:hAnsi="Times New Roman" w:cs="Times New Roman"/>
      <w:kern w:val="2"/>
      <w:szCs w:val="20"/>
    </w:rPr>
  </w:style>
  <w:style w:type="paragraph" w:styleId="40">
    <w:name w:val="Block Text"/>
    <w:basedOn w:val="1"/>
    <w:qFormat/>
    <w:locked/>
    <w:uiPriority w:val="0"/>
    <w:pPr>
      <w:spacing w:after="120"/>
      <w:ind w:left="1440" w:leftChars="700" w:right="1440" w:rightChars="700"/>
    </w:pPr>
    <w:rPr>
      <w:szCs w:val="20"/>
    </w:rPr>
  </w:style>
  <w:style w:type="paragraph" w:styleId="41">
    <w:name w:val="List Bullet 2"/>
    <w:basedOn w:val="1"/>
    <w:qFormat/>
    <w:locked/>
    <w:uiPriority w:val="0"/>
    <w:pPr>
      <w:widowControl w:val="0"/>
      <w:tabs>
        <w:tab w:val="left" w:pos="360"/>
      </w:tabs>
      <w:spacing w:line="360" w:lineRule="auto"/>
    </w:pPr>
    <w:rPr>
      <w:rFonts w:ascii="Times New Roman" w:hAnsi="Times New Roman" w:cs="Times New Roman"/>
      <w:kern w:val="2"/>
      <w:szCs w:val="20"/>
    </w:rPr>
  </w:style>
  <w:style w:type="paragraph" w:styleId="42">
    <w:name w:val="HTML Address"/>
    <w:basedOn w:val="1"/>
    <w:link w:val="225"/>
    <w:qFormat/>
    <w:locked/>
    <w:uiPriority w:val="0"/>
    <w:pPr>
      <w:widowControl w:val="0"/>
      <w:spacing w:line="360" w:lineRule="auto"/>
      <w:ind w:firstLine="420"/>
    </w:pPr>
    <w:rPr>
      <w:rFonts w:ascii="Times New Roman" w:hAnsi="Times New Roman" w:cs="Times New Roman"/>
      <w:i/>
      <w:kern w:val="2"/>
      <w:szCs w:val="20"/>
    </w:rPr>
  </w:style>
  <w:style w:type="paragraph" w:styleId="43">
    <w:name w:val="index 4"/>
    <w:basedOn w:val="1"/>
    <w:next w:val="1"/>
    <w:qFormat/>
    <w:locked/>
    <w:uiPriority w:val="0"/>
    <w:pPr>
      <w:widowControl w:val="0"/>
      <w:ind w:left="600" w:leftChars="600"/>
      <w:jc w:val="both"/>
    </w:pPr>
    <w:rPr>
      <w:rFonts w:ascii="Times New Roman" w:hAnsi="Times New Roman" w:cs="Times New Roman"/>
      <w:kern w:val="2"/>
      <w:sz w:val="21"/>
    </w:rPr>
  </w:style>
  <w:style w:type="paragraph" w:styleId="44">
    <w:name w:val="toc 5"/>
    <w:basedOn w:val="1"/>
    <w:next w:val="1"/>
    <w:qFormat/>
    <w:locked/>
    <w:uiPriority w:val="39"/>
    <w:pPr>
      <w:widowControl w:val="0"/>
      <w:ind w:left="840"/>
    </w:pPr>
    <w:rPr>
      <w:rFonts w:ascii="Times New Roman" w:hAnsi="Times New Roman" w:cs="Times New Roman"/>
      <w:kern w:val="2"/>
      <w:sz w:val="18"/>
      <w:szCs w:val="18"/>
    </w:rPr>
  </w:style>
  <w:style w:type="paragraph" w:styleId="45">
    <w:name w:val="toc 3"/>
    <w:basedOn w:val="1"/>
    <w:next w:val="1"/>
    <w:qFormat/>
    <w:locked/>
    <w:uiPriority w:val="39"/>
    <w:pPr>
      <w:widowControl w:val="0"/>
      <w:ind w:left="420"/>
    </w:pPr>
    <w:rPr>
      <w:rFonts w:ascii="Times New Roman" w:hAnsi="Times New Roman" w:cs="Times New Roman"/>
      <w:i/>
      <w:iCs/>
      <w:kern w:val="2"/>
      <w:sz w:val="20"/>
      <w:szCs w:val="20"/>
    </w:rPr>
  </w:style>
  <w:style w:type="paragraph" w:styleId="46">
    <w:name w:val="Plain Text"/>
    <w:basedOn w:val="1"/>
    <w:link w:val="126"/>
    <w:qFormat/>
    <w:locked/>
    <w:uiPriority w:val="0"/>
    <w:rPr>
      <w:rFonts w:hAnsi="Courier New"/>
    </w:rPr>
  </w:style>
  <w:style w:type="paragraph" w:styleId="47">
    <w:name w:val="List Bullet 5"/>
    <w:basedOn w:val="1"/>
    <w:qFormat/>
    <w:locked/>
    <w:uiPriority w:val="0"/>
    <w:pPr>
      <w:widowControl w:val="0"/>
      <w:tabs>
        <w:tab w:val="left" w:pos="360"/>
      </w:tabs>
      <w:spacing w:line="360" w:lineRule="auto"/>
    </w:pPr>
    <w:rPr>
      <w:rFonts w:ascii="Times New Roman" w:hAnsi="Times New Roman" w:cs="Times New Roman"/>
      <w:kern w:val="2"/>
      <w:szCs w:val="20"/>
    </w:rPr>
  </w:style>
  <w:style w:type="paragraph" w:styleId="48">
    <w:name w:val="List Number 4"/>
    <w:basedOn w:val="1"/>
    <w:qFormat/>
    <w:locked/>
    <w:uiPriority w:val="0"/>
    <w:pPr>
      <w:widowControl w:val="0"/>
      <w:tabs>
        <w:tab w:val="left" w:pos="360"/>
      </w:tabs>
      <w:spacing w:line="360" w:lineRule="auto"/>
    </w:pPr>
    <w:rPr>
      <w:rFonts w:ascii="Times New Roman" w:hAnsi="Times New Roman" w:cs="Times New Roman"/>
      <w:kern w:val="2"/>
      <w:szCs w:val="20"/>
    </w:rPr>
  </w:style>
  <w:style w:type="paragraph" w:styleId="49">
    <w:name w:val="toc 8"/>
    <w:basedOn w:val="1"/>
    <w:next w:val="1"/>
    <w:qFormat/>
    <w:locked/>
    <w:uiPriority w:val="39"/>
    <w:pPr>
      <w:widowControl w:val="0"/>
      <w:ind w:left="1470"/>
    </w:pPr>
    <w:rPr>
      <w:rFonts w:ascii="Times New Roman" w:hAnsi="Times New Roman" w:cs="Times New Roman"/>
      <w:kern w:val="2"/>
      <w:sz w:val="18"/>
      <w:szCs w:val="18"/>
    </w:rPr>
  </w:style>
  <w:style w:type="paragraph" w:styleId="50">
    <w:name w:val="index 3"/>
    <w:basedOn w:val="1"/>
    <w:next w:val="1"/>
    <w:qFormat/>
    <w:locked/>
    <w:uiPriority w:val="0"/>
    <w:pPr>
      <w:widowControl w:val="0"/>
      <w:spacing w:line="300" w:lineRule="auto"/>
      <w:ind w:left="400" w:leftChars="400" w:firstLine="200" w:firstLineChars="200"/>
      <w:jc w:val="both"/>
    </w:pPr>
    <w:rPr>
      <w:rFonts w:ascii="Times New Roman" w:hAnsi="Times New Roman" w:cs="Times New Roman"/>
      <w:kern w:val="2"/>
    </w:rPr>
  </w:style>
  <w:style w:type="paragraph" w:styleId="51">
    <w:name w:val="Date"/>
    <w:basedOn w:val="1"/>
    <w:next w:val="1"/>
    <w:link w:val="127"/>
    <w:qFormat/>
    <w:uiPriority w:val="0"/>
    <w:pPr>
      <w:ind w:left="100" w:leftChars="2500"/>
    </w:pPr>
    <w:rPr>
      <w:szCs w:val="20"/>
    </w:rPr>
  </w:style>
  <w:style w:type="paragraph" w:styleId="52">
    <w:name w:val="endnote text"/>
    <w:basedOn w:val="1"/>
    <w:link w:val="226"/>
    <w:qFormat/>
    <w:locked/>
    <w:uiPriority w:val="0"/>
    <w:pPr>
      <w:widowControl w:val="0"/>
      <w:snapToGrid w:val="0"/>
      <w:spacing w:line="480" w:lineRule="exact"/>
      <w:ind w:firstLine="471"/>
    </w:pPr>
    <w:rPr>
      <w:rFonts w:ascii="Arial" w:hAnsi="Arial" w:cs="Times New Roman"/>
      <w:bCs/>
      <w:snapToGrid w:val="0"/>
      <w:kern w:val="2"/>
      <w:lang w:val="eu-ES"/>
    </w:rPr>
  </w:style>
  <w:style w:type="paragraph" w:styleId="53">
    <w:name w:val="List Continue 5"/>
    <w:basedOn w:val="1"/>
    <w:qFormat/>
    <w:locked/>
    <w:uiPriority w:val="0"/>
    <w:pPr>
      <w:widowControl w:val="0"/>
      <w:spacing w:after="120" w:line="360" w:lineRule="auto"/>
      <w:ind w:left="2100" w:leftChars="1000" w:firstLine="420"/>
    </w:pPr>
    <w:rPr>
      <w:rFonts w:ascii="Times New Roman" w:hAnsi="Times New Roman" w:cs="Times New Roman"/>
      <w:kern w:val="2"/>
      <w:szCs w:val="20"/>
    </w:rPr>
  </w:style>
  <w:style w:type="paragraph" w:styleId="54">
    <w:name w:val="Balloon Text"/>
    <w:basedOn w:val="1"/>
    <w:link w:val="129"/>
    <w:qFormat/>
    <w:uiPriority w:val="0"/>
    <w:rPr>
      <w:sz w:val="18"/>
      <w:szCs w:val="20"/>
    </w:rPr>
  </w:style>
  <w:style w:type="paragraph" w:styleId="55">
    <w:name w:val="footer"/>
    <w:basedOn w:val="1"/>
    <w:link w:val="130"/>
    <w:qFormat/>
    <w:uiPriority w:val="99"/>
    <w:pPr>
      <w:tabs>
        <w:tab w:val="center" w:pos="4153"/>
        <w:tab w:val="right" w:pos="8306"/>
      </w:tabs>
      <w:snapToGrid w:val="0"/>
    </w:pPr>
    <w:rPr>
      <w:sz w:val="18"/>
      <w:szCs w:val="20"/>
    </w:rPr>
  </w:style>
  <w:style w:type="paragraph" w:styleId="56">
    <w:name w:val="envelope return"/>
    <w:basedOn w:val="1"/>
    <w:qFormat/>
    <w:locked/>
    <w:uiPriority w:val="0"/>
    <w:pPr>
      <w:widowControl w:val="0"/>
      <w:snapToGrid w:val="0"/>
      <w:spacing w:line="360" w:lineRule="auto"/>
      <w:ind w:firstLine="420"/>
    </w:pPr>
    <w:rPr>
      <w:rFonts w:ascii="Arial" w:hAnsi="Arial" w:cs="Times New Roman"/>
      <w:kern w:val="2"/>
      <w:szCs w:val="20"/>
    </w:rPr>
  </w:style>
  <w:style w:type="paragraph" w:styleId="57">
    <w:name w:val="header"/>
    <w:basedOn w:val="1"/>
    <w:link w:val="131"/>
    <w:qFormat/>
    <w:uiPriority w:val="99"/>
    <w:pPr>
      <w:pBdr>
        <w:bottom w:val="single" w:color="auto" w:sz="6" w:space="1"/>
      </w:pBdr>
      <w:tabs>
        <w:tab w:val="center" w:pos="4153"/>
        <w:tab w:val="right" w:pos="8306"/>
      </w:tabs>
      <w:snapToGrid w:val="0"/>
      <w:jc w:val="center"/>
    </w:pPr>
    <w:rPr>
      <w:sz w:val="18"/>
      <w:szCs w:val="20"/>
    </w:rPr>
  </w:style>
  <w:style w:type="paragraph" w:styleId="58">
    <w:name w:val="Signature"/>
    <w:basedOn w:val="1"/>
    <w:link w:val="227"/>
    <w:qFormat/>
    <w:locked/>
    <w:uiPriority w:val="0"/>
    <w:pPr>
      <w:widowControl w:val="0"/>
      <w:spacing w:line="360" w:lineRule="auto"/>
      <w:ind w:left="100" w:leftChars="2100" w:firstLine="420"/>
    </w:pPr>
    <w:rPr>
      <w:rFonts w:ascii="Times New Roman" w:hAnsi="Times New Roman" w:cs="Times New Roman"/>
      <w:kern w:val="2"/>
      <w:szCs w:val="20"/>
    </w:rPr>
  </w:style>
  <w:style w:type="paragraph" w:styleId="59">
    <w:name w:val="toc 1"/>
    <w:basedOn w:val="1"/>
    <w:next w:val="1"/>
    <w:qFormat/>
    <w:locked/>
    <w:uiPriority w:val="39"/>
  </w:style>
  <w:style w:type="paragraph" w:styleId="60">
    <w:name w:val="List Continue 4"/>
    <w:basedOn w:val="1"/>
    <w:qFormat/>
    <w:locked/>
    <w:uiPriority w:val="0"/>
    <w:pPr>
      <w:widowControl w:val="0"/>
      <w:spacing w:after="120" w:line="360" w:lineRule="auto"/>
      <w:ind w:left="1680" w:leftChars="800" w:firstLine="420"/>
    </w:pPr>
    <w:rPr>
      <w:rFonts w:ascii="Times New Roman" w:hAnsi="Times New Roman" w:cs="Times New Roman"/>
      <w:kern w:val="2"/>
      <w:szCs w:val="20"/>
    </w:rPr>
  </w:style>
  <w:style w:type="paragraph" w:styleId="61">
    <w:name w:val="toc 4"/>
    <w:basedOn w:val="1"/>
    <w:next w:val="1"/>
    <w:link w:val="228"/>
    <w:qFormat/>
    <w:locked/>
    <w:uiPriority w:val="39"/>
    <w:pPr>
      <w:widowControl w:val="0"/>
      <w:ind w:left="630"/>
    </w:pPr>
    <w:rPr>
      <w:rFonts w:ascii="Times New Roman" w:hAnsi="Times New Roman" w:cs="Times New Roman"/>
      <w:kern w:val="2"/>
      <w:sz w:val="18"/>
      <w:szCs w:val="18"/>
    </w:rPr>
  </w:style>
  <w:style w:type="paragraph" w:styleId="62">
    <w:name w:val="index heading"/>
    <w:basedOn w:val="1"/>
    <w:next w:val="63"/>
    <w:qFormat/>
    <w:locked/>
    <w:uiPriority w:val="0"/>
    <w:pPr>
      <w:widowControl w:val="0"/>
      <w:jc w:val="both"/>
    </w:pPr>
    <w:rPr>
      <w:rFonts w:ascii="Times New Roman" w:hAnsi="Times New Roman" w:cs="Times New Roman"/>
      <w:kern w:val="2"/>
      <w:sz w:val="21"/>
      <w:szCs w:val="20"/>
    </w:rPr>
  </w:style>
  <w:style w:type="paragraph" w:styleId="63">
    <w:name w:val="index 1"/>
    <w:basedOn w:val="1"/>
    <w:next w:val="1"/>
    <w:qFormat/>
    <w:locked/>
    <w:uiPriority w:val="0"/>
  </w:style>
  <w:style w:type="paragraph" w:styleId="64">
    <w:name w:val="Subtitle"/>
    <w:basedOn w:val="1"/>
    <w:link w:val="229"/>
    <w:qFormat/>
    <w:locked/>
    <w:uiPriority w:val="0"/>
    <w:pPr>
      <w:widowControl w:val="0"/>
      <w:spacing w:before="240" w:after="240" w:line="360" w:lineRule="auto"/>
      <w:ind w:firstLine="420"/>
      <w:jc w:val="center"/>
      <w:outlineLvl w:val="1"/>
    </w:pPr>
    <w:rPr>
      <w:rFonts w:ascii="Arial" w:hAnsi="Arial" w:cs="Times New Roman"/>
      <w:b/>
      <w:kern w:val="28"/>
      <w:szCs w:val="20"/>
    </w:rPr>
  </w:style>
  <w:style w:type="paragraph" w:styleId="65">
    <w:name w:val="List Number 5"/>
    <w:basedOn w:val="1"/>
    <w:link w:val="230"/>
    <w:qFormat/>
    <w:locked/>
    <w:uiPriority w:val="0"/>
    <w:pPr>
      <w:widowControl w:val="0"/>
      <w:tabs>
        <w:tab w:val="left" w:pos="2040"/>
      </w:tabs>
      <w:ind w:left="2040" w:hanging="360"/>
      <w:jc w:val="both"/>
    </w:pPr>
    <w:rPr>
      <w:rFonts w:ascii="Times New Roman" w:hAnsi="Times New Roman" w:cs="Times New Roman"/>
      <w:kern w:val="2"/>
      <w:szCs w:val="20"/>
    </w:rPr>
  </w:style>
  <w:style w:type="paragraph" w:styleId="66">
    <w:name w:val="List"/>
    <w:basedOn w:val="1"/>
    <w:qFormat/>
    <w:locked/>
    <w:uiPriority w:val="0"/>
    <w:pPr>
      <w:widowControl w:val="0"/>
      <w:ind w:left="200" w:hanging="200" w:hangingChars="200"/>
      <w:jc w:val="both"/>
    </w:pPr>
    <w:rPr>
      <w:rFonts w:ascii="Times New Roman" w:hAnsi="Times New Roman" w:cs="Times New Roman"/>
      <w:kern w:val="2"/>
      <w:sz w:val="21"/>
    </w:rPr>
  </w:style>
  <w:style w:type="paragraph" w:styleId="67">
    <w:name w:val="footnote text"/>
    <w:basedOn w:val="1"/>
    <w:link w:val="231"/>
    <w:qFormat/>
    <w:locked/>
    <w:uiPriority w:val="0"/>
    <w:pPr>
      <w:widowControl w:val="0"/>
      <w:snapToGrid w:val="0"/>
    </w:pPr>
    <w:rPr>
      <w:rFonts w:ascii="Times New Roman" w:hAnsi="Times New Roman" w:cs="Times New Roman"/>
      <w:kern w:val="2"/>
      <w:sz w:val="18"/>
      <w:szCs w:val="20"/>
    </w:rPr>
  </w:style>
  <w:style w:type="paragraph" w:styleId="68">
    <w:name w:val="toc 6"/>
    <w:basedOn w:val="1"/>
    <w:next w:val="1"/>
    <w:qFormat/>
    <w:locked/>
    <w:uiPriority w:val="39"/>
    <w:pPr>
      <w:widowControl w:val="0"/>
      <w:ind w:left="1050"/>
    </w:pPr>
    <w:rPr>
      <w:rFonts w:ascii="Times New Roman" w:hAnsi="Times New Roman" w:cs="Times New Roman"/>
      <w:kern w:val="2"/>
      <w:sz w:val="18"/>
      <w:szCs w:val="18"/>
    </w:rPr>
  </w:style>
  <w:style w:type="paragraph" w:styleId="69">
    <w:name w:val="List 5"/>
    <w:basedOn w:val="1"/>
    <w:qFormat/>
    <w:locked/>
    <w:uiPriority w:val="0"/>
    <w:pPr>
      <w:widowControl w:val="0"/>
      <w:spacing w:line="360" w:lineRule="auto"/>
      <w:ind w:left="100" w:leftChars="800" w:hanging="200" w:hangingChars="200"/>
    </w:pPr>
    <w:rPr>
      <w:rFonts w:ascii="Times New Roman" w:hAnsi="Times New Roman" w:cs="Times New Roman"/>
      <w:kern w:val="2"/>
      <w:szCs w:val="20"/>
    </w:rPr>
  </w:style>
  <w:style w:type="paragraph" w:styleId="70">
    <w:name w:val="Body Text Indent 3"/>
    <w:basedOn w:val="1"/>
    <w:link w:val="232"/>
    <w:qFormat/>
    <w:locked/>
    <w:uiPriority w:val="0"/>
    <w:pPr>
      <w:widowControl w:val="0"/>
      <w:spacing w:line="360" w:lineRule="auto"/>
      <w:ind w:firstLine="480" w:firstLineChars="200"/>
      <w:jc w:val="both"/>
    </w:pPr>
    <w:rPr>
      <w:rFonts w:ascii="Times New Roman" w:hAnsi="Times New Roman" w:cs="Times New Roman"/>
      <w:kern w:val="2"/>
    </w:rPr>
  </w:style>
  <w:style w:type="paragraph" w:styleId="71">
    <w:name w:val="index 7"/>
    <w:basedOn w:val="1"/>
    <w:next w:val="1"/>
    <w:qFormat/>
    <w:locked/>
    <w:uiPriority w:val="0"/>
    <w:pPr>
      <w:widowControl w:val="0"/>
      <w:spacing w:line="300" w:lineRule="auto"/>
      <w:ind w:left="1200" w:leftChars="1200" w:firstLine="200" w:firstLineChars="200"/>
      <w:jc w:val="both"/>
    </w:pPr>
    <w:rPr>
      <w:rFonts w:ascii="Times New Roman" w:hAnsi="Times New Roman" w:cs="Times New Roman"/>
      <w:kern w:val="2"/>
    </w:rPr>
  </w:style>
  <w:style w:type="paragraph" w:styleId="72">
    <w:name w:val="index 9"/>
    <w:basedOn w:val="1"/>
    <w:next w:val="1"/>
    <w:qFormat/>
    <w:locked/>
    <w:uiPriority w:val="0"/>
    <w:pPr>
      <w:widowControl w:val="0"/>
      <w:tabs>
        <w:tab w:val="right" w:leader="dot" w:pos="8557"/>
      </w:tabs>
      <w:adjustRightInd w:val="0"/>
      <w:spacing w:line="312" w:lineRule="auto"/>
      <w:ind w:left="2520" w:hanging="280"/>
      <w:jc w:val="both"/>
      <w:textAlignment w:val="baseline"/>
    </w:pPr>
    <w:rPr>
      <w:rFonts w:ascii="Times New Roman" w:hAnsi="Times New Roman" w:cs="Times New Roman"/>
      <w:sz w:val="28"/>
      <w:szCs w:val="20"/>
    </w:rPr>
  </w:style>
  <w:style w:type="paragraph" w:styleId="73">
    <w:name w:val="table of figures"/>
    <w:basedOn w:val="1"/>
    <w:next w:val="1"/>
    <w:qFormat/>
    <w:locked/>
    <w:uiPriority w:val="0"/>
    <w:pPr>
      <w:ind w:left="200" w:leftChars="200" w:hanging="200" w:hangingChars="200"/>
    </w:pPr>
    <w:rPr>
      <w:rFonts w:ascii="仿宋" w:hAnsi="仿宋"/>
      <w:szCs w:val="28"/>
    </w:rPr>
  </w:style>
  <w:style w:type="paragraph" w:styleId="74">
    <w:name w:val="toc 2"/>
    <w:basedOn w:val="1"/>
    <w:next w:val="1"/>
    <w:qFormat/>
    <w:locked/>
    <w:uiPriority w:val="39"/>
    <w:pPr>
      <w:widowControl w:val="0"/>
      <w:ind w:left="420" w:leftChars="200"/>
      <w:jc w:val="both"/>
    </w:pPr>
    <w:rPr>
      <w:rFonts w:ascii="Times New Roman" w:hAnsi="Times New Roman" w:cs="Times New Roman"/>
      <w:kern w:val="2"/>
      <w:sz w:val="21"/>
    </w:rPr>
  </w:style>
  <w:style w:type="paragraph" w:styleId="75">
    <w:name w:val="toc 9"/>
    <w:basedOn w:val="1"/>
    <w:next w:val="1"/>
    <w:qFormat/>
    <w:locked/>
    <w:uiPriority w:val="39"/>
    <w:pPr>
      <w:widowControl w:val="0"/>
      <w:ind w:left="1680"/>
    </w:pPr>
    <w:rPr>
      <w:rFonts w:ascii="Times New Roman" w:hAnsi="Times New Roman" w:cs="Times New Roman"/>
      <w:kern w:val="2"/>
      <w:sz w:val="18"/>
      <w:szCs w:val="18"/>
    </w:rPr>
  </w:style>
  <w:style w:type="paragraph" w:styleId="76">
    <w:name w:val="Body Text 2"/>
    <w:basedOn w:val="1"/>
    <w:link w:val="233"/>
    <w:qFormat/>
    <w:locked/>
    <w:uiPriority w:val="0"/>
    <w:pPr>
      <w:widowControl w:val="0"/>
      <w:spacing w:after="120" w:line="480" w:lineRule="auto"/>
      <w:jc w:val="both"/>
    </w:pPr>
    <w:rPr>
      <w:rFonts w:ascii="Times New Roman" w:hAnsi="Times New Roman" w:cs="Times New Roman"/>
      <w:kern w:val="2"/>
      <w:sz w:val="21"/>
    </w:rPr>
  </w:style>
  <w:style w:type="paragraph" w:styleId="77">
    <w:name w:val="List 4"/>
    <w:basedOn w:val="1"/>
    <w:qFormat/>
    <w:locked/>
    <w:uiPriority w:val="0"/>
    <w:pPr>
      <w:widowControl w:val="0"/>
      <w:spacing w:line="360" w:lineRule="auto"/>
      <w:ind w:left="100" w:leftChars="600" w:hanging="200" w:hangingChars="200"/>
    </w:pPr>
    <w:rPr>
      <w:rFonts w:ascii="Times New Roman" w:hAnsi="Times New Roman" w:cs="Times New Roman"/>
      <w:kern w:val="2"/>
      <w:szCs w:val="20"/>
    </w:rPr>
  </w:style>
  <w:style w:type="paragraph" w:styleId="78">
    <w:name w:val="List Continue 2"/>
    <w:basedOn w:val="1"/>
    <w:qFormat/>
    <w:locked/>
    <w:uiPriority w:val="0"/>
    <w:pPr>
      <w:widowControl w:val="0"/>
      <w:spacing w:after="120"/>
      <w:ind w:left="840"/>
      <w:jc w:val="both"/>
    </w:pPr>
    <w:rPr>
      <w:rFonts w:ascii="Times New Roman" w:hAnsi="Times New Roman" w:cs="Times New Roman"/>
      <w:kern w:val="2"/>
      <w:sz w:val="21"/>
      <w:szCs w:val="20"/>
    </w:rPr>
  </w:style>
  <w:style w:type="paragraph" w:styleId="79">
    <w:name w:val="Message Header"/>
    <w:basedOn w:val="1"/>
    <w:link w:val="234"/>
    <w:qFormat/>
    <w:locked/>
    <w:uiPriority w:val="0"/>
    <w:pPr>
      <w:widowControl w:val="0"/>
      <w:pBdr>
        <w:top w:val="single" w:color="auto" w:sz="6" w:space="1"/>
        <w:left w:val="single" w:color="auto" w:sz="6" w:space="1"/>
        <w:bottom w:val="single" w:color="auto" w:sz="6" w:space="1"/>
        <w:right w:val="single" w:color="auto" w:sz="6" w:space="1"/>
      </w:pBdr>
      <w:shd w:val="pct20" w:color="auto" w:fill="auto"/>
      <w:spacing w:line="360" w:lineRule="auto"/>
      <w:ind w:left="1080" w:leftChars="500" w:hanging="1080" w:hangingChars="500"/>
    </w:pPr>
    <w:rPr>
      <w:rFonts w:ascii="Arial" w:hAnsi="Arial" w:cs="Times New Roman"/>
      <w:kern w:val="2"/>
      <w:szCs w:val="20"/>
    </w:rPr>
  </w:style>
  <w:style w:type="paragraph" w:styleId="80">
    <w:name w:val="HTML Preformatted"/>
    <w:basedOn w:val="1"/>
    <w:link w:val="235"/>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0" w:lineRule="atLeast"/>
    </w:pPr>
    <w:rPr>
      <w:rFonts w:ascii="Arial" w:hAnsi="Arial" w:cs="Times New Roman"/>
      <w:sz w:val="14"/>
      <w:szCs w:val="14"/>
    </w:rPr>
  </w:style>
  <w:style w:type="paragraph" w:styleId="81">
    <w:name w:val="Normal (Web)"/>
    <w:basedOn w:val="1"/>
    <w:link w:val="132"/>
    <w:qFormat/>
    <w:uiPriority w:val="99"/>
    <w:pPr>
      <w:spacing w:before="100" w:beforeAutospacing="1" w:after="100" w:afterAutospacing="1"/>
    </w:pPr>
    <w:rPr>
      <w:szCs w:val="20"/>
    </w:rPr>
  </w:style>
  <w:style w:type="paragraph" w:styleId="82">
    <w:name w:val="List Continue 3"/>
    <w:basedOn w:val="1"/>
    <w:qFormat/>
    <w:locked/>
    <w:uiPriority w:val="0"/>
    <w:pPr>
      <w:widowControl w:val="0"/>
      <w:spacing w:after="120"/>
      <w:ind w:left="1260"/>
      <w:jc w:val="both"/>
    </w:pPr>
    <w:rPr>
      <w:rFonts w:ascii="Times New Roman" w:hAnsi="Times New Roman" w:cs="Times New Roman"/>
      <w:kern w:val="2"/>
      <w:sz w:val="21"/>
      <w:szCs w:val="20"/>
    </w:rPr>
  </w:style>
  <w:style w:type="paragraph" w:styleId="83">
    <w:name w:val="index 2"/>
    <w:basedOn w:val="1"/>
    <w:next w:val="1"/>
    <w:qFormat/>
    <w:locked/>
    <w:uiPriority w:val="0"/>
    <w:pPr>
      <w:widowControl w:val="0"/>
      <w:ind w:left="200" w:leftChars="200"/>
      <w:jc w:val="both"/>
    </w:pPr>
    <w:rPr>
      <w:rFonts w:ascii="Times New Roman" w:hAnsi="Times New Roman" w:cs="Times New Roman"/>
      <w:kern w:val="2"/>
      <w:sz w:val="21"/>
    </w:rPr>
  </w:style>
  <w:style w:type="paragraph" w:styleId="84">
    <w:name w:val="Title"/>
    <w:basedOn w:val="1"/>
    <w:next w:val="1"/>
    <w:link w:val="133"/>
    <w:qFormat/>
    <w:locked/>
    <w:uiPriority w:val="0"/>
    <w:pPr>
      <w:spacing w:before="240" w:after="60"/>
      <w:jc w:val="center"/>
      <w:outlineLvl w:val="0"/>
    </w:pPr>
    <w:rPr>
      <w:rFonts w:ascii="Cambria" w:hAnsi="Cambria"/>
      <w:b/>
      <w:bCs/>
      <w:sz w:val="32"/>
      <w:szCs w:val="32"/>
    </w:rPr>
  </w:style>
  <w:style w:type="paragraph" w:styleId="85">
    <w:name w:val="annotation subject"/>
    <w:basedOn w:val="28"/>
    <w:next w:val="28"/>
    <w:link w:val="134"/>
    <w:qFormat/>
    <w:uiPriority w:val="0"/>
    <w:rPr>
      <w:b/>
      <w:kern w:val="2"/>
    </w:rPr>
  </w:style>
  <w:style w:type="paragraph" w:styleId="86">
    <w:name w:val="Body Text First Indent"/>
    <w:basedOn w:val="1"/>
    <w:next w:val="1"/>
    <w:link w:val="135"/>
    <w:unhideWhenUsed/>
    <w:qFormat/>
    <w:locked/>
    <w:uiPriority w:val="0"/>
    <w:pPr>
      <w:ind w:firstLine="420" w:firstLineChars="100"/>
    </w:pPr>
  </w:style>
  <w:style w:type="paragraph" w:styleId="87">
    <w:name w:val="Body Text First Indent 2"/>
    <w:basedOn w:val="35"/>
    <w:next w:val="86"/>
    <w:link w:val="136"/>
    <w:qFormat/>
    <w:locked/>
    <w:uiPriority w:val="0"/>
    <w:pPr>
      <w:ind w:firstLine="420" w:firstLineChars="200"/>
    </w:pPr>
    <w:rPr>
      <w:szCs w:val="24"/>
    </w:rPr>
  </w:style>
  <w:style w:type="table" w:styleId="89">
    <w:name w:val="Table Grid"/>
    <w:basedOn w:val="8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1">
    <w:name w:val="Strong"/>
    <w:qFormat/>
    <w:locked/>
    <w:uiPriority w:val="0"/>
    <w:rPr>
      <w:b/>
      <w:bCs/>
    </w:rPr>
  </w:style>
  <w:style w:type="character" w:styleId="92">
    <w:name w:val="endnote reference"/>
    <w:qFormat/>
    <w:locked/>
    <w:uiPriority w:val="0"/>
    <w:rPr>
      <w:vertAlign w:val="superscript"/>
    </w:rPr>
  </w:style>
  <w:style w:type="character" w:styleId="93">
    <w:name w:val="page number"/>
    <w:qFormat/>
    <w:locked/>
    <w:uiPriority w:val="0"/>
  </w:style>
  <w:style w:type="character" w:styleId="94">
    <w:name w:val="FollowedHyperlink"/>
    <w:qFormat/>
    <w:locked/>
    <w:uiPriority w:val="99"/>
    <w:rPr>
      <w:color w:val="800080"/>
      <w:u w:val="single"/>
    </w:rPr>
  </w:style>
  <w:style w:type="character" w:styleId="95">
    <w:name w:val="Emphasis"/>
    <w:qFormat/>
    <w:locked/>
    <w:uiPriority w:val="0"/>
    <w:rPr>
      <w:color w:val="CC0000"/>
    </w:rPr>
  </w:style>
  <w:style w:type="character" w:styleId="96">
    <w:name w:val="line number"/>
    <w:qFormat/>
    <w:locked/>
    <w:uiPriority w:val="0"/>
  </w:style>
  <w:style w:type="character" w:styleId="97">
    <w:name w:val="HTML Definition"/>
    <w:qFormat/>
    <w:locked/>
    <w:uiPriority w:val="0"/>
    <w:rPr>
      <w:i/>
    </w:rPr>
  </w:style>
  <w:style w:type="character" w:styleId="98">
    <w:name w:val="HTML Typewriter"/>
    <w:qFormat/>
    <w:locked/>
    <w:uiPriority w:val="0"/>
    <w:rPr>
      <w:rFonts w:ascii="宋体" w:hAnsi="宋体" w:eastAsia="宋体"/>
      <w:sz w:val="24"/>
    </w:rPr>
  </w:style>
  <w:style w:type="character" w:styleId="99">
    <w:name w:val="HTML Acronym"/>
    <w:qFormat/>
    <w:locked/>
    <w:uiPriority w:val="0"/>
  </w:style>
  <w:style w:type="character" w:styleId="100">
    <w:name w:val="HTML Variable"/>
    <w:qFormat/>
    <w:locked/>
    <w:uiPriority w:val="0"/>
    <w:rPr>
      <w:i/>
    </w:rPr>
  </w:style>
  <w:style w:type="character" w:styleId="101">
    <w:name w:val="Hyperlink"/>
    <w:qFormat/>
    <w:locked/>
    <w:uiPriority w:val="99"/>
    <w:rPr>
      <w:color w:val="261CDC"/>
      <w:u w:val="single"/>
    </w:rPr>
  </w:style>
  <w:style w:type="character" w:styleId="102">
    <w:name w:val="HTML Code"/>
    <w:qFormat/>
    <w:locked/>
    <w:uiPriority w:val="0"/>
    <w:rPr>
      <w:rFonts w:hint="default" w:ascii="minorBidi" w:hAnsi="minorBidi" w:eastAsia="宋体"/>
      <w:spacing w:val="0"/>
      <w:sz w:val="20"/>
      <w:bdr w:val="single" w:color="CCCCCC" w:sz="6" w:space="0"/>
      <w:shd w:val="clear" w:color="auto" w:fill="EEEEEE"/>
    </w:rPr>
  </w:style>
  <w:style w:type="character" w:styleId="103">
    <w:name w:val="annotation reference"/>
    <w:qFormat/>
    <w:uiPriority w:val="99"/>
    <w:rPr>
      <w:sz w:val="21"/>
    </w:rPr>
  </w:style>
  <w:style w:type="character" w:styleId="104">
    <w:name w:val="HTML Cite"/>
    <w:qFormat/>
    <w:locked/>
    <w:uiPriority w:val="0"/>
    <w:rPr>
      <w:i/>
    </w:rPr>
  </w:style>
  <w:style w:type="character" w:styleId="105">
    <w:name w:val="footnote reference"/>
    <w:qFormat/>
    <w:locked/>
    <w:uiPriority w:val="0"/>
    <w:rPr>
      <w:vertAlign w:val="superscript"/>
    </w:rPr>
  </w:style>
  <w:style w:type="character" w:styleId="106">
    <w:name w:val="HTML Keyboard"/>
    <w:qFormat/>
    <w:locked/>
    <w:uiPriority w:val="0"/>
    <w:rPr>
      <w:rFonts w:ascii="minorBidi" w:hAnsi="minorBidi"/>
      <w:sz w:val="20"/>
    </w:rPr>
  </w:style>
  <w:style w:type="character" w:styleId="107">
    <w:name w:val="HTML Sample"/>
    <w:qFormat/>
    <w:locked/>
    <w:uiPriority w:val="0"/>
    <w:rPr>
      <w:rFonts w:ascii="minorBidi" w:hAnsi="minorBidi"/>
    </w:rPr>
  </w:style>
  <w:style w:type="paragraph" w:customStyle="1" w:styleId="108">
    <w:name w:val="样式 正文文本缩进 + 行距: 1.5 倍行距"/>
    <w:qFormat/>
    <w:uiPriority w:val="0"/>
    <w:pPr>
      <w:widowControl w:val="0"/>
      <w:spacing w:after="120"/>
      <w:ind w:left="90" w:leftChars="32" w:firstLine="560" w:firstLineChars="200"/>
      <w:jc w:val="both"/>
    </w:pPr>
    <w:rPr>
      <w:rFonts w:ascii="Times New Roman" w:hAnsi="Times New Roman" w:eastAsia="宋体" w:cs="宋体"/>
      <w:kern w:val="2"/>
      <w:sz w:val="21"/>
      <w:szCs w:val="24"/>
      <w:lang w:val="en-US" w:eastAsia="zh-CN" w:bidi="ar-SA"/>
    </w:rPr>
  </w:style>
  <w:style w:type="character" w:customStyle="1" w:styleId="109">
    <w:name w:val="标题 1 Char"/>
    <w:link w:val="3"/>
    <w:qFormat/>
    <w:uiPriority w:val="0"/>
    <w:rPr>
      <w:rFonts w:ascii="宋体" w:hAnsi="宋体" w:eastAsia="黑体" w:cs="宋体"/>
      <w:b/>
      <w:bCs/>
      <w:color w:val="000000"/>
      <w:kern w:val="44"/>
      <w:sz w:val="30"/>
      <w:szCs w:val="30"/>
    </w:rPr>
  </w:style>
  <w:style w:type="character" w:customStyle="1" w:styleId="110">
    <w:name w:val="标题 2 Char"/>
    <w:link w:val="4"/>
    <w:qFormat/>
    <w:uiPriority w:val="0"/>
    <w:rPr>
      <w:rFonts w:ascii="Arial" w:hAnsi="Arial" w:eastAsia="黑体" w:cs="宋体"/>
      <w:b/>
      <w:sz w:val="32"/>
      <w:szCs w:val="24"/>
    </w:rPr>
  </w:style>
  <w:style w:type="character" w:customStyle="1" w:styleId="111">
    <w:name w:val="标题 3 Char"/>
    <w:basedOn w:val="90"/>
    <w:link w:val="5"/>
    <w:qFormat/>
    <w:uiPriority w:val="0"/>
    <w:rPr>
      <w:b/>
      <w:bCs/>
      <w:kern w:val="2"/>
      <w:sz w:val="32"/>
      <w:szCs w:val="32"/>
    </w:rPr>
  </w:style>
  <w:style w:type="character" w:customStyle="1" w:styleId="112">
    <w:name w:val="标题 4 Char"/>
    <w:basedOn w:val="90"/>
    <w:link w:val="6"/>
    <w:qFormat/>
    <w:uiPriority w:val="0"/>
    <w:rPr>
      <w:rFonts w:asciiTheme="majorHAnsi" w:hAnsiTheme="majorHAnsi" w:eastAsiaTheme="majorEastAsia" w:cstheme="majorBidi"/>
      <w:b/>
      <w:bCs/>
      <w:kern w:val="2"/>
      <w:sz w:val="28"/>
      <w:szCs w:val="28"/>
    </w:rPr>
  </w:style>
  <w:style w:type="character" w:customStyle="1" w:styleId="113">
    <w:name w:val="标题 5 Char1"/>
    <w:link w:val="7"/>
    <w:qFormat/>
    <w:uiPriority w:val="0"/>
    <w:rPr>
      <w:b/>
      <w:snapToGrid w:val="0"/>
      <w:sz w:val="28"/>
    </w:rPr>
  </w:style>
  <w:style w:type="character" w:customStyle="1" w:styleId="114">
    <w:name w:val="标题 6 Char"/>
    <w:basedOn w:val="90"/>
    <w:link w:val="8"/>
    <w:qFormat/>
    <w:uiPriority w:val="0"/>
    <w:rPr>
      <w:rFonts w:ascii="Arial" w:hAnsi="Arial" w:eastAsia="Symbol"/>
      <w:b/>
      <w:snapToGrid w:val="0"/>
      <w:sz w:val="24"/>
    </w:rPr>
  </w:style>
  <w:style w:type="character" w:customStyle="1" w:styleId="115">
    <w:name w:val="标题 7 Char"/>
    <w:basedOn w:val="90"/>
    <w:link w:val="9"/>
    <w:qFormat/>
    <w:uiPriority w:val="0"/>
    <w:rPr>
      <w:b/>
      <w:bCs/>
      <w:snapToGrid w:val="0"/>
      <w:sz w:val="24"/>
      <w:szCs w:val="24"/>
    </w:rPr>
  </w:style>
  <w:style w:type="character" w:customStyle="1" w:styleId="116">
    <w:name w:val="标题 8 Char"/>
    <w:basedOn w:val="90"/>
    <w:link w:val="10"/>
    <w:qFormat/>
    <w:uiPriority w:val="0"/>
    <w:rPr>
      <w:rFonts w:ascii="Arial" w:hAnsi="Arial" w:eastAsia="Symbol"/>
      <w:snapToGrid w:val="0"/>
      <w:sz w:val="24"/>
      <w:szCs w:val="24"/>
    </w:rPr>
  </w:style>
  <w:style w:type="character" w:customStyle="1" w:styleId="117">
    <w:name w:val="标题 9 Char"/>
    <w:basedOn w:val="90"/>
    <w:link w:val="11"/>
    <w:qFormat/>
    <w:uiPriority w:val="0"/>
    <w:rPr>
      <w:rFonts w:ascii="Arial" w:hAnsi="Arial" w:eastAsia="Symbol"/>
      <w:snapToGrid w:val="0"/>
      <w:sz w:val="24"/>
      <w:szCs w:val="21"/>
    </w:rPr>
  </w:style>
  <w:style w:type="paragraph" w:customStyle="1" w:styleId="118">
    <w:name w:val="报告表正文"/>
    <w:basedOn w:val="1"/>
    <w:link w:val="119"/>
    <w:qFormat/>
    <w:uiPriority w:val="0"/>
    <w:pPr>
      <w:spacing w:line="360" w:lineRule="auto"/>
      <w:ind w:firstLine="480" w:firstLineChars="200"/>
    </w:pPr>
  </w:style>
  <w:style w:type="character" w:customStyle="1" w:styleId="119">
    <w:name w:val="报告表正文 Char"/>
    <w:basedOn w:val="90"/>
    <w:link w:val="118"/>
    <w:qFormat/>
    <w:uiPriority w:val="0"/>
    <w:rPr>
      <w:kern w:val="2"/>
      <w:sz w:val="24"/>
      <w:szCs w:val="24"/>
    </w:rPr>
  </w:style>
  <w:style w:type="character" w:customStyle="1" w:styleId="120">
    <w:name w:val="正文缩进 Char"/>
    <w:link w:val="21"/>
    <w:qFormat/>
    <w:uiPriority w:val="0"/>
    <w:rPr>
      <w:kern w:val="2"/>
      <w:sz w:val="28"/>
    </w:rPr>
  </w:style>
  <w:style w:type="character" w:customStyle="1" w:styleId="121">
    <w:name w:val="题注 Char"/>
    <w:link w:val="22"/>
    <w:qFormat/>
    <w:uiPriority w:val="0"/>
    <w:rPr>
      <w:rFonts w:ascii="Cambria" w:hAnsi="Cambria" w:eastAsia="黑体"/>
      <w:kern w:val="2"/>
      <w:sz w:val="21"/>
      <w:szCs w:val="24"/>
    </w:rPr>
  </w:style>
  <w:style w:type="character" w:customStyle="1" w:styleId="122">
    <w:name w:val="文档结构图 Char"/>
    <w:basedOn w:val="90"/>
    <w:link w:val="26"/>
    <w:qFormat/>
    <w:uiPriority w:val="0"/>
    <w:rPr>
      <w:rFonts w:ascii="宋体"/>
      <w:kern w:val="2"/>
      <w:sz w:val="18"/>
      <w:szCs w:val="18"/>
    </w:rPr>
  </w:style>
  <w:style w:type="character" w:customStyle="1" w:styleId="123">
    <w:name w:val="批注文字 Char"/>
    <w:link w:val="28"/>
    <w:qFormat/>
    <w:locked/>
    <w:uiPriority w:val="99"/>
    <w:rPr>
      <w:rFonts w:ascii="Times New Roman" w:hAnsi="Times New Roman" w:eastAsia="宋体"/>
      <w:sz w:val="24"/>
    </w:rPr>
  </w:style>
  <w:style w:type="character" w:customStyle="1" w:styleId="124">
    <w:name w:val="正文文本 Char"/>
    <w:link w:val="34"/>
    <w:qFormat/>
    <w:locked/>
    <w:uiPriority w:val="0"/>
    <w:rPr>
      <w:sz w:val="18"/>
    </w:rPr>
  </w:style>
  <w:style w:type="character" w:customStyle="1" w:styleId="125">
    <w:name w:val="正文文本缩进 Char"/>
    <w:link w:val="35"/>
    <w:qFormat/>
    <w:locked/>
    <w:uiPriority w:val="0"/>
    <w:rPr>
      <w:rFonts w:ascii="Times New Roman" w:hAnsi="Times New Roman" w:eastAsia="宋体"/>
      <w:sz w:val="24"/>
    </w:rPr>
  </w:style>
  <w:style w:type="character" w:customStyle="1" w:styleId="126">
    <w:name w:val="纯文本 Char"/>
    <w:link w:val="46"/>
    <w:qFormat/>
    <w:uiPriority w:val="0"/>
    <w:rPr>
      <w:rFonts w:ascii="宋体" w:hAnsi="Courier New" w:cs="宋体"/>
      <w:sz w:val="24"/>
      <w:szCs w:val="24"/>
    </w:rPr>
  </w:style>
  <w:style w:type="character" w:customStyle="1" w:styleId="127">
    <w:name w:val="日期 Char"/>
    <w:link w:val="51"/>
    <w:qFormat/>
    <w:locked/>
    <w:uiPriority w:val="0"/>
    <w:rPr>
      <w:rFonts w:ascii="Times New Roman" w:hAnsi="Times New Roman" w:eastAsia="宋体"/>
      <w:sz w:val="24"/>
    </w:rPr>
  </w:style>
  <w:style w:type="character" w:customStyle="1" w:styleId="128">
    <w:name w:val="正文文本缩进 2 Char"/>
    <w:link w:val="36"/>
    <w:qFormat/>
    <w:uiPriority w:val="0"/>
    <w:rPr>
      <w:rFonts w:ascii="宋体" w:hAnsi="宋体" w:cs="宋体"/>
      <w:sz w:val="28"/>
    </w:rPr>
  </w:style>
  <w:style w:type="character" w:customStyle="1" w:styleId="129">
    <w:name w:val="批注框文本 Char"/>
    <w:link w:val="54"/>
    <w:qFormat/>
    <w:locked/>
    <w:uiPriority w:val="0"/>
    <w:rPr>
      <w:rFonts w:ascii="Times New Roman" w:hAnsi="Times New Roman" w:eastAsia="宋体"/>
      <w:sz w:val="18"/>
    </w:rPr>
  </w:style>
  <w:style w:type="character" w:customStyle="1" w:styleId="130">
    <w:name w:val="页脚 Char"/>
    <w:link w:val="55"/>
    <w:qFormat/>
    <w:locked/>
    <w:uiPriority w:val="99"/>
    <w:rPr>
      <w:sz w:val="18"/>
    </w:rPr>
  </w:style>
  <w:style w:type="character" w:customStyle="1" w:styleId="131">
    <w:name w:val="页眉 Char"/>
    <w:link w:val="57"/>
    <w:qFormat/>
    <w:locked/>
    <w:uiPriority w:val="99"/>
    <w:rPr>
      <w:sz w:val="18"/>
    </w:rPr>
  </w:style>
  <w:style w:type="character" w:customStyle="1" w:styleId="132">
    <w:name w:val="普通(网站) Char"/>
    <w:link w:val="81"/>
    <w:qFormat/>
    <w:locked/>
    <w:uiPriority w:val="0"/>
    <w:rPr>
      <w:rFonts w:ascii="宋体" w:hAnsi="宋体" w:eastAsia="宋体"/>
      <w:sz w:val="24"/>
    </w:rPr>
  </w:style>
  <w:style w:type="character" w:customStyle="1" w:styleId="133">
    <w:name w:val="标题 Char"/>
    <w:link w:val="84"/>
    <w:qFormat/>
    <w:uiPriority w:val="0"/>
    <w:rPr>
      <w:rFonts w:ascii="Cambria" w:hAnsi="Cambria" w:cs="宋体"/>
      <w:b/>
      <w:bCs/>
      <w:sz w:val="32"/>
      <w:szCs w:val="32"/>
    </w:rPr>
  </w:style>
  <w:style w:type="character" w:customStyle="1" w:styleId="134">
    <w:name w:val="批注主题 Char"/>
    <w:link w:val="85"/>
    <w:qFormat/>
    <w:locked/>
    <w:uiPriority w:val="0"/>
    <w:rPr>
      <w:rFonts w:ascii="Times New Roman" w:hAnsi="Times New Roman" w:eastAsia="宋体"/>
      <w:b/>
      <w:kern w:val="2"/>
      <w:sz w:val="24"/>
    </w:rPr>
  </w:style>
  <w:style w:type="character" w:customStyle="1" w:styleId="135">
    <w:name w:val="正文首行缩进 Char"/>
    <w:link w:val="86"/>
    <w:qFormat/>
    <w:uiPriority w:val="0"/>
    <w:rPr>
      <w:rFonts w:ascii="宋体" w:hAnsi="宋体" w:cs="宋体"/>
      <w:sz w:val="18"/>
    </w:rPr>
  </w:style>
  <w:style w:type="character" w:customStyle="1" w:styleId="136">
    <w:name w:val="正文首行缩进 2 Char"/>
    <w:link w:val="87"/>
    <w:qFormat/>
    <w:uiPriority w:val="0"/>
    <w:rPr>
      <w:rFonts w:ascii="宋体" w:hAnsi="宋体" w:cs="宋体"/>
      <w:sz w:val="24"/>
      <w:szCs w:val="24"/>
    </w:rPr>
  </w:style>
  <w:style w:type="paragraph" w:customStyle="1" w:styleId="137">
    <w:name w:val="Default"/>
    <w:basedOn w:val="138"/>
    <w:link w:val="139"/>
    <w:unhideWhenUsed/>
    <w:qFormat/>
    <w:uiPriority w:val="0"/>
    <w:pPr>
      <w:autoSpaceDE w:val="0"/>
      <w:autoSpaceDN w:val="0"/>
    </w:pPr>
    <w:rPr>
      <w:rFonts w:hint="eastAsia" w:hAnsi="宋体"/>
      <w:color w:val="000000"/>
    </w:rPr>
  </w:style>
  <w:style w:type="paragraph" w:customStyle="1" w:styleId="138">
    <w:name w:val="纯文本1"/>
    <w:basedOn w:val="1"/>
    <w:next w:val="46"/>
    <w:qFormat/>
    <w:uiPriority w:val="0"/>
    <w:pPr>
      <w:adjustRightInd w:val="0"/>
    </w:pPr>
    <w:rPr>
      <w:rFonts w:hAnsi="Courier New"/>
      <w:szCs w:val="20"/>
    </w:rPr>
  </w:style>
  <w:style w:type="character" w:customStyle="1" w:styleId="139">
    <w:name w:val="Default Char"/>
    <w:link w:val="137"/>
    <w:qFormat/>
    <w:uiPriority w:val="0"/>
    <w:rPr>
      <w:rFonts w:ascii="宋体" w:hAnsi="宋体"/>
      <w:color w:val="000000"/>
      <w:kern w:val="2"/>
      <w:sz w:val="24"/>
    </w:rPr>
  </w:style>
  <w:style w:type="character" w:customStyle="1" w:styleId="140">
    <w:name w:val="font61"/>
    <w:qFormat/>
    <w:uiPriority w:val="0"/>
    <w:rPr>
      <w:rFonts w:hint="default" w:ascii="Times New Roman" w:hAnsi="Times New Roman" w:cs="Times New Roman"/>
      <w:color w:val="auto"/>
      <w:sz w:val="21"/>
      <w:szCs w:val="21"/>
      <w:u w:val="none"/>
    </w:rPr>
  </w:style>
  <w:style w:type="character" w:customStyle="1" w:styleId="141">
    <w:name w:val="日期 字符"/>
    <w:semiHidden/>
    <w:qFormat/>
    <w:uiPriority w:val="0"/>
    <w:rPr>
      <w:rFonts w:ascii="Times New Roman" w:hAnsi="Times New Roman" w:eastAsia="宋体"/>
      <w:sz w:val="24"/>
    </w:rPr>
  </w:style>
  <w:style w:type="character" w:customStyle="1" w:styleId="142">
    <w:name w:val="正文文本 字符1"/>
    <w:semiHidden/>
    <w:qFormat/>
    <w:uiPriority w:val="0"/>
    <w:rPr>
      <w:rFonts w:ascii="Times New Roman" w:hAnsi="Times New Roman" w:eastAsia="宋体"/>
      <w:sz w:val="24"/>
    </w:rPr>
  </w:style>
  <w:style w:type="character" w:customStyle="1" w:styleId="143">
    <w:name w:val="页脚 字符"/>
    <w:qFormat/>
    <w:uiPriority w:val="99"/>
  </w:style>
  <w:style w:type="character" w:customStyle="1" w:styleId="144">
    <w:name w:val="表格 Char"/>
    <w:link w:val="145"/>
    <w:qFormat/>
    <w:locked/>
    <w:uiPriority w:val="0"/>
    <w:rPr>
      <w:rFonts w:ascii="宋体"/>
      <w:sz w:val="21"/>
    </w:rPr>
  </w:style>
  <w:style w:type="paragraph" w:customStyle="1" w:styleId="145">
    <w:name w:val="表格"/>
    <w:basedOn w:val="146"/>
    <w:next w:val="1"/>
    <w:link w:val="144"/>
    <w:qFormat/>
    <w:uiPriority w:val="0"/>
    <w:pPr>
      <w:adjustRightInd w:val="0"/>
      <w:snapToGrid w:val="0"/>
      <w:spacing w:beforeLines="10" w:afterLines="10" w:line="259" w:lineRule="auto"/>
      <w:jc w:val="center"/>
    </w:pPr>
    <w:rPr>
      <w:sz w:val="21"/>
      <w:szCs w:val="20"/>
    </w:rPr>
  </w:style>
  <w:style w:type="paragraph" w:customStyle="1" w:styleId="146">
    <w:name w:val="Table Paragraph"/>
    <w:basedOn w:val="1"/>
    <w:unhideWhenUsed/>
    <w:qFormat/>
    <w:uiPriority w:val="1"/>
  </w:style>
  <w:style w:type="character" w:customStyle="1" w:styleId="147">
    <w:name w:val="font11"/>
    <w:qFormat/>
    <w:uiPriority w:val="0"/>
    <w:rPr>
      <w:rFonts w:hint="eastAsia" w:ascii="宋体" w:hAnsi="宋体" w:eastAsia="宋体" w:cs="宋体"/>
      <w:color w:val="FF0000"/>
      <w:sz w:val="21"/>
      <w:szCs w:val="21"/>
      <w:u w:val="none"/>
    </w:rPr>
  </w:style>
  <w:style w:type="character" w:customStyle="1" w:styleId="148">
    <w:name w:val="font51"/>
    <w:qFormat/>
    <w:uiPriority w:val="0"/>
    <w:rPr>
      <w:rFonts w:hint="default" w:ascii="Times New Roman" w:hAnsi="Times New Roman" w:cs="Times New Roman"/>
      <w:color w:val="auto"/>
      <w:sz w:val="21"/>
      <w:szCs w:val="21"/>
      <w:u w:val="none"/>
    </w:rPr>
  </w:style>
  <w:style w:type="character" w:customStyle="1" w:styleId="149">
    <w:name w:val="批注文字 字符1"/>
    <w:semiHidden/>
    <w:qFormat/>
    <w:uiPriority w:val="0"/>
    <w:rPr>
      <w:rFonts w:ascii="Times New Roman" w:hAnsi="Times New Roman" w:eastAsia="宋体"/>
      <w:sz w:val="24"/>
    </w:rPr>
  </w:style>
  <w:style w:type="character" w:customStyle="1" w:styleId="150">
    <w:name w:val="font71"/>
    <w:qFormat/>
    <w:uiPriority w:val="0"/>
    <w:rPr>
      <w:rFonts w:hint="eastAsia" w:ascii="宋体" w:hAnsi="宋体" w:eastAsia="宋体" w:cs="宋体"/>
      <w:color w:val="auto"/>
      <w:sz w:val="21"/>
      <w:szCs w:val="21"/>
      <w:u w:val="none"/>
    </w:rPr>
  </w:style>
  <w:style w:type="character" w:customStyle="1" w:styleId="151">
    <w:name w:val="font21"/>
    <w:qFormat/>
    <w:uiPriority w:val="0"/>
    <w:rPr>
      <w:rFonts w:hint="default" w:ascii="Times New Roman" w:hAnsi="Times New Roman" w:cs="Times New Roman"/>
      <w:color w:val="FF0000"/>
      <w:sz w:val="21"/>
      <w:szCs w:val="21"/>
      <w:u w:val="none"/>
    </w:rPr>
  </w:style>
  <w:style w:type="character" w:customStyle="1" w:styleId="152">
    <w:name w:val="正文文本 + Batang25"/>
    <w:qFormat/>
    <w:uiPriority w:val="0"/>
    <w:rPr>
      <w:rFonts w:ascii="Batang" w:hAnsi="宋体" w:eastAsia="Batang" w:cs="Batang"/>
      <w:sz w:val="22"/>
      <w:szCs w:val="22"/>
      <w:u w:val="none"/>
      <w:lang w:val="en-US" w:eastAsia="en-US"/>
    </w:rPr>
  </w:style>
  <w:style w:type="paragraph" w:customStyle="1" w:styleId="153">
    <w:name w:val="无间隔1"/>
    <w:qFormat/>
    <w:uiPriority w:val="0"/>
    <w:pPr>
      <w:jc w:val="center"/>
    </w:pPr>
    <w:rPr>
      <w:rFonts w:ascii="Times New Roman" w:hAnsi="Times New Roman" w:eastAsia="宋体" w:cs="Times New Roman"/>
      <w:kern w:val="2"/>
      <w:sz w:val="21"/>
      <w:szCs w:val="22"/>
      <w:lang w:val="en-US" w:eastAsia="zh-CN" w:bidi="ar-SA"/>
    </w:rPr>
  </w:style>
  <w:style w:type="paragraph" w:customStyle="1" w:styleId="154">
    <w:name w:val="表格标题"/>
    <w:basedOn w:val="1"/>
    <w:qFormat/>
    <w:uiPriority w:val="0"/>
    <w:pPr>
      <w:adjustRightInd w:val="0"/>
      <w:snapToGrid w:val="0"/>
      <w:spacing w:line="300" w:lineRule="auto"/>
      <w:jc w:val="center"/>
      <w:outlineLvl w:val="3"/>
    </w:pPr>
    <w:rPr>
      <w:rFonts w:eastAsia="黑体"/>
      <w:szCs w:val="21"/>
    </w:rPr>
  </w:style>
  <w:style w:type="paragraph" w:customStyle="1" w:styleId="15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56">
    <w:name w:val="图表标题"/>
    <w:basedOn w:val="1"/>
    <w:link w:val="157"/>
    <w:qFormat/>
    <w:uiPriority w:val="0"/>
    <w:pPr>
      <w:jc w:val="center"/>
    </w:pPr>
    <w:rPr>
      <w:b/>
      <w:szCs w:val="21"/>
    </w:rPr>
  </w:style>
  <w:style w:type="character" w:customStyle="1" w:styleId="157">
    <w:name w:val="图表标题 Char Char"/>
    <w:link w:val="156"/>
    <w:qFormat/>
    <w:uiPriority w:val="0"/>
    <w:rPr>
      <w:rFonts w:ascii="宋体" w:hAnsi="宋体" w:cs="宋体"/>
      <w:b/>
      <w:sz w:val="24"/>
      <w:szCs w:val="21"/>
    </w:rPr>
  </w:style>
  <w:style w:type="paragraph" w:customStyle="1" w:styleId="158">
    <w:name w:val="普通(网站)2"/>
    <w:basedOn w:val="1"/>
    <w:qFormat/>
    <w:uiPriority w:val="0"/>
    <w:pPr>
      <w:spacing w:before="100" w:beforeAutospacing="1" w:after="100" w:afterAutospacing="1"/>
    </w:pPr>
    <w:rPr>
      <w:szCs w:val="20"/>
    </w:rPr>
  </w:style>
  <w:style w:type="paragraph" w:customStyle="1" w:styleId="159">
    <w:name w:val="样式 样式 样式 首行缩进:  2 字符 + 首行缩进:  2 字符 + 首行缩进:  2 字符"/>
    <w:basedOn w:val="1"/>
    <w:qFormat/>
    <w:uiPriority w:val="0"/>
    <w:pPr>
      <w:spacing w:line="360" w:lineRule="auto"/>
    </w:pPr>
    <w:rPr>
      <w:rFonts w:ascii="Arial" w:hAnsi="Arial" w:eastAsia="新宋体"/>
      <w:szCs w:val="20"/>
    </w:rPr>
  </w:style>
  <w:style w:type="paragraph" w:customStyle="1" w:styleId="160">
    <w:name w:val="图号"/>
    <w:next w:val="161"/>
    <w:qFormat/>
    <w:uiPriority w:val="0"/>
    <w:pPr>
      <w:widowControl w:val="0"/>
      <w:spacing w:line="529" w:lineRule="exact"/>
      <w:ind w:left="198"/>
    </w:pPr>
    <w:rPr>
      <w:rFonts w:ascii="宋体" w:hAnsi="Times New Roman" w:eastAsia="宋体" w:cs="Times New Roman"/>
      <w:b/>
      <w:sz w:val="24"/>
      <w:lang w:val="en-US" w:eastAsia="zh-CN" w:bidi="ar-SA"/>
    </w:rPr>
  </w:style>
  <w:style w:type="paragraph" w:customStyle="1" w:styleId="161">
    <w:name w:val="Char Char Char Char Char Char Char Char Char Char Char Char Char Char Char Char Char Char Char Char Char Char"/>
    <w:basedOn w:val="1"/>
    <w:next w:val="1"/>
    <w:qFormat/>
    <w:uiPriority w:val="0"/>
    <w:pPr>
      <w:spacing w:line="360" w:lineRule="auto"/>
      <w:ind w:firstLine="200"/>
    </w:pPr>
  </w:style>
  <w:style w:type="paragraph" w:customStyle="1" w:styleId="162">
    <w:name w:val="表内样式"/>
    <w:basedOn w:val="1"/>
    <w:qFormat/>
    <w:uiPriority w:val="0"/>
    <w:pPr>
      <w:jc w:val="center"/>
    </w:pPr>
    <w:rPr>
      <w:szCs w:val="22"/>
    </w:rPr>
  </w:style>
  <w:style w:type="paragraph" w:customStyle="1" w:styleId="163">
    <w:name w:val="！正文"/>
    <w:basedOn w:val="1"/>
    <w:qFormat/>
    <w:uiPriority w:val="0"/>
    <w:pPr>
      <w:ind w:firstLine="480"/>
    </w:pPr>
    <w:rPr>
      <w:rFonts w:ascii="華康細圓體" w:hAnsi="華康細圓體"/>
      <w:szCs w:val="20"/>
    </w:rPr>
  </w:style>
  <w:style w:type="paragraph" w:customStyle="1" w:styleId="164">
    <w:name w:val="p0"/>
    <w:basedOn w:val="1"/>
    <w:qFormat/>
    <w:uiPriority w:val="0"/>
    <w:pPr>
      <w:spacing w:before="100" w:beforeAutospacing="1" w:after="100" w:afterAutospacing="1"/>
    </w:pPr>
    <w:rPr>
      <w:rFonts w:hint="eastAsia"/>
    </w:rPr>
  </w:style>
  <w:style w:type="paragraph" w:customStyle="1" w:styleId="165">
    <w:name w:val="表格内容居中"/>
    <w:qFormat/>
    <w:uiPriority w:val="0"/>
    <w:pPr>
      <w:adjustRightInd w:val="0"/>
      <w:snapToGrid w:val="0"/>
      <w:jc w:val="center"/>
    </w:pPr>
    <w:rPr>
      <w:rFonts w:ascii="Calibri" w:hAnsi="Calibri" w:eastAsia="宋体" w:cs="Times New Roman"/>
      <w:snapToGrid w:val="0"/>
      <w:sz w:val="21"/>
      <w:szCs w:val="21"/>
      <w:lang w:val="en-US" w:eastAsia="zh-CN" w:bidi="ar-SA"/>
    </w:rPr>
  </w:style>
  <w:style w:type="paragraph" w:customStyle="1" w:styleId="166">
    <w:name w:val="标准正文"/>
    <w:basedOn w:val="1"/>
    <w:qFormat/>
    <w:uiPriority w:val="0"/>
    <w:pPr>
      <w:spacing w:line="360" w:lineRule="auto"/>
      <w:ind w:firstLine="480" w:firstLineChars="200"/>
    </w:pPr>
  </w:style>
  <w:style w:type="paragraph" w:customStyle="1" w:styleId="167">
    <w:name w:val="表格首行"/>
    <w:basedOn w:val="159"/>
    <w:qFormat/>
    <w:uiPriority w:val="0"/>
    <w:pPr>
      <w:adjustRightInd w:val="0"/>
      <w:snapToGrid w:val="0"/>
      <w:spacing w:line="240" w:lineRule="auto"/>
      <w:jc w:val="center"/>
    </w:pPr>
    <w:rPr>
      <w:rFonts w:ascii="Times New Roman" w:hAnsi="Times New Roman" w:eastAsia="宋体"/>
      <w:b/>
      <w:sz w:val="21"/>
    </w:rPr>
  </w:style>
  <w:style w:type="paragraph" w:customStyle="1" w:styleId="168">
    <w:name w:val="报告书正文"/>
    <w:basedOn w:val="1"/>
    <w:qFormat/>
    <w:uiPriority w:val="0"/>
    <w:pPr>
      <w:spacing w:after="60" w:line="500" w:lineRule="exact"/>
      <w:ind w:firstLine="200" w:firstLineChars="200"/>
    </w:pPr>
  </w:style>
  <w:style w:type="paragraph" w:customStyle="1" w:styleId="169">
    <w:name w:val="样式 样式 样式 首行缩进:  1 字符 + 首行缩进:  2 字符1 + 首行缩进:  2 字符2"/>
    <w:basedOn w:val="1"/>
    <w:qFormat/>
    <w:uiPriority w:val="0"/>
    <w:pPr>
      <w:spacing w:line="360" w:lineRule="auto"/>
      <w:ind w:firstLine="480" w:firstLineChars="200"/>
    </w:pPr>
  </w:style>
  <w:style w:type="paragraph" w:customStyle="1" w:styleId="170">
    <w:name w:val="样式 标题 2 + 宋体"/>
    <w:basedOn w:val="163"/>
    <w:qFormat/>
    <w:uiPriority w:val="0"/>
    <w:rPr>
      <w:rFonts w:ascii="宋体" w:hAnsi="宋体"/>
      <w:sz w:val="30"/>
    </w:rPr>
  </w:style>
  <w:style w:type="paragraph" w:customStyle="1" w:styleId="171">
    <w:name w:val="正文_4"/>
    <w:qFormat/>
    <w:uiPriority w:val="0"/>
    <w:pPr>
      <w:widowControl w:val="0"/>
      <w:jc w:val="both"/>
    </w:pPr>
    <w:rPr>
      <w:rFonts w:ascii="Calibri" w:hAnsi="Calibri" w:eastAsia="宋体" w:cs="Times New Roman"/>
      <w:kern w:val="2"/>
      <w:sz w:val="21"/>
      <w:lang w:val="en-US" w:eastAsia="zh-CN" w:bidi="ar-SA"/>
    </w:rPr>
  </w:style>
  <w:style w:type="paragraph" w:customStyle="1" w:styleId="172">
    <w:name w:val="永环书正文"/>
    <w:basedOn w:val="1"/>
    <w:qFormat/>
    <w:uiPriority w:val="0"/>
    <w:pPr>
      <w:spacing w:beforeLines="20" w:afterLines="20" w:line="360" w:lineRule="auto"/>
      <w:ind w:firstLine="200" w:firstLineChars="200"/>
    </w:pPr>
  </w:style>
  <w:style w:type="paragraph" w:customStyle="1" w:styleId="173">
    <w:name w:val="报告书内容"/>
    <w:basedOn w:val="1"/>
    <w:qFormat/>
    <w:uiPriority w:val="0"/>
    <w:pPr>
      <w:ind w:firstLine="200" w:firstLineChars="200"/>
    </w:pPr>
  </w:style>
  <w:style w:type="paragraph" w:customStyle="1" w:styleId="174">
    <w:name w:val="表题"/>
    <w:basedOn w:val="175"/>
    <w:link w:val="177"/>
    <w:qFormat/>
    <w:uiPriority w:val="0"/>
    <w:pPr>
      <w:spacing w:beforeLines="20" w:afterLines="20" w:line="240" w:lineRule="auto"/>
      <w:ind w:firstLine="0" w:firstLineChars="0"/>
      <w:jc w:val="center"/>
    </w:pPr>
    <w:rPr>
      <w:b/>
    </w:rPr>
  </w:style>
  <w:style w:type="paragraph" w:customStyle="1" w:styleId="175">
    <w:name w:val="报告正文"/>
    <w:basedOn w:val="1"/>
    <w:link w:val="176"/>
    <w:qFormat/>
    <w:uiPriority w:val="0"/>
    <w:pPr>
      <w:spacing w:line="360" w:lineRule="auto"/>
      <w:ind w:firstLine="1040" w:firstLineChars="200"/>
    </w:pPr>
  </w:style>
  <w:style w:type="character" w:customStyle="1" w:styleId="176">
    <w:name w:val="报告正文 Char"/>
    <w:link w:val="175"/>
    <w:qFormat/>
    <w:uiPriority w:val="0"/>
    <w:rPr>
      <w:rFonts w:ascii="宋体" w:hAnsi="宋体" w:cs="宋体"/>
      <w:sz w:val="24"/>
      <w:szCs w:val="24"/>
    </w:rPr>
  </w:style>
  <w:style w:type="character" w:customStyle="1" w:styleId="177">
    <w:name w:val="表题 Char Char"/>
    <w:link w:val="174"/>
    <w:qFormat/>
    <w:uiPriority w:val="0"/>
    <w:rPr>
      <w:rFonts w:ascii="宋体" w:hAnsi="宋体" w:cs="宋体"/>
      <w:b/>
      <w:sz w:val="24"/>
      <w:szCs w:val="24"/>
    </w:rPr>
  </w:style>
  <w:style w:type="paragraph" w:customStyle="1" w:styleId="178">
    <w:name w:val="文章正文样式"/>
    <w:basedOn w:val="1"/>
    <w:qFormat/>
    <w:uiPriority w:val="0"/>
    <w:pPr>
      <w:spacing w:line="520" w:lineRule="exact"/>
      <w:ind w:firstLine="480" w:firstLineChars="200"/>
    </w:pPr>
  </w:style>
  <w:style w:type="paragraph" w:customStyle="1" w:styleId="179">
    <w:name w:val="样式 小四 行距: 固定值 28 磅 首行缩进:  2 字符"/>
    <w:basedOn w:val="1"/>
    <w:qFormat/>
    <w:uiPriority w:val="0"/>
    <w:pPr>
      <w:spacing w:line="360" w:lineRule="auto"/>
      <w:ind w:firstLine="443" w:firstLineChars="200"/>
    </w:pPr>
    <w:rPr>
      <w:snapToGrid w:val="0"/>
      <w:color w:val="FF0000"/>
      <w:szCs w:val="20"/>
    </w:rPr>
  </w:style>
  <w:style w:type="paragraph" w:customStyle="1" w:styleId="180">
    <w:name w:val="四级标题"/>
    <w:basedOn w:val="1"/>
    <w:link w:val="181"/>
    <w:qFormat/>
    <w:uiPriority w:val="0"/>
    <w:pPr>
      <w:outlineLvl w:val="3"/>
    </w:pPr>
    <w:rPr>
      <w:b/>
    </w:rPr>
  </w:style>
  <w:style w:type="character" w:customStyle="1" w:styleId="181">
    <w:name w:val="四级标题 Char"/>
    <w:link w:val="180"/>
    <w:qFormat/>
    <w:uiPriority w:val="0"/>
    <w:rPr>
      <w:rFonts w:ascii="宋体" w:hAnsi="宋体" w:cs="宋体"/>
      <w:b/>
      <w:sz w:val="24"/>
      <w:szCs w:val="24"/>
    </w:rPr>
  </w:style>
  <w:style w:type="paragraph" w:customStyle="1" w:styleId="182">
    <w:name w:val="样式 标题 2 + 首行缩进:  2 字符"/>
    <w:basedOn w:val="4"/>
    <w:next w:val="160"/>
    <w:qFormat/>
    <w:uiPriority w:val="0"/>
    <w:pPr>
      <w:spacing w:before="0" w:after="0" w:line="300" w:lineRule="auto"/>
      <w:ind w:left="1320" w:hanging="420"/>
    </w:pPr>
    <w:rPr>
      <w:rFonts w:ascii="Times New Roman"/>
      <w:b w:val="0"/>
      <w:sz w:val="30"/>
    </w:rPr>
  </w:style>
  <w:style w:type="paragraph" w:customStyle="1" w:styleId="183">
    <w:name w:val="样式6"/>
    <w:link w:val="184"/>
    <w:qFormat/>
    <w:uiPriority w:val="0"/>
    <w:pPr>
      <w:widowControl w:val="0"/>
      <w:snapToGrid w:val="0"/>
      <w:spacing w:beforeLines="50" w:afterLines="50" w:line="360" w:lineRule="auto"/>
      <w:ind w:firstLine="480" w:firstLineChars="200"/>
      <w:jc w:val="both"/>
    </w:pPr>
    <w:rPr>
      <w:rFonts w:ascii="Times New Roman" w:hAnsi="Times New Roman" w:eastAsia="宋体" w:cs="Times New Roman"/>
      <w:color w:val="000000"/>
      <w:sz w:val="24"/>
      <w:lang w:val="en-US" w:eastAsia="zh-CN" w:bidi="ar-SA"/>
    </w:rPr>
  </w:style>
  <w:style w:type="character" w:customStyle="1" w:styleId="184">
    <w:name w:val="样式6 Char"/>
    <w:link w:val="183"/>
    <w:qFormat/>
    <w:uiPriority w:val="0"/>
    <w:rPr>
      <w:color w:val="000000"/>
      <w:sz w:val="24"/>
    </w:rPr>
  </w:style>
  <w:style w:type="paragraph" w:customStyle="1" w:styleId="185">
    <w:name w:val="1表格正文"/>
    <w:basedOn w:val="1"/>
    <w:qFormat/>
    <w:uiPriority w:val="0"/>
    <w:pPr>
      <w:adjustRightInd w:val="0"/>
      <w:snapToGrid w:val="0"/>
      <w:jc w:val="center"/>
    </w:pPr>
  </w:style>
  <w:style w:type="paragraph" w:customStyle="1" w:styleId="186">
    <w:name w:val="Char Char1 Char Char Char Char Char Char Char Char Char Char Char Char Char Char Char Char Char Char Char Char1 Char"/>
    <w:basedOn w:val="1"/>
    <w:qFormat/>
    <w:uiPriority w:val="0"/>
    <w:pPr>
      <w:spacing w:line="360" w:lineRule="auto"/>
      <w:ind w:firstLine="200" w:firstLineChars="200"/>
    </w:pPr>
  </w:style>
  <w:style w:type="paragraph" w:customStyle="1" w:styleId="187">
    <w:name w:val="样式1"/>
    <w:link w:val="188"/>
    <w:qFormat/>
    <w:uiPriority w:val="0"/>
    <w:pPr>
      <w:widowControl w:val="0"/>
      <w:spacing w:line="600" w:lineRule="exact"/>
      <w:ind w:firstLine="560" w:firstLineChars="200"/>
    </w:pPr>
    <w:rPr>
      <w:rFonts w:ascii="宋体" w:hAnsi="宋体" w:eastAsia="宋体" w:cs="Times New Roman"/>
      <w:kern w:val="2"/>
      <w:sz w:val="28"/>
      <w:szCs w:val="28"/>
      <w:lang w:val="en-US" w:eastAsia="zh-CN" w:bidi="ar-SA"/>
    </w:rPr>
  </w:style>
  <w:style w:type="character" w:customStyle="1" w:styleId="188">
    <w:name w:val="样式1 Char"/>
    <w:link w:val="187"/>
    <w:qFormat/>
    <w:uiPriority w:val="0"/>
    <w:rPr>
      <w:rFonts w:ascii="宋体" w:hAnsi="宋体"/>
      <w:kern w:val="2"/>
      <w:sz w:val="28"/>
      <w:szCs w:val="28"/>
    </w:rPr>
  </w:style>
  <w:style w:type="paragraph" w:customStyle="1" w:styleId="189">
    <w:name w:val="图片表格标题"/>
    <w:basedOn w:val="84"/>
    <w:qFormat/>
    <w:uiPriority w:val="0"/>
    <w:pPr>
      <w:spacing w:before="0" w:after="0"/>
      <w:outlineLvl w:val="4"/>
    </w:pPr>
    <w:rPr>
      <w:rFonts w:ascii="Times New Roman" w:hAnsi="Times New Roman"/>
      <w:sz w:val="24"/>
    </w:rPr>
  </w:style>
  <w:style w:type="paragraph" w:styleId="190">
    <w:name w:val="No Spacing"/>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91">
    <w:name w:val="表格数字"/>
    <w:basedOn w:val="1"/>
    <w:qFormat/>
    <w:uiPriority w:val="0"/>
    <w:pPr>
      <w:spacing w:line="360" w:lineRule="exact"/>
      <w:jc w:val="center"/>
    </w:pPr>
    <w:rPr>
      <w:rFonts w:ascii="Arial" w:hAnsi="Arial"/>
    </w:rPr>
  </w:style>
  <w:style w:type="paragraph" w:customStyle="1" w:styleId="192">
    <w:name w:val="表格加粗"/>
    <w:basedOn w:val="193"/>
    <w:qFormat/>
    <w:uiPriority w:val="0"/>
    <w:rPr>
      <w:b/>
    </w:rPr>
  </w:style>
  <w:style w:type="paragraph" w:customStyle="1" w:styleId="193">
    <w:name w:val="表格内容"/>
    <w:basedOn w:val="22"/>
    <w:link w:val="194"/>
    <w:qFormat/>
    <w:uiPriority w:val="0"/>
    <w:pPr>
      <w:spacing w:line="360" w:lineRule="auto"/>
      <w:jc w:val="center"/>
    </w:pPr>
    <w:rPr>
      <w:rFonts w:ascii="宋体" w:hAnsi="Calibri" w:eastAsia="宋体" w:cs="Times New Roman"/>
      <w:sz w:val="21"/>
    </w:rPr>
  </w:style>
  <w:style w:type="character" w:customStyle="1" w:styleId="194">
    <w:name w:val="表格内容 Char Char"/>
    <w:link w:val="193"/>
    <w:qFormat/>
    <w:uiPriority w:val="0"/>
    <w:rPr>
      <w:rFonts w:ascii="宋体" w:hAnsi="Calibri"/>
      <w:sz w:val="21"/>
    </w:rPr>
  </w:style>
  <w:style w:type="paragraph" w:customStyle="1" w:styleId="195">
    <w:name w:val="正文1"/>
    <w:qFormat/>
    <w:uiPriority w:val="0"/>
    <w:pPr>
      <w:widowControl w:val="0"/>
      <w:jc w:val="both"/>
    </w:pPr>
    <w:rPr>
      <w:rFonts w:ascii="Calibri" w:hAnsi="Calibri" w:eastAsia="宋体" w:cs="Times New Roman"/>
      <w:kern w:val="2"/>
      <w:sz w:val="21"/>
      <w:szCs w:val="28"/>
      <w:lang w:val="en-US" w:eastAsia="zh-CN" w:bidi="ar-SA"/>
    </w:rPr>
  </w:style>
  <w:style w:type="paragraph" w:customStyle="1" w:styleId="196">
    <w:name w:val="Body Text 21"/>
    <w:basedOn w:val="1"/>
    <w:qFormat/>
    <w:uiPriority w:val="0"/>
    <w:pPr>
      <w:autoSpaceDE w:val="0"/>
      <w:autoSpaceDN w:val="0"/>
      <w:adjustRightInd w:val="0"/>
      <w:spacing w:line="480" w:lineRule="exact"/>
      <w:ind w:firstLine="540"/>
    </w:pPr>
    <w:rPr>
      <w:rFonts w:hint="eastAsia" w:hAnsi="Tms Rmn"/>
      <w:szCs w:val="20"/>
    </w:rPr>
  </w:style>
  <w:style w:type="table" w:customStyle="1" w:styleId="197">
    <w:name w:val="网格型3"/>
    <w:basedOn w:val="88"/>
    <w:qFormat/>
    <w:uiPriority w:val="0"/>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98">
    <w:name w:val="网格型4"/>
    <w:basedOn w:val="88"/>
    <w:qFormat/>
    <w:uiPriority w:val="0"/>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99">
    <w:name w:val="_Style 30"/>
    <w:qFormat/>
    <w:uiPriority w:val="0"/>
    <w:pPr>
      <w:widowControl w:val="0"/>
      <w:spacing w:line="360" w:lineRule="auto"/>
      <w:ind w:firstLine="420"/>
      <w:jc w:val="both"/>
    </w:pPr>
    <w:rPr>
      <w:rFonts w:ascii="Times New Roman" w:hAnsi="Times New Roman" w:eastAsia="宋体" w:cs="Times New Roman"/>
      <w:kern w:val="1"/>
      <w:sz w:val="24"/>
      <w:szCs w:val="24"/>
      <w:lang w:val="en-US" w:eastAsia="zh-CN" w:bidi="ar-SA"/>
    </w:rPr>
  </w:style>
  <w:style w:type="paragraph" w:styleId="200">
    <w:name w:val="List Paragraph"/>
    <w:basedOn w:val="1"/>
    <w:qFormat/>
    <w:uiPriority w:val="34"/>
    <w:pPr>
      <w:ind w:firstLine="420" w:firstLineChars="200"/>
    </w:pPr>
  </w:style>
  <w:style w:type="paragraph" w:customStyle="1" w:styleId="201">
    <w:name w:val="表格文字！！！！"/>
    <w:basedOn w:val="1"/>
    <w:qFormat/>
    <w:uiPriority w:val="0"/>
    <w:pPr>
      <w:jc w:val="center"/>
    </w:pPr>
    <w:rPr>
      <w:rFonts w:ascii="Calibri" w:hAnsi="Calibri"/>
      <w:szCs w:val="20"/>
    </w:rPr>
  </w:style>
  <w:style w:type="character" w:customStyle="1" w:styleId="202">
    <w:name w:val="自1 正文(小四-1.5倍) Char"/>
    <w:link w:val="203"/>
    <w:qFormat/>
    <w:uiPriority w:val="0"/>
    <w:rPr>
      <w:sz w:val="24"/>
      <w:szCs w:val="24"/>
    </w:rPr>
  </w:style>
  <w:style w:type="paragraph" w:customStyle="1" w:styleId="203">
    <w:name w:val="自1 正文(小四-1.5倍)"/>
    <w:basedOn w:val="1"/>
    <w:link w:val="202"/>
    <w:qFormat/>
    <w:uiPriority w:val="0"/>
    <w:pPr>
      <w:adjustRightInd w:val="0"/>
      <w:snapToGrid w:val="0"/>
      <w:spacing w:line="360" w:lineRule="auto"/>
      <w:ind w:firstLine="480" w:firstLineChars="200"/>
    </w:pPr>
  </w:style>
  <w:style w:type="character" w:customStyle="1" w:styleId="204">
    <w:name w:val="小四 间距1.5 缩进2 Char Char"/>
    <w:link w:val="205"/>
    <w:qFormat/>
    <w:uiPriority w:val="0"/>
    <w:rPr>
      <w:kern w:val="2"/>
      <w:sz w:val="24"/>
      <w:szCs w:val="24"/>
    </w:rPr>
  </w:style>
  <w:style w:type="paragraph" w:customStyle="1" w:styleId="205">
    <w:name w:val="小四 间距1.5 缩进2"/>
    <w:basedOn w:val="1"/>
    <w:link w:val="204"/>
    <w:qFormat/>
    <w:uiPriority w:val="0"/>
    <w:pPr>
      <w:spacing w:line="360" w:lineRule="auto"/>
      <w:ind w:firstLine="415" w:firstLineChars="173"/>
    </w:pPr>
  </w:style>
  <w:style w:type="character" w:customStyle="1" w:styleId="206">
    <w:name w:val="自2-表格标题--小四-无首行缩进-单倍行距 Char"/>
    <w:link w:val="207"/>
    <w:qFormat/>
    <w:uiPriority w:val="0"/>
    <w:rPr>
      <w:bCs/>
      <w:kern w:val="2"/>
      <w:sz w:val="24"/>
      <w:szCs w:val="24"/>
    </w:rPr>
  </w:style>
  <w:style w:type="paragraph" w:customStyle="1" w:styleId="207">
    <w:name w:val="自2-表格标题--小四-无首行缩进-单倍行距"/>
    <w:basedOn w:val="1"/>
    <w:link w:val="206"/>
    <w:qFormat/>
    <w:uiPriority w:val="0"/>
    <w:pPr>
      <w:adjustRightInd w:val="0"/>
      <w:snapToGrid w:val="0"/>
      <w:jc w:val="center"/>
    </w:pPr>
    <w:rPr>
      <w:bCs/>
    </w:rPr>
  </w:style>
  <w:style w:type="paragraph" w:customStyle="1" w:styleId="208">
    <w:name w:val="0HP 正文 文本"/>
    <w:basedOn w:val="1"/>
    <w:qFormat/>
    <w:uiPriority w:val="0"/>
    <w:pPr>
      <w:spacing w:line="360" w:lineRule="auto"/>
      <w:ind w:firstLine="480" w:firstLineChars="200"/>
    </w:pPr>
    <w:rPr>
      <w:rFonts w:ascii="Calibri" w:hAnsi="Calibri"/>
      <w:szCs w:val="20"/>
    </w:rPr>
  </w:style>
  <w:style w:type="paragraph" w:customStyle="1" w:styleId="209">
    <w:name w:val="A表格（中文）"/>
    <w:basedOn w:val="1"/>
    <w:next w:val="1"/>
    <w:qFormat/>
    <w:uiPriority w:val="0"/>
    <w:pPr>
      <w:jc w:val="center"/>
    </w:pPr>
    <w:rPr>
      <w:color w:val="000000"/>
      <w:szCs w:val="21"/>
    </w:rPr>
  </w:style>
  <w:style w:type="table" w:customStyle="1" w:styleId="210">
    <w:name w:val="TT表格格式"/>
    <w:basedOn w:val="88"/>
    <w:qFormat/>
    <w:uiPriority w:val="0"/>
    <w:pPr>
      <w:jc w:val="center"/>
    </w:pPr>
    <w:rPr>
      <w:sz w:val="21"/>
    </w:rPr>
    <w:tblPr>
      <w:jc w:val="cente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paragraph" w:customStyle="1" w:styleId="211">
    <w:name w:val="自3--表格内容"/>
    <w:basedOn w:val="1"/>
    <w:link w:val="212"/>
    <w:qFormat/>
    <w:uiPriority w:val="0"/>
    <w:pPr>
      <w:jc w:val="center"/>
    </w:pPr>
  </w:style>
  <w:style w:type="character" w:customStyle="1" w:styleId="212">
    <w:name w:val="自3--表格内容 Char"/>
    <w:basedOn w:val="90"/>
    <w:link w:val="211"/>
    <w:qFormat/>
    <w:uiPriority w:val="0"/>
    <w:rPr>
      <w:kern w:val="2"/>
      <w:sz w:val="21"/>
      <w:szCs w:val="24"/>
    </w:rPr>
  </w:style>
  <w:style w:type="character" w:customStyle="1" w:styleId="213">
    <w:name w:val="普通(网站) Char1"/>
    <w:qFormat/>
    <w:locked/>
    <w:uiPriority w:val="0"/>
    <w:rPr>
      <w:rFonts w:ascii="宋体" w:hAnsi="宋体" w:eastAsia="宋体"/>
      <w:sz w:val="24"/>
    </w:rPr>
  </w:style>
  <w:style w:type="table" w:customStyle="1" w:styleId="214">
    <w:name w:val="表格样式2"/>
    <w:basedOn w:val="88"/>
    <w:qFormat/>
    <w:uiPriority w:val="0"/>
    <w:pPr>
      <w:jc w:val="center"/>
    </w:pPr>
    <w:rPr>
      <w:sz w:val="21"/>
    </w:rPr>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cPr>
      <w:vAlign w:val="center"/>
    </w:tcPr>
  </w:style>
  <w:style w:type="character" w:customStyle="1" w:styleId="215">
    <w:name w:val="正文文本 (2) + Times New Roman"/>
    <w:qFormat/>
    <w:uiPriority w:val="0"/>
    <w:rPr>
      <w:rFonts w:ascii="Times New Roman" w:hAnsi="Times New Roman" w:eastAsia="Times New Roman" w:cs="Times New Roman"/>
      <w:color w:val="000000"/>
      <w:spacing w:val="0"/>
      <w:w w:val="100"/>
      <w:position w:val="0"/>
      <w:sz w:val="26"/>
      <w:szCs w:val="26"/>
      <w:u w:val="none"/>
      <w:lang w:val="en-US" w:eastAsia="en-US" w:bidi="en-US"/>
    </w:rPr>
  </w:style>
  <w:style w:type="paragraph" w:customStyle="1" w:styleId="216">
    <w:name w:val="样式 样式 样式 首行缩进:  0 厘米 + 居中 +"/>
    <w:basedOn w:val="1"/>
    <w:qFormat/>
    <w:uiPriority w:val="0"/>
    <w:pPr>
      <w:tabs>
        <w:tab w:val="left" w:pos="1890"/>
      </w:tabs>
      <w:adjustRightInd w:val="0"/>
      <w:snapToGrid w:val="0"/>
      <w:spacing w:after="160" w:line="360" w:lineRule="auto"/>
      <w:ind w:firstLine="200" w:firstLineChars="200"/>
      <w:jc w:val="center"/>
    </w:pPr>
    <w:rPr>
      <w:bCs/>
      <w:spacing w:val="8"/>
      <w:sz w:val="18"/>
      <w:szCs w:val="18"/>
    </w:rPr>
  </w:style>
  <w:style w:type="paragraph" w:customStyle="1" w:styleId="217">
    <w:name w:val="表格表头"/>
    <w:basedOn w:val="1"/>
    <w:next w:val="1"/>
    <w:qFormat/>
    <w:uiPriority w:val="0"/>
    <w:pPr>
      <w:keepNext/>
      <w:widowControl w:val="0"/>
      <w:adjustRightInd w:val="0"/>
      <w:snapToGrid w:val="0"/>
      <w:spacing w:after="160" w:line="360" w:lineRule="auto"/>
      <w:jc w:val="center"/>
    </w:pPr>
    <w:rPr>
      <w:rFonts w:ascii="Times New Roman" w:hAnsi="Times New Roman" w:cs="Times New Roman"/>
      <w:b/>
      <w:sz w:val="28"/>
      <w:szCs w:val="20"/>
    </w:rPr>
  </w:style>
  <w:style w:type="character" w:customStyle="1" w:styleId="218">
    <w:name w:val="标题 5 Char"/>
    <w:basedOn w:val="90"/>
    <w:qFormat/>
    <w:uiPriority w:val="0"/>
    <w:rPr>
      <w:rFonts w:ascii="宋体" w:hAnsi="宋体" w:cs="宋体"/>
      <w:b/>
      <w:bCs/>
      <w:sz w:val="28"/>
      <w:szCs w:val="28"/>
    </w:rPr>
  </w:style>
  <w:style w:type="character" w:customStyle="1" w:styleId="219">
    <w:name w:val="宏文本 Char"/>
    <w:basedOn w:val="90"/>
    <w:link w:val="2"/>
    <w:qFormat/>
    <w:uiPriority w:val="99"/>
    <w:rPr>
      <w:rFonts w:ascii="Courier New" w:hAnsi="Courier New"/>
      <w:kern w:val="2"/>
      <w:sz w:val="24"/>
      <w:szCs w:val="24"/>
    </w:rPr>
  </w:style>
  <w:style w:type="character" w:customStyle="1" w:styleId="220">
    <w:name w:val="注释标题 Char"/>
    <w:basedOn w:val="90"/>
    <w:link w:val="16"/>
    <w:qFormat/>
    <w:uiPriority w:val="0"/>
    <w:rPr>
      <w:kern w:val="2"/>
      <w:sz w:val="24"/>
    </w:rPr>
  </w:style>
  <w:style w:type="character" w:customStyle="1" w:styleId="221">
    <w:name w:val="电子邮件签名 Char"/>
    <w:basedOn w:val="90"/>
    <w:link w:val="19"/>
    <w:qFormat/>
    <w:uiPriority w:val="0"/>
    <w:rPr>
      <w:kern w:val="2"/>
      <w:sz w:val="24"/>
    </w:rPr>
  </w:style>
  <w:style w:type="character" w:customStyle="1" w:styleId="222">
    <w:name w:val="称呼 Char"/>
    <w:basedOn w:val="90"/>
    <w:link w:val="30"/>
    <w:qFormat/>
    <w:uiPriority w:val="0"/>
    <w:rPr>
      <w:kern w:val="2"/>
      <w:sz w:val="28"/>
    </w:rPr>
  </w:style>
  <w:style w:type="character" w:customStyle="1" w:styleId="223">
    <w:name w:val="正文文本 3 Char"/>
    <w:basedOn w:val="90"/>
    <w:link w:val="31"/>
    <w:qFormat/>
    <w:uiPriority w:val="0"/>
    <w:rPr>
      <w:kern w:val="2"/>
      <w:sz w:val="16"/>
      <w:szCs w:val="16"/>
    </w:rPr>
  </w:style>
  <w:style w:type="character" w:customStyle="1" w:styleId="224">
    <w:name w:val="结束语 Char"/>
    <w:basedOn w:val="90"/>
    <w:link w:val="32"/>
    <w:qFormat/>
    <w:uiPriority w:val="0"/>
    <w:rPr>
      <w:kern w:val="2"/>
      <w:sz w:val="24"/>
    </w:rPr>
  </w:style>
  <w:style w:type="character" w:customStyle="1" w:styleId="225">
    <w:name w:val="HTML 地址 Char"/>
    <w:basedOn w:val="90"/>
    <w:link w:val="42"/>
    <w:qFormat/>
    <w:uiPriority w:val="0"/>
    <w:rPr>
      <w:i/>
      <w:kern w:val="2"/>
      <w:sz w:val="24"/>
    </w:rPr>
  </w:style>
  <w:style w:type="character" w:customStyle="1" w:styleId="226">
    <w:name w:val="尾注文本 Char"/>
    <w:basedOn w:val="90"/>
    <w:link w:val="52"/>
    <w:qFormat/>
    <w:uiPriority w:val="0"/>
    <w:rPr>
      <w:rFonts w:ascii="Arial" w:hAnsi="Arial"/>
      <w:bCs/>
      <w:snapToGrid w:val="0"/>
      <w:kern w:val="2"/>
      <w:sz w:val="24"/>
      <w:szCs w:val="24"/>
      <w:lang w:val="eu-ES"/>
    </w:rPr>
  </w:style>
  <w:style w:type="character" w:customStyle="1" w:styleId="227">
    <w:name w:val="签名 Char"/>
    <w:basedOn w:val="90"/>
    <w:link w:val="58"/>
    <w:qFormat/>
    <w:uiPriority w:val="0"/>
    <w:rPr>
      <w:kern w:val="2"/>
      <w:sz w:val="24"/>
    </w:rPr>
  </w:style>
  <w:style w:type="character" w:customStyle="1" w:styleId="228">
    <w:name w:val="目录 4 Char"/>
    <w:link w:val="61"/>
    <w:qFormat/>
    <w:uiPriority w:val="39"/>
    <w:rPr>
      <w:kern w:val="2"/>
      <w:sz w:val="18"/>
      <w:szCs w:val="18"/>
    </w:rPr>
  </w:style>
  <w:style w:type="character" w:customStyle="1" w:styleId="229">
    <w:name w:val="副标题 Char"/>
    <w:basedOn w:val="90"/>
    <w:link w:val="64"/>
    <w:qFormat/>
    <w:uiPriority w:val="0"/>
    <w:rPr>
      <w:rFonts w:ascii="Arial" w:hAnsi="Arial"/>
      <w:b/>
      <w:kern w:val="28"/>
      <w:sz w:val="24"/>
    </w:rPr>
  </w:style>
  <w:style w:type="character" w:customStyle="1" w:styleId="230">
    <w:name w:val="列表编号 5 Char"/>
    <w:link w:val="65"/>
    <w:qFormat/>
    <w:uiPriority w:val="0"/>
    <w:rPr>
      <w:kern w:val="2"/>
      <w:sz w:val="24"/>
    </w:rPr>
  </w:style>
  <w:style w:type="character" w:customStyle="1" w:styleId="231">
    <w:name w:val="脚注文本 Char"/>
    <w:basedOn w:val="90"/>
    <w:link w:val="67"/>
    <w:qFormat/>
    <w:uiPriority w:val="0"/>
    <w:rPr>
      <w:kern w:val="2"/>
      <w:sz w:val="18"/>
    </w:rPr>
  </w:style>
  <w:style w:type="character" w:customStyle="1" w:styleId="232">
    <w:name w:val="正文文本缩进 3 Char"/>
    <w:basedOn w:val="90"/>
    <w:link w:val="70"/>
    <w:qFormat/>
    <w:uiPriority w:val="0"/>
    <w:rPr>
      <w:kern w:val="2"/>
      <w:sz w:val="24"/>
      <w:szCs w:val="24"/>
    </w:rPr>
  </w:style>
  <w:style w:type="character" w:customStyle="1" w:styleId="233">
    <w:name w:val="正文文本 2 Char"/>
    <w:basedOn w:val="90"/>
    <w:link w:val="76"/>
    <w:qFormat/>
    <w:uiPriority w:val="0"/>
    <w:rPr>
      <w:kern w:val="2"/>
      <w:sz w:val="21"/>
      <w:szCs w:val="24"/>
    </w:rPr>
  </w:style>
  <w:style w:type="character" w:customStyle="1" w:styleId="234">
    <w:name w:val="信息标题 Char"/>
    <w:basedOn w:val="90"/>
    <w:link w:val="79"/>
    <w:qFormat/>
    <w:uiPriority w:val="0"/>
    <w:rPr>
      <w:rFonts w:ascii="Arial" w:hAnsi="Arial"/>
      <w:kern w:val="2"/>
      <w:sz w:val="24"/>
      <w:shd w:val="pct20" w:color="auto" w:fill="auto"/>
    </w:rPr>
  </w:style>
  <w:style w:type="character" w:customStyle="1" w:styleId="235">
    <w:name w:val="HTML 预设格式 Char"/>
    <w:basedOn w:val="90"/>
    <w:link w:val="80"/>
    <w:qFormat/>
    <w:uiPriority w:val="0"/>
    <w:rPr>
      <w:rFonts w:ascii="Arial" w:hAnsi="Arial"/>
      <w:sz w:val="14"/>
      <w:szCs w:val="14"/>
    </w:rPr>
  </w:style>
  <w:style w:type="character" w:customStyle="1" w:styleId="236">
    <w:name w:val="内表格 Char"/>
    <w:link w:val="237"/>
    <w:qFormat/>
    <w:uiPriority w:val="0"/>
    <w:rPr>
      <w:kern w:val="2"/>
      <w:sz w:val="21"/>
      <w:szCs w:val="22"/>
    </w:rPr>
  </w:style>
  <w:style w:type="paragraph" w:customStyle="1" w:styleId="237">
    <w:name w:val="内表格"/>
    <w:basedOn w:val="145"/>
    <w:link w:val="236"/>
    <w:qFormat/>
    <w:uiPriority w:val="0"/>
    <w:pPr>
      <w:widowControl w:val="0"/>
      <w:adjustRightInd/>
      <w:snapToGrid/>
      <w:spacing w:before="25" w:beforeLines="25" w:after="25" w:afterLines="25" w:line="240" w:lineRule="auto"/>
    </w:pPr>
    <w:rPr>
      <w:rFonts w:ascii="Times New Roman" w:hAnsi="Times New Roman" w:cs="Times New Roman"/>
      <w:kern w:val="2"/>
      <w:szCs w:val="22"/>
    </w:rPr>
  </w:style>
  <w:style w:type="character" w:customStyle="1" w:styleId="238">
    <w:name w:val="HHJ正文格式 Char"/>
    <w:link w:val="239"/>
    <w:qFormat/>
    <w:uiPriority w:val="0"/>
    <w:rPr>
      <w:kern w:val="2"/>
      <w:sz w:val="24"/>
      <w:szCs w:val="24"/>
    </w:rPr>
  </w:style>
  <w:style w:type="paragraph" w:customStyle="1" w:styleId="239">
    <w:name w:val="HHJ正文格式"/>
    <w:basedOn w:val="1"/>
    <w:link w:val="238"/>
    <w:qFormat/>
    <w:uiPriority w:val="0"/>
    <w:pPr>
      <w:widowControl w:val="0"/>
      <w:spacing w:line="360" w:lineRule="auto"/>
      <w:ind w:firstLine="480"/>
      <w:jc w:val="both"/>
    </w:pPr>
    <w:rPr>
      <w:rFonts w:ascii="Times New Roman" w:hAnsi="Times New Roman" w:cs="Times New Roman"/>
      <w:kern w:val="2"/>
    </w:rPr>
  </w:style>
  <w:style w:type="character" w:customStyle="1" w:styleId="240">
    <w:name w:val="报告表  段 Char Char"/>
    <w:link w:val="241"/>
    <w:qFormat/>
    <w:uiPriority w:val="0"/>
    <w:rPr>
      <w:rFonts w:ascii="宋体"/>
      <w:sz w:val="24"/>
    </w:rPr>
  </w:style>
  <w:style w:type="paragraph" w:customStyle="1" w:styleId="241">
    <w:name w:val="报告表  段"/>
    <w:basedOn w:val="1"/>
    <w:link w:val="240"/>
    <w:qFormat/>
    <w:uiPriority w:val="0"/>
    <w:pPr>
      <w:widowControl w:val="0"/>
      <w:adjustRightInd w:val="0"/>
      <w:spacing w:line="360" w:lineRule="auto"/>
      <w:ind w:firstLine="505"/>
      <w:jc w:val="both"/>
      <w:textAlignment w:val="baseline"/>
    </w:pPr>
    <w:rPr>
      <w:rFonts w:hAnsi="Times New Roman" w:cs="Times New Roman"/>
      <w:szCs w:val="20"/>
    </w:rPr>
  </w:style>
  <w:style w:type="character" w:customStyle="1" w:styleId="242">
    <w:name w:val="默认段落字体2"/>
    <w:qFormat/>
    <w:uiPriority w:val="0"/>
  </w:style>
  <w:style w:type="character" w:customStyle="1" w:styleId="243">
    <w:name w:val="font31"/>
    <w:qFormat/>
    <w:uiPriority w:val="0"/>
    <w:rPr>
      <w:rFonts w:hint="default" w:ascii="Times New Roman" w:hAnsi="Times New Roman" w:cs="Times New Roman"/>
      <w:color w:val="000000"/>
      <w:sz w:val="21"/>
      <w:szCs w:val="21"/>
      <w:u w:val="none"/>
    </w:rPr>
  </w:style>
  <w:style w:type="character" w:customStyle="1" w:styleId="244">
    <w:name w:val="未命名11"/>
    <w:qFormat/>
    <w:uiPriority w:val="0"/>
    <w:rPr>
      <w:rFonts w:hint="eastAsia" w:ascii="宋体" w:hAnsi="宋体" w:eastAsia="宋体"/>
      <w:sz w:val="18"/>
      <w:szCs w:val="18"/>
    </w:rPr>
  </w:style>
  <w:style w:type="character" w:customStyle="1" w:styleId="245">
    <w:name w:val="10"/>
    <w:qFormat/>
    <w:uiPriority w:val="0"/>
    <w:rPr>
      <w:rFonts w:hint="default" w:ascii="Times New Roman" w:hAnsi="Times New Roman" w:cs="Times New Roman"/>
    </w:rPr>
  </w:style>
  <w:style w:type="character" w:customStyle="1" w:styleId="246">
    <w:name w:val="表头 Char"/>
    <w:link w:val="247"/>
    <w:qFormat/>
    <w:uiPriority w:val="0"/>
    <w:rPr>
      <w:b/>
      <w:kern w:val="2"/>
      <w:sz w:val="21"/>
      <w:szCs w:val="22"/>
    </w:rPr>
  </w:style>
  <w:style w:type="paragraph" w:customStyle="1" w:styleId="247">
    <w:name w:val="表头"/>
    <w:basedOn w:val="145"/>
    <w:link w:val="246"/>
    <w:qFormat/>
    <w:uiPriority w:val="0"/>
    <w:pPr>
      <w:widowControl w:val="0"/>
      <w:adjustRightInd/>
      <w:snapToGrid/>
      <w:spacing w:before="25" w:beforeLines="25" w:after="25" w:afterLines="25" w:line="240" w:lineRule="auto"/>
    </w:pPr>
    <w:rPr>
      <w:rFonts w:ascii="Times New Roman" w:hAnsi="Times New Roman" w:cs="Times New Roman"/>
      <w:b/>
      <w:kern w:val="2"/>
      <w:szCs w:val="22"/>
    </w:rPr>
  </w:style>
  <w:style w:type="character" w:customStyle="1" w:styleId="248">
    <w:name w:val="15"/>
    <w:qFormat/>
    <w:uiPriority w:val="0"/>
    <w:rPr>
      <w:rFonts w:hint="default" w:ascii="Times New Roman" w:hAnsi="Times New Roman" w:cs="Times New Roman"/>
    </w:rPr>
  </w:style>
  <w:style w:type="character" w:customStyle="1" w:styleId="249">
    <w:name w:val="表内容 Char Char"/>
    <w:link w:val="250"/>
    <w:qFormat/>
    <w:uiPriority w:val="0"/>
    <w:rPr>
      <w:kern w:val="2"/>
      <w:sz w:val="21"/>
      <w:szCs w:val="21"/>
    </w:rPr>
  </w:style>
  <w:style w:type="paragraph" w:customStyle="1" w:styleId="250">
    <w:name w:val="表内容"/>
    <w:link w:val="249"/>
    <w:qFormat/>
    <w:uiPriority w:val="0"/>
    <w:pPr>
      <w:widowControl w:val="0"/>
      <w:jc w:val="center"/>
    </w:pPr>
    <w:rPr>
      <w:rFonts w:ascii="Times New Roman" w:hAnsi="Times New Roman" w:eastAsia="宋体" w:cs="Times New Roman"/>
      <w:kern w:val="2"/>
      <w:sz w:val="21"/>
      <w:szCs w:val="21"/>
      <w:lang w:val="en-US" w:eastAsia="zh-CN" w:bidi="ar-SA"/>
    </w:rPr>
  </w:style>
  <w:style w:type="character" w:customStyle="1" w:styleId="251">
    <w:name w:val="表格 32 Char Char"/>
    <w:link w:val="252"/>
    <w:qFormat/>
    <w:uiPriority w:val="0"/>
    <w:rPr>
      <w:rFonts w:ascii="宋体" w:hAnsi="Symbol"/>
      <w:kern w:val="24"/>
      <w:sz w:val="24"/>
    </w:rPr>
  </w:style>
  <w:style w:type="paragraph" w:customStyle="1" w:styleId="252">
    <w:name w:val="表格 32"/>
    <w:basedOn w:val="1"/>
    <w:link w:val="251"/>
    <w:qFormat/>
    <w:uiPriority w:val="0"/>
    <w:pPr>
      <w:widowControl w:val="0"/>
      <w:autoSpaceDE w:val="0"/>
      <w:autoSpaceDN w:val="0"/>
      <w:adjustRightInd w:val="0"/>
      <w:jc w:val="center"/>
      <w:textAlignment w:val="baseline"/>
    </w:pPr>
    <w:rPr>
      <w:rFonts w:hAnsi="Symbol" w:cs="Times New Roman"/>
      <w:kern w:val="24"/>
      <w:szCs w:val="20"/>
    </w:rPr>
  </w:style>
  <w:style w:type="character" w:customStyle="1" w:styleId="253">
    <w:name w:val="newc21"/>
    <w:qFormat/>
    <w:uiPriority w:val="0"/>
    <w:rPr>
      <w:b/>
      <w:bCs/>
      <w:color w:val="006699"/>
      <w:sz w:val="21"/>
      <w:szCs w:val="21"/>
      <w:u w:val="none"/>
    </w:rPr>
  </w:style>
  <w:style w:type="character" w:customStyle="1" w:styleId="254">
    <w:name w:val="纯文本 Char2"/>
    <w:qFormat/>
    <w:uiPriority w:val="99"/>
    <w:rPr>
      <w:rFonts w:ascii="宋体" w:hAnsi="minorBidi" w:cs="minorBidi"/>
      <w:kern w:val="2"/>
      <w:sz w:val="21"/>
      <w:szCs w:val="21"/>
    </w:rPr>
  </w:style>
  <w:style w:type="character" w:customStyle="1" w:styleId="255">
    <w:name w:val="正文 32 Char Char"/>
    <w:link w:val="256"/>
    <w:qFormat/>
    <w:uiPriority w:val="0"/>
    <w:rPr>
      <w:rFonts w:eastAsia="Arial"/>
      <w:sz w:val="24"/>
    </w:rPr>
  </w:style>
  <w:style w:type="paragraph" w:customStyle="1" w:styleId="256">
    <w:name w:val="正文 32"/>
    <w:basedOn w:val="1"/>
    <w:link w:val="255"/>
    <w:qFormat/>
    <w:uiPriority w:val="0"/>
    <w:pPr>
      <w:widowControl w:val="0"/>
      <w:autoSpaceDE w:val="0"/>
      <w:autoSpaceDN w:val="0"/>
      <w:adjustRightInd w:val="0"/>
      <w:spacing w:line="300" w:lineRule="auto"/>
      <w:ind w:firstLine="567"/>
      <w:jc w:val="both"/>
      <w:textAlignment w:val="baseline"/>
    </w:pPr>
    <w:rPr>
      <w:rFonts w:ascii="Times New Roman" w:hAnsi="Times New Roman" w:eastAsia="Arial" w:cs="Times New Roman"/>
      <w:szCs w:val="20"/>
    </w:rPr>
  </w:style>
  <w:style w:type="character" w:customStyle="1" w:styleId="257">
    <w:name w:val="文本框样式 Char"/>
    <w:link w:val="258"/>
    <w:qFormat/>
    <w:uiPriority w:val="0"/>
    <w:rPr>
      <w:sz w:val="21"/>
    </w:rPr>
  </w:style>
  <w:style w:type="paragraph" w:customStyle="1" w:styleId="258">
    <w:name w:val="文本框样式"/>
    <w:basedOn w:val="1"/>
    <w:link w:val="257"/>
    <w:qFormat/>
    <w:uiPriority w:val="0"/>
    <w:pPr>
      <w:widowControl w:val="0"/>
      <w:jc w:val="center"/>
    </w:pPr>
    <w:rPr>
      <w:rFonts w:ascii="Times New Roman" w:hAnsi="Times New Roman" w:cs="Times New Roman"/>
      <w:sz w:val="21"/>
      <w:szCs w:val="20"/>
    </w:rPr>
  </w:style>
  <w:style w:type="character" w:customStyle="1" w:styleId="259">
    <w:name w:val="纯文本 Char1"/>
    <w:qFormat/>
    <w:uiPriority w:val="0"/>
    <w:rPr>
      <w:rFonts w:ascii="宋体" w:hAnsi="minorBidi"/>
      <w:kern w:val="2"/>
      <w:sz w:val="21"/>
      <w:szCs w:val="24"/>
      <w:lang w:val="en-US" w:eastAsia="zh-CN" w:bidi="ar-SA"/>
    </w:rPr>
  </w:style>
  <w:style w:type="character" w:customStyle="1" w:styleId="260">
    <w:name w:val="表中文字 Char"/>
    <w:link w:val="261"/>
    <w:qFormat/>
    <w:uiPriority w:val="0"/>
    <w:rPr>
      <w:kern w:val="2"/>
      <w:sz w:val="21"/>
      <w:szCs w:val="21"/>
    </w:rPr>
  </w:style>
  <w:style w:type="paragraph" w:customStyle="1" w:styleId="261">
    <w:name w:val="表中文字"/>
    <w:link w:val="260"/>
    <w:qFormat/>
    <w:uiPriority w:val="0"/>
    <w:pPr>
      <w:snapToGrid w:val="0"/>
      <w:jc w:val="center"/>
    </w:pPr>
    <w:rPr>
      <w:rFonts w:ascii="Times New Roman" w:hAnsi="Times New Roman" w:eastAsia="宋体" w:cs="Times New Roman"/>
      <w:kern w:val="2"/>
      <w:sz w:val="21"/>
      <w:szCs w:val="21"/>
      <w:lang w:val="en-US" w:eastAsia="zh-CN" w:bidi="ar-SA"/>
    </w:rPr>
  </w:style>
  <w:style w:type="character" w:customStyle="1" w:styleId="262">
    <w:name w:val="图表头 Char Char"/>
    <w:link w:val="263"/>
    <w:qFormat/>
    <w:uiPriority w:val="0"/>
    <w:rPr>
      <w:b/>
      <w:bCs/>
      <w:kern w:val="2"/>
      <w:sz w:val="21"/>
      <w:szCs w:val="22"/>
    </w:rPr>
  </w:style>
  <w:style w:type="paragraph" w:customStyle="1" w:styleId="263">
    <w:name w:val="图表头"/>
    <w:basedOn w:val="1"/>
    <w:link w:val="262"/>
    <w:qFormat/>
    <w:uiPriority w:val="0"/>
    <w:pPr>
      <w:widowControl w:val="0"/>
      <w:spacing w:line="360" w:lineRule="auto"/>
      <w:jc w:val="center"/>
    </w:pPr>
    <w:rPr>
      <w:rFonts w:ascii="Times New Roman" w:hAnsi="Times New Roman" w:cs="Times New Roman"/>
      <w:b/>
      <w:bCs/>
      <w:kern w:val="2"/>
      <w:sz w:val="21"/>
      <w:szCs w:val="22"/>
    </w:rPr>
  </w:style>
  <w:style w:type="character" w:customStyle="1" w:styleId="264">
    <w:name w:val="样式4 Char"/>
    <w:link w:val="265"/>
    <w:qFormat/>
    <w:uiPriority w:val="0"/>
    <w:rPr>
      <w:sz w:val="24"/>
    </w:rPr>
  </w:style>
  <w:style w:type="paragraph" w:customStyle="1" w:styleId="265">
    <w:name w:val="样式4"/>
    <w:basedOn w:val="1"/>
    <w:link w:val="264"/>
    <w:qFormat/>
    <w:uiPriority w:val="0"/>
    <w:pPr>
      <w:widowControl w:val="0"/>
      <w:overflowPunct w:val="0"/>
      <w:autoSpaceDE w:val="0"/>
      <w:autoSpaceDN w:val="0"/>
      <w:adjustRightInd w:val="0"/>
      <w:spacing w:before="93" w:beforeLines="30" w:after="93" w:afterLines="30" w:line="360" w:lineRule="auto"/>
      <w:ind w:firstLine="540" w:firstLineChars="225"/>
      <w:jc w:val="both"/>
      <w:textAlignment w:val="baseline"/>
    </w:pPr>
    <w:rPr>
      <w:rFonts w:ascii="Times New Roman" w:hAnsi="Times New Roman" w:cs="Times New Roman"/>
      <w:szCs w:val="20"/>
    </w:rPr>
  </w:style>
  <w:style w:type="character" w:customStyle="1" w:styleId="266">
    <w:name w:val="表注 Char Char"/>
    <w:link w:val="267"/>
    <w:qFormat/>
    <w:uiPriority w:val="0"/>
    <w:rPr>
      <w:rFonts w:ascii="Arial" w:hAnsi="Arial" w:cs="Arial"/>
      <w:sz w:val="21"/>
      <w:szCs w:val="21"/>
    </w:rPr>
  </w:style>
  <w:style w:type="paragraph" w:customStyle="1" w:styleId="267">
    <w:name w:val="表注"/>
    <w:basedOn w:val="1"/>
    <w:link w:val="266"/>
    <w:qFormat/>
    <w:uiPriority w:val="0"/>
    <w:pPr>
      <w:widowControl w:val="0"/>
      <w:autoSpaceDE w:val="0"/>
      <w:autoSpaceDN w:val="0"/>
      <w:adjustRightInd w:val="0"/>
      <w:spacing w:before="156" w:beforeLines="50" w:after="156" w:afterLines="50"/>
      <w:jc w:val="both"/>
    </w:pPr>
    <w:rPr>
      <w:rFonts w:ascii="Arial" w:hAnsi="Arial" w:cs="Arial"/>
      <w:sz w:val="21"/>
      <w:szCs w:val="21"/>
    </w:rPr>
  </w:style>
  <w:style w:type="character" w:customStyle="1" w:styleId="268">
    <w:name w:val="font01"/>
    <w:qFormat/>
    <w:uiPriority w:val="0"/>
    <w:rPr>
      <w:rFonts w:hint="default" w:ascii="Times New Roman" w:hAnsi="Times New Roman" w:cs="Times New Roman"/>
      <w:color w:val="000000"/>
      <w:sz w:val="21"/>
      <w:szCs w:val="21"/>
      <w:u w:val="none"/>
      <w:vertAlign w:val="subscript"/>
    </w:rPr>
  </w:style>
  <w:style w:type="character" w:customStyle="1" w:styleId="269">
    <w:name w:val="正文首行缩进 2 Char1"/>
    <w:qFormat/>
    <w:uiPriority w:val="0"/>
    <w:rPr>
      <w:rFonts w:ascii="Cambria Math" w:hAnsi="Cambria Math" w:eastAsia="宋体"/>
      <w:kern w:val="2"/>
      <w:sz w:val="21"/>
      <w:szCs w:val="24"/>
    </w:rPr>
  </w:style>
  <w:style w:type="character" w:customStyle="1" w:styleId="270">
    <w:name w:val="TT表格文字01 Char Char"/>
    <w:link w:val="271"/>
    <w:qFormat/>
    <w:uiPriority w:val="0"/>
    <w:rPr>
      <w:color w:val="000000"/>
      <w:kern w:val="2"/>
      <w:sz w:val="21"/>
    </w:rPr>
  </w:style>
  <w:style w:type="paragraph" w:customStyle="1" w:styleId="271">
    <w:name w:val="TT表格文字01"/>
    <w:basedOn w:val="1"/>
    <w:link w:val="270"/>
    <w:qFormat/>
    <w:uiPriority w:val="0"/>
    <w:pPr>
      <w:wordWrap w:val="0"/>
      <w:overflowPunct w:val="0"/>
      <w:topLinePunct/>
      <w:jc w:val="center"/>
    </w:pPr>
    <w:rPr>
      <w:rFonts w:ascii="Times New Roman" w:hAnsi="Times New Roman" w:cs="Times New Roman"/>
      <w:color w:val="000000"/>
      <w:kern w:val="2"/>
      <w:sz w:val="21"/>
      <w:szCs w:val="20"/>
    </w:rPr>
  </w:style>
  <w:style w:type="character" w:customStyle="1" w:styleId="272">
    <w:name w:val="正文首行缩进 Char1"/>
    <w:qFormat/>
    <w:uiPriority w:val="0"/>
    <w:rPr>
      <w:rFonts w:ascii="Cambria Math" w:hAnsi="Cambria Math"/>
      <w:kern w:val="2"/>
      <w:sz w:val="21"/>
      <w:szCs w:val="24"/>
    </w:rPr>
  </w:style>
  <w:style w:type="character" w:customStyle="1" w:styleId="273">
    <w:name w:val="Char Char Char"/>
    <w:qFormat/>
    <w:uiPriority w:val="0"/>
    <w:rPr>
      <w:rFonts w:ascii="宋体" w:hAnsi="minorBidi" w:eastAsia="宋体"/>
      <w:kern w:val="2"/>
      <w:sz w:val="21"/>
      <w:szCs w:val="24"/>
      <w:lang w:val="en-US" w:eastAsia="zh-CN" w:bidi="ar-SA"/>
    </w:rPr>
  </w:style>
  <w:style w:type="character" w:customStyle="1" w:styleId="274">
    <w:name w:val="表格 Char Char"/>
    <w:qFormat/>
    <w:uiPriority w:val="0"/>
    <w:rPr>
      <w:rFonts w:eastAsia="宋体"/>
      <w:kern w:val="2"/>
      <w:sz w:val="24"/>
      <w:szCs w:val="24"/>
      <w:lang w:val="en-US" w:eastAsia="zh-CN" w:bidi="ar-SA"/>
    </w:rPr>
  </w:style>
  <w:style w:type="character" w:customStyle="1" w:styleId="275">
    <w:name w:val="cheng正文 Char"/>
    <w:link w:val="276"/>
    <w:qFormat/>
    <w:uiPriority w:val="0"/>
    <w:rPr>
      <w:kern w:val="2"/>
      <w:sz w:val="24"/>
      <w:szCs w:val="22"/>
    </w:rPr>
  </w:style>
  <w:style w:type="paragraph" w:customStyle="1" w:styleId="276">
    <w:name w:val="cheng正文"/>
    <w:basedOn w:val="1"/>
    <w:link w:val="275"/>
    <w:qFormat/>
    <w:uiPriority w:val="0"/>
    <w:pPr>
      <w:widowControl w:val="0"/>
      <w:spacing w:line="360" w:lineRule="auto"/>
      <w:ind w:firstLine="464" w:firstLineChars="200"/>
      <w:jc w:val="both"/>
    </w:pPr>
    <w:rPr>
      <w:rFonts w:ascii="Times New Roman" w:hAnsi="Times New Roman" w:cs="Times New Roman"/>
      <w:kern w:val="2"/>
      <w:szCs w:val="22"/>
    </w:rPr>
  </w:style>
  <w:style w:type="character" w:customStyle="1" w:styleId="277">
    <w:name w:val="search_content1"/>
    <w:qFormat/>
    <w:uiPriority w:val="0"/>
    <w:rPr>
      <w:sz w:val="20"/>
      <w:szCs w:val="20"/>
    </w:rPr>
  </w:style>
  <w:style w:type="character" w:customStyle="1" w:styleId="278">
    <w:name w:val="font41"/>
    <w:qFormat/>
    <w:uiPriority w:val="0"/>
    <w:rPr>
      <w:rFonts w:hint="default" w:ascii="Times New Roman" w:hAnsi="Times New Roman" w:cs="Times New Roman"/>
      <w:color w:val="FF0000"/>
      <w:sz w:val="21"/>
      <w:szCs w:val="21"/>
      <w:u w:val="none"/>
    </w:rPr>
  </w:style>
  <w:style w:type="character" w:customStyle="1" w:styleId="279">
    <w:name w:val="HTML 预设格式 Char1"/>
    <w:qFormat/>
    <w:uiPriority w:val="0"/>
    <w:rPr>
      <w:rFonts w:ascii="minorBidi" w:hAnsi="minorBidi" w:cs="minorBidi"/>
      <w:kern w:val="2"/>
    </w:rPr>
  </w:style>
  <w:style w:type="character" w:customStyle="1" w:styleId="280">
    <w:name w:val="表格、图表名称 Char"/>
    <w:link w:val="281"/>
    <w:qFormat/>
    <w:locked/>
    <w:uiPriority w:val="0"/>
    <w:rPr>
      <w:b/>
      <w:sz w:val="21"/>
      <w:szCs w:val="22"/>
    </w:rPr>
  </w:style>
  <w:style w:type="paragraph" w:customStyle="1" w:styleId="281">
    <w:name w:val="表格、图表名称"/>
    <w:basedOn w:val="1"/>
    <w:link w:val="280"/>
    <w:qFormat/>
    <w:uiPriority w:val="0"/>
    <w:pPr>
      <w:widowControl w:val="0"/>
      <w:jc w:val="center"/>
    </w:pPr>
    <w:rPr>
      <w:rFonts w:ascii="Times New Roman" w:hAnsi="Times New Roman" w:cs="Times New Roman"/>
      <w:b/>
      <w:sz w:val="21"/>
      <w:szCs w:val="22"/>
    </w:rPr>
  </w:style>
  <w:style w:type="character" w:customStyle="1" w:styleId="282">
    <w:name w:val="样式5 Char"/>
    <w:link w:val="283"/>
    <w:qFormat/>
    <w:uiPriority w:val="0"/>
    <w:rPr>
      <w:rFonts w:ascii="宋体" w:hAnsi="宋体" w:cs="宋体"/>
      <w:sz w:val="21"/>
      <w:szCs w:val="21"/>
    </w:rPr>
  </w:style>
  <w:style w:type="paragraph" w:customStyle="1" w:styleId="283">
    <w:name w:val="样式5"/>
    <w:basedOn w:val="1"/>
    <w:link w:val="282"/>
    <w:qFormat/>
    <w:uiPriority w:val="0"/>
    <w:pPr>
      <w:jc w:val="center"/>
    </w:pPr>
    <w:rPr>
      <w:sz w:val="21"/>
      <w:szCs w:val="21"/>
    </w:rPr>
  </w:style>
  <w:style w:type="paragraph" w:customStyle="1" w:styleId="284">
    <w:name w:val="报告表格"/>
    <w:basedOn w:val="1"/>
    <w:qFormat/>
    <w:uiPriority w:val="0"/>
    <w:pPr>
      <w:widowControl w:val="0"/>
      <w:autoSpaceDE w:val="0"/>
      <w:autoSpaceDN w:val="0"/>
      <w:adjustRightInd w:val="0"/>
      <w:spacing w:before="40" w:after="40"/>
      <w:jc w:val="center"/>
      <w:textAlignment w:val="baseline"/>
    </w:pPr>
    <w:rPr>
      <w:rFonts w:ascii="Times New Roman" w:hAnsi="Times New Roman" w:cs="Times New Roman"/>
      <w:sz w:val="21"/>
      <w:szCs w:val="20"/>
    </w:rPr>
  </w:style>
  <w:style w:type="paragraph" w:customStyle="1" w:styleId="285">
    <w:name w:val="Char Char Char Char"/>
    <w:basedOn w:val="1"/>
    <w:qFormat/>
    <w:uiPriority w:val="0"/>
    <w:pPr>
      <w:widowControl w:val="0"/>
      <w:jc w:val="both"/>
    </w:pPr>
    <w:rPr>
      <w:rFonts w:ascii="Times New Roman" w:hAnsi="Times New Roman" w:cs="Times New Roman"/>
      <w:kern w:val="2"/>
    </w:rPr>
  </w:style>
  <w:style w:type="paragraph" w:customStyle="1" w:styleId="286">
    <w:name w:val="正文（aq）"/>
    <w:basedOn w:val="1"/>
    <w:qFormat/>
    <w:uiPriority w:val="0"/>
    <w:pPr>
      <w:spacing w:line="440" w:lineRule="exact"/>
      <w:ind w:firstLine="560" w:firstLineChars="200"/>
    </w:pPr>
    <w:rPr>
      <w:rFonts w:ascii="Times New Roman" w:hAnsi="Times New Roman" w:cs="Times New Roman"/>
      <w:sz w:val="28"/>
      <w:szCs w:val="28"/>
    </w:rPr>
  </w:style>
  <w:style w:type="paragraph" w:customStyle="1" w:styleId="287">
    <w:name w:val="B地块正文"/>
    <w:basedOn w:val="46"/>
    <w:qFormat/>
    <w:uiPriority w:val="0"/>
    <w:pPr>
      <w:widowControl w:val="0"/>
      <w:spacing w:line="440" w:lineRule="exact"/>
      <w:ind w:firstLine="200" w:firstLineChars="200"/>
    </w:pPr>
    <w:rPr>
      <w:rFonts w:ascii="Symbol" w:hAnsi="宋体" w:cs="Times New Roman"/>
      <w:bCs/>
      <w:kern w:val="2"/>
      <w:szCs w:val="36"/>
    </w:rPr>
  </w:style>
  <w:style w:type="paragraph" w:customStyle="1" w:styleId="288">
    <w:name w:val="修订1"/>
    <w:unhideWhenUsed/>
    <w:qFormat/>
    <w:uiPriority w:val="0"/>
    <w:rPr>
      <w:rFonts w:ascii="Times New Roman" w:hAnsi="Times New Roman" w:eastAsia="宋体" w:cs="Times New Roman"/>
      <w:kern w:val="2"/>
      <w:sz w:val="21"/>
      <w:szCs w:val="24"/>
      <w:lang w:val="en-US" w:eastAsia="zh-CN" w:bidi="ar-SA"/>
    </w:rPr>
  </w:style>
  <w:style w:type="paragraph" w:customStyle="1" w:styleId="289">
    <w:name w:val="默认段落字体 Para Char"/>
    <w:basedOn w:val="1"/>
    <w:next w:val="1"/>
    <w:qFormat/>
    <w:uiPriority w:val="0"/>
    <w:pPr>
      <w:widowControl w:val="0"/>
      <w:spacing w:line="360" w:lineRule="auto"/>
      <w:ind w:firstLine="200" w:firstLineChars="200"/>
      <w:jc w:val="both"/>
    </w:pPr>
    <w:rPr>
      <w:rFonts w:ascii="Times New Roman" w:hAnsi="Times New Roman" w:cs="Times New Roman"/>
      <w:kern w:val="2"/>
      <w:sz w:val="21"/>
      <w:szCs w:val="20"/>
    </w:rPr>
  </w:style>
  <w:style w:type="paragraph" w:customStyle="1" w:styleId="290">
    <w:name w:val="bg"/>
    <w:basedOn w:val="1"/>
    <w:qFormat/>
    <w:uiPriority w:val="0"/>
    <w:pPr>
      <w:wordWrap w:val="0"/>
      <w:autoSpaceDE w:val="0"/>
      <w:autoSpaceDN w:val="0"/>
      <w:snapToGrid w:val="0"/>
      <w:jc w:val="center"/>
    </w:pPr>
    <w:rPr>
      <w:rFonts w:cs="Times New Roman"/>
      <w:color w:val="000000"/>
      <w:sz w:val="21"/>
      <w:szCs w:val="20"/>
    </w:rPr>
  </w:style>
  <w:style w:type="paragraph" w:customStyle="1" w:styleId="291">
    <w:name w:val="简单回函地址"/>
    <w:basedOn w:val="1"/>
    <w:qFormat/>
    <w:uiPriority w:val="0"/>
    <w:pPr>
      <w:widowControl w:val="0"/>
      <w:jc w:val="both"/>
    </w:pPr>
    <w:rPr>
      <w:rFonts w:ascii="Times New Roman" w:hAnsi="Times New Roman" w:cs="Times New Roman"/>
      <w:kern w:val="2"/>
      <w:sz w:val="21"/>
      <w:szCs w:val="20"/>
    </w:rPr>
  </w:style>
  <w:style w:type="paragraph" w:customStyle="1" w:styleId="292">
    <w:name w:val="Char"/>
    <w:basedOn w:val="1"/>
    <w:qFormat/>
    <w:uiPriority w:val="0"/>
    <w:pPr>
      <w:widowControl w:val="0"/>
      <w:snapToGrid w:val="0"/>
      <w:spacing w:line="360" w:lineRule="auto"/>
      <w:ind w:firstLine="529" w:firstLineChars="200"/>
      <w:jc w:val="both"/>
    </w:pPr>
    <w:rPr>
      <w:rFonts w:cs="Times New Roman"/>
      <w:b/>
      <w:kern w:val="2"/>
      <w:sz w:val="21"/>
    </w:rPr>
  </w:style>
  <w:style w:type="paragraph" w:customStyle="1" w:styleId="293">
    <w:name w:val="0HP 表内文字"/>
    <w:basedOn w:val="1"/>
    <w:qFormat/>
    <w:uiPriority w:val="0"/>
    <w:pPr>
      <w:widowControl w:val="0"/>
      <w:jc w:val="center"/>
    </w:pPr>
    <w:rPr>
      <w:rFonts w:ascii="Times New Roman" w:hAnsi="Times New Roman" w:cs="Times New Roman"/>
      <w:kern w:val="2"/>
      <w:sz w:val="21"/>
    </w:rPr>
  </w:style>
  <w:style w:type="paragraph" w:customStyle="1" w:styleId="294">
    <w:name w:val="样式 行距: 单倍行距"/>
    <w:basedOn w:val="1"/>
    <w:qFormat/>
    <w:uiPriority w:val="0"/>
    <w:pPr>
      <w:widowControl w:val="0"/>
      <w:adjustRightInd w:val="0"/>
      <w:jc w:val="both"/>
      <w:textAlignment w:val="baseline"/>
    </w:pPr>
    <w:rPr>
      <w:rFonts w:ascii="Times New Roman" w:hAnsi="Times New Roman"/>
      <w:kern w:val="2"/>
      <w:sz w:val="21"/>
      <w:szCs w:val="20"/>
    </w:rPr>
  </w:style>
  <w:style w:type="paragraph" w:customStyle="1" w:styleId="295">
    <w:name w:val="正文首行缩近"/>
    <w:qFormat/>
    <w:uiPriority w:val="0"/>
    <w:pPr>
      <w:adjustRightInd w:val="0"/>
      <w:snapToGrid w:val="0"/>
      <w:spacing w:line="360" w:lineRule="auto"/>
      <w:ind w:firstLine="480" w:firstLineChars="200"/>
      <w:jc w:val="both"/>
    </w:pPr>
    <w:rPr>
      <w:rFonts w:ascii="Times New Roman" w:hAnsi="Times New Roman" w:eastAsia="宋体" w:cs="Times New Roman"/>
      <w:sz w:val="24"/>
      <w:lang w:val="en-US" w:eastAsia="zh-CN" w:bidi="ar-SA"/>
    </w:rPr>
  </w:style>
  <w:style w:type="paragraph" w:customStyle="1" w:styleId="296">
    <w:name w:val="表文"/>
    <w:qFormat/>
    <w:uiPriority w:val="0"/>
    <w:pPr>
      <w:jc w:val="both"/>
    </w:pPr>
    <w:rPr>
      <w:rFonts w:ascii="Times New Roman" w:hAnsi="Times New Roman" w:eastAsia="宋体" w:cs="Times New Roman"/>
      <w:sz w:val="21"/>
      <w:lang w:val="en-US" w:eastAsia="zh-CN" w:bidi="ar-SA"/>
    </w:rPr>
  </w:style>
  <w:style w:type="paragraph" w:customStyle="1" w:styleId="297">
    <w:name w:val="xl22"/>
    <w:basedOn w:val="1"/>
    <w:qFormat/>
    <w:uiPriority w:val="0"/>
    <w:pPr>
      <w:spacing w:before="100" w:after="100"/>
      <w:jc w:val="center"/>
    </w:pPr>
    <w:rPr>
      <w:rFonts w:ascii="Times New Roman" w:hAnsi="Times New Roman" w:cs="Times New Roman"/>
    </w:rPr>
  </w:style>
  <w:style w:type="paragraph" w:customStyle="1" w:styleId="298">
    <w:name w:val="正文11"/>
    <w:basedOn w:val="1"/>
    <w:qFormat/>
    <w:uiPriority w:val="0"/>
    <w:pPr>
      <w:widowControl w:val="0"/>
      <w:adjustRightInd w:val="0"/>
      <w:jc w:val="both"/>
    </w:pPr>
    <w:rPr>
      <w:rFonts w:ascii="Times New Roman" w:hAnsi="Times New Roman" w:eastAsia="Arial" w:cs="Times New Roman"/>
      <w:kern w:val="2"/>
      <w:szCs w:val="20"/>
    </w:rPr>
  </w:style>
  <w:style w:type="paragraph" w:customStyle="1" w:styleId="299">
    <w:name w:val="纯文本2"/>
    <w:basedOn w:val="1"/>
    <w:qFormat/>
    <w:uiPriority w:val="0"/>
    <w:pPr>
      <w:widowControl w:val="0"/>
      <w:adjustRightInd w:val="0"/>
      <w:jc w:val="center"/>
      <w:textAlignment w:val="baseline"/>
    </w:pPr>
    <w:rPr>
      <w:rFonts w:hAnsi="minorBidi" w:cs="Times New Roman"/>
      <w:kern w:val="2"/>
    </w:rPr>
  </w:style>
  <w:style w:type="paragraph" w:customStyle="1" w:styleId="300">
    <w:name w:val="1233"/>
    <w:basedOn w:val="1"/>
    <w:qFormat/>
    <w:uiPriority w:val="0"/>
    <w:pPr>
      <w:widowControl w:val="0"/>
      <w:spacing w:before="100" w:line="360" w:lineRule="auto"/>
      <w:ind w:firstLine="480"/>
      <w:jc w:val="both"/>
    </w:pPr>
    <w:rPr>
      <w:rFonts w:ascii="Times New Roman" w:hAnsi="Times New Roman" w:cs="Times New Roman"/>
      <w:kern w:val="2"/>
    </w:rPr>
  </w:style>
  <w:style w:type="paragraph" w:customStyle="1" w:styleId="301">
    <w:name w:val="表格2"/>
    <w:basedOn w:val="1"/>
    <w:next w:val="1"/>
    <w:qFormat/>
    <w:uiPriority w:val="0"/>
    <w:pPr>
      <w:widowControl w:val="0"/>
      <w:topLinePunct/>
      <w:autoSpaceDE w:val="0"/>
      <w:autoSpaceDN w:val="0"/>
      <w:adjustRightInd w:val="0"/>
      <w:jc w:val="center"/>
      <w:textAlignment w:val="baseline"/>
    </w:pPr>
    <w:rPr>
      <w:rFonts w:hAnsi="Symbol" w:cs="Times New Roman"/>
      <w:kern w:val="24"/>
      <w:position w:val="-28"/>
      <w:sz w:val="21"/>
      <w:szCs w:val="20"/>
    </w:rPr>
  </w:style>
  <w:style w:type="paragraph" w:customStyle="1" w:styleId="302">
    <w:name w:val="正文文本缩进 21"/>
    <w:basedOn w:val="1"/>
    <w:qFormat/>
    <w:uiPriority w:val="0"/>
    <w:pPr>
      <w:widowControl w:val="0"/>
      <w:spacing w:after="120" w:line="480" w:lineRule="auto"/>
      <w:ind w:left="420" w:leftChars="200"/>
      <w:jc w:val="both"/>
    </w:pPr>
    <w:rPr>
      <w:rFonts w:ascii="Times New Roman" w:hAnsi="Times New Roman" w:cs="Times New Roman"/>
      <w:kern w:val="2"/>
      <w:sz w:val="21"/>
    </w:rPr>
  </w:style>
  <w:style w:type="paragraph" w:customStyle="1" w:styleId="303">
    <w:name w:val="4 Char"/>
    <w:basedOn w:val="1"/>
    <w:qFormat/>
    <w:uiPriority w:val="0"/>
    <w:pPr>
      <w:widowControl w:val="0"/>
      <w:jc w:val="both"/>
    </w:pPr>
    <w:rPr>
      <w:rFonts w:ascii="Times New Roman" w:hAnsi="Times New Roman" w:cs="Times New Roman"/>
      <w:kern w:val="2"/>
      <w:sz w:val="21"/>
    </w:rPr>
  </w:style>
  <w:style w:type="paragraph" w:customStyle="1" w:styleId="304">
    <w:name w:val="列出段落1"/>
    <w:basedOn w:val="1"/>
    <w:qFormat/>
    <w:uiPriority w:val="0"/>
    <w:pPr>
      <w:widowControl w:val="0"/>
      <w:ind w:firstLine="420"/>
      <w:jc w:val="both"/>
    </w:pPr>
    <w:rPr>
      <w:rFonts w:ascii="Cambria Math" w:hAnsi="Cambria Math" w:cs="Times New Roman"/>
      <w:kern w:val="2"/>
      <w:sz w:val="21"/>
      <w:lang w:val="zh-CN"/>
    </w:rPr>
  </w:style>
  <w:style w:type="paragraph" w:customStyle="1" w:styleId="305">
    <w:name w:val="表格文字"/>
    <w:basedOn w:val="46"/>
    <w:link w:val="306"/>
    <w:qFormat/>
    <w:uiPriority w:val="0"/>
    <w:pPr>
      <w:widowControl w:val="0"/>
      <w:adjustRightInd w:val="0"/>
      <w:snapToGrid w:val="0"/>
      <w:ind w:left="105" w:leftChars="50"/>
      <w:jc w:val="center"/>
    </w:pPr>
    <w:rPr>
      <w:rFonts w:ascii="Times New Roman" w:hAnsi="Times New Roman" w:cs="Times New Roman"/>
      <w:kern w:val="2"/>
      <w:sz w:val="21"/>
      <w:szCs w:val="21"/>
      <w:lang w:val="zh-CN"/>
    </w:rPr>
  </w:style>
  <w:style w:type="character" w:customStyle="1" w:styleId="306">
    <w:name w:val="表格文字 Char Char"/>
    <w:link w:val="305"/>
    <w:qFormat/>
    <w:uiPriority w:val="0"/>
    <w:rPr>
      <w:kern w:val="2"/>
      <w:sz w:val="21"/>
      <w:szCs w:val="21"/>
      <w:lang w:val="zh-CN"/>
    </w:rPr>
  </w:style>
  <w:style w:type="paragraph" w:customStyle="1" w:styleId="307">
    <w:name w:val="WPSOffice手动目录 1"/>
    <w:qFormat/>
    <w:uiPriority w:val="0"/>
    <w:pPr>
      <w:spacing w:line="360" w:lineRule="auto"/>
    </w:pPr>
    <w:rPr>
      <w:rFonts w:ascii="Times New Roman" w:hAnsi="Times New Roman" w:eastAsia="宋体" w:cs="Times New Roman"/>
      <w:lang w:val="en-US" w:eastAsia="zh-CN" w:bidi="ar-SA"/>
    </w:rPr>
  </w:style>
  <w:style w:type="paragraph" w:customStyle="1" w:styleId="308">
    <w:name w:val="本文正文"/>
    <w:basedOn w:val="1"/>
    <w:qFormat/>
    <w:uiPriority w:val="0"/>
    <w:pPr>
      <w:keepNext/>
      <w:widowControl w:val="0"/>
      <w:ind w:firstLine="480"/>
    </w:pPr>
    <w:rPr>
      <w:rFonts w:ascii="Cambria Math" w:hAnsi="Cambria Math" w:cs="Times New Roman"/>
      <w:sz w:val="21"/>
    </w:rPr>
  </w:style>
  <w:style w:type="paragraph" w:customStyle="1" w:styleId="309">
    <w:name w:val="表格1"/>
    <w:basedOn w:val="1"/>
    <w:next w:val="1"/>
    <w:link w:val="310"/>
    <w:qFormat/>
    <w:uiPriority w:val="0"/>
    <w:pPr>
      <w:widowControl w:val="0"/>
      <w:topLinePunct/>
      <w:autoSpaceDE w:val="0"/>
      <w:autoSpaceDN w:val="0"/>
      <w:adjustRightInd w:val="0"/>
      <w:jc w:val="center"/>
      <w:textAlignment w:val="baseline"/>
    </w:pPr>
    <w:rPr>
      <w:rFonts w:hAnsi="Symbol" w:cs="Times New Roman"/>
      <w:kern w:val="24"/>
      <w:sz w:val="28"/>
      <w:szCs w:val="20"/>
    </w:rPr>
  </w:style>
  <w:style w:type="character" w:customStyle="1" w:styleId="310">
    <w:name w:val="表格1 Char"/>
    <w:link w:val="309"/>
    <w:qFormat/>
    <w:uiPriority w:val="0"/>
    <w:rPr>
      <w:rFonts w:ascii="宋体" w:hAnsi="Symbol"/>
      <w:kern w:val="24"/>
      <w:sz w:val="28"/>
    </w:rPr>
  </w:style>
  <w:style w:type="paragraph" w:customStyle="1" w:styleId="311">
    <w:name w:val="注解"/>
    <w:basedOn w:val="1"/>
    <w:qFormat/>
    <w:uiPriority w:val="0"/>
    <w:pPr>
      <w:widowControl w:val="0"/>
      <w:spacing w:line="360" w:lineRule="auto"/>
      <w:ind w:firstLine="525" w:firstLineChars="250"/>
      <w:jc w:val="both"/>
    </w:pPr>
    <w:rPr>
      <w:rFonts w:ascii="Times New Roman" w:hAnsi="Times New Roman" w:cs="Times New Roman"/>
      <w:kern w:val="2"/>
      <w:sz w:val="21"/>
      <w:szCs w:val="21"/>
    </w:rPr>
  </w:style>
  <w:style w:type="paragraph" w:customStyle="1" w:styleId="312">
    <w:name w:val="0HP  图表 标题"/>
    <w:basedOn w:val="1"/>
    <w:qFormat/>
    <w:uiPriority w:val="0"/>
    <w:pPr>
      <w:widowControl w:val="0"/>
      <w:ind w:firstLine="422" w:firstLineChars="200"/>
      <w:jc w:val="center"/>
    </w:pPr>
    <w:rPr>
      <w:rFonts w:ascii="Times New Roman" w:hAnsi="Times New Roman" w:cs="Times New Roman"/>
      <w:b/>
      <w:kern w:val="2"/>
      <w:sz w:val="21"/>
      <w:szCs w:val="21"/>
    </w:rPr>
  </w:style>
  <w:style w:type="paragraph" w:customStyle="1" w:styleId="313">
    <w:name w:val="正文 03"/>
    <w:basedOn w:val="1"/>
    <w:qFormat/>
    <w:uiPriority w:val="0"/>
    <w:pPr>
      <w:widowControl w:val="0"/>
      <w:autoSpaceDE w:val="0"/>
      <w:autoSpaceDN w:val="0"/>
      <w:adjustRightInd w:val="0"/>
      <w:jc w:val="both"/>
      <w:textAlignment w:val="baseline"/>
    </w:pPr>
    <w:rPr>
      <w:rFonts w:ascii="Times New Roman" w:hAnsi="Times New Roman" w:eastAsia="Arial" w:cs="Times New Roman"/>
      <w:szCs w:val="20"/>
    </w:rPr>
  </w:style>
  <w:style w:type="paragraph" w:customStyle="1" w:styleId="314">
    <w:name w:val="表格题名"/>
    <w:basedOn w:val="1"/>
    <w:qFormat/>
    <w:uiPriority w:val="0"/>
    <w:pPr>
      <w:widowControl w:val="0"/>
      <w:jc w:val="center"/>
      <w:textAlignment w:val="baseline"/>
    </w:pPr>
    <w:rPr>
      <w:rFonts w:ascii="Arial" w:hAnsi="Arial" w:cs="Times New Roman"/>
      <w:b/>
      <w:sz w:val="21"/>
      <w:szCs w:val="20"/>
    </w:rPr>
  </w:style>
  <w:style w:type="paragraph" w:customStyle="1" w:styleId="315">
    <w:name w:val="正文缩进2"/>
    <w:next w:val="1"/>
    <w:qFormat/>
    <w:uiPriority w:val="0"/>
    <w:pPr>
      <w:wordWrap w:val="0"/>
      <w:ind w:left="3400"/>
      <w:jc w:val="both"/>
    </w:pPr>
    <w:rPr>
      <w:rFonts w:ascii="宋体" w:hAnsi="宋体" w:eastAsia="宋体" w:cs="宋体"/>
      <w:sz w:val="21"/>
      <w:lang w:val="en-US" w:eastAsia="zh-CN" w:bidi="ar-SA"/>
    </w:rPr>
  </w:style>
  <w:style w:type="paragraph" w:customStyle="1" w:styleId="316">
    <w:name w:val="表"/>
    <w:basedOn w:val="1"/>
    <w:qFormat/>
    <w:uiPriority w:val="0"/>
    <w:pPr>
      <w:widowControl w:val="0"/>
      <w:snapToGrid w:val="0"/>
      <w:jc w:val="center"/>
    </w:pPr>
    <w:rPr>
      <w:rFonts w:ascii="Times New Roman" w:hAnsi="Times New Roman" w:cs="Times New Roman"/>
      <w:spacing w:val="2"/>
      <w:kern w:val="2"/>
      <w:szCs w:val="20"/>
    </w:rPr>
  </w:style>
  <w:style w:type="paragraph" w:customStyle="1" w:styleId="317">
    <w:name w:val="表 内容"/>
    <w:basedOn w:val="1"/>
    <w:qFormat/>
    <w:uiPriority w:val="0"/>
    <w:pPr>
      <w:widowControl w:val="0"/>
      <w:adjustRightInd w:val="0"/>
      <w:snapToGrid w:val="0"/>
      <w:spacing w:beforeLines="10" w:afterLines="10"/>
      <w:ind w:firstLine="510"/>
      <w:jc w:val="center"/>
    </w:pPr>
    <w:rPr>
      <w:rFonts w:ascii="Times New Roman" w:hAnsi="Times New Roman" w:cs="Times New Roman"/>
      <w:kern w:val="2"/>
      <w:sz w:val="28"/>
      <w:szCs w:val="21"/>
    </w:rPr>
  </w:style>
  <w:style w:type="paragraph" w:customStyle="1" w:styleId="318">
    <w:name w:val="蓝森表格内容"/>
    <w:basedOn w:val="1"/>
    <w:qFormat/>
    <w:uiPriority w:val="99"/>
    <w:pPr>
      <w:widowControl w:val="0"/>
      <w:spacing w:line="360" w:lineRule="exact"/>
      <w:jc w:val="center"/>
    </w:pPr>
    <w:rPr>
      <w:rFonts w:ascii="Times New Roman" w:hAnsi="Times New Roman" w:cs="Times New Roman"/>
      <w:bCs/>
      <w:kern w:val="2"/>
      <w:sz w:val="21"/>
      <w:szCs w:val="21"/>
    </w:rPr>
  </w:style>
  <w:style w:type="paragraph" w:customStyle="1" w:styleId="319">
    <w:name w:val="正文~"/>
    <w:basedOn w:val="1"/>
    <w:qFormat/>
    <w:uiPriority w:val="0"/>
    <w:pPr>
      <w:widowControl w:val="0"/>
      <w:spacing w:line="360" w:lineRule="auto"/>
      <w:ind w:firstLine="177" w:firstLineChars="177"/>
      <w:jc w:val="both"/>
    </w:pPr>
    <w:rPr>
      <w:rFonts w:ascii="Times New Roman" w:hAnsi="Times New Roman" w:cs="Times New Roman"/>
      <w:kern w:val="2"/>
    </w:rPr>
  </w:style>
  <w:style w:type="paragraph" w:customStyle="1" w:styleId="320">
    <w:name w:val="正文 Char Char"/>
    <w:basedOn w:val="1"/>
    <w:next w:val="1"/>
    <w:qFormat/>
    <w:uiPriority w:val="0"/>
    <w:pPr>
      <w:widowControl w:val="0"/>
      <w:adjustRightInd w:val="0"/>
      <w:spacing w:line="360" w:lineRule="auto"/>
      <w:ind w:firstLine="482"/>
      <w:textAlignment w:val="baseline"/>
    </w:pPr>
    <w:rPr>
      <w:rFonts w:hAnsi="Times New Roman" w:cs="Times New Roman"/>
      <w:snapToGrid w:val="0"/>
      <w:spacing w:val="4"/>
      <w:kern w:val="21"/>
    </w:rPr>
  </w:style>
  <w:style w:type="paragraph" w:customStyle="1" w:styleId="321">
    <w:name w:val="Char Char Char Char Char Char Char Char Char Char"/>
    <w:basedOn w:val="1"/>
    <w:qFormat/>
    <w:uiPriority w:val="0"/>
    <w:pPr>
      <w:spacing w:after="160" w:line="240" w:lineRule="exact"/>
    </w:pPr>
    <w:rPr>
      <w:rFonts w:ascii="Cambria Math" w:hAnsi="Cambria Math" w:cs="Times New Roman"/>
      <w:sz w:val="20"/>
      <w:szCs w:val="20"/>
      <w:lang w:eastAsia="en-US"/>
    </w:rPr>
  </w:style>
  <w:style w:type="paragraph" w:customStyle="1" w:styleId="322">
    <w:name w:val="A-z正文"/>
    <w:basedOn w:val="1"/>
    <w:link w:val="323"/>
    <w:qFormat/>
    <w:uiPriority w:val="0"/>
    <w:pPr>
      <w:widowControl w:val="0"/>
      <w:spacing w:line="360" w:lineRule="auto"/>
      <w:ind w:firstLine="200" w:firstLineChars="200"/>
      <w:jc w:val="both"/>
    </w:pPr>
    <w:rPr>
      <w:rFonts w:ascii="Times New Roman" w:hAnsi="Times New Roman"/>
      <w:kern w:val="2"/>
      <w:szCs w:val="20"/>
    </w:rPr>
  </w:style>
  <w:style w:type="character" w:customStyle="1" w:styleId="323">
    <w:name w:val="A-z正文 Char"/>
    <w:link w:val="322"/>
    <w:qFormat/>
    <w:uiPriority w:val="0"/>
    <w:rPr>
      <w:rFonts w:cs="宋体"/>
      <w:kern w:val="2"/>
      <w:sz w:val="24"/>
    </w:rPr>
  </w:style>
  <w:style w:type="character" w:customStyle="1" w:styleId="324">
    <w:name w:val="Default Char Char"/>
    <w:qFormat/>
    <w:uiPriority w:val="0"/>
    <w:rPr>
      <w:rFonts w:ascii="宋体"/>
      <w:color w:val="000000"/>
      <w:sz w:val="24"/>
      <w:szCs w:val="24"/>
    </w:rPr>
  </w:style>
  <w:style w:type="character" w:customStyle="1" w:styleId="325">
    <w:name w:val="fontstyle01"/>
    <w:qFormat/>
    <w:uiPriority w:val="0"/>
    <w:rPr>
      <w:rFonts w:hint="eastAsia" w:ascii="宋体" w:hAnsi="宋体" w:eastAsia="宋体"/>
      <w:color w:val="000000"/>
      <w:sz w:val="24"/>
      <w:szCs w:val="24"/>
    </w:rPr>
  </w:style>
  <w:style w:type="character" w:customStyle="1" w:styleId="326">
    <w:name w:val="fontstyle21"/>
    <w:qFormat/>
    <w:uiPriority w:val="0"/>
    <w:rPr>
      <w:rFonts w:hint="default" w:ascii="minorBidi" w:hAnsi="minorBidi"/>
      <w:color w:val="000000"/>
      <w:sz w:val="24"/>
      <w:szCs w:val="24"/>
    </w:rPr>
  </w:style>
  <w:style w:type="character" w:customStyle="1" w:styleId="327">
    <w:name w:val="Char Char Char11"/>
    <w:qFormat/>
    <w:uiPriority w:val="0"/>
    <w:rPr>
      <w:rFonts w:ascii="宋体" w:hAnsi="minorBidi" w:eastAsia="宋体"/>
      <w:kern w:val="2"/>
      <w:sz w:val="21"/>
      <w:szCs w:val="24"/>
      <w:lang w:val="en-US" w:eastAsia="zh-CN" w:bidi="ar-SA"/>
    </w:rPr>
  </w:style>
  <w:style w:type="character" w:customStyle="1" w:styleId="328">
    <w:name w:val="批注文字 Char1"/>
    <w:qFormat/>
    <w:uiPriority w:val="99"/>
    <w:rPr>
      <w:rFonts w:ascii="Cambria Math" w:hAnsi="Cambria Math" w:eastAsia="宋体" w:cs="Times New Roman"/>
      <w:szCs w:val="24"/>
    </w:rPr>
  </w:style>
  <w:style w:type="character" w:customStyle="1" w:styleId="329">
    <w:name w:val="正文文本 Char1"/>
    <w:qFormat/>
    <w:uiPriority w:val="0"/>
    <w:rPr>
      <w:rFonts w:ascii="Cambria Math" w:hAnsi="Cambria Math" w:eastAsia="宋体" w:cs="Times New Roman"/>
      <w:szCs w:val="24"/>
    </w:rPr>
  </w:style>
  <w:style w:type="character" w:customStyle="1" w:styleId="330">
    <w:name w:val="文档结构图 Char1"/>
    <w:qFormat/>
    <w:uiPriority w:val="0"/>
    <w:rPr>
      <w:rFonts w:ascii="Symbol" w:hAnsi="Cambria Math" w:eastAsia="Symbol" w:cs="Times New Roman"/>
      <w:sz w:val="18"/>
      <w:szCs w:val="18"/>
    </w:rPr>
  </w:style>
  <w:style w:type="character" w:customStyle="1" w:styleId="331">
    <w:name w:val="批注主题 Char1"/>
    <w:qFormat/>
    <w:uiPriority w:val="0"/>
    <w:rPr>
      <w:rFonts w:ascii="Cambria Math" w:hAnsi="Cambria Math" w:eastAsia="宋体" w:cs="Times New Roman"/>
      <w:b/>
      <w:bCs/>
      <w:szCs w:val="24"/>
    </w:rPr>
  </w:style>
  <w:style w:type="character" w:customStyle="1" w:styleId="332">
    <w:name w:val="正文文本缩进 Char1"/>
    <w:qFormat/>
    <w:uiPriority w:val="0"/>
    <w:rPr>
      <w:rFonts w:ascii="Cambria Math" w:hAnsi="Cambria Math" w:eastAsia="宋体" w:cs="Times New Roman"/>
      <w:szCs w:val="24"/>
    </w:rPr>
  </w:style>
  <w:style w:type="character" w:customStyle="1" w:styleId="333">
    <w:name w:val="正文首行缩进 2 Char2"/>
    <w:qFormat/>
    <w:uiPriority w:val="0"/>
  </w:style>
  <w:style w:type="paragraph" w:customStyle="1" w:styleId="334">
    <w:name w:val="Char Char Char Char11"/>
    <w:basedOn w:val="1"/>
    <w:qFormat/>
    <w:uiPriority w:val="0"/>
    <w:pPr>
      <w:widowControl w:val="0"/>
      <w:jc w:val="both"/>
    </w:pPr>
    <w:rPr>
      <w:rFonts w:ascii="Times New Roman" w:hAnsi="Times New Roman" w:cs="Times New Roman"/>
      <w:kern w:val="2"/>
    </w:rPr>
  </w:style>
  <w:style w:type="character" w:customStyle="1" w:styleId="335">
    <w:name w:val="正文首行缩进 Char2"/>
    <w:qFormat/>
    <w:uiPriority w:val="0"/>
  </w:style>
  <w:style w:type="paragraph" w:customStyle="1" w:styleId="336">
    <w:name w:val="Char11"/>
    <w:basedOn w:val="1"/>
    <w:qFormat/>
    <w:uiPriority w:val="0"/>
    <w:pPr>
      <w:widowControl w:val="0"/>
      <w:snapToGrid w:val="0"/>
      <w:spacing w:line="360" w:lineRule="auto"/>
      <w:ind w:firstLine="529" w:firstLineChars="200"/>
      <w:jc w:val="both"/>
    </w:pPr>
    <w:rPr>
      <w:rFonts w:cs="Times New Roman"/>
      <w:b/>
      <w:kern w:val="2"/>
      <w:sz w:val="21"/>
    </w:rPr>
  </w:style>
  <w:style w:type="character" w:customStyle="1" w:styleId="337">
    <w:name w:val="页眉 Char1"/>
    <w:qFormat/>
    <w:uiPriority w:val="0"/>
    <w:rPr>
      <w:rFonts w:ascii="Cambria Math" w:hAnsi="Cambria Math" w:eastAsia="宋体" w:cs="Times New Roman"/>
      <w:sz w:val="18"/>
      <w:szCs w:val="18"/>
    </w:rPr>
  </w:style>
  <w:style w:type="character" w:customStyle="1" w:styleId="338">
    <w:name w:val="批注框文本 Char1"/>
    <w:qFormat/>
    <w:uiPriority w:val="0"/>
    <w:rPr>
      <w:rFonts w:ascii="Cambria Math" w:hAnsi="Cambria Math" w:eastAsia="宋体" w:cs="Times New Roman"/>
      <w:sz w:val="18"/>
      <w:szCs w:val="18"/>
    </w:rPr>
  </w:style>
  <w:style w:type="character" w:customStyle="1" w:styleId="339">
    <w:name w:val="正文文本缩进 3 Char1"/>
    <w:qFormat/>
    <w:uiPriority w:val="0"/>
    <w:rPr>
      <w:rFonts w:ascii="Cambria Math" w:hAnsi="Cambria Math" w:eastAsia="宋体" w:cs="Times New Roman"/>
      <w:sz w:val="16"/>
      <w:szCs w:val="16"/>
    </w:rPr>
  </w:style>
  <w:style w:type="character" w:customStyle="1" w:styleId="340">
    <w:name w:val="正文文本缩进 2 Char1"/>
    <w:qFormat/>
    <w:uiPriority w:val="0"/>
    <w:rPr>
      <w:rFonts w:ascii="Cambria Math" w:hAnsi="Cambria Math" w:eastAsia="宋体" w:cs="Times New Roman"/>
      <w:szCs w:val="24"/>
    </w:rPr>
  </w:style>
  <w:style w:type="character" w:customStyle="1" w:styleId="341">
    <w:name w:val="正文文本 2 Char1"/>
    <w:qFormat/>
    <w:uiPriority w:val="0"/>
    <w:rPr>
      <w:rFonts w:ascii="Cambria Math" w:hAnsi="Cambria Math" w:eastAsia="宋体" w:cs="Times New Roman"/>
      <w:szCs w:val="24"/>
    </w:rPr>
  </w:style>
  <w:style w:type="character" w:customStyle="1" w:styleId="342">
    <w:name w:val="日期 Char1"/>
    <w:qFormat/>
    <w:uiPriority w:val="0"/>
    <w:rPr>
      <w:rFonts w:ascii="Cambria Math" w:hAnsi="Cambria Math" w:eastAsia="宋体" w:cs="Times New Roman"/>
      <w:szCs w:val="24"/>
    </w:rPr>
  </w:style>
  <w:style w:type="paragraph" w:customStyle="1" w:styleId="343">
    <w:name w:val="纯文本21"/>
    <w:basedOn w:val="1"/>
    <w:qFormat/>
    <w:uiPriority w:val="0"/>
    <w:pPr>
      <w:widowControl w:val="0"/>
      <w:adjustRightInd w:val="0"/>
      <w:jc w:val="center"/>
      <w:textAlignment w:val="baseline"/>
    </w:pPr>
    <w:rPr>
      <w:rFonts w:hAnsi="minorBidi" w:cs="Times New Roman"/>
      <w:kern w:val="2"/>
    </w:rPr>
  </w:style>
  <w:style w:type="paragraph" w:customStyle="1" w:styleId="344">
    <w:name w:val="列出段落111"/>
    <w:basedOn w:val="1"/>
    <w:qFormat/>
    <w:uiPriority w:val="0"/>
    <w:pPr>
      <w:widowControl w:val="0"/>
      <w:ind w:firstLine="420"/>
      <w:jc w:val="both"/>
    </w:pPr>
    <w:rPr>
      <w:rFonts w:ascii="Cambria Math" w:hAnsi="Cambria Math" w:cs="Times New Roman"/>
      <w:kern w:val="2"/>
      <w:sz w:val="21"/>
      <w:lang w:val="zh-CN"/>
    </w:rPr>
  </w:style>
  <w:style w:type="paragraph" w:customStyle="1" w:styleId="345">
    <w:name w:val="Char Char Char Char Char Char Char Char Char Char11"/>
    <w:basedOn w:val="1"/>
    <w:qFormat/>
    <w:uiPriority w:val="0"/>
    <w:pPr>
      <w:spacing w:after="160" w:line="240" w:lineRule="exact"/>
    </w:pPr>
    <w:rPr>
      <w:rFonts w:ascii="Cambria Math" w:hAnsi="Cambria Math" w:cs="Times New Roman"/>
      <w:sz w:val="20"/>
      <w:szCs w:val="20"/>
      <w:lang w:eastAsia="en-US"/>
    </w:rPr>
  </w:style>
  <w:style w:type="paragraph" w:customStyle="1" w:styleId="346">
    <w:name w:val="2.二级标题"/>
    <w:next w:val="347"/>
    <w:link w:val="4004"/>
    <w:qFormat/>
    <w:uiPriority w:val="0"/>
    <w:pPr>
      <w:widowControl w:val="0"/>
      <w:spacing w:line="360" w:lineRule="auto"/>
      <w:jc w:val="both"/>
      <w:outlineLvl w:val="1"/>
    </w:pPr>
    <w:rPr>
      <w:rFonts w:ascii="Times New Roman" w:hAnsi="Times New Roman" w:eastAsia="宋体" w:cs="Times New Roman"/>
      <w:b/>
      <w:kern w:val="2"/>
      <w:sz w:val="24"/>
      <w:szCs w:val="22"/>
      <w:lang w:val="en-US" w:eastAsia="zh-CN" w:bidi="ar-SA"/>
    </w:rPr>
  </w:style>
  <w:style w:type="paragraph" w:customStyle="1" w:styleId="347">
    <w:name w:val="正文 + 首行缩进:  2 字符"/>
    <w:basedOn w:val="1"/>
    <w:qFormat/>
    <w:uiPriority w:val="0"/>
    <w:pPr>
      <w:widowControl w:val="0"/>
      <w:spacing w:line="360" w:lineRule="auto"/>
      <w:ind w:firstLine="480" w:firstLineChars="200"/>
      <w:jc w:val="both"/>
    </w:pPr>
    <w:rPr>
      <w:rFonts w:ascii="Times New Roman" w:hAnsi="Times New Roman" w:cs="Times New Roman"/>
      <w:kern w:val="2"/>
      <w:szCs w:val="20"/>
    </w:rPr>
  </w:style>
  <w:style w:type="paragraph" w:customStyle="1" w:styleId="348">
    <w:name w:val="表标题"/>
    <w:basedOn w:val="6"/>
    <w:qFormat/>
    <w:uiPriority w:val="0"/>
    <w:pPr>
      <w:widowControl w:val="0"/>
      <w:overflowPunct w:val="0"/>
      <w:adjustRightInd w:val="0"/>
      <w:snapToGrid w:val="0"/>
      <w:spacing w:before="0" w:after="0" w:line="360" w:lineRule="auto"/>
      <w:ind w:right="60" w:rightChars="60"/>
      <w:jc w:val="center"/>
    </w:pPr>
    <w:rPr>
      <w:rFonts w:ascii="宋体" w:hAnsi="宋体" w:eastAsia="宋体" w:cs="Times New Roman"/>
      <w:snapToGrid w:val="0"/>
      <w:color w:val="000000"/>
      <w:sz w:val="24"/>
    </w:rPr>
  </w:style>
  <w:style w:type="paragraph" w:customStyle="1" w:styleId="349">
    <w:name w:val="表文字"/>
    <w:basedOn w:val="1"/>
    <w:qFormat/>
    <w:uiPriority w:val="0"/>
    <w:pPr>
      <w:widowControl w:val="0"/>
      <w:tabs>
        <w:tab w:val="left" w:pos="945"/>
        <w:tab w:val="right" w:leader="dot" w:pos="1155"/>
        <w:tab w:val="left" w:pos="8715"/>
      </w:tabs>
      <w:adjustRightInd w:val="0"/>
      <w:snapToGrid w:val="0"/>
      <w:spacing w:before="15" w:beforeLines="15" w:after="15" w:afterLines="15"/>
      <w:jc w:val="center"/>
      <w:textAlignment w:val="baseline"/>
    </w:pPr>
    <w:rPr>
      <w:rFonts w:hAnsi="Times New Roman" w:cs="Times New Roman"/>
      <w:snapToGrid w:val="0"/>
      <w:color w:val="000000"/>
      <w:sz w:val="21"/>
      <w:szCs w:val="9"/>
    </w:rPr>
  </w:style>
  <w:style w:type="paragraph" w:customStyle="1" w:styleId="350">
    <w:name w:val="正文样式1"/>
    <w:basedOn w:val="1"/>
    <w:link w:val="351"/>
    <w:qFormat/>
    <w:uiPriority w:val="0"/>
    <w:pPr>
      <w:widowControl w:val="0"/>
      <w:jc w:val="both"/>
    </w:pPr>
    <w:rPr>
      <w:rFonts w:ascii="Times New Roman" w:hAnsi="Times New Roman" w:cs="Times New Roman"/>
      <w:kern w:val="2"/>
      <w:sz w:val="28"/>
      <w:szCs w:val="20"/>
    </w:rPr>
  </w:style>
  <w:style w:type="character" w:customStyle="1" w:styleId="351">
    <w:name w:val="正文样式1 Char"/>
    <w:link w:val="350"/>
    <w:qFormat/>
    <w:uiPriority w:val="0"/>
    <w:rPr>
      <w:kern w:val="2"/>
      <w:sz w:val="28"/>
    </w:rPr>
  </w:style>
  <w:style w:type="paragraph" w:customStyle="1" w:styleId="352">
    <w:name w:val="图名"/>
    <w:basedOn w:val="1"/>
    <w:qFormat/>
    <w:uiPriority w:val="0"/>
    <w:pPr>
      <w:widowControl w:val="0"/>
      <w:snapToGrid w:val="0"/>
      <w:spacing w:before="50" w:beforeLines="50" w:after="50" w:afterLines="50"/>
      <w:jc w:val="center"/>
    </w:pPr>
    <w:rPr>
      <w:rFonts w:ascii="Times New Roman" w:hAnsi="Times New Roman" w:cs="Times New Roman"/>
      <w:b/>
      <w:kern w:val="2"/>
      <w:sz w:val="28"/>
    </w:rPr>
  </w:style>
  <w:style w:type="character" w:customStyle="1" w:styleId="353">
    <w:name w:val="message"/>
    <w:qFormat/>
    <w:uiPriority w:val="0"/>
  </w:style>
  <w:style w:type="paragraph" w:customStyle="1" w:styleId="354">
    <w:name w:val="az"/>
    <w:basedOn w:val="1"/>
    <w:qFormat/>
    <w:uiPriority w:val="0"/>
    <w:pPr>
      <w:widowControl w:val="0"/>
      <w:spacing w:line="360" w:lineRule="auto"/>
      <w:ind w:firstLine="480" w:firstLineChars="200"/>
      <w:jc w:val="both"/>
    </w:pPr>
    <w:rPr>
      <w:rFonts w:ascii="Times New Roman" w:hAnsi="Times New Roman" w:cs="Times New Roman"/>
      <w:kern w:val="2"/>
    </w:rPr>
  </w:style>
  <w:style w:type="paragraph" w:customStyle="1" w:styleId="355">
    <w:name w:val="a表格"/>
    <w:basedOn w:val="1"/>
    <w:qFormat/>
    <w:uiPriority w:val="0"/>
    <w:pPr>
      <w:widowControl w:val="0"/>
      <w:snapToGrid w:val="0"/>
      <w:jc w:val="center"/>
    </w:pPr>
    <w:rPr>
      <w:rFonts w:ascii="Times New Roman" w:hAnsi="Times New Roman" w:cs="Times New Roman"/>
      <w:kern w:val="2"/>
      <w:sz w:val="21"/>
      <w:szCs w:val="21"/>
    </w:rPr>
  </w:style>
  <w:style w:type="paragraph" w:customStyle="1" w:styleId="356">
    <w:name w:val="表格内容1"/>
    <w:basedOn w:val="1"/>
    <w:qFormat/>
    <w:uiPriority w:val="0"/>
    <w:pPr>
      <w:widowControl w:val="0"/>
      <w:adjustRightInd w:val="0"/>
      <w:snapToGrid w:val="0"/>
      <w:spacing w:before="50" w:line="240" w:lineRule="atLeast"/>
      <w:jc w:val="center"/>
    </w:pPr>
    <w:rPr>
      <w:rFonts w:ascii="Times New Roman" w:hAnsi="Times New Roman" w:cs="Times New Roman"/>
      <w:snapToGrid w:val="0"/>
      <w:sz w:val="21"/>
      <w:szCs w:val="20"/>
    </w:rPr>
  </w:style>
  <w:style w:type="paragraph" w:customStyle="1" w:styleId="357">
    <w:name w:val="缩进正文"/>
    <w:basedOn w:val="35"/>
    <w:qFormat/>
    <w:uiPriority w:val="0"/>
    <w:pPr>
      <w:widowControl w:val="0"/>
      <w:adjustRightInd w:val="0"/>
      <w:snapToGrid w:val="0"/>
      <w:spacing w:after="0" w:line="420" w:lineRule="exact"/>
      <w:ind w:left="0" w:leftChars="0" w:firstLine="567"/>
      <w:jc w:val="both"/>
    </w:pPr>
    <w:rPr>
      <w:rFonts w:hAnsi="Arial" w:cs="Times New Roman"/>
      <w:kern w:val="2"/>
      <w:sz w:val="28"/>
    </w:rPr>
  </w:style>
  <w:style w:type="paragraph" w:customStyle="1" w:styleId="358">
    <w:name w:val="zhang正文"/>
    <w:basedOn w:val="35"/>
    <w:qFormat/>
    <w:uiPriority w:val="0"/>
    <w:pPr>
      <w:widowControl w:val="0"/>
      <w:autoSpaceDE w:val="0"/>
      <w:autoSpaceDN w:val="0"/>
      <w:adjustRightInd w:val="0"/>
      <w:snapToGrid w:val="0"/>
      <w:spacing w:after="0" w:line="360" w:lineRule="auto"/>
      <w:ind w:left="0" w:leftChars="0" w:firstLine="539"/>
      <w:jc w:val="both"/>
      <w:textAlignment w:val="baseline"/>
    </w:pPr>
    <w:rPr>
      <w:rFonts w:ascii="Times New Roman" w:hAnsi="Times New Roman" w:eastAsia="Arial" w:cs="Times New Roman"/>
      <w:sz w:val="28"/>
    </w:rPr>
  </w:style>
  <w:style w:type="paragraph" w:customStyle="1" w:styleId="359">
    <w:name w:val="zhang正文 + 仿宋_GB2312"/>
    <w:basedOn w:val="1"/>
    <w:qFormat/>
    <w:uiPriority w:val="0"/>
    <w:pPr>
      <w:widowControl w:val="0"/>
      <w:adjustRightInd w:val="0"/>
      <w:spacing w:before="50" w:after="50" w:line="500" w:lineRule="exact"/>
      <w:ind w:firstLine="620" w:firstLineChars="200"/>
      <w:jc w:val="both"/>
    </w:pPr>
    <w:rPr>
      <w:spacing w:val="15"/>
      <w:sz w:val="28"/>
      <w:szCs w:val="28"/>
    </w:rPr>
  </w:style>
  <w:style w:type="paragraph" w:customStyle="1" w:styleId="360">
    <w:name w:val="1表格"/>
    <w:basedOn w:val="1"/>
    <w:qFormat/>
    <w:uiPriority w:val="0"/>
    <w:pPr>
      <w:widowControl w:val="0"/>
      <w:snapToGrid w:val="0"/>
      <w:jc w:val="center"/>
      <w:outlineLvl w:val="4"/>
    </w:pPr>
    <w:rPr>
      <w:rFonts w:ascii="Times New Roman" w:hAnsi="Times New Roman" w:cs="Times New Roman"/>
      <w:spacing w:val="4"/>
      <w:kern w:val="2"/>
      <w:sz w:val="21"/>
    </w:rPr>
  </w:style>
  <w:style w:type="paragraph" w:customStyle="1" w:styleId="361">
    <w:name w:val="1文章"/>
    <w:basedOn w:val="1"/>
    <w:qFormat/>
    <w:uiPriority w:val="0"/>
    <w:pPr>
      <w:widowControl w:val="0"/>
      <w:snapToGrid w:val="0"/>
      <w:spacing w:line="420" w:lineRule="auto"/>
      <w:ind w:firstLine="454"/>
      <w:jc w:val="both"/>
      <w:outlineLvl w:val="4"/>
    </w:pPr>
    <w:rPr>
      <w:rFonts w:ascii="Times New Roman" w:hAnsi="Times New Roman" w:cs="Times New Roman"/>
      <w:spacing w:val="4"/>
      <w:kern w:val="2"/>
    </w:rPr>
  </w:style>
  <w:style w:type="paragraph" w:customStyle="1" w:styleId="362">
    <w:name w:val="Char1"/>
    <w:basedOn w:val="1"/>
    <w:qFormat/>
    <w:uiPriority w:val="0"/>
    <w:pPr>
      <w:widowControl w:val="0"/>
      <w:spacing w:line="360" w:lineRule="auto"/>
      <w:ind w:firstLine="200" w:firstLineChars="200"/>
      <w:jc w:val="both"/>
    </w:pPr>
    <w:rPr>
      <w:kern w:val="2"/>
    </w:rPr>
  </w:style>
  <w:style w:type="character" w:customStyle="1" w:styleId="363">
    <w:name w:val="zfgb_xl_xbt"/>
    <w:qFormat/>
    <w:uiPriority w:val="0"/>
  </w:style>
  <w:style w:type="paragraph" w:customStyle="1" w:styleId="364">
    <w:name w:val="3"/>
    <w:basedOn w:val="1"/>
    <w:next w:val="46"/>
    <w:qFormat/>
    <w:uiPriority w:val="0"/>
    <w:pPr>
      <w:widowControl w:val="0"/>
      <w:jc w:val="both"/>
    </w:pPr>
    <w:rPr>
      <w:rFonts w:hAnsi="minorBidi" w:cs="Times New Roman"/>
      <w:kern w:val="2"/>
      <w:sz w:val="21"/>
      <w:szCs w:val="20"/>
    </w:rPr>
  </w:style>
  <w:style w:type="character" w:customStyle="1" w:styleId="365">
    <w:name w:val="标题1"/>
    <w:qFormat/>
    <w:uiPriority w:val="0"/>
  </w:style>
  <w:style w:type="character" w:customStyle="1" w:styleId="366">
    <w:name w:val="green1"/>
    <w:qFormat/>
    <w:uiPriority w:val="0"/>
    <w:rPr>
      <w:b/>
      <w:bCs/>
      <w:color w:val="8AC300"/>
    </w:rPr>
  </w:style>
  <w:style w:type="paragraph" w:customStyle="1" w:styleId="367">
    <w:name w:val="表格正文"/>
    <w:basedOn w:val="1"/>
    <w:link w:val="368"/>
    <w:qFormat/>
    <w:uiPriority w:val="0"/>
    <w:pPr>
      <w:widowControl w:val="0"/>
      <w:jc w:val="center"/>
    </w:pPr>
    <w:rPr>
      <w:rFonts w:cs="Times New Roman"/>
      <w:kern w:val="2"/>
      <w:sz w:val="21"/>
      <w:szCs w:val="20"/>
    </w:rPr>
  </w:style>
  <w:style w:type="character" w:customStyle="1" w:styleId="368">
    <w:name w:val="表格正文 Char"/>
    <w:link w:val="367"/>
    <w:qFormat/>
    <w:uiPriority w:val="0"/>
    <w:rPr>
      <w:rFonts w:ascii="宋体" w:hAnsi="宋体"/>
      <w:kern w:val="2"/>
      <w:sz w:val="21"/>
    </w:rPr>
  </w:style>
  <w:style w:type="paragraph" w:customStyle="1" w:styleId="369">
    <w:name w:val="Char Char1 Char Char Char Char Char Char Char Char Char Char Char Char Char Char Char Char Char Char1"/>
    <w:basedOn w:val="1"/>
    <w:qFormat/>
    <w:uiPriority w:val="0"/>
    <w:pPr>
      <w:widowControl w:val="0"/>
      <w:spacing w:line="360" w:lineRule="auto"/>
      <w:ind w:firstLine="200" w:firstLineChars="200"/>
      <w:jc w:val="both"/>
    </w:pPr>
    <w:rPr>
      <w:kern w:val="2"/>
    </w:rPr>
  </w:style>
  <w:style w:type="character" w:customStyle="1" w:styleId="370">
    <w:name w:val="标题 3 Char2"/>
    <w:qFormat/>
    <w:uiPriority w:val="0"/>
    <w:rPr>
      <w:rFonts w:eastAsia="Symbol"/>
      <w:snapToGrid w:val="0"/>
      <w:sz w:val="28"/>
      <w:szCs w:val="32"/>
      <w:lang w:val="en-US" w:eastAsia="zh-CN" w:bidi="ar-SA"/>
    </w:rPr>
  </w:style>
  <w:style w:type="paragraph" w:customStyle="1" w:styleId="371">
    <w:name w:val="样式20"/>
    <w:basedOn w:val="1"/>
    <w:link w:val="372"/>
    <w:qFormat/>
    <w:uiPriority w:val="0"/>
    <w:pPr>
      <w:widowControl w:val="0"/>
      <w:spacing w:line="360" w:lineRule="auto"/>
      <w:ind w:firstLine="480" w:firstLineChars="200"/>
      <w:jc w:val="both"/>
    </w:pPr>
    <w:rPr>
      <w:rFonts w:ascii="Times New Roman" w:cs="Times New Roman"/>
      <w:kern w:val="2"/>
    </w:rPr>
  </w:style>
  <w:style w:type="character" w:customStyle="1" w:styleId="372">
    <w:name w:val="样式20 Char"/>
    <w:link w:val="371"/>
    <w:qFormat/>
    <w:uiPriority w:val="0"/>
    <w:rPr>
      <w:rFonts w:hAnsi="宋体"/>
      <w:kern w:val="2"/>
      <w:sz w:val="24"/>
      <w:szCs w:val="24"/>
    </w:rPr>
  </w:style>
  <w:style w:type="paragraph" w:customStyle="1" w:styleId="373">
    <w:name w:val="样式24"/>
    <w:basedOn w:val="1"/>
    <w:qFormat/>
    <w:uiPriority w:val="0"/>
    <w:pPr>
      <w:keepNext/>
      <w:keepLines/>
      <w:widowControl w:val="0"/>
      <w:tabs>
        <w:tab w:val="left" w:pos="360"/>
        <w:tab w:val="left" w:pos="540"/>
        <w:tab w:val="left" w:pos="840"/>
      </w:tabs>
      <w:spacing w:before="156" w:beforeLines="50" w:after="156" w:afterLines="50" w:line="360" w:lineRule="auto"/>
      <w:ind w:left="840" w:hanging="420"/>
      <w:jc w:val="both"/>
      <w:outlineLvl w:val="1"/>
    </w:pPr>
    <w:rPr>
      <w:rFonts w:eastAsia="Symbol" w:cs="Times New Roman"/>
      <w:kern w:val="2"/>
      <w:sz w:val="28"/>
      <w:szCs w:val="28"/>
    </w:rPr>
  </w:style>
  <w:style w:type="paragraph" w:customStyle="1" w:styleId="374">
    <w:name w:val="样式13"/>
    <w:basedOn w:val="1"/>
    <w:link w:val="375"/>
    <w:qFormat/>
    <w:uiPriority w:val="0"/>
    <w:pPr>
      <w:keepNext/>
      <w:keepLines/>
      <w:widowControl w:val="0"/>
      <w:tabs>
        <w:tab w:val="left" w:pos="360"/>
        <w:tab w:val="left" w:pos="540"/>
        <w:tab w:val="left" w:pos="1260"/>
      </w:tabs>
      <w:spacing w:before="156" w:beforeLines="50" w:after="156" w:afterLines="50" w:line="360" w:lineRule="auto"/>
      <w:ind w:left="1260" w:hanging="420"/>
      <w:jc w:val="both"/>
      <w:outlineLvl w:val="2"/>
    </w:pPr>
    <w:rPr>
      <w:rFonts w:ascii="Times New Roman" w:hAnsi="Times New Roman" w:eastAsia="Symbol" w:cs="Times New Roman"/>
      <w:szCs w:val="32"/>
    </w:rPr>
  </w:style>
  <w:style w:type="character" w:customStyle="1" w:styleId="375">
    <w:name w:val="样式13 Char"/>
    <w:link w:val="374"/>
    <w:qFormat/>
    <w:uiPriority w:val="0"/>
    <w:rPr>
      <w:rFonts w:eastAsia="Symbol"/>
      <w:sz w:val="24"/>
      <w:szCs w:val="32"/>
    </w:rPr>
  </w:style>
  <w:style w:type="character" w:customStyle="1" w:styleId="376">
    <w:name w:val="Char Char Char1"/>
    <w:qFormat/>
    <w:uiPriority w:val="0"/>
    <w:rPr>
      <w:rFonts w:eastAsia="宋体"/>
      <w:kern w:val="2"/>
      <w:sz w:val="18"/>
      <w:lang w:val="en-US" w:eastAsia="zh-CN" w:bidi="ar-SA"/>
    </w:rPr>
  </w:style>
  <w:style w:type="character" w:customStyle="1" w:styleId="377">
    <w:name w:val="正文缩进 Char2"/>
    <w:qFormat/>
    <w:uiPriority w:val="0"/>
    <w:rPr>
      <w:rFonts w:eastAsia="宋体"/>
      <w:snapToGrid w:val="0"/>
      <w:color w:val="000000"/>
      <w:sz w:val="24"/>
      <w:szCs w:val="24"/>
      <w:lang w:val="en-US" w:eastAsia="zh-CN" w:bidi="ar-SA"/>
    </w:rPr>
  </w:style>
  <w:style w:type="paragraph" w:customStyle="1" w:styleId="378">
    <w:name w:val="content"/>
    <w:basedOn w:val="1"/>
    <w:qFormat/>
    <w:uiPriority w:val="0"/>
    <w:pPr>
      <w:spacing w:before="100" w:beforeAutospacing="1" w:after="100" w:afterAutospacing="1"/>
    </w:pPr>
  </w:style>
  <w:style w:type="character" w:customStyle="1" w:styleId="379">
    <w:name w:val="标题 3 Char1"/>
    <w:qFormat/>
    <w:uiPriority w:val="0"/>
    <w:rPr>
      <w:rFonts w:ascii="宋体" w:hAnsi="宋体" w:eastAsia="宋体" w:cs="宋体"/>
      <w:b/>
      <w:bCs/>
      <w:color w:val="000000"/>
      <w:sz w:val="27"/>
      <w:szCs w:val="27"/>
      <w:lang w:val="en-US" w:eastAsia="zh-CN" w:bidi="ar-SA"/>
    </w:rPr>
  </w:style>
  <w:style w:type="paragraph" w:customStyle="1" w:styleId="380">
    <w:name w:val="样式11"/>
    <w:basedOn w:val="46"/>
    <w:link w:val="381"/>
    <w:qFormat/>
    <w:uiPriority w:val="0"/>
    <w:pPr>
      <w:widowControl w:val="0"/>
      <w:spacing w:line="300" w:lineRule="auto"/>
      <w:jc w:val="center"/>
    </w:pPr>
    <w:rPr>
      <w:rFonts w:hAnsi="Times New Roman" w:cs="Times New Roman"/>
      <w:kern w:val="2"/>
      <w:sz w:val="21"/>
    </w:rPr>
  </w:style>
  <w:style w:type="character" w:customStyle="1" w:styleId="381">
    <w:name w:val="样式11 Char"/>
    <w:link w:val="380"/>
    <w:qFormat/>
    <w:uiPriority w:val="0"/>
    <w:rPr>
      <w:rFonts w:ascii="宋体"/>
      <w:kern w:val="2"/>
      <w:sz w:val="21"/>
      <w:szCs w:val="24"/>
    </w:rPr>
  </w:style>
  <w:style w:type="character" w:customStyle="1" w:styleId="382">
    <w:name w:val="样式10 Char"/>
    <w:link w:val="383"/>
    <w:qFormat/>
    <w:uiPriority w:val="0"/>
    <w:rPr>
      <w:rFonts w:ascii="宋体" w:hAnsi="宋体"/>
      <w:b/>
      <w:kern w:val="2"/>
      <w:sz w:val="24"/>
    </w:rPr>
  </w:style>
  <w:style w:type="paragraph" w:customStyle="1" w:styleId="383">
    <w:name w:val="样式10"/>
    <w:basedOn w:val="1"/>
    <w:link w:val="382"/>
    <w:qFormat/>
    <w:uiPriority w:val="0"/>
    <w:pPr>
      <w:widowControl w:val="0"/>
      <w:autoSpaceDE w:val="0"/>
      <w:autoSpaceDN w:val="0"/>
      <w:adjustRightInd w:val="0"/>
      <w:spacing w:line="360" w:lineRule="auto"/>
      <w:jc w:val="center"/>
      <w:textAlignment w:val="baseline"/>
    </w:pPr>
    <w:rPr>
      <w:rFonts w:cs="Times New Roman"/>
      <w:b/>
      <w:kern w:val="2"/>
      <w:szCs w:val="20"/>
    </w:rPr>
  </w:style>
  <w:style w:type="paragraph" w:customStyle="1" w:styleId="384">
    <w:name w:val="body"/>
    <w:basedOn w:val="1"/>
    <w:qFormat/>
    <w:uiPriority w:val="0"/>
    <w:pPr>
      <w:widowControl w:val="0"/>
      <w:spacing w:line="360" w:lineRule="auto"/>
      <w:jc w:val="both"/>
    </w:pPr>
    <w:rPr>
      <w:rFonts w:cs="Times New Roman"/>
      <w:kern w:val="2"/>
      <w:szCs w:val="20"/>
    </w:rPr>
  </w:style>
  <w:style w:type="paragraph" w:customStyle="1" w:styleId="385">
    <w:name w:val="Char Char Char1 Char Char Char Char Char Char Char Char Char Char Char Char Char Char Char Char Char Char Char Char Char Char Char Char Char Char Char Char"/>
    <w:basedOn w:val="1"/>
    <w:qFormat/>
    <w:uiPriority w:val="0"/>
    <w:pPr>
      <w:widowControl w:val="0"/>
      <w:jc w:val="both"/>
    </w:pPr>
    <w:rPr>
      <w:rFonts w:ascii="Times New Roman" w:hAnsi="Times New Roman" w:cs="Times New Roman"/>
      <w:kern w:val="2"/>
      <w:sz w:val="21"/>
    </w:rPr>
  </w:style>
  <w:style w:type="character" w:customStyle="1" w:styleId="386">
    <w:name w:val="标题 1 Char2"/>
    <w:qFormat/>
    <w:uiPriority w:val="0"/>
    <w:rPr>
      <w:rFonts w:eastAsia="Symbol"/>
      <w:b/>
      <w:bCs/>
      <w:snapToGrid w:val="0"/>
      <w:sz w:val="44"/>
      <w:szCs w:val="44"/>
      <w:lang w:val="en-US" w:eastAsia="zh-CN" w:bidi="ar-SA"/>
    </w:rPr>
  </w:style>
  <w:style w:type="character" w:customStyle="1" w:styleId="387">
    <w:name w:val="Char Char11"/>
    <w:qFormat/>
    <w:uiPriority w:val="0"/>
    <w:rPr>
      <w:rFonts w:eastAsia="宋体"/>
      <w:kern w:val="2"/>
      <w:sz w:val="18"/>
      <w:lang w:val="en-US" w:eastAsia="zh-CN" w:bidi="ar-SA"/>
    </w:rPr>
  </w:style>
  <w:style w:type="paragraph" w:customStyle="1" w:styleId="388">
    <w:name w:val="xl31"/>
    <w:basedOn w:val="1"/>
    <w:qFormat/>
    <w:uiPriority w:val="0"/>
    <w:pPr>
      <w:spacing w:before="100" w:beforeAutospacing="1" w:after="100" w:afterAutospacing="1" w:line="360" w:lineRule="auto"/>
      <w:jc w:val="center"/>
    </w:pPr>
    <w:rPr>
      <w:rFonts w:cs="Times New Roman"/>
    </w:rPr>
  </w:style>
  <w:style w:type="paragraph" w:customStyle="1" w:styleId="389">
    <w:name w:val="样式 四号"/>
    <w:basedOn w:val="1"/>
    <w:link w:val="390"/>
    <w:qFormat/>
    <w:uiPriority w:val="0"/>
    <w:pPr>
      <w:widowControl w:val="0"/>
      <w:ind w:firstLine="200" w:firstLineChars="200"/>
      <w:jc w:val="both"/>
    </w:pPr>
    <w:rPr>
      <w:rFonts w:ascii="Times New Roman" w:hAnsi="Times New Roman"/>
      <w:kern w:val="2"/>
      <w:sz w:val="28"/>
      <w:szCs w:val="20"/>
    </w:rPr>
  </w:style>
  <w:style w:type="character" w:customStyle="1" w:styleId="390">
    <w:name w:val="样式 四号 Char"/>
    <w:link w:val="389"/>
    <w:qFormat/>
    <w:uiPriority w:val="0"/>
    <w:rPr>
      <w:rFonts w:cs="宋体"/>
      <w:kern w:val="2"/>
      <w:sz w:val="28"/>
    </w:rPr>
  </w:style>
  <w:style w:type="paragraph" w:customStyle="1" w:styleId="391">
    <w:name w:val="样式 四号 首行缩进:  0.85 厘米 行距: 1.5 倍行距"/>
    <w:basedOn w:val="1"/>
    <w:qFormat/>
    <w:uiPriority w:val="0"/>
    <w:pPr>
      <w:widowControl w:val="0"/>
      <w:spacing w:line="360" w:lineRule="auto"/>
      <w:ind w:firstLine="200" w:firstLineChars="200"/>
      <w:jc w:val="both"/>
    </w:pPr>
    <w:rPr>
      <w:rFonts w:ascii="Times New Roman" w:hAnsi="Times New Roman"/>
      <w:kern w:val="2"/>
      <w:sz w:val="28"/>
      <w:szCs w:val="20"/>
    </w:rPr>
  </w:style>
  <w:style w:type="paragraph" w:customStyle="1" w:styleId="392">
    <w:name w:val="样式 样式 标题 2 + (西文) Times New Roman (中文) 楷体_GB2312 自动设置 段前: 13 磅 ...."/>
    <w:basedOn w:val="1"/>
    <w:qFormat/>
    <w:uiPriority w:val="0"/>
    <w:pPr>
      <w:widowControl w:val="0"/>
      <w:overflowPunct w:val="0"/>
      <w:spacing w:before="240" w:after="240"/>
      <w:jc w:val="center"/>
      <w:outlineLvl w:val="1"/>
    </w:pPr>
    <w:rPr>
      <w:rFonts w:ascii="Times New Roman" w:hAnsi="Times New Roman" w:eastAsia="Arial"/>
      <w:b/>
      <w:kern w:val="2"/>
      <w:sz w:val="32"/>
      <w:szCs w:val="20"/>
    </w:rPr>
  </w:style>
  <w:style w:type="character" w:customStyle="1" w:styleId="393">
    <w:name w:val="标题 1 Char1"/>
    <w:qFormat/>
    <w:uiPriority w:val="0"/>
    <w:rPr>
      <w:rFonts w:eastAsia="宋体"/>
      <w:kern w:val="2"/>
      <w:sz w:val="28"/>
      <w:szCs w:val="24"/>
      <w:lang w:val="en-US" w:eastAsia="zh-CN" w:bidi="ar-SA"/>
    </w:rPr>
  </w:style>
  <w:style w:type="paragraph" w:customStyle="1" w:styleId="394">
    <w:name w:val="编号4号"/>
    <w:basedOn w:val="1"/>
    <w:qFormat/>
    <w:uiPriority w:val="0"/>
    <w:pPr>
      <w:snapToGrid w:val="0"/>
      <w:spacing w:line="312" w:lineRule="auto"/>
      <w:jc w:val="both"/>
    </w:pPr>
    <w:rPr>
      <w:rFonts w:ascii="Arial" w:hAnsi="Arial" w:cs="Arial"/>
      <w:kern w:val="2"/>
      <w:sz w:val="21"/>
    </w:rPr>
  </w:style>
  <w:style w:type="paragraph" w:customStyle="1" w:styleId="395">
    <w:name w:val="正文图五"/>
    <w:basedOn w:val="1"/>
    <w:qFormat/>
    <w:uiPriority w:val="0"/>
    <w:pPr>
      <w:widowControl w:val="0"/>
      <w:adjustRightInd w:val="0"/>
      <w:snapToGrid w:val="0"/>
      <w:jc w:val="center"/>
    </w:pPr>
    <w:rPr>
      <w:rFonts w:ascii="Times New Roman" w:hAnsi="Times New Roman" w:cs="Times New Roman"/>
      <w:snapToGrid w:val="0"/>
      <w:spacing w:val="6"/>
      <w:kern w:val="2"/>
      <w:sz w:val="21"/>
      <w:szCs w:val="20"/>
    </w:rPr>
  </w:style>
  <w:style w:type="paragraph" w:customStyle="1" w:styleId="396">
    <w:name w:val="xl33"/>
    <w:basedOn w:val="1"/>
    <w:qFormat/>
    <w:uiPriority w:val="0"/>
    <w:pPr>
      <w:pBdr>
        <w:left w:val="single" w:color="auto" w:sz="4" w:space="0"/>
        <w:right w:val="single" w:color="auto" w:sz="4" w:space="0"/>
      </w:pBdr>
      <w:spacing w:before="100" w:beforeAutospacing="1" w:after="100" w:afterAutospacing="1"/>
      <w:jc w:val="center"/>
    </w:pPr>
    <w:rPr>
      <w:rFonts w:hint="eastAsia" w:cs="Times New Roman"/>
      <w:szCs w:val="20"/>
    </w:rPr>
  </w:style>
  <w:style w:type="character" w:customStyle="1" w:styleId="397">
    <w:name w:val="zw1"/>
    <w:qFormat/>
    <w:uiPriority w:val="0"/>
    <w:rPr>
      <w:rFonts w:hint="eastAsia" w:ascii="宋体" w:hAnsi="宋体" w:eastAsia="宋体"/>
      <w:sz w:val="22"/>
    </w:rPr>
  </w:style>
  <w:style w:type="character" w:customStyle="1" w:styleId="398">
    <w:name w:val="bt21"/>
    <w:qFormat/>
    <w:uiPriority w:val="0"/>
    <w:rPr>
      <w:rFonts w:hint="eastAsia" w:ascii="Symbol" w:eastAsia="Symbol"/>
      <w:sz w:val="24"/>
      <w:szCs w:val="24"/>
    </w:rPr>
  </w:style>
  <w:style w:type="paragraph" w:customStyle="1" w:styleId="399">
    <w:name w:val="样式 标题 1标题 1 CharHead 1wsa一、标题 111h1Part'DocumentH1标题一文..."/>
    <w:basedOn w:val="3"/>
    <w:qFormat/>
    <w:uiPriority w:val="0"/>
    <w:pPr>
      <w:widowControl w:val="0"/>
      <w:overflowPunct/>
      <w:snapToGrid/>
      <w:spacing w:before="240" w:after="240" w:line="360" w:lineRule="auto"/>
      <w:ind w:left="0" w:firstLine="0"/>
      <w:jc w:val="center"/>
    </w:pPr>
    <w:rPr>
      <w:rFonts w:ascii="Times New Roman" w:hAnsi="Times New Roman" w:eastAsia="Symbol" w:cs="Times New Roman"/>
      <w:b w:val="0"/>
      <w:color w:val="auto"/>
      <w:kern w:val="2"/>
      <w:sz w:val="32"/>
      <w:szCs w:val="24"/>
    </w:rPr>
  </w:style>
  <w:style w:type="character" w:customStyle="1" w:styleId="400">
    <w:name w:val="样式 标题 1标题 1 CharHead 1wsa一、标题 111h1Part'DocumentH1标题一文... Char"/>
    <w:qFormat/>
    <w:uiPriority w:val="0"/>
    <w:rPr>
      <w:rFonts w:eastAsia="Symbol"/>
      <w:bCs/>
      <w:kern w:val="2"/>
      <w:sz w:val="32"/>
      <w:szCs w:val="24"/>
      <w:lang w:val="en-US" w:eastAsia="zh-CN" w:bidi="ar-SA"/>
    </w:rPr>
  </w:style>
  <w:style w:type="paragraph" w:customStyle="1" w:styleId="401">
    <w:name w:val="样式 标题 2SeHead wsa2ChapterChapter TitleH2标题 2 Char Char Cha..."/>
    <w:basedOn w:val="4"/>
    <w:qFormat/>
    <w:uiPriority w:val="0"/>
    <w:pPr>
      <w:widowControl w:val="0"/>
      <w:numPr>
        <w:ilvl w:val="0"/>
        <w:numId w:val="0"/>
      </w:numPr>
      <w:spacing w:before="240" w:after="240" w:line="360" w:lineRule="auto"/>
      <w:ind w:firstLine="200" w:firstLineChars="200"/>
      <w:jc w:val="both"/>
    </w:pPr>
    <w:rPr>
      <w:rFonts w:ascii="Symbol" w:hAnsi="宋体" w:eastAsia="Symbol" w:cs="Times New Roman"/>
      <w:b w:val="0"/>
      <w:kern w:val="2"/>
      <w:sz w:val="28"/>
      <w:szCs w:val="32"/>
    </w:rPr>
  </w:style>
  <w:style w:type="paragraph" w:customStyle="1" w:styleId="402">
    <w:name w:val="样式 标题 3标题 3 Char条标题1.1.1ReHead 3 WSAh3BSH-3H3b333rd le..."/>
    <w:basedOn w:val="5"/>
    <w:qFormat/>
    <w:uiPriority w:val="0"/>
    <w:pPr>
      <w:widowControl w:val="0"/>
      <w:spacing w:before="120" w:after="120" w:line="360" w:lineRule="auto"/>
      <w:ind w:firstLine="200" w:firstLineChars="200"/>
      <w:jc w:val="both"/>
    </w:pPr>
    <w:rPr>
      <w:rFonts w:ascii="Times New Roman" w:hAnsi="Times New Roman" w:eastAsia="Symbol" w:cs="Times New Roman"/>
      <w:b w:val="0"/>
      <w:bCs w:val="0"/>
      <w:kern w:val="2"/>
      <w:sz w:val="28"/>
    </w:rPr>
  </w:style>
  <w:style w:type="paragraph" w:customStyle="1" w:styleId="403">
    <w:name w:val="xl24"/>
    <w:basedOn w:val="1"/>
    <w:qFormat/>
    <w:uiPriority w:val="0"/>
    <w:pPr>
      <w:pBdr>
        <w:right w:val="single" w:color="auto" w:sz="4" w:space="0"/>
      </w:pBdr>
      <w:spacing w:before="100" w:beforeAutospacing="1" w:after="100" w:afterAutospacing="1"/>
      <w:jc w:val="center"/>
    </w:pPr>
    <w:rPr>
      <w:rFonts w:ascii="Times New Roman" w:hAnsi="Times New Roman" w:cs="Times New Roman"/>
    </w:rPr>
  </w:style>
  <w:style w:type="paragraph" w:customStyle="1" w:styleId="404">
    <w:name w:val="xl26"/>
    <w:basedOn w:val="1"/>
    <w:qFormat/>
    <w:uiPriority w:val="0"/>
    <w:pPr>
      <w:pBdr>
        <w:bottom w:val="single" w:color="auto" w:sz="4" w:space="0"/>
        <w:right w:val="single" w:color="auto" w:sz="4" w:space="0"/>
      </w:pBdr>
      <w:spacing w:before="100" w:beforeAutospacing="1" w:after="100" w:afterAutospacing="1"/>
      <w:jc w:val="center"/>
    </w:pPr>
    <w:rPr>
      <w:color w:val="000000"/>
      <w:sz w:val="18"/>
      <w:szCs w:val="18"/>
    </w:rPr>
  </w:style>
  <w:style w:type="paragraph" w:customStyle="1" w:styleId="405">
    <w:name w:val="xl45"/>
    <w:basedOn w:val="1"/>
    <w:qFormat/>
    <w:uiPriority w:val="0"/>
    <w:pPr>
      <w:pBdr>
        <w:right w:val="single" w:color="auto" w:sz="4" w:space="0"/>
      </w:pBdr>
      <w:spacing w:before="100" w:beforeAutospacing="1" w:after="100" w:afterAutospacing="1"/>
      <w:jc w:val="center"/>
      <w:textAlignment w:val="center"/>
    </w:pPr>
    <w:rPr>
      <w:rFonts w:hint="eastAsia"/>
      <w:sz w:val="20"/>
      <w:szCs w:val="20"/>
    </w:rPr>
  </w:style>
  <w:style w:type="paragraph" w:customStyle="1" w:styleId="406">
    <w:name w:val="样式 样式 黑色 首行缩进:  2 字符 + 首行缩进:  2 字符1"/>
    <w:basedOn w:val="1"/>
    <w:link w:val="407"/>
    <w:qFormat/>
    <w:uiPriority w:val="0"/>
    <w:pPr>
      <w:widowControl w:val="0"/>
      <w:ind w:firstLine="200" w:firstLineChars="200"/>
      <w:jc w:val="both"/>
    </w:pPr>
    <w:rPr>
      <w:color w:val="000000"/>
      <w:kern w:val="2"/>
      <w:sz w:val="28"/>
      <w:szCs w:val="20"/>
    </w:rPr>
  </w:style>
  <w:style w:type="character" w:customStyle="1" w:styleId="407">
    <w:name w:val="样式 样式 黑色 首行缩进:  2 字符 + 首行缩进:  2 字符1 Char"/>
    <w:link w:val="406"/>
    <w:qFormat/>
    <w:uiPriority w:val="0"/>
    <w:rPr>
      <w:rFonts w:ascii="宋体" w:hAnsi="宋体" w:cs="宋体"/>
      <w:color w:val="000000"/>
      <w:kern w:val="2"/>
      <w:sz w:val="28"/>
    </w:rPr>
  </w:style>
  <w:style w:type="paragraph" w:customStyle="1" w:styleId="408">
    <w:name w:val="正文LXF"/>
    <w:basedOn w:val="1"/>
    <w:qFormat/>
    <w:uiPriority w:val="0"/>
    <w:pPr>
      <w:widowControl w:val="0"/>
      <w:spacing w:line="580" w:lineRule="atLeast"/>
      <w:ind w:firstLine="200" w:firstLineChars="200"/>
      <w:jc w:val="both"/>
    </w:pPr>
    <w:rPr>
      <w:rFonts w:ascii="Times New Roman" w:hAnsi="Times New Roman" w:cs="Times New Roman"/>
      <w:kern w:val="2"/>
      <w:sz w:val="28"/>
      <w:szCs w:val="20"/>
    </w:rPr>
  </w:style>
  <w:style w:type="paragraph" w:customStyle="1" w:styleId="409">
    <w:name w:val="样式 标题 2 + (西文) Times New Roman (中文) 楷体_GB2312 黑色 段前: 5 磅 段后:..."/>
    <w:basedOn w:val="4"/>
    <w:qFormat/>
    <w:uiPriority w:val="0"/>
    <w:pPr>
      <w:widowControl w:val="0"/>
      <w:numPr>
        <w:ilvl w:val="0"/>
        <w:numId w:val="0"/>
      </w:numPr>
      <w:spacing w:before="120" w:after="120" w:line="360" w:lineRule="auto"/>
      <w:ind w:firstLine="200" w:firstLineChars="200"/>
      <w:jc w:val="both"/>
    </w:pPr>
    <w:rPr>
      <w:rFonts w:ascii="Times New Roman" w:hAnsi="Times New Roman" w:eastAsia="Symbol"/>
      <w:b w:val="0"/>
      <w:color w:val="000000"/>
      <w:kern w:val="2"/>
      <w:sz w:val="28"/>
      <w:szCs w:val="20"/>
    </w:rPr>
  </w:style>
  <w:style w:type="paragraph" w:customStyle="1" w:styleId="410">
    <w:name w:val="样式 标题 3 + (西文) 黑体 (符号) Times New Roman 黑色"/>
    <w:basedOn w:val="5"/>
    <w:qFormat/>
    <w:uiPriority w:val="0"/>
    <w:pPr>
      <w:widowControl w:val="0"/>
      <w:spacing w:before="120" w:after="120" w:line="240" w:lineRule="auto"/>
      <w:ind w:firstLine="200" w:firstLineChars="200"/>
      <w:jc w:val="both"/>
    </w:pPr>
    <w:rPr>
      <w:rFonts w:ascii="Symbol" w:hAnsi="Symbol" w:eastAsia="Symbol" w:cs="Times New Roman"/>
      <w:b w:val="0"/>
      <w:bCs w:val="0"/>
      <w:color w:val="000000"/>
      <w:sz w:val="28"/>
      <w:szCs w:val="28"/>
    </w:rPr>
  </w:style>
  <w:style w:type="paragraph" w:customStyle="1" w:styleId="411">
    <w:name w:val="样式 黑色 首行缩进:  2 字符"/>
    <w:basedOn w:val="1"/>
    <w:link w:val="412"/>
    <w:qFormat/>
    <w:uiPriority w:val="0"/>
    <w:pPr>
      <w:widowControl w:val="0"/>
      <w:spacing w:line="360" w:lineRule="auto"/>
      <w:ind w:firstLine="200" w:firstLineChars="200"/>
      <w:jc w:val="both"/>
    </w:pPr>
    <w:rPr>
      <w:color w:val="000000"/>
      <w:kern w:val="2"/>
      <w:sz w:val="28"/>
      <w:szCs w:val="20"/>
    </w:rPr>
  </w:style>
  <w:style w:type="character" w:customStyle="1" w:styleId="412">
    <w:name w:val="样式 黑色 首行缩进:  2 字符 Char"/>
    <w:link w:val="411"/>
    <w:qFormat/>
    <w:uiPriority w:val="0"/>
    <w:rPr>
      <w:rFonts w:ascii="宋体" w:hAnsi="宋体" w:cs="宋体"/>
      <w:color w:val="000000"/>
      <w:kern w:val="2"/>
      <w:sz w:val="28"/>
    </w:rPr>
  </w:style>
  <w:style w:type="paragraph" w:customStyle="1" w:styleId="413">
    <w:name w:val="样式 黑色 首行缩进:  1.01 厘米 行距: 固定值 30 磅"/>
    <w:basedOn w:val="1"/>
    <w:link w:val="414"/>
    <w:qFormat/>
    <w:uiPriority w:val="0"/>
    <w:pPr>
      <w:widowControl w:val="0"/>
      <w:spacing w:line="600" w:lineRule="exact"/>
      <w:ind w:firstLine="573"/>
      <w:jc w:val="both"/>
    </w:pPr>
    <w:rPr>
      <w:color w:val="000000"/>
      <w:kern w:val="2"/>
      <w:sz w:val="28"/>
      <w:szCs w:val="20"/>
    </w:rPr>
  </w:style>
  <w:style w:type="character" w:customStyle="1" w:styleId="414">
    <w:name w:val="样式 黑色 首行缩进:  1.01 厘米 行距: 固定值 30 磅 Char"/>
    <w:link w:val="413"/>
    <w:qFormat/>
    <w:uiPriority w:val="0"/>
    <w:rPr>
      <w:rFonts w:ascii="宋体" w:hAnsi="宋体" w:cs="宋体"/>
      <w:color w:val="000000"/>
      <w:kern w:val="2"/>
      <w:sz w:val="28"/>
    </w:rPr>
  </w:style>
  <w:style w:type="paragraph" w:customStyle="1" w:styleId="415">
    <w:name w:val="xl25"/>
    <w:basedOn w:val="1"/>
    <w:qFormat/>
    <w:uiPriority w:val="0"/>
    <w:pPr>
      <w:pBdr>
        <w:bottom w:val="single" w:color="auto" w:sz="4" w:space="0"/>
        <w:right w:val="single" w:color="auto" w:sz="4" w:space="0"/>
      </w:pBdr>
      <w:spacing w:before="100" w:beforeAutospacing="1" w:after="100" w:afterAutospacing="1"/>
      <w:jc w:val="both"/>
    </w:pPr>
    <w:rPr>
      <w:rFonts w:ascii="Times New Roman" w:hAnsi="Times New Roman" w:cs="Times New Roman"/>
      <w:sz w:val="21"/>
      <w:szCs w:val="21"/>
    </w:rPr>
  </w:style>
  <w:style w:type="paragraph" w:customStyle="1" w:styleId="416">
    <w:name w:val="bb"/>
    <w:basedOn w:val="1"/>
    <w:qFormat/>
    <w:uiPriority w:val="0"/>
    <w:pPr>
      <w:widowControl w:val="0"/>
      <w:tabs>
        <w:tab w:val="left" w:pos="425"/>
      </w:tabs>
      <w:ind w:left="425" w:hanging="425"/>
      <w:jc w:val="both"/>
    </w:pPr>
    <w:rPr>
      <w:rFonts w:hAnsi="Times New Roman" w:cs="Times New Roman"/>
      <w:kern w:val="2"/>
      <w:sz w:val="28"/>
      <w:szCs w:val="20"/>
    </w:rPr>
  </w:style>
  <w:style w:type="paragraph" w:customStyle="1" w:styleId="417">
    <w:name w:val="默认段落字体 Para Char Char Char Char Char Char Char Char Char1 Char Char Char Char Char Char Char"/>
    <w:basedOn w:val="26"/>
    <w:qFormat/>
    <w:uiPriority w:val="0"/>
    <w:pPr>
      <w:widowControl w:val="0"/>
      <w:shd w:val="clear" w:color="auto" w:fill="000080"/>
      <w:jc w:val="both"/>
    </w:pPr>
    <w:rPr>
      <w:rFonts w:ascii="Cambria Math" w:hAnsi="Cambria Math" w:cs="Cambria Math"/>
      <w:kern w:val="2"/>
      <w:sz w:val="28"/>
      <w:szCs w:val="24"/>
    </w:rPr>
  </w:style>
  <w:style w:type="character" w:customStyle="1" w:styleId="418">
    <w:name w:val="bt11"/>
    <w:qFormat/>
    <w:uiPriority w:val="0"/>
    <w:rPr>
      <w:rFonts w:hint="eastAsia" w:ascii="Symbol" w:eastAsia="Symbol"/>
      <w:color w:val="000000"/>
      <w:sz w:val="28"/>
      <w:szCs w:val="28"/>
    </w:rPr>
  </w:style>
  <w:style w:type="paragraph" w:customStyle="1" w:styleId="419">
    <w:name w:val="样式 (西文) Times New Roman 四号 首行缩进:  2 字符"/>
    <w:basedOn w:val="1"/>
    <w:link w:val="420"/>
    <w:qFormat/>
    <w:uiPriority w:val="0"/>
    <w:pPr>
      <w:widowControl w:val="0"/>
      <w:ind w:firstLine="560" w:firstLineChars="200"/>
      <w:jc w:val="both"/>
    </w:pPr>
    <w:rPr>
      <w:rFonts w:ascii="Times New Roman" w:hAnsi="Arial"/>
      <w:kern w:val="2"/>
      <w:sz w:val="28"/>
      <w:szCs w:val="20"/>
    </w:rPr>
  </w:style>
  <w:style w:type="character" w:customStyle="1" w:styleId="420">
    <w:name w:val="样式 (西文) Times New Roman 四号 首行缩进:  2 字符 Char"/>
    <w:link w:val="419"/>
    <w:qFormat/>
    <w:uiPriority w:val="0"/>
    <w:rPr>
      <w:rFonts w:hAnsi="Arial" w:cs="宋体"/>
      <w:kern w:val="2"/>
      <w:sz w:val="28"/>
    </w:rPr>
  </w:style>
  <w:style w:type="paragraph" w:customStyle="1" w:styleId="421">
    <w:name w:val="样式 宋体 四号"/>
    <w:basedOn w:val="1"/>
    <w:link w:val="422"/>
    <w:qFormat/>
    <w:uiPriority w:val="0"/>
    <w:pPr>
      <w:widowControl w:val="0"/>
      <w:ind w:firstLine="560" w:firstLineChars="200"/>
      <w:jc w:val="both"/>
    </w:pPr>
    <w:rPr>
      <w:kern w:val="2"/>
      <w:sz w:val="28"/>
      <w:szCs w:val="20"/>
    </w:rPr>
  </w:style>
  <w:style w:type="character" w:customStyle="1" w:styleId="422">
    <w:name w:val="样式 宋体 四号 Char"/>
    <w:link w:val="421"/>
    <w:qFormat/>
    <w:uiPriority w:val="0"/>
    <w:rPr>
      <w:rFonts w:ascii="宋体" w:hAnsi="宋体" w:cs="宋体"/>
      <w:kern w:val="2"/>
      <w:sz w:val="28"/>
    </w:rPr>
  </w:style>
  <w:style w:type="paragraph" w:customStyle="1" w:styleId="423">
    <w:name w:val="样式 宋体 四号 首行缩进:  1.02 厘米"/>
    <w:basedOn w:val="1"/>
    <w:link w:val="424"/>
    <w:qFormat/>
    <w:uiPriority w:val="0"/>
    <w:pPr>
      <w:widowControl w:val="0"/>
      <w:ind w:firstLine="200" w:firstLineChars="200"/>
      <w:jc w:val="both"/>
    </w:pPr>
    <w:rPr>
      <w:kern w:val="2"/>
      <w:sz w:val="28"/>
      <w:szCs w:val="20"/>
    </w:rPr>
  </w:style>
  <w:style w:type="character" w:customStyle="1" w:styleId="424">
    <w:name w:val="样式 宋体 四号 首行缩进:  1.02 厘米 Char"/>
    <w:link w:val="423"/>
    <w:qFormat/>
    <w:uiPriority w:val="0"/>
    <w:rPr>
      <w:rFonts w:ascii="宋体" w:hAnsi="宋体" w:cs="宋体"/>
      <w:kern w:val="2"/>
      <w:sz w:val="28"/>
    </w:rPr>
  </w:style>
  <w:style w:type="character" w:customStyle="1" w:styleId="425">
    <w:name w:val="highlight1"/>
    <w:qFormat/>
    <w:uiPriority w:val="0"/>
    <w:rPr>
      <w:sz w:val="21"/>
      <w:szCs w:val="21"/>
    </w:rPr>
  </w:style>
  <w:style w:type="paragraph" w:customStyle="1" w:styleId="426">
    <w:name w:val="xl34"/>
    <w:basedOn w:val="1"/>
    <w:qFormat/>
    <w:uiPriority w:val="0"/>
    <w:pPr>
      <w:pBdr>
        <w:bottom w:val="single" w:color="auto" w:sz="4" w:space="0"/>
        <w:right w:val="single" w:color="auto" w:sz="4" w:space="0"/>
      </w:pBdr>
      <w:spacing w:before="100" w:beforeAutospacing="1" w:after="100" w:afterAutospacing="1"/>
      <w:jc w:val="center"/>
      <w:textAlignment w:val="center"/>
    </w:pPr>
    <w:rPr>
      <w:rFonts w:ascii="Times New Roman" w:hAnsi="Times New Roman" w:cs="Times New Roman"/>
    </w:rPr>
  </w:style>
  <w:style w:type="paragraph" w:customStyle="1" w:styleId="427">
    <w:name w:val="样式 标题 2 + (西文) Times New Roman (中文) 楷体_GB2312 自动设置 段前: 13 磅 ..."/>
    <w:basedOn w:val="4"/>
    <w:qFormat/>
    <w:uiPriority w:val="0"/>
    <w:pPr>
      <w:keepNext w:val="0"/>
      <w:keepLines w:val="0"/>
      <w:widowControl w:val="0"/>
      <w:numPr>
        <w:ilvl w:val="0"/>
        <w:numId w:val="0"/>
      </w:numPr>
      <w:overflowPunct w:val="0"/>
      <w:spacing w:before="240" w:after="240" w:line="360" w:lineRule="auto"/>
      <w:jc w:val="center"/>
    </w:pPr>
    <w:rPr>
      <w:rFonts w:ascii="Times New Roman" w:hAnsi="Times New Roman" w:eastAsia="Arial"/>
      <w:bCs/>
      <w:kern w:val="2"/>
      <w:szCs w:val="20"/>
    </w:rPr>
  </w:style>
  <w:style w:type="paragraph" w:customStyle="1" w:styleId="428">
    <w:name w:val="样式 标题 1标题 1 CharHead 1wsa一、标题 111h1Part'DocumentH1标题一文...1"/>
    <w:basedOn w:val="3"/>
    <w:link w:val="429"/>
    <w:qFormat/>
    <w:uiPriority w:val="0"/>
    <w:pPr>
      <w:widowControl w:val="0"/>
      <w:overflowPunct/>
      <w:snapToGrid/>
      <w:spacing w:before="240" w:after="240" w:line="240" w:lineRule="auto"/>
      <w:ind w:left="0" w:firstLine="0"/>
      <w:jc w:val="center"/>
    </w:pPr>
    <w:rPr>
      <w:rFonts w:ascii="Times New Roman" w:hAnsi="Times New Roman" w:eastAsia="Symbol" w:cs="Times New Roman"/>
      <w:snapToGrid w:val="0"/>
      <w:color w:val="auto"/>
      <w:kern w:val="2"/>
      <w:sz w:val="32"/>
      <w:szCs w:val="24"/>
    </w:rPr>
  </w:style>
  <w:style w:type="character" w:customStyle="1" w:styleId="429">
    <w:name w:val="样式 标题 1标题 1 CharHead 1wsa一、标题 111h1Part'DocumentH1标题一文...1 Char"/>
    <w:link w:val="428"/>
    <w:qFormat/>
    <w:uiPriority w:val="0"/>
    <w:rPr>
      <w:rFonts w:eastAsia="Symbol"/>
      <w:b/>
      <w:bCs/>
      <w:snapToGrid w:val="0"/>
      <w:kern w:val="2"/>
      <w:sz w:val="32"/>
      <w:szCs w:val="24"/>
    </w:rPr>
  </w:style>
  <w:style w:type="paragraph" w:customStyle="1" w:styleId="430">
    <w:name w:val="样式 样式 标题 3标题 3 Char条标题1.1.1ReHead 3 WSAh3BSH-3H3b333rd le... + (..."/>
    <w:basedOn w:val="402"/>
    <w:qFormat/>
    <w:uiPriority w:val="0"/>
    <w:pPr>
      <w:spacing w:before="0" w:after="0" w:line="240" w:lineRule="auto"/>
    </w:pPr>
    <w:rPr>
      <w:rFonts w:cs="宋体"/>
      <w:bCs/>
      <w:szCs w:val="20"/>
    </w:rPr>
  </w:style>
  <w:style w:type="paragraph" w:customStyle="1" w:styleId="431">
    <w:name w:val="样式 样式 样式 标题 3标题 3 Char条标题1.1.1ReHead 3 WSAh3BSH-3H3b333rd le... ..."/>
    <w:basedOn w:val="430"/>
    <w:qFormat/>
    <w:uiPriority w:val="0"/>
    <w:pPr>
      <w:spacing w:before="120" w:after="120"/>
    </w:pPr>
    <w:rPr>
      <w:bCs w:val="0"/>
    </w:rPr>
  </w:style>
  <w:style w:type="paragraph" w:customStyle="1" w:styleId="432">
    <w:name w:val="样式 样式 样式 样式 标题 3标题 3 Char条标题1.1.1ReHead 3 WSAh3BSH-3H3b333rd le...."/>
    <w:basedOn w:val="431"/>
    <w:qFormat/>
    <w:uiPriority w:val="0"/>
    <w:pPr>
      <w:ind w:firstLine="560"/>
    </w:pPr>
  </w:style>
  <w:style w:type="character" w:customStyle="1" w:styleId="433">
    <w:name w:val="body1"/>
    <w:qFormat/>
    <w:uiPriority w:val="0"/>
    <w:rPr>
      <w:sz w:val="21"/>
      <w:szCs w:val="21"/>
    </w:rPr>
  </w:style>
  <w:style w:type="paragraph" w:customStyle="1" w:styleId="434">
    <w:name w:val="样式 Times New Roman"/>
    <w:basedOn w:val="1"/>
    <w:link w:val="435"/>
    <w:qFormat/>
    <w:uiPriority w:val="0"/>
    <w:pPr>
      <w:widowControl w:val="0"/>
      <w:ind w:firstLine="200" w:firstLineChars="200"/>
      <w:jc w:val="both"/>
    </w:pPr>
    <w:rPr>
      <w:rFonts w:hAnsi="Times New Roman"/>
      <w:kern w:val="2"/>
      <w:sz w:val="28"/>
      <w:szCs w:val="20"/>
    </w:rPr>
  </w:style>
  <w:style w:type="character" w:customStyle="1" w:styleId="435">
    <w:name w:val="样式 Times New Roman Char"/>
    <w:link w:val="434"/>
    <w:qFormat/>
    <w:uiPriority w:val="0"/>
    <w:rPr>
      <w:rFonts w:ascii="宋体" w:cs="宋体"/>
      <w:kern w:val="2"/>
      <w:sz w:val="28"/>
    </w:rPr>
  </w:style>
  <w:style w:type="paragraph" w:customStyle="1" w:styleId="436">
    <w:name w:val="样式7"/>
    <w:basedOn w:val="187"/>
    <w:link w:val="437"/>
    <w:qFormat/>
    <w:uiPriority w:val="0"/>
    <w:pPr>
      <w:jc w:val="both"/>
    </w:pPr>
  </w:style>
  <w:style w:type="character" w:customStyle="1" w:styleId="437">
    <w:name w:val="样式7 Char"/>
    <w:link w:val="436"/>
    <w:qFormat/>
    <w:uiPriority w:val="0"/>
    <w:rPr>
      <w:rFonts w:ascii="宋体" w:hAnsi="宋体"/>
      <w:kern w:val="2"/>
      <w:sz w:val="28"/>
      <w:szCs w:val="28"/>
    </w:rPr>
  </w:style>
  <w:style w:type="paragraph" w:customStyle="1" w:styleId="438">
    <w:name w:val="样式8"/>
    <w:basedOn w:val="70"/>
    <w:link w:val="439"/>
    <w:qFormat/>
    <w:uiPriority w:val="0"/>
    <w:pPr>
      <w:tabs>
        <w:tab w:val="left" w:pos="180"/>
      </w:tabs>
      <w:spacing w:line="600" w:lineRule="exact"/>
      <w:ind w:firstLine="0" w:firstLineChars="0"/>
      <w:jc w:val="center"/>
    </w:pPr>
    <w:rPr>
      <w:rFonts w:ascii="宋体" w:hAnsi="宋体"/>
      <w:b/>
      <w:sz w:val="28"/>
      <w:szCs w:val="20"/>
    </w:rPr>
  </w:style>
  <w:style w:type="character" w:customStyle="1" w:styleId="439">
    <w:name w:val="样式8 Char"/>
    <w:link w:val="438"/>
    <w:qFormat/>
    <w:uiPriority w:val="0"/>
    <w:rPr>
      <w:rFonts w:ascii="宋体" w:hAnsi="宋体"/>
      <w:b/>
      <w:kern w:val="2"/>
      <w:sz w:val="28"/>
    </w:rPr>
  </w:style>
  <w:style w:type="paragraph" w:customStyle="1" w:styleId="440">
    <w:name w:val="样式 样式 正文2 + + 首行缩进:  2 字符"/>
    <w:basedOn w:val="1"/>
    <w:qFormat/>
    <w:uiPriority w:val="0"/>
    <w:pPr>
      <w:widowControl w:val="0"/>
      <w:tabs>
        <w:tab w:val="left" w:pos="5366"/>
      </w:tabs>
      <w:ind w:firstLine="560" w:firstLineChars="200"/>
      <w:jc w:val="both"/>
    </w:pPr>
    <w:rPr>
      <w:rFonts w:hAnsi="Times New Roman"/>
      <w:sz w:val="28"/>
      <w:szCs w:val="20"/>
    </w:rPr>
  </w:style>
  <w:style w:type="paragraph" w:customStyle="1" w:styleId="441">
    <w:name w:val="样式 (西文) 宋体 四号 首行缩进:  1.02 厘米"/>
    <w:basedOn w:val="1"/>
    <w:qFormat/>
    <w:uiPriority w:val="0"/>
    <w:pPr>
      <w:widowControl w:val="0"/>
      <w:ind w:firstLine="576"/>
      <w:jc w:val="both"/>
    </w:pPr>
    <w:rPr>
      <w:kern w:val="2"/>
      <w:sz w:val="28"/>
      <w:szCs w:val="20"/>
    </w:rPr>
  </w:style>
  <w:style w:type="paragraph" w:customStyle="1" w:styleId="442">
    <w:name w:val="样式 正文2 +"/>
    <w:basedOn w:val="21"/>
    <w:link w:val="443"/>
    <w:qFormat/>
    <w:uiPriority w:val="0"/>
    <w:pPr>
      <w:widowControl w:val="0"/>
      <w:tabs>
        <w:tab w:val="left" w:pos="5366"/>
      </w:tabs>
      <w:spacing w:line="600" w:lineRule="exact"/>
      <w:ind w:left="0" w:firstLine="200" w:firstLineChars="200"/>
      <w:jc w:val="both"/>
    </w:pPr>
    <w:rPr>
      <w:rFonts w:ascii="Times New Roman" w:hAnsi="Times New Roman" w:cs="Times New Roman"/>
      <w:szCs w:val="28"/>
    </w:rPr>
  </w:style>
  <w:style w:type="character" w:customStyle="1" w:styleId="443">
    <w:name w:val="样式 正文2 + Char"/>
    <w:link w:val="442"/>
    <w:qFormat/>
    <w:uiPriority w:val="0"/>
    <w:rPr>
      <w:sz w:val="28"/>
      <w:szCs w:val="28"/>
    </w:rPr>
  </w:style>
  <w:style w:type="paragraph" w:customStyle="1" w:styleId="444">
    <w:name w:val="样式 四号 黑色"/>
    <w:basedOn w:val="1"/>
    <w:qFormat/>
    <w:uiPriority w:val="0"/>
    <w:pPr>
      <w:widowControl w:val="0"/>
      <w:ind w:firstLine="200" w:firstLineChars="200"/>
      <w:jc w:val="both"/>
    </w:pPr>
    <w:rPr>
      <w:rFonts w:ascii="Times New Roman" w:hAnsi="Times New Roman"/>
      <w:color w:val="000000"/>
      <w:kern w:val="2"/>
      <w:sz w:val="28"/>
      <w:szCs w:val="20"/>
    </w:rPr>
  </w:style>
  <w:style w:type="paragraph" w:customStyle="1" w:styleId="445">
    <w:name w:val="样式 标题 3三级标题 +"/>
    <w:basedOn w:val="5"/>
    <w:link w:val="446"/>
    <w:qFormat/>
    <w:uiPriority w:val="0"/>
    <w:pPr>
      <w:widowControl w:val="0"/>
      <w:spacing w:before="120" w:after="120" w:line="360" w:lineRule="auto"/>
      <w:ind w:firstLine="200" w:firstLineChars="200"/>
    </w:pPr>
    <w:rPr>
      <w:rFonts w:ascii="Symbol" w:eastAsia="Symbol" w:cs="Times New Roman"/>
      <w:b w:val="0"/>
      <w:bCs w:val="0"/>
      <w:sz w:val="28"/>
      <w:szCs w:val="28"/>
    </w:rPr>
  </w:style>
  <w:style w:type="character" w:customStyle="1" w:styleId="446">
    <w:name w:val="样式 标题 3三级标题 + Char"/>
    <w:link w:val="445"/>
    <w:qFormat/>
    <w:uiPriority w:val="0"/>
    <w:rPr>
      <w:rFonts w:ascii="Symbol" w:hAnsi="宋体" w:eastAsia="Symbol"/>
      <w:sz w:val="28"/>
      <w:szCs w:val="28"/>
    </w:rPr>
  </w:style>
  <w:style w:type="paragraph" w:customStyle="1" w:styleId="447">
    <w:name w:val="样式 四号 右侧:  -0.26 厘米"/>
    <w:basedOn w:val="1"/>
    <w:link w:val="448"/>
    <w:qFormat/>
    <w:uiPriority w:val="0"/>
    <w:pPr>
      <w:widowControl w:val="0"/>
      <w:spacing w:line="360" w:lineRule="auto"/>
      <w:ind w:firstLine="200" w:firstLineChars="200"/>
      <w:jc w:val="both"/>
    </w:pPr>
    <w:rPr>
      <w:rFonts w:ascii="Times New Roman" w:hAnsi="Times New Roman"/>
      <w:kern w:val="2"/>
      <w:sz w:val="28"/>
      <w:szCs w:val="20"/>
    </w:rPr>
  </w:style>
  <w:style w:type="character" w:customStyle="1" w:styleId="448">
    <w:name w:val="样式 四号 右侧:  -0.26 厘米 Char"/>
    <w:link w:val="447"/>
    <w:qFormat/>
    <w:uiPriority w:val="0"/>
    <w:rPr>
      <w:rFonts w:cs="宋体"/>
      <w:kern w:val="2"/>
      <w:sz w:val="28"/>
    </w:rPr>
  </w:style>
  <w:style w:type="paragraph" w:customStyle="1" w:styleId="449">
    <w:name w:val="样式 宋体 四号 行距: 1.5 倍行距"/>
    <w:basedOn w:val="1"/>
    <w:link w:val="450"/>
    <w:qFormat/>
    <w:uiPriority w:val="0"/>
    <w:pPr>
      <w:widowControl w:val="0"/>
      <w:spacing w:line="360" w:lineRule="auto"/>
      <w:ind w:left="88" w:leftChars="42" w:firstLine="538" w:firstLineChars="192"/>
      <w:jc w:val="both"/>
    </w:pPr>
    <w:rPr>
      <w:kern w:val="2"/>
      <w:sz w:val="28"/>
      <w:szCs w:val="20"/>
    </w:rPr>
  </w:style>
  <w:style w:type="character" w:customStyle="1" w:styleId="450">
    <w:name w:val="样式 宋体 四号 行距: 1.5 倍行距 Char"/>
    <w:link w:val="449"/>
    <w:qFormat/>
    <w:uiPriority w:val="0"/>
    <w:rPr>
      <w:rFonts w:ascii="宋体" w:hAnsi="宋体" w:cs="宋体"/>
      <w:kern w:val="2"/>
      <w:sz w:val="28"/>
    </w:rPr>
  </w:style>
  <w:style w:type="paragraph" w:customStyle="1" w:styleId="451">
    <w:name w:val="样式3"/>
    <w:basedOn w:val="442"/>
    <w:link w:val="452"/>
    <w:qFormat/>
    <w:uiPriority w:val="0"/>
    <w:pPr>
      <w:ind w:firstLine="0"/>
      <w:jc w:val="center"/>
    </w:pPr>
    <w:rPr>
      <w:rFonts w:hAnsi="宋体"/>
    </w:rPr>
  </w:style>
  <w:style w:type="character" w:customStyle="1" w:styleId="452">
    <w:name w:val="样式3 Char"/>
    <w:link w:val="451"/>
    <w:qFormat/>
    <w:uiPriority w:val="0"/>
    <w:rPr>
      <w:rFonts w:hAnsi="宋体"/>
      <w:sz w:val="28"/>
      <w:szCs w:val="28"/>
    </w:rPr>
  </w:style>
  <w:style w:type="paragraph" w:customStyle="1" w:styleId="453">
    <w:name w:val="样式 (西文) 宋体 四号 首行缩进:  2 字符"/>
    <w:basedOn w:val="1"/>
    <w:qFormat/>
    <w:uiPriority w:val="0"/>
    <w:pPr>
      <w:widowControl w:val="0"/>
      <w:ind w:firstLine="560" w:firstLineChars="200"/>
      <w:jc w:val="both"/>
    </w:pPr>
    <w:rPr>
      <w:kern w:val="2"/>
      <w:sz w:val="28"/>
      <w:szCs w:val="20"/>
    </w:rPr>
  </w:style>
  <w:style w:type="paragraph" w:customStyle="1" w:styleId="454">
    <w:name w:val="样式 标题 3标题2条标题1.1.1标题 3 Char Charh3H3level_3PIM 3Level 3 ... +......"/>
    <w:basedOn w:val="1"/>
    <w:qFormat/>
    <w:uiPriority w:val="0"/>
    <w:pPr>
      <w:keepNext/>
      <w:keepLines/>
      <w:widowControl w:val="0"/>
      <w:spacing w:before="120" w:after="120" w:line="600" w:lineRule="exact"/>
      <w:ind w:firstLine="560" w:firstLineChars="200"/>
      <w:jc w:val="both"/>
      <w:outlineLvl w:val="2"/>
    </w:pPr>
    <w:rPr>
      <w:rFonts w:ascii="Symbol" w:hAnsi="Arial" w:eastAsia="Symbol"/>
      <w:kern w:val="2"/>
      <w:sz w:val="28"/>
      <w:szCs w:val="20"/>
    </w:rPr>
  </w:style>
  <w:style w:type="paragraph" w:customStyle="1" w:styleId="455">
    <w:name w:val="样式2"/>
    <w:basedOn w:val="1"/>
    <w:qFormat/>
    <w:uiPriority w:val="0"/>
    <w:pPr>
      <w:widowControl w:val="0"/>
      <w:spacing w:line="600" w:lineRule="exact"/>
      <w:jc w:val="center"/>
    </w:pPr>
    <w:rPr>
      <w:rFonts w:cs="Times New Roman"/>
      <w:b/>
      <w:bCs/>
      <w:kern w:val="2"/>
      <w:sz w:val="28"/>
    </w:rPr>
  </w:style>
  <w:style w:type="paragraph" w:customStyle="1" w:styleId="456">
    <w:name w:val="xl122"/>
    <w:basedOn w:val="1"/>
    <w:qFormat/>
    <w:uiPriority w:val="0"/>
    <w:pPr>
      <w:pBdr>
        <w:left w:val="single" w:color="auto" w:sz="4" w:space="0"/>
        <w:right w:val="single" w:color="auto" w:sz="4" w:space="0"/>
      </w:pBdr>
      <w:spacing w:before="100" w:beforeAutospacing="1" w:after="100" w:afterAutospacing="1"/>
      <w:jc w:val="center"/>
      <w:textAlignment w:val="center"/>
    </w:pPr>
  </w:style>
  <w:style w:type="paragraph" w:customStyle="1" w:styleId="457">
    <w:name w:val="样式 样式 样式 四号 + 首行缩进:  2 字符 + 宋体 行距: 固定值 31 磅"/>
    <w:basedOn w:val="1"/>
    <w:qFormat/>
    <w:uiPriority w:val="0"/>
    <w:pPr>
      <w:widowControl w:val="0"/>
      <w:spacing w:line="600" w:lineRule="exact"/>
      <w:ind w:firstLine="200" w:firstLineChars="200"/>
      <w:jc w:val="both"/>
    </w:pPr>
    <w:rPr>
      <w:kern w:val="2"/>
      <w:sz w:val="28"/>
      <w:szCs w:val="28"/>
    </w:rPr>
  </w:style>
  <w:style w:type="paragraph" w:customStyle="1" w:styleId="458">
    <w:name w:val="样式 样式 正文2 + + 首行缩进:  2 字符1"/>
    <w:basedOn w:val="442"/>
    <w:qFormat/>
    <w:uiPriority w:val="0"/>
    <w:rPr>
      <w:rFonts w:hAnsi="宋体" w:cs="宋体"/>
      <w:szCs w:val="20"/>
    </w:rPr>
  </w:style>
  <w:style w:type="paragraph" w:customStyle="1" w:styleId="459">
    <w:name w:val="样式 正文文本缩进 3 + 行距: 1.5 倍行距"/>
    <w:basedOn w:val="70"/>
    <w:link w:val="460"/>
    <w:qFormat/>
    <w:uiPriority w:val="0"/>
    <w:pPr>
      <w:ind w:firstLine="200"/>
    </w:pPr>
    <w:rPr>
      <w:rFonts w:ascii="宋体" w:cs="宋体"/>
      <w:sz w:val="28"/>
      <w:szCs w:val="20"/>
    </w:rPr>
  </w:style>
  <w:style w:type="character" w:customStyle="1" w:styleId="460">
    <w:name w:val="样式 正文文本缩进 3 + 行距: 1.5 倍行距 Char"/>
    <w:link w:val="459"/>
    <w:qFormat/>
    <w:uiPriority w:val="0"/>
    <w:rPr>
      <w:rFonts w:ascii="宋体" w:cs="宋体"/>
      <w:kern w:val="2"/>
      <w:sz w:val="28"/>
    </w:rPr>
  </w:style>
  <w:style w:type="paragraph" w:customStyle="1" w:styleId="461">
    <w:name w:val="书正文"/>
    <w:basedOn w:val="1"/>
    <w:qFormat/>
    <w:uiPriority w:val="0"/>
    <w:pPr>
      <w:widowControl w:val="0"/>
      <w:spacing w:line="400" w:lineRule="atLeast"/>
      <w:ind w:firstLine="200" w:firstLineChars="200"/>
      <w:jc w:val="both"/>
    </w:pPr>
    <w:rPr>
      <w:rFonts w:ascii="Times New Roman" w:hAnsi="Times New Roman" w:cs="Times New Roman"/>
      <w:kern w:val="2"/>
      <w:sz w:val="28"/>
    </w:rPr>
  </w:style>
  <w:style w:type="paragraph" w:customStyle="1" w:styleId="462">
    <w:name w:val="正文01"/>
    <w:basedOn w:val="21"/>
    <w:link w:val="463"/>
    <w:qFormat/>
    <w:uiPriority w:val="0"/>
    <w:pPr>
      <w:widowControl w:val="0"/>
      <w:spacing w:line="360" w:lineRule="auto"/>
      <w:ind w:left="0" w:firstLine="480" w:firstLineChars="200"/>
      <w:jc w:val="both"/>
    </w:pPr>
    <w:rPr>
      <w:rFonts w:ascii="Times New Roman" w:hAnsi="Times New Roman" w:cs="Times New Roman"/>
      <w:kern w:val="2"/>
      <w:sz w:val="24"/>
    </w:rPr>
  </w:style>
  <w:style w:type="character" w:customStyle="1" w:styleId="463">
    <w:name w:val="正文01 Char"/>
    <w:link w:val="462"/>
    <w:qFormat/>
    <w:locked/>
    <w:uiPriority w:val="0"/>
    <w:rPr>
      <w:kern w:val="2"/>
      <w:sz w:val="24"/>
    </w:rPr>
  </w:style>
  <w:style w:type="paragraph" w:customStyle="1" w:styleId="464">
    <w:name w:val="style17"/>
    <w:basedOn w:val="1"/>
    <w:qFormat/>
    <w:uiPriority w:val="0"/>
    <w:pPr>
      <w:spacing w:before="100" w:beforeAutospacing="1" w:after="100" w:afterAutospacing="1"/>
    </w:pPr>
  </w:style>
  <w:style w:type="character" w:customStyle="1" w:styleId="465">
    <w:name w:val="postbody1"/>
    <w:qFormat/>
    <w:uiPriority w:val="0"/>
    <w:rPr>
      <w:sz w:val="21"/>
      <w:szCs w:val="21"/>
    </w:rPr>
  </w:style>
  <w:style w:type="character" w:customStyle="1" w:styleId="466">
    <w:name w:val="lh15 m"/>
    <w:qFormat/>
    <w:uiPriority w:val="0"/>
  </w:style>
  <w:style w:type="paragraph" w:customStyle="1" w:styleId="467">
    <w:name w:val="Char Char Char1 Char Char Char Char"/>
    <w:basedOn w:val="1"/>
    <w:qFormat/>
    <w:uiPriority w:val="0"/>
    <w:pPr>
      <w:widowControl w:val="0"/>
      <w:jc w:val="both"/>
    </w:pPr>
    <w:rPr>
      <w:rFonts w:ascii="Times New Roman" w:hAnsi="Times New Roman" w:cs="Times New Roman"/>
      <w:kern w:val="2"/>
    </w:rPr>
  </w:style>
  <w:style w:type="paragraph" w:customStyle="1" w:styleId="468">
    <w:name w:val="样式 表头 + 首行缩进:  2 字符"/>
    <w:basedOn w:val="1"/>
    <w:qFormat/>
    <w:uiPriority w:val="0"/>
    <w:pPr>
      <w:widowControl w:val="0"/>
      <w:adjustRightInd w:val="0"/>
      <w:snapToGrid w:val="0"/>
      <w:spacing w:after="120"/>
      <w:jc w:val="center"/>
    </w:pPr>
    <w:rPr>
      <w:rFonts w:ascii="Times New Roman" w:hAnsi="Times New Roman" w:cs="Times New Roman"/>
      <w:kern w:val="2"/>
      <w:szCs w:val="20"/>
    </w:rPr>
  </w:style>
  <w:style w:type="character" w:customStyle="1" w:styleId="469">
    <w:name w:val="style91"/>
    <w:qFormat/>
    <w:uiPriority w:val="0"/>
    <w:rPr>
      <w:color w:val="FF0000"/>
    </w:rPr>
  </w:style>
  <w:style w:type="character" w:customStyle="1" w:styleId="470">
    <w:name w:val="样式1 Char Char"/>
    <w:qFormat/>
    <w:uiPriority w:val="0"/>
    <w:rPr>
      <w:rFonts w:ascii="Arial" w:hAnsi="Arial" w:eastAsia="宋体" w:cs="Arial"/>
      <w:color w:val="000000"/>
      <w:kern w:val="2"/>
      <w:sz w:val="24"/>
      <w:szCs w:val="24"/>
      <w:lang w:val="en-US" w:eastAsia="zh-CN" w:bidi="ar-SA"/>
    </w:rPr>
  </w:style>
  <w:style w:type="character" w:customStyle="1" w:styleId="471">
    <w:name w:val="slink1"/>
    <w:qFormat/>
    <w:uiPriority w:val="0"/>
    <w:rPr>
      <w:rFonts w:hint="default" w:ascii="minorBidi" w:hAnsi="minorBidi"/>
      <w:sz w:val="18"/>
      <w:u w:val="none"/>
    </w:rPr>
  </w:style>
  <w:style w:type="character" w:customStyle="1" w:styleId="472">
    <w:name w:val="报告 Char Char"/>
    <w:link w:val="473"/>
    <w:qFormat/>
    <w:uiPriority w:val="0"/>
    <w:rPr>
      <w:kern w:val="2"/>
      <w:sz w:val="24"/>
    </w:rPr>
  </w:style>
  <w:style w:type="paragraph" w:customStyle="1" w:styleId="473">
    <w:name w:val="报告 Char"/>
    <w:basedOn w:val="1"/>
    <w:link w:val="472"/>
    <w:qFormat/>
    <w:uiPriority w:val="0"/>
    <w:pPr>
      <w:widowControl w:val="0"/>
      <w:adjustRightInd w:val="0"/>
      <w:spacing w:line="360" w:lineRule="auto"/>
      <w:ind w:firstLine="505"/>
      <w:jc w:val="both"/>
      <w:textAlignment w:val="baseline"/>
    </w:pPr>
    <w:rPr>
      <w:rFonts w:ascii="Times New Roman" w:hAnsi="Times New Roman" w:cs="Times New Roman"/>
      <w:kern w:val="2"/>
      <w:szCs w:val="20"/>
    </w:rPr>
  </w:style>
  <w:style w:type="character" w:customStyle="1" w:styleId="474">
    <w:name w:val="p12grey1"/>
    <w:qFormat/>
    <w:uiPriority w:val="0"/>
    <w:rPr>
      <w:rFonts w:hint="default" w:ascii="minorBidi" w:hAnsi="minorBidi"/>
      <w:color w:val="666666"/>
      <w:sz w:val="14"/>
      <w:u w:val="none"/>
    </w:rPr>
  </w:style>
  <w:style w:type="character" w:customStyle="1" w:styleId="475">
    <w:name w:val="正文样式 Char"/>
    <w:link w:val="476"/>
    <w:qFormat/>
    <w:uiPriority w:val="0"/>
    <w:rPr>
      <w:sz w:val="24"/>
    </w:rPr>
  </w:style>
  <w:style w:type="paragraph" w:customStyle="1" w:styleId="476">
    <w:name w:val="正文样式"/>
    <w:link w:val="475"/>
    <w:qFormat/>
    <w:uiPriority w:val="0"/>
    <w:pPr>
      <w:tabs>
        <w:tab w:val="left" w:pos="630"/>
        <w:tab w:val="left" w:pos="1260"/>
      </w:tabs>
      <w:adjustRightInd w:val="0"/>
      <w:snapToGrid w:val="0"/>
      <w:spacing w:line="360" w:lineRule="auto"/>
      <w:ind w:firstLine="200" w:firstLineChars="200"/>
      <w:jc w:val="both"/>
    </w:pPr>
    <w:rPr>
      <w:rFonts w:ascii="Times New Roman" w:hAnsi="Times New Roman" w:eastAsia="宋体" w:cs="Times New Roman"/>
      <w:sz w:val="24"/>
      <w:lang w:val="en-US" w:eastAsia="zh-CN" w:bidi="ar-SA"/>
    </w:rPr>
  </w:style>
  <w:style w:type="character" w:customStyle="1" w:styleId="477">
    <w:name w:val="H3 Char1"/>
    <w:qFormat/>
    <w:uiPriority w:val="0"/>
    <w:rPr>
      <w:rFonts w:eastAsia="宋体"/>
      <w:b/>
      <w:kern w:val="2"/>
      <w:sz w:val="30"/>
      <w:lang w:val="en-US" w:eastAsia="zh-CN"/>
    </w:rPr>
  </w:style>
  <w:style w:type="character" w:customStyle="1" w:styleId="478">
    <w:name w:val="标题1 Char + 方正黑体_GBK 小三"/>
    <w:qFormat/>
    <w:uiPriority w:val="0"/>
    <w:rPr>
      <w:rFonts w:ascii="Times New Roman" w:hAnsi="Times New Roman" w:eastAsia="Symbol"/>
      <w:kern w:val="28"/>
      <w:sz w:val="32"/>
      <w:lang w:val="en-US" w:eastAsia="zh-CN"/>
    </w:rPr>
  </w:style>
  <w:style w:type="character" w:customStyle="1" w:styleId="479">
    <w:name w:val="little"/>
    <w:qFormat/>
    <w:uiPriority w:val="0"/>
  </w:style>
  <w:style w:type="character" w:customStyle="1" w:styleId="480">
    <w:name w:val="样式 标题 3ReHead 3 WSAh3B HeadH3..条标题1.1.1BSH-3b333rd le... Char"/>
    <w:link w:val="481"/>
    <w:qFormat/>
    <w:uiPriority w:val="0"/>
    <w:rPr>
      <w:rFonts w:ascii="宋体" w:hAnsi="宋体"/>
      <w:b/>
      <w:bCs/>
      <w:sz w:val="24"/>
    </w:rPr>
  </w:style>
  <w:style w:type="paragraph" w:customStyle="1" w:styleId="481">
    <w:name w:val="样式 标题 3ReHead 3 WSAh3B HeadH3..条标题1.1.1BSH-3b333rd le..."/>
    <w:basedOn w:val="5"/>
    <w:link w:val="480"/>
    <w:qFormat/>
    <w:uiPriority w:val="0"/>
    <w:pPr>
      <w:keepLines w:val="0"/>
      <w:widowControl w:val="0"/>
      <w:tabs>
        <w:tab w:val="left" w:pos="480"/>
        <w:tab w:val="left" w:pos="720"/>
        <w:tab w:val="left" w:pos="960"/>
        <w:tab w:val="left" w:pos="1134"/>
        <w:tab w:val="left" w:pos="3600"/>
      </w:tabs>
      <w:adjustRightInd w:val="0"/>
      <w:snapToGrid w:val="0"/>
      <w:spacing w:before="240" w:after="156" w:afterLines="50" w:line="360" w:lineRule="auto"/>
      <w:ind w:left="2" w:hanging="2" w:hangingChars="1"/>
      <w:jc w:val="both"/>
    </w:pPr>
    <w:rPr>
      <w:rFonts w:cs="Times New Roman"/>
      <w:sz w:val="24"/>
      <w:szCs w:val="20"/>
    </w:rPr>
  </w:style>
  <w:style w:type="character" w:customStyle="1" w:styleId="482">
    <w:name w:val="zi"/>
    <w:qFormat/>
    <w:uiPriority w:val="0"/>
  </w:style>
  <w:style w:type="character" w:customStyle="1" w:styleId="483">
    <w:name w:val="font1"/>
    <w:qFormat/>
    <w:uiPriority w:val="0"/>
    <w:rPr>
      <w:sz w:val="18"/>
      <w:u w:val="none"/>
    </w:rPr>
  </w:style>
  <w:style w:type="character" w:customStyle="1" w:styleId="484">
    <w:name w:val="text11"/>
    <w:qFormat/>
    <w:uiPriority w:val="0"/>
  </w:style>
  <w:style w:type="character" w:customStyle="1" w:styleId="485">
    <w:name w:val="style141"/>
    <w:qFormat/>
    <w:uiPriority w:val="0"/>
    <w:rPr>
      <w:color w:val="FF0000"/>
    </w:rPr>
  </w:style>
  <w:style w:type="character" w:customStyle="1" w:styleId="486">
    <w:name w:val="下标"/>
    <w:qFormat/>
    <w:uiPriority w:val="0"/>
    <w:rPr>
      <w:rFonts w:ascii="Times New Roman" w:hAnsi="Times New Roman" w:eastAsia="宋体"/>
      <w:spacing w:val="0"/>
      <w:position w:val="-7"/>
      <w:sz w:val="18"/>
    </w:rPr>
  </w:style>
  <w:style w:type="character" w:customStyle="1" w:styleId="487">
    <w:name w:val="表底说明 Char"/>
    <w:link w:val="488"/>
    <w:qFormat/>
    <w:uiPriority w:val="0"/>
    <w:rPr>
      <w:kern w:val="2"/>
      <w:sz w:val="18"/>
    </w:rPr>
  </w:style>
  <w:style w:type="paragraph" w:customStyle="1" w:styleId="488">
    <w:name w:val="表底说明"/>
    <w:basedOn w:val="1"/>
    <w:link w:val="487"/>
    <w:qFormat/>
    <w:uiPriority w:val="0"/>
    <w:pPr>
      <w:widowControl w:val="0"/>
      <w:jc w:val="both"/>
    </w:pPr>
    <w:rPr>
      <w:rFonts w:ascii="Times New Roman" w:hAnsi="Times New Roman" w:cs="Times New Roman"/>
      <w:kern w:val="2"/>
      <w:sz w:val="18"/>
      <w:szCs w:val="20"/>
    </w:rPr>
  </w:style>
  <w:style w:type="character" w:customStyle="1" w:styleId="489">
    <w:name w:val="p15"/>
    <w:qFormat/>
    <w:uiPriority w:val="0"/>
  </w:style>
  <w:style w:type="character" w:customStyle="1" w:styleId="490">
    <w:name w:val="apple-style-span"/>
    <w:qFormat/>
    <w:uiPriority w:val="0"/>
  </w:style>
  <w:style w:type="character" w:customStyle="1" w:styleId="491">
    <w:name w:val="正文(首行缩进)宋旭峰 Char Char"/>
    <w:link w:val="492"/>
    <w:qFormat/>
    <w:uiPriority w:val="0"/>
    <w:rPr>
      <w:sz w:val="24"/>
      <w:szCs w:val="24"/>
    </w:rPr>
  </w:style>
  <w:style w:type="paragraph" w:customStyle="1" w:styleId="492">
    <w:name w:val="正文(首行缩进)宋旭峰"/>
    <w:basedOn w:val="21"/>
    <w:link w:val="491"/>
    <w:qFormat/>
    <w:uiPriority w:val="0"/>
    <w:pPr>
      <w:widowControl w:val="0"/>
      <w:snapToGrid w:val="0"/>
      <w:spacing w:line="360" w:lineRule="auto"/>
      <w:ind w:left="0" w:firstLine="480" w:firstLineChars="200"/>
      <w:jc w:val="both"/>
    </w:pPr>
    <w:rPr>
      <w:rFonts w:ascii="Times New Roman" w:hAnsi="Times New Roman" w:cs="Times New Roman"/>
      <w:sz w:val="24"/>
      <w:szCs w:val="24"/>
    </w:rPr>
  </w:style>
  <w:style w:type="character" w:customStyle="1" w:styleId="493">
    <w:name w:val="样式 标题 3 + 宋体1 Char"/>
    <w:link w:val="494"/>
    <w:qFormat/>
    <w:uiPriority w:val="0"/>
    <w:rPr>
      <w:rFonts w:ascii="宋体" w:hAnsi="宋体"/>
      <w:kern w:val="28"/>
      <w:sz w:val="28"/>
    </w:rPr>
  </w:style>
  <w:style w:type="paragraph" w:customStyle="1" w:styleId="494">
    <w:name w:val="样式 标题 3 + 宋体1"/>
    <w:basedOn w:val="5"/>
    <w:link w:val="493"/>
    <w:qFormat/>
    <w:uiPriority w:val="0"/>
    <w:pPr>
      <w:widowControl w:val="0"/>
      <w:tabs>
        <w:tab w:val="left" w:pos="1050"/>
      </w:tabs>
      <w:adjustRightInd w:val="0"/>
      <w:snapToGrid w:val="0"/>
      <w:spacing w:before="0" w:after="0" w:line="416" w:lineRule="atLeast"/>
      <w:jc w:val="both"/>
      <w:textAlignment w:val="baseline"/>
    </w:pPr>
    <w:rPr>
      <w:rFonts w:cs="Times New Roman"/>
      <w:b w:val="0"/>
      <w:bCs w:val="0"/>
      <w:kern w:val="28"/>
      <w:sz w:val="28"/>
      <w:szCs w:val="20"/>
    </w:rPr>
  </w:style>
  <w:style w:type="character" w:customStyle="1" w:styleId="495">
    <w:name w:val="正文文字缩进 21 Char Char"/>
    <w:qFormat/>
    <w:uiPriority w:val="0"/>
    <w:rPr>
      <w:rFonts w:ascii="宋体" w:hAnsi="宋体" w:eastAsia="宋体"/>
      <w:color w:val="FF0000"/>
      <w:kern w:val="2"/>
      <w:sz w:val="24"/>
      <w:szCs w:val="28"/>
      <w:lang w:val="en-US" w:eastAsia="zh-CN" w:bidi="ar-SA"/>
    </w:rPr>
  </w:style>
  <w:style w:type="character" w:customStyle="1" w:styleId="496">
    <w:name w:val="报告正文 Char Char"/>
    <w:qFormat/>
    <w:uiPriority w:val="0"/>
    <w:rPr>
      <w:rFonts w:ascii="宋体" w:eastAsia="宋体"/>
      <w:kern w:val="2"/>
      <w:sz w:val="24"/>
      <w:lang w:val="en-US" w:eastAsia="zh-CN"/>
    </w:rPr>
  </w:style>
  <w:style w:type="character" w:customStyle="1" w:styleId="497">
    <w:name w:val="copyright1"/>
    <w:qFormat/>
    <w:uiPriority w:val="0"/>
    <w:rPr>
      <w:color w:val="FFFFFF"/>
      <w:spacing w:val="15"/>
      <w:sz w:val="18"/>
      <w:u w:val="none"/>
    </w:rPr>
  </w:style>
  <w:style w:type="character" w:customStyle="1" w:styleId="498">
    <w:name w:val="contenttext11"/>
    <w:qFormat/>
    <w:uiPriority w:val="0"/>
    <w:rPr>
      <w:rFonts w:hint="eastAsia" w:ascii="宋体" w:hAnsi="宋体" w:eastAsia="宋体"/>
      <w:color w:val="000000"/>
      <w:sz w:val="24"/>
    </w:rPr>
  </w:style>
  <w:style w:type="character" w:customStyle="1" w:styleId="499">
    <w:name w:val="14p2"/>
    <w:qFormat/>
    <w:uiPriority w:val="0"/>
    <w:rPr>
      <w:color w:val="666666"/>
      <w:sz w:val="21"/>
      <w:szCs w:val="21"/>
    </w:rPr>
  </w:style>
  <w:style w:type="character" w:customStyle="1" w:styleId="500">
    <w:name w:val="样式 标题 2SeHead wsa2ChapterChapter TitleH21标题 1.1节1.1标题 2... Char"/>
    <w:link w:val="501"/>
    <w:qFormat/>
    <w:uiPriority w:val="0"/>
    <w:rPr>
      <w:rFonts w:ascii="宋体" w:hAnsi="Arial" w:cs="宋体"/>
      <w:b/>
      <w:bCs/>
      <w:kern w:val="2"/>
      <w:sz w:val="28"/>
      <w:szCs w:val="32"/>
    </w:rPr>
  </w:style>
  <w:style w:type="paragraph" w:customStyle="1" w:styleId="501">
    <w:name w:val="样式 标题 2SeHead wsa2ChapterChapter TitleH21标题 1.1节1.1标题 2..."/>
    <w:basedOn w:val="4"/>
    <w:link w:val="500"/>
    <w:qFormat/>
    <w:uiPriority w:val="0"/>
    <w:pPr>
      <w:numPr>
        <w:ilvl w:val="0"/>
        <w:numId w:val="0"/>
      </w:numPr>
      <w:tabs>
        <w:tab w:val="left" w:pos="540"/>
        <w:tab w:val="left" w:pos="720"/>
        <w:tab w:val="left" w:pos="1380"/>
      </w:tabs>
      <w:adjustRightInd w:val="0"/>
      <w:spacing w:before="200" w:after="0" w:line="360" w:lineRule="auto"/>
      <w:ind w:hanging="960"/>
      <w:jc w:val="both"/>
    </w:pPr>
    <w:rPr>
      <w:rFonts w:ascii="宋体" w:eastAsia="宋体"/>
      <w:bCs/>
      <w:kern w:val="2"/>
      <w:sz w:val="28"/>
      <w:szCs w:val="32"/>
    </w:rPr>
  </w:style>
  <w:style w:type="character" w:customStyle="1" w:styleId="502">
    <w:name w:val="style11"/>
    <w:qFormat/>
    <w:uiPriority w:val="0"/>
    <w:rPr>
      <w:rFonts w:hint="default" w:ascii="Arial" w:hAnsi="Arial"/>
    </w:rPr>
  </w:style>
  <w:style w:type="character" w:customStyle="1" w:styleId="503">
    <w:name w:val="样式 标题 2 + 非加粗 Char"/>
    <w:link w:val="504"/>
    <w:qFormat/>
    <w:uiPriority w:val="0"/>
    <w:rPr>
      <w:rFonts w:eastAsia="Symbol"/>
      <w:b/>
      <w:kern w:val="2"/>
      <w:sz w:val="32"/>
    </w:rPr>
  </w:style>
  <w:style w:type="paragraph" w:customStyle="1" w:styleId="504">
    <w:name w:val="样式 标题 2 + 非加粗"/>
    <w:basedOn w:val="4"/>
    <w:link w:val="503"/>
    <w:qFormat/>
    <w:uiPriority w:val="0"/>
    <w:pPr>
      <w:widowControl w:val="0"/>
      <w:numPr>
        <w:ilvl w:val="0"/>
        <w:numId w:val="0"/>
      </w:numPr>
      <w:spacing w:before="156" w:beforeLines="50" w:after="156" w:afterLines="50" w:line="312" w:lineRule="auto"/>
    </w:pPr>
    <w:rPr>
      <w:rFonts w:ascii="Times New Roman" w:hAnsi="Times New Roman" w:eastAsia="Symbol" w:cs="Times New Roman"/>
      <w:kern w:val="2"/>
      <w:szCs w:val="20"/>
    </w:rPr>
  </w:style>
  <w:style w:type="character" w:customStyle="1" w:styleId="505">
    <w:name w:val="H3 Char2"/>
    <w:qFormat/>
    <w:uiPriority w:val="0"/>
    <w:rPr>
      <w:rFonts w:eastAsia="宋体"/>
      <w:b/>
      <w:kern w:val="2"/>
      <w:sz w:val="32"/>
      <w:lang w:val="en-US" w:eastAsia="zh-CN"/>
    </w:rPr>
  </w:style>
  <w:style w:type="character" w:customStyle="1" w:styleId="506">
    <w:name w:val="unnamed1"/>
    <w:qFormat/>
    <w:uiPriority w:val="0"/>
  </w:style>
  <w:style w:type="character" w:customStyle="1" w:styleId="507">
    <w:name w:val="aspmaker1"/>
    <w:qFormat/>
    <w:uiPriority w:val="0"/>
    <w:rPr>
      <w:rFonts w:hint="default" w:ascii="Cambria Math" w:hAnsi="Cambria Math"/>
      <w:sz w:val="20"/>
    </w:rPr>
  </w:style>
  <w:style w:type="character" w:customStyle="1" w:styleId="508">
    <w:name w:val="正文段落 Char Char Char"/>
    <w:link w:val="509"/>
    <w:qFormat/>
    <w:uiPriority w:val="0"/>
    <w:rPr>
      <w:kern w:val="2"/>
      <w:sz w:val="24"/>
      <w:szCs w:val="24"/>
    </w:rPr>
  </w:style>
  <w:style w:type="paragraph" w:customStyle="1" w:styleId="509">
    <w:name w:val="正文段落 Char Char"/>
    <w:basedOn w:val="1"/>
    <w:link w:val="508"/>
    <w:qFormat/>
    <w:uiPriority w:val="0"/>
    <w:pPr>
      <w:spacing w:line="360" w:lineRule="auto"/>
    </w:pPr>
    <w:rPr>
      <w:rFonts w:ascii="Times New Roman" w:hAnsi="Times New Roman" w:cs="Times New Roman"/>
      <w:kern w:val="2"/>
    </w:rPr>
  </w:style>
  <w:style w:type="character" w:customStyle="1" w:styleId="510">
    <w:name w:val="unnamed31"/>
    <w:qFormat/>
    <w:uiPriority w:val="0"/>
  </w:style>
  <w:style w:type="character" w:customStyle="1" w:styleId="511">
    <w:name w:val="表标题 Char Char Char"/>
    <w:link w:val="512"/>
    <w:qFormat/>
    <w:uiPriority w:val="0"/>
    <w:rPr>
      <w:b/>
      <w:kern w:val="2"/>
      <w:sz w:val="24"/>
    </w:rPr>
  </w:style>
  <w:style w:type="paragraph" w:customStyle="1" w:styleId="512">
    <w:name w:val="表标题 Char Char"/>
    <w:basedOn w:val="1"/>
    <w:link w:val="511"/>
    <w:qFormat/>
    <w:uiPriority w:val="0"/>
    <w:pPr>
      <w:widowControl w:val="0"/>
      <w:adjustRightInd w:val="0"/>
      <w:snapToGrid w:val="0"/>
      <w:spacing w:before="40" w:after="156" w:afterLines="50" w:line="400" w:lineRule="atLeast"/>
      <w:jc w:val="center"/>
    </w:pPr>
    <w:rPr>
      <w:rFonts w:ascii="Times New Roman" w:hAnsi="Times New Roman" w:cs="Times New Roman"/>
      <w:b/>
      <w:kern w:val="2"/>
      <w:szCs w:val="20"/>
    </w:rPr>
  </w:style>
  <w:style w:type="character" w:customStyle="1" w:styleId="513">
    <w:name w:val="表标题 Char"/>
    <w:qFormat/>
    <w:uiPriority w:val="0"/>
    <w:rPr>
      <w:rFonts w:ascii="Times New Roman" w:hAnsi="Times New Roman" w:eastAsia="Arial"/>
      <w:b/>
      <w:sz w:val="24"/>
    </w:rPr>
  </w:style>
  <w:style w:type="character" w:customStyle="1" w:styleId="514">
    <w:name w:val="c0033991"/>
    <w:qFormat/>
    <w:uiPriority w:val="0"/>
    <w:rPr>
      <w:color w:val="003399"/>
      <w:sz w:val="18"/>
      <w:u w:val="none"/>
    </w:rPr>
  </w:style>
  <w:style w:type="character" w:customStyle="1" w:styleId="515">
    <w:name w:val="dectext1"/>
    <w:qFormat/>
    <w:uiPriority w:val="0"/>
    <w:rPr>
      <w:rFonts w:hint="eastAsia" w:ascii="宋体" w:hAnsi="宋体" w:eastAsia="宋体"/>
      <w:color w:val="333333"/>
      <w:sz w:val="21"/>
      <w:u w:val="none"/>
    </w:rPr>
  </w:style>
  <w:style w:type="character" w:customStyle="1" w:styleId="516">
    <w:name w:val="neiyetest1"/>
    <w:qFormat/>
    <w:uiPriority w:val="0"/>
    <w:rPr>
      <w:rFonts w:hint="default" w:ascii="minorBidi" w:hAnsi="minorBidi"/>
      <w:color w:val="000000"/>
      <w:sz w:val="20"/>
    </w:rPr>
  </w:style>
  <w:style w:type="character" w:customStyle="1" w:styleId="517">
    <w:name w:val="d1"/>
    <w:qFormat/>
    <w:uiPriority w:val="0"/>
    <w:rPr>
      <w:sz w:val="10"/>
    </w:rPr>
  </w:style>
  <w:style w:type="character" w:customStyle="1" w:styleId="518">
    <w:name w:val="gailan-ti1"/>
    <w:qFormat/>
    <w:uiPriority w:val="0"/>
    <w:rPr>
      <w:rFonts w:hint="default" w:ascii="minorBidi" w:hAnsi="minorBidi"/>
      <w:b/>
      <w:color w:val="FF6000"/>
      <w:sz w:val="21"/>
      <w:u w:val="none"/>
    </w:rPr>
  </w:style>
  <w:style w:type="character" w:customStyle="1" w:styleId="519">
    <w:name w:val="myfont11"/>
    <w:qFormat/>
    <w:uiPriority w:val="0"/>
    <w:rPr>
      <w:rFonts w:hint="default" w:ascii="Arial" w:hAnsi="Arial"/>
      <w:color w:val="000000"/>
      <w:sz w:val="18"/>
    </w:rPr>
  </w:style>
  <w:style w:type="character" w:customStyle="1" w:styleId="520">
    <w:name w:val="news_c_da"/>
    <w:qFormat/>
    <w:uiPriority w:val="0"/>
  </w:style>
  <w:style w:type="character" w:customStyle="1" w:styleId="521">
    <w:name w:val="正 文 Char"/>
    <w:link w:val="522"/>
    <w:qFormat/>
    <w:uiPriority w:val="0"/>
    <w:rPr>
      <w:rFonts w:ascii="Arial" w:hAnsi="Arial" w:eastAsia="Times New Roman"/>
      <w:kern w:val="2"/>
      <w:sz w:val="24"/>
    </w:rPr>
  </w:style>
  <w:style w:type="paragraph" w:customStyle="1" w:styleId="522">
    <w:name w:val="正 文"/>
    <w:link w:val="521"/>
    <w:qFormat/>
    <w:uiPriority w:val="0"/>
    <w:pPr>
      <w:widowControl w:val="0"/>
      <w:spacing w:line="480" w:lineRule="exact"/>
      <w:ind w:firstLine="471"/>
      <w:jc w:val="both"/>
    </w:pPr>
    <w:rPr>
      <w:rFonts w:ascii="Arial" w:hAnsi="Arial" w:eastAsia="Times New Roman" w:cs="Times New Roman"/>
      <w:kern w:val="2"/>
      <w:sz w:val="24"/>
      <w:lang w:val="en-US" w:eastAsia="zh-CN" w:bidi="ar-SA"/>
    </w:rPr>
  </w:style>
  <w:style w:type="character" w:customStyle="1" w:styleId="523">
    <w:name w:val="t_tag"/>
    <w:qFormat/>
    <w:uiPriority w:val="0"/>
  </w:style>
  <w:style w:type="character" w:customStyle="1" w:styleId="524">
    <w:name w:val="样式 标题 2标题 2 Char Char + 宋体1 Char"/>
    <w:link w:val="525"/>
    <w:qFormat/>
    <w:uiPriority w:val="0"/>
    <w:rPr>
      <w:rFonts w:ascii="宋体" w:hAnsi="宋体"/>
      <w:b/>
      <w:sz w:val="28"/>
    </w:rPr>
  </w:style>
  <w:style w:type="paragraph" w:customStyle="1" w:styleId="525">
    <w:name w:val="样式 标题 2标题 2 Char Char + 宋体1"/>
    <w:basedOn w:val="4"/>
    <w:link w:val="524"/>
    <w:qFormat/>
    <w:uiPriority w:val="0"/>
    <w:pPr>
      <w:keepLines w:val="0"/>
      <w:numPr>
        <w:ilvl w:val="0"/>
        <w:numId w:val="0"/>
      </w:numPr>
      <w:tabs>
        <w:tab w:val="right" w:pos="8640"/>
      </w:tabs>
      <w:overflowPunct w:val="0"/>
      <w:autoSpaceDE w:val="0"/>
      <w:autoSpaceDN w:val="0"/>
      <w:adjustRightInd w:val="0"/>
      <w:spacing w:before="0" w:after="0" w:line="440" w:lineRule="exact"/>
      <w:textAlignment w:val="baseline"/>
    </w:pPr>
    <w:rPr>
      <w:rFonts w:ascii="宋体" w:hAnsi="宋体" w:eastAsia="宋体" w:cs="Times New Roman"/>
      <w:sz w:val="28"/>
      <w:szCs w:val="20"/>
    </w:rPr>
  </w:style>
  <w:style w:type="character" w:customStyle="1" w:styleId="526">
    <w:name w:val="se"/>
    <w:qFormat/>
    <w:uiPriority w:val="0"/>
  </w:style>
  <w:style w:type="character" w:customStyle="1" w:styleId="527">
    <w:name w:val="Char Char16"/>
    <w:qFormat/>
    <w:uiPriority w:val="0"/>
    <w:rPr>
      <w:rFonts w:ascii="Arial" w:hAnsi="Arial" w:eastAsia="Symbol"/>
      <w:b/>
      <w:kern w:val="2"/>
      <w:sz w:val="26"/>
      <w:szCs w:val="24"/>
      <w:lang w:val="en-US" w:eastAsia="zh-CN" w:bidi="ar-SA"/>
    </w:rPr>
  </w:style>
  <w:style w:type="character" w:customStyle="1" w:styleId="528">
    <w:name w:val="码头正文 Char"/>
    <w:link w:val="529"/>
    <w:qFormat/>
    <w:uiPriority w:val="0"/>
    <w:rPr>
      <w:rFonts w:ascii="宋体" w:hAnsi="宋体"/>
      <w:color w:val="FF6600"/>
      <w:sz w:val="24"/>
      <w:u w:color="000000"/>
    </w:rPr>
  </w:style>
  <w:style w:type="paragraph" w:customStyle="1" w:styleId="529">
    <w:name w:val="码头正文"/>
    <w:basedOn w:val="21"/>
    <w:link w:val="528"/>
    <w:qFormat/>
    <w:uiPriority w:val="0"/>
    <w:pPr>
      <w:widowControl w:val="0"/>
      <w:spacing w:line="360" w:lineRule="auto"/>
      <w:ind w:left="0" w:firstLine="480" w:firstLineChars="200"/>
      <w:jc w:val="both"/>
    </w:pPr>
    <w:rPr>
      <w:rFonts w:cs="Times New Roman"/>
      <w:color w:val="FF6600"/>
      <w:sz w:val="24"/>
      <w:u w:color="000000"/>
    </w:rPr>
  </w:style>
  <w:style w:type="character" w:customStyle="1" w:styleId="530">
    <w:name w:val="君邦正文 Char1"/>
    <w:link w:val="531"/>
    <w:qFormat/>
    <w:uiPriority w:val="0"/>
    <w:rPr>
      <w:sz w:val="24"/>
    </w:rPr>
  </w:style>
  <w:style w:type="paragraph" w:customStyle="1" w:styleId="531">
    <w:name w:val="君邦正文"/>
    <w:link w:val="530"/>
    <w:qFormat/>
    <w:uiPriority w:val="0"/>
    <w:pPr>
      <w:spacing w:after="60" w:line="360" w:lineRule="auto"/>
      <w:ind w:firstLine="480" w:firstLineChars="200"/>
      <w:jc w:val="both"/>
    </w:pPr>
    <w:rPr>
      <w:rFonts w:ascii="Times New Roman" w:hAnsi="Times New Roman" w:eastAsia="宋体" w:cs="Times New Roman"/>
      <w:sz w:val="24"/>
      <w:lang w:val="en-US" w:eastAsia="zh-CN" w:bidi="ar-SA"/>
    </w:rPr>
  </w:style>
  <w:style w:type="character" w:customStyle="1" w:styleId="532">
    <w:name w:val="105pt12h1"/>
    <w:qFormat/>
    <w:uiPriority w:val="0"/>
    <w:rPr>
      <w:sz w:val="21"/>
      <w:szCs w:val="21"/>
    </w:rPr>
  </w:style>
  <w:style w:type="character" w:customStyle="1" w:styleId="533">
    <w:name w:val="样式 标题1 + 黑色 Char"/>
    <w:link w:val="534"/>
    <w:qFormat/>
    <w:uiPriority w:val="0"/>
    <w:rPr>
      <w:b/>
      <w:color w:val="000000"/>
      <w:kern w:val="2"/>
      <w:sz w:val="21"/>
    </w:rPr>
  </w:style>
  <w:style w:type="paragraph" w:customStyle="1" w:styleId="534">
    <w:name w:val="样式 标题1 + 黑色"/>
    <w:basedOn w:val="59"/>
    <w:link w:val="533"/>
    <w:qFormat/>
    <w:uiPriority w:val="0"/>
    <w:pPr>
      <w:widowControl w:val="0"/>
      <w:spacing w:before="120" w:after="120"/>
    </w:pPr>
    <w:rPr>
      <w:rFonts w:ascii="Times New Roman" w:hAnsi="Times New Roman" w:cs="Times New Roman"/>
      <w:b/>
      <w:color w:val="000000"/>
      <w:kern w:val="2"/>
      <w:sz w:val="21"/>
      <w:szCs w:val="20"/>
    </w:rPr>
  </w:style>
  <w:style w:type="character" w:customStyle="1" w:styleId="535">
    <w:name w:val="1标题2级 Char"/>
    <w:link w:val="536"/>
    <w:qFormat/>
    <w:uiPriority w:val="0"/>
    <w:rPr>
      <w:rFonts w:eastAsia="Symbol"/>
      <w:b/>
      <w:kern w:val="2"/>
      <w:sz w:val="28"/>
    </w:rPr>
  </w:style>
  <w:style w:type="paragraph" w:customStyle="1" w:styleId="536">
    <w:name w:val="1标题2级"/>
    <w:basedOn w:val="1"/>
    <w:link w:val="535"/>
    <w:qFormat/>
    <w:uiPriority w:val="0"/>
    <w:pPr>
      <w:keepNext/>
      <w:widowControl w:val="0"/>
      <w:snapToGrid w:val="0"/>
      <w:spacing w:line="420" w:lineRule="auto"/>
      <w:jc w:val="both"/>
      <w:outlineLvl w:val="1"/>
    </w:pPr>
    <w:rPr>
      <w:rFonts w:ascii="Times New Roman" w:hAnsi="Times New Roman" w:eastAsia="Symbol" w:cs="Times New Roman"/>
      <w:b/>
      <w:kern w:val="2"/>
      <w:sz w:val="28"/>
      <w:szCs w:val="20"/>
    </w:rPr>
  </w:style>
  <w:style w:type="character" w:customStyle="1" w:styleId="537">
    <w:name w:val="desctext1"/>
    <w:qFormat/>
    <w:uiPriority w:val="0"/>
    <w:rPr>
      <w:spacing w:val="15"/>
      <w:sz w:val="18"/>
    </w:rPr>
  </w:style>
  <w:style w:type="character" w:customStyle="1" w:styleId="538">
    <w:name w:val="标题 4 Char1"/>
    <w:qFormat/>
    <w:uiPriority w:val="0"/>
    <w:rPr>
      <w:rFonts w:ascii="Arial" w:hAnsi="Arial" w:eastAsia="宋体"/>
      <w:snapToGrid w:val="0"/>
      <w:sz w:val="24"/>
      <w:lang w:val="en-US" w:eastAsia="zh-CN" w:bidi="ar-SA"/>
    </w:rPr>
  </w:style>
  <w:style w:type="character" w:customStyle="1" w:styleId="539">
    <w:name w:val="样式 标题 6 + 自动设置 Char"/>
    <w:qFormat/>
    <w:uiPriority w:val="0"/>
    <w:rPr>
      <w:rFonts w:hint="eastAsia" w:ascii="Times New Roman" w:hAnsi="Times New Roman" w:eastAsia="宋体"/>
      <w:snapToGrid w:val="0"/>
      <w:color w:val="000000"/>
      <w:sz w:val="24"/>
      <w:lang w:val="en-US" w:eastAsia="zh-CN"/>
    </w:rPr>
  </w:style>
  <w:style w:type="character" w:customStyle="1" w:styleId="540">
    <w:name w:val="第一条1"/>
    <w:qFormat/>
    <w:uiPriority w:val="0"/>
    <w:rPr>
      <w:rFonts w:hint="eastAsia" w:ascii="Symbol" w:eastAsia="Symbol"/>
      <w:sz w:val="24"/>
    </w:rPr>
  </w:style>
  <w:style w:type="character" w:customStyle="1" w:styleId="541">
    <w:name w:val="about-left1"/>
    <w:qFormat/>
    <w:uiPriority w:val="0"/>
    <w:rPr>
      <w:color w:val="3A3A3A"/>
      <w:spacing w:val="15"/>
      <w:sz w:val="18"/>
      <w:u w:val="none"/>
    </w:rPr>
  </w:style>
  <w:style w:type="character" w:customStyle="1" w:styleId="542">
    <w:name w:val="px14"/>
    <w:qFormat/>
    <w:uiPriority w:val="0"/>
  </w:style>
  <w:style w:type="character" w:customStyle="1" w:styleId="543">
    <w:name w:val="text1"/>
    <w:qFormat/>
    <w:uiPriority w:val="0"/>
  </w:style>
  <w:style w:type="character" w:customStyle="1" w:styleId="544">
    <w:name w:val="CJ 文本111 Char"/>
    <w:link w:val="545"/>
    <w:qFormat/>
    <w:uiPriority w:val="0"/>
    <w:rPr>
      <w:kern w:val="2"/>
      <w:sz w:val="24"/>
    </w:rPr>
  </w:style>
  <w:style w:type="paragraph" w:customStyle="1" w:styleId="545">
    <w:name w:val="CJ 文本111"/>
    <w:basedOn w:val="35"/>
    <w:link w:val="544"/>
    <w:qFormat/>
    <w:uiPriority w:val="0"/>
    <w:pPr>
      <w:widowControl w:val="0"/>
      <w:spacing w:after="0" w:line="360" w:lineRule="auto"/>
      <w:ind w:left="0" w:leftChars="0" w:firstLine="200" w:firstLineChars="200"/>
    </w:pPr>
    <w:rPr>
      <w:rFonts w:ascii="Times New Roman" w:hAnsi="Times New Roman" w:cs="Times New Roman"/>
      <w:kern w:val="2"/>
    </w:rPr>
  </w:style>
  <w:style w:type="character" w:customStyle="1" w:styleId="546">
    <w:name w:val="样式 标题 2SeHead wsa2H21标题 1.1Chapter TitleChapter节标题 1.1h... Char"/>
    <w:link w:val="547"/>
    <w:qFormat/>
    <w:uiPriority w:val="0"/>
    <w:rPr>
      <w:rFonts w:eastAsia="Symbol"/>
      <w:b/>
      <w:kern w:val="2"/>
      <w:sz w:val="30"/>
    </w:rPr>
  </w:style>
  <w:style w:type="paragraph" w:customStyle="1" w:styleId="547">
    <w:name w:val="样式 标题 2SeHead wsa2H21标题 1.1Chapter TitleChapter节标题 1.1h..."/>
    <w:basedOn w:val="536"/>
    <w:next w:val="548"/>
    <w:link w:val="546"/>
    <w:qFormat/>
    <w:uiPriority w:val="0"/>
    <w:rPr>
      <w:sz w:val="30"/>
    </w:rPr>
  </w:style>
  <w:style w:type="paragraph" w:customStyle="1" w:styleId="548">
    <w:name w:val="样式 标题 2"/>
    <w:basedOn w:val="4"/>
    <w:qFormat/>
    <w:uiPriority w:val="0"/>
    <w:pPr>
      <w:widowControl w:val="0"/>
      <w:numPr>
        <w:ilvl w:val="0"/>
        <w:numId w:val="0"/>
      </w:numPr>
      <w:adjustRightInd w:val="0"/>
      <w:spacing w:before="163" w:after="0" w:line="360" w:lineRule="auto"/>
      <w:jc w:val="both"/>
    </w:pPr>
    <w:rPr>
      <w:rFonts w:ascii="宋体" w:hAnsi="宋体" w:eastAsia="宋体" w:cs="Times New Roman"/>
      <w:kern w:val="2"/>
      <w:sz w:val="30"/>
      <w:szCs w:val="20"/>
    </w:rPr>
  </w:style>
  <w:style w:type="character" w:customStyle="1" w:styleId="549">
    <w:name w:val="表题 Char Char Char Char"/>
    <w:link w:val="550"/>
    <w:qFormat/>
    <w:uiPriority w:val="0"/>
    <w:rPr>
      <w:b/>
      <w:kern w:val="2"/>
      <w:sz w:val="24"/>
    </w:rPr>
  </w:style>
  <w:style w:type="paragraph" w:customStyle="1" w:styleId="550">
    <w:name w:val="表题 Char Char Char"/>
    <w:basedOn w:val="16"/>
    <w:link w:val="549"/>
    <w:qFormat/>
    <w:uiPriority w:val="0"/>
    <w:pPr>
      <w:spacing w:before="15" w:beforeLines="5"/>
    </w:pPr>
    <w:rPr>
      <w:b/>
    </w:rPr>
  </w:style>
  <w:style w:type="character" w:customStyle="1" w:styleId="551">
    <w:name w:val="列表(L) Char"/>
    <w:link w:val="552"/>
    <w:qFormat/>
    <w:uiPriority w:val="0"/>
    <w:rPr>
      <w:kern w:val="2"/>
      <w:sz w:val="21"/>
    </w:rPr>
  </w:style>
  <w:style w:type="paragraph" w:customStyle="1" w:styleId="552">
    <w:name w:val="列表(L)"/>
    <w:basedOn w:val="66"/>
    <w:link w:val="551"/>
    <w:qFormat/>
    <w:uiPriority w:val="0"/>
    <w:pPr>
      <w:snapToGrid w:val="0"/>
      <w:ind w:left="0" w:firstLine="0" w:firstLineChars="0"/>
    </w:pPr>
    <w:rPr>
      <w:szCs w:val="20"/>
    </w:rPr>
  </w:style>
  <w:style w:type="character" w:customStyle="1" w:styleId="553">
    <w:name w:val="p13z1"/>
    <w:qFormat/>
    <w:uiPriority w:val="0"/>
    <w:rPr>
      <w:spacing w:val="0"/>
      <w:sz w:val="20"/>
    </w:rPr>
  </w:style>
  <w:style w:type="character" w:customStyle="1" w:styleId="554">
    <w:name w:val="标题 1 Char Char Char"/>
    <w:qFormat/>
    <w:uiPriority w:val="0"/>
    <w:rPr>
      <w:rFonts w:eastAsia="宋体"/>
      <w:b/>
      <w:kern w:val="28"/>
      <w:sz w:val="30"/>
      <w:lang w:val="en-US" w:eastAsia="zh-CN"/>
    </w:rPr>
  </w:style>
  <w:style w:type="character" w:customStyle="1" w:styleId="555">
    <w:name w:val="样式 (西文) Arial (中文) 楷体_GB2312"/>
    <w:qFormat/>
    <w:uiPriority w:val="0"/>
    <w:rPr>
      <w:rFonts w:ascii="宋体" w:hAnsi="Arial" w:eastAsia="宋体"/>
      <w:color w:val="auto"/>
      <w:spacing w:val="8"/>
      <w:w w:val="100"/>
      <w:kern w:val="0"/>
      <w:position w:val="0"/>
      <w:sz w:val="24"/>
      <w:u w:val="none"/>
      <w:vertAlign w:val="baseline"/>
    </w:rPr>
  </w:style>
  <w:style w:type="character" w:customStyle="1" w:styleId="556">
    <w:name w:val="14"/>
    <w:qFormat/>
    <w:uiPriority w:val="0"/>
  </w:style>
  <w:style w:type="paragraph" w:customStyle="1" w:styleId="557">
    <w:name w:val="图片"/>
    <w:basedOn w:val="1"/>
    <w:qFormat/>
    <w:uiPriority w:val="0"/>
    <w:pPr>
      <w:widowControl w:val="0"/>
      <w:wordWrap w:val="0"/>
      <w:topLinePunct/>
      <w:jc w:val="center"/>
    </w:pPr>
    <w:rPr>
      <w:rFonts w:ascii="Symbol" w:hAnsi="Arial" w:eastAsia="Symbol" w:cs="Times New Roman"/>
      <w:color w:val="000000"/>
      <w:szCs w:val="20"/>
      <w:lang w:val="eu-ES"/>
    </w:rPr>
  </w:style>
  <w:style w:type="paragraph" w:customStyle="1" w:styleId="558">
    <w:name w:val="图文框"/>
    <w:basedOn w:val="1"/>
    <w:qFormat/>
    <w:uiPriority w:val="0"/>
    <w:pPr>
      <w:widowControl w:val="0"/>
      <w:spacing w:line="0" w:lineRule="atLeast"/>
      <w:jc w:val="center"/>
    </w:pPr>
    <w:rPr>
      <w:rFonts w:ascii="Times New Roman" w:hAnsi="Times New Roman" w:cs="Times New Roman"/>
      <w:kern w:val="2"/>
      <w:szCs w:val="20"/>
    </w:rPr>
  </w:style>
  <w:style w:type="paragraph" w:customStyle="1" w:styleId="559">
    <w:name w:val="3 Char Char Char Char Char Char Char"/>
    <w:basedOn w:val="1"/>
    <w:qFormat/>
    <w:uiPriority w:val="0"/>
    <w:pPr>
      <w:widowControl w:val="0"/>
      <w:adjustRightInd w:val="0"/>
      <w:snapToGrid w:val="0"/>
      <w:spacing w:line="400" w:lineRule="exact"/>
      <w:ind w:firstLine="200" w:firstLineChars="200"/>
      <w:jc w:val="both"/>
    </w:pPr>
    <w:rPr>
      <w:rFonts w:ascii="Times New Roman" w:hAnsi="Times New Roman" w:cs="Times New Roman"/>
      <w:kern w:val="2"/>
      <w:szCs w:val="20"/>
    </w:rPr>
  </w:style>
  <w:style w:type="paragraph" w:customStyle="1" w:styleId="560">
    <w:name w:val="三级条标题"/>
    <w:basedOn w:val="561"/>
    <w:next w:val="1"/>
    <w:qFormat/>
    <w:uiPriority w:val="0"/>
    <w:pPr>
      <w:tabs>
        <w:tab w:val="left" w:pos="360"/>
        <w:tab w:val="left" w:pos="903"/>
        <w:tab w:val="left" w:pos="1287"/>
      </w:tabs>
      <w:outlineLvl w:val="4"/>
    </w:pPr>
  </w:style>
  <w:style w:type="paragraph" w:customStyle="1" w:styleId="561">
    <w:name w:val="二级条标题"/>
    <w:basedOn w:val="562"/>
    <w:next w:val="1"/>
    <w:qFormat/>
    <w:uiPriority w:val="0"/>
    <w:pPr>
      <w:tabs>
        <w:tab w:val="left" w:pos="360"/>
        <w:tab w:val="left" w:pos="903"/>
        <w:tab w:val="left" w:pos="1287"/>
      </w:tabs>
      <w:ind w:firstLine="0" w:firstLineChars="0"/>
      <w:outlineLvl w:val="3"/>
    </w:pPr>
  </w:style>
  <w:style w:type="paragraph" w:customStyle="1" w:styleId="562">
    <w:name w:val="一级条标题"/>
    <w:basedOn w:val="1"/>
    <w:next w:val="1"/>
    <w:qFormat/>
    <w:uiPriority w:val="0"/>
    <w:pPr>
      <w:tabs>
        <w:tab w:val="left" w:pos="360"/>
        <w:tab w:val="left" w:pos="903"/>
        <w:tab w:val="left" w:pos="1287"/>
      </w:tabs>
      <w:ind w:hanging="200" w:hangingChars="200"/>
      <w:jc w:val="both"/>
      <w:outlineLvl w:val="2"/>
    </w:pPr>
    <w:rPr>
      <w:rFonts w:ascii="Symbol" w:hAnsi="Times New Roman" w:eastAsia="Symbol" w:cs="Times New Roman"/>
      <w:sz w:val="21"/>
      <w:szCs w:val="20"/>
    </w:rPr>
  </w:style>
  <w:style w:type="paragraph" w:customStyle="1" w:styleId="563">
    <w:name w:val="表体"/>
    <w:basedOn w:val="1"/>
    <w:qFormat/>
    <w:uiPriority w:val="0"/>
    <w:pPr>
      <w:widowControl w:val="0"/>
      <w:overflowPunct w:val="0"/>
      <w:adjustRightInd w:val="0"/>
      <w:spacing w:line="240" w:lineRule="atLeast"/>
      <w:ind w:left="-57" w:right="-57"/>
      <w:jc w:val="center"/>
      <w:textAlignment w:val="baseline"/>
    </w:pPr>
    <w:rPr>
      <w:rFonts w:ascii="Symbol" w:hAnsi="Times New Roman" w:eastAsia="Symbol" w:cs="Times New Roman"/>
      <w:color w:val="000080"/>
      <w:kern w:val="24"/>
      <w:szCs w:val="20"/>
    </w:rPr>
  </w:style>
  <w:style w:type="paragraph" w:customStyle="1" w:styleId="564">
    <w:name w:val="责任页"/>
    <w:basedOn w:val="1"/>
    <w:qFormat/>
    <w:uiPriority w:val="0"/>
    <w:pPr>
      <w:widowControl w:val="0"/>
      <w:spacing w:line="300" w:lineRule="auto"/>
      <w:jc w:val="both"/>
    </w:pPr>
    <w:rPr>
      <w:rFonts w:ascii="Times New Roman" w:hAnsi="Times New Roman" w:cs="Times New Roman"/>
      <w:kern w:val="2"/>
      <w:sz w:val="28"/>
      <w:szCs w:val="20"/>
    </w:rPr>
  </w:style>
  <w:style w:type="paragraph" w:customStyle="1" w:styleId="565">
    <w:name w:val="Char Char1 Char Char Char Char Char Char Char Char Char Char Char Char Char Char Char Char Char Char Char Char Char Char Char Char Char Char Char Char Char Char1 Char Char Char Char"/>
    <w:basedOn w:val="1"/>
    <w:qFormat/>
    <w:uiPriority w:val="0"/>
    <w:pPr>
      <w:widowControl w:val="0"/>
      <w:jc w:val="both"/>
    </w:pPr>
    <w:rPr>
      <w:rFonts w:ascii="Times New Roman" w:hAnsi="Times New Roman" w:cs="Times New Roman"/>
      <w:kern w:val="2"/>
      <w:sz w:val="21"/>
      <w:szCs w:val="20"/>
    </w:rPr>
  </w:style>
  <w:style w:type="paragraph" w:customStyle="1" w:styleId="566">
    <w:name w:val="Char Char Char Char Char Char Char Char Char Char Char1 Char"/>
    <w:basedOn w:val="1"/>
    <w:qFormat/>
    <w:uiPriority w:val="0"/>
    <w:pPr>
      <w:widowControl w:val="0"/>
      <w:jc w:val="both"/>
    </w:pPr>
    <w:rPr>
      <w:rFonts w:ascii="Times New Roman" w:hAnsi="Times New Roman" w:cs="Times New Roman"/>
      <w:kern w:val="2"/>
      <w:szCs w:val="20"/>
    </w:rPr>
  </w:style>
  <w:style w:type="paragraph" w:customStyle="1" w:styleId="567">
    <w:name w:val="表标题11"/>
    <w:basedOn w:val="1"/>
    <w:qFormat/>
    <w:uiPriority w:val="0"/>
    <w:pPr>
      <w:keepNext/>
      <w:widowControl w:val="0"/>
      <w:adjustRightInd w:val="0"/>
      <w:spacing w:before="180" w:after="120" w:line="408" w:lineRule="atLeast"/>
      <w:jc w:val="center"/>
      <w:textAlignment w:val="baseline"/>
    </w:pPr>
    <w:rPr>
      <w:rFonts w:ascii="Times New Roman" w:hAnsi="Times New Roman" w:cs="Times New Roman"/>
      <w:b/>
      <w:spacing w:val="10"/>
      <w:szCs w:val="20"/>
    </w:rPr>
  </w:style>
  <w:style w:type="paragraph" w:customStyle="1" w:styleId="568">
    <w:name w:val="新正文样式"/>
    <w:basedOn w:val="1"/>
    <w:qFormat/>
    <w:uiPriority w:val="0"/>
    <w:pPr>
      <w:widowControl w:val="0"/>
      <w:tabs>
        <w:tab w:val="left" w:pos="567"/>
      </w:tabs>
      <w:spacing w:line="360" w:lineRule="auto"/>
      <w:ind w:firstLine="567"/>
      <w:jc w:val="both"/>
    </w:pPr>
    <w:rPr>
      <w:rFonts w:ascii="Times New Roman" w:hAnsi="Times New Roman" w:cs="Times New Roman"/>
      <w:spacing w:val="20"/>
      <w:kern w:val="2"/>
      <w:szCs w:val="20"/>
    </w:rPr>
  </w:style>
  <w:style w:type="paragraph" w:customStyle="1" w:styleId="569">
    <w:name w:val="表格样式"/>
    <w:basedOn w:val="1"/>
    <w:qFormat/>
    <w:uiPriority w:val="0"/>
    <w:pPr>
      <w:widowControl w:val="0"/>
      <w:jc w:val="center"/>
    </w:pPr>
    <w:rPr>
      <w:rFonts w:ascii="Times New Roman" w:hAnsi="Times New Roman" w:cs="Times New Roman"/>
      <w:kern w:val="2"/>
      <w:sz w:val="21"/>
      <w:szCs w:val="20"/>
    </w:rPr>
  </w:style>
  <w:style w:type="paragraph" w:customStyle="1" w:styleId="570">
    <w:name w:val="样式 表格 23 + 宋体 行距: 固定值 14 磅"/>
    <w:basedOn w:val="1"/>
    <w:qFormat/>
    <w:uiPriority w:val="0"/>
    <w:pPr>
      <w:widowControl w:val="0"/>
      <w:autoSpaceDE w:val="0"/>
      <w:autoSpaceDN w:val="0"/>
      <w:adjustRightInd w:val="0"/>
      <w:spacing w:line="280" w:lineRule="exact"/>
      <w:jc w:val="center"/>
    </w:pPr>
    <w:rPr>
      <w:rFonts w:cs="Times New Roman"/>
      <w:kern w:val="2"/>
      <w:sz w:val="21"/>
      <w:szCs w:val="20"/>
    </w:rPr>
  </w:style>
  <w:style w:type="paragraph" w:customStyle="1" w:styleId="571">
    <w:name w:val="样式 标题 3"/>
    <w:basedOn w:val="5"/>
    <w:qFormat/>
    <w:uiPriority w:val="0"/>
    <w:pPr>
      <w:widowControl w:val="0"/>
      <w:snapToGrid w:val="0"/>
      <w:spacing w:line="360" w:lineRule="auto"/>
      <w:jc w:val="both"/>
    </w:pPr>
    <w:rPr>
      <w:rFonts w:cs="Times New Roman"/>
      <w:bCs w:val="0"/>
      <w:spacing w:val="20"/>
      <w:kern w:val="11"/>
      <w:sz w:val="28"/>
      <w:szCs w:val="20"/>
      <w:lang w:val="zh-CN"/>
    </w:rPr>
  </w:style>
  <w:style w:type="paragraph" w:customStyle="1" w:styleId="572">
    <w:name w:val="表头样式1"/>
    <w:basedOn w:val="1"/>
    <w:qFormat/>
    <w:uiPriority w:val="0"/>
    <w:pPr>
      <w:widowControl w:val="0"/>
      <w:spacing w:after="80" w:line="480" w:lineRule="atLeast"/>
      <w:jc w:val="center"/>
    </w:pPr>
    <w:rPr>
      <w:rFonts w:ascii="Times New Roman" w:hAnsi="Times New Roman" w:eastAsia="Symbol" w:cs="Times New Roman"/>
      <w:b/>
      <w:kern w:val="2"/>
      <w:szCs w:val="20"/>
    </w:rPr>
  </w:style>
  <w:style w:type="paragraph" w:customStyle="1" w:styleId="573">
    <w:name w:val="佛表"/>
    <w:basedOn w:val="66"/>
    <w:qFormat/>
    <w:uiPriority w:val="0"/>
    <w:pPr>
      <w:ind w:left="0" w:firstLine="0" w:firstLineChars="0"/>
      <w:jc w:val="center"/>
    </w:pPr>
    <w:rPr>
      <w:szCs w:val="20"/>
    </w:rPr>
  </w:style>
  <w:style w:type="paragraph" w:customStyle="1" w:styleId="574">
    <w:name w:val="正文（3仿）"/>
    <w:qFormat/>
    <w:uiPriority w:val="0"/>
    <w:pPr>
      <w:spacing w:line="500" w:lineRule="exact"/>
      <w:ind w:firstLine="510"/>
      <w:jc w:val="both"/>
    </w:pPr>
    <w:rPr>
      <w:rFonts w:ascii="Times New Roman" w:hAnsi="Times New Roman" w:eastAsia="宋体" w:cs="Times New Roman"/>
      <w:sz w:val="32"/>
      <w:lang w:val="en-US" w:eastAsia="zh-CN" w:bidi="ar-SA"/>
    </w:rPr>
  </w:style>
  <w:style w:type="paragraph" w:customStyle="1" w:styleId="575">
    <w:name w:val="项目名称"/>
    <w:basedOn w:val="1"/>
    <w:qFormat/>
    <w:uiPriority w:val="0"/>
    <w:pPr>
      <w:widowControl w:val="0"/>
      <w:adjustRightInd w:val="0"/>
      <w:spacing w:line="100" w:lineRule="atLeast"/>
      <w:jc w:val="both"/>
      <w:textAlignment w:val="baseline"/>
    </w:pPr>
    <w:rPr>
      <w:rFonts w:cs="Times New Roman"/>
      <w:b/>
      <w:color w:val="000000"/>
      <w:kern w:val="2"/>
      <w:sz w:val="32"/>
      <w:szCs w:val="20"/>
    </w:rPr>
  </w:style>
  <w:style w:type="paragraph" w:customStyle="1" w:styleId="576">
    <w:name w:val="xl46"/>
    <w:basedOn w:val="1"/>
    <w:qFormat/>
    <w:uiPriority w:val="0"/>
    <w:pPr>
      <w:spacing w:before="100" w:beforeAutospacing="1" w:after="100" w:afterAutospacing="1"/>
      <w:jc w:val="center"/>
    </w:pPr>
    <w:rPr>
      <w:rFonts w:cs="Times New Roman"/>
      <w:sz w:val="20"/>
      <w:szCs w:val="20"/>
    </w:rPr>
  </w:style>
  <w:style w:type="paragraph" w:customStyle="1" w:styleId="577">
    <w:name w:val="封面4"/>
    <w:basedOn w:val="578"/>
    <w:qFormat/>
    <w:uiPriority w:val="0"/>
    <w:pPr>
      <w:snapToGrid w:val="0"/>
      <w:spacing w:line="240" w:lineRule="auto"/>
      <w:jc w:val="center"/>
    </w:pPr>
    <w:rPr>
      <w:sz w:val="36"/>
    </w:rPr>
  </w:style>
  <w:style w:type="paragraph" w:customStyle="1" w:styleId="578">
    <w:name w:val="封面1"/>
    <w:basedOn w:val="1"/>
    <w:qFormat/>
    <w:uiPriority w:val="0"/>
    <w:pPr>
      <w:widowControl w:val="0"/>
      <w:spacing w:line="300" w:lineRule="auto"/>
    </w:pPr>
    <w:rPr>
      <w:rFonts w:ascii="Times New Roman" w:hAnsi="Times New Roman" w:cs="Times New Roman"/>
      <w:b/>
      <w:color w:val="000000"/>
      <w:kern w:val="2"/>
      <w:sz w:val="32"/>
      <w:szCs w:val="20"/>
      <w:bdr w:val="single" w:color="auto" w:sz="4" w:space="0"/>
    </w:rPr>
  </w:style>
  <w:style w:type="paragraph" w:customStyle="1" w:styleId="579">
    <w:name w:val="环评正文01"/>
    <w:basedOn w:val="1"/>
    <w:qFormat/>
    <w:uiPriority w:val="0"/>
    <w:pPr>
      <w:widowControl w:val="0"/>
      <w:spacing w:line="360" w:lineRule="auto"/>
      <w:ind w:firstLine="480" w:firstLineChars="200"/>
      <w:jc w:val="both"/>
    </w:pPr>
    <w:rPr>
      <w:rFonts w:ascii="Times New Roman" w:hAnsi="Times New Roman" w:cs="Times New Roman"/>
      <w:kern w:val="2"/>
      <w:szCs w:val="20"/>
    </w:rPr>
  </w:style>
  <w:style w:type="paragraph" w:customStyle="1" w:styleId="580">
    <w:name w:val="二级无标题条"/>
    <w:basedOn w:val="1"/>
    <w:qFormat/>
    <w:uiPriority w:val="0"/>
    <w:pPr>
      <w:widowControl w:val="0"/>
      <w:jc w:val="both"/>
    </w:pPr>
    <w:rPr>
      <w:rFonts w:ascii="Times New Roman" w:hAnsi="Times New Roman" w:cs="Times New Roman"/>
      <w:kern w:val="2"/>
      <w:sz w:val="21"/>
      <w:szCs w:val="20"/>
    </w:rPr>
  </w:style>
  <w:style w:type="paragraph" w:customStyle="1" w:styleId="581">
    <w:name w:val="正文段落A"/>
    <w:basedOn w:val="1"/>
    <w:qFormat/>
    <w:uiPriority w:val="0"/>
    <w:pPr>
      <w:spacing w:line="360" w:lineRule="auto"/>
      <w:ind w:left="360" w:hanging="360" w:hangingChars="150"/>
    </w:pPr>
    <w:rPr>
      <w:rFonts w:ascii="Times New Roman" w:hAnsi="Times New Roman"/>
      <w:szCs w:val="20"/>
    </w:rPr>
  </w:style>
  <w:style w:type="paragraph" w:customStyle="1" w:styleId="582">
    <w:name w:val="款项"/>
    <w:basedOn w:val="1"/>
    <w:qFormat/>
    <w:uiPriority w:val="0"/>
    <w:pPr>
      <w:widowControl w:val="0"/>
      <w:spacing w:before="156" w:beforeLines="50" w:after="156" w:afterLines="50"/>
      <w:jc w:val="both"/>
    </w:pPr>
    <w:rPr>
      <w:rFonts w:ascii="Symbol" w:hAnsi="Times New Roman" w:eastAsia="Symbol" w:cs="Times New Roman"/>
      <w:kern w:val="2"/>
    </w:rPr>
  </w:style>
  <w:style w:type="paragraph" w:customStyle="1" w:styleId="583">
    <w:name w:val="Char Char Char Char Char Char"/>
    <w:basedOn w:val="1"/>
    <w:qFormat/>
    <w:uiPriority w:val="0"/>
    <w:pPr>
      <w:widowControl w:val="0"/>
      <w:jc w:val="both"/>
    </w:pPr>
    <w:rPr>
      <w:rFonts w:ascii="Times New Roman" w:hAnsi="Times New Roman" w:cs="Times New Roman"/>
      <w:kern w:val="2"/>
    </w:rPr>
  </w:style>
  <w:style w:type="paragraph" w:customStyle="1" w:styleId="584">
    <w:name w:val="文档二级标题"/>
    <w:basedOn w:val="1"/>
    <w:qFormat/>
    <w:uiPriority w:val="0"/>
    <w:pPr>
      <w:widowControl w:val="0"/>
      <w:jc w:val="both"/>
    </w:pPr>
    <w:rPr>
      <w:rFonts w:ascii="Symbol" w:eastAsia="Symbol" w:cs="Times New Roman"/>
      <w:kern w:val="2"/>
      <w:sz w:val="28"/>
    </w:rPr>
  </w:style>
  <w:style w:type="paragraph" w:customStyle="1" w:styleId="585">
    <w:name w:val="表格文字（居中）"/>
    <w:basedOn w:val="1"/>
    <w:qFormat/>
    <w:uiPriority w:val="0"/>
    <w:pPr>
      <w:widowControl w:val="0"/>
      <w:jc w:val="center"/>
    </w:pPr>
    <w:rPr>
      <w:rFonts w:ascii="Times New Roman" w:hAnsi="Times New Roman" w:cs="Times New Roman"/>
      <w:kern w:val="2"/>
      <w:sz w:val="21"/>
      <w:szCs w:val="21"/>
    </w:rPr>
  </w:style>
  <w:style w:type="paragraph" w:customStyle="1" w:styleId="586">
    <w:name w:val="样式 样式 标题 41H4Subsection第三层条PIM 4h4标题 4 CharFab-4T5Ref Hea... + 段..."/>
    <w:basedOn w:val="587"/>
    <w:qFormat/>
    <w:uiPriority w:val="0"/>
    <w:pPr>
      <w:tabs>
        <w:tab w:val="left" w:pos="180"/>
      </w:tabs>
      <w:spacing w:after="93" w:afterLines="30"/>
    </w:pPr>
  </w:style>
  <w:style w:type="paragraph" w:customStyle="1" w:styleId="587">
    <w:name w:val="样式 标题 41H4Subsection第三层条PIM 4h4标题 4 CharFab-4T5Ref Hea..."/>
    <w:basedOn w:val="6"/>
    <w:qFormat/>
    <w:uiPriority w:val="0"/>
    <w:pPr>
      <w:keepNext w:val="0"/>
      <w:keepLines w:val="0"/>
      <w:widowControl w:val="0"/>
      <w:tabs>
        <w:tab w:val="left" w:pos="180"/>
      </w:tabs>
      <w:spacing w:before="0" w:after="156" w:afterLines="50" w:line="360" w:lineRule="auto"/>
      <w:ind w:left="3238" w:hanging="3238" w:firstLineChars="200"/>
      <w:jc w:val="both"/>
    </w:pPr>
    <w:rPr>
      <w:rFonts w:ascii="宋体" w:hAnsi="宋体" w:eastAsia="宋体" w:cs="宋体"/>
      <w:sz w:val="24"/>
      <w:szCs w:val="20"/>
    </w:rPr>
  </w:style>
  <w:style w:type="paragraph" w:customStyle="1" w:styleId="588">
    <w:name w:val="缩进"/>
    <w:basedOn w:val="1"/>
    <w:qFormat/>
    <w:uiPriority w:val="0"/>
    <w:pPr>
      <w:widowControl w:val="0"/>
      <w:autoSpaceDE w:val="0"/>
      <w:autoSpaceDN w:val="0"/>
      <w:adjustRightInd w:val="0"/>
      <w:spacing w:line="400" w:lineRule="atLeast"/>
      <w:ind w:firstLine="425"/>
      <w:jc w:val="both"/>
      <w:textAlignment w:val="baseline"/>
    </w:pPr>
    <w:rPr>
      <w:rFonts w:ascii="Times New Roman" w:hAnsi="Times New Roman" w:cs="Times New Roman"/>
      <w:kern w:val="2"/>
      <w:szCs w:val="20"/>
    </w:rPr>
  </w:style>
  <w:style w:type="paragraph" w:customStyle="1" w:styleId="589">
    <w:name w:val="样式 标题 4 + 非加粗"/>
    <w:basedOn w:val="6"/>
    <w:qFormat/>
    <w:uiPriority w:val="0"/>
    <w:pPr>
      <w:widowControl w:val="0"/>
      <w:spacing w:before="0" w:after="0" w:line="480" w:lineRule="auto"/>
      <w:jc w:val="both"/>
    </w:pPr>
    <w:rPr>
      <w:rFonts w:ascii="Arial" w:hAnsi="Arial" w:eastAsia="Symbol" w:cs="Times New Roman"/>
      <w:b w:val="0"/>
      <w:bCs w:val="0"/>
      <w:kern w:val="2"/>
    </w:rPr>
  </w:style>
  <w:style w:type="paragraph" w:customStyle="1" w:styleId="590">
    <w:name w:val="表1表2"/>
    <w:basedOn w:val="1"/>
    <w:qFormat/>
    <w:uiPriority w:val="0"/>
    <w:pPr>
      <w:widowControl w:val="0"/>
      <w:autoSpaceDE w:val="0"/>
      <w:autoSpaceDN w:val="0"/>
      <w:adjustRightInd w:val="0"/>
      <w:spacing w:line="360" w:lineRule="auto"/>
      <w:jc w:val="center"/>
      <w:textAlignment w:val="center"/>
    </w:pPr>
    <w:rPr>
      <w:rFonts w:ascii="Times New Roman" w:hAnsi="Times New Roman" w:cs="Times New Roman"/>
      <w:szCs w:val="21"/>
    </w:rPr>
  </w:style>
  <w:style w:type="paragraph" w:customStyle="1" w:styleId="591">
    <w:name w:val="Char Char Char Char1"/>
    <w:basedOn w:val="1"/>
    <w:qFormat/>
    <w:uiPriority w:val="0"/>
    <w:pPr>
      <w:widowControl w:val="0"/>
      <w:jc w:val="both"/>
    </w:pPr>
    <w:rPr>
      <w:rFonts w:ascii="Times New Roman" w:hAnsi="Times New Roman" w:cs="Times New Roman"/>
      <w:kern w:val="2"/>
      <w:sz w:val="21"/>
      <w:szCs w:val="20"/>
    </w:rPr>
  </w:style>
  <w:style w:type="paragraph" w:customStyle="1" w:styleId="592">
    <w:name w:val="样式 表格 32 + 首行缩进:  2 字符"/>
    <w:basedOn w:val="1"/>
    <w:qFormat/>
    <w:uiPriority w:val="0"/>
    <w:pPr>
      <w:widowControl w:val="0"/>
      <w:autoSpaceDE w:val="0"/>
      <w:autoSpaceDN w:val="0"/>
      <w:adjustRightInd w:val="0"/>
      <w:spacing w:line="0" w:lineRule="atLeast"/>
      <w:jc w:val="center"/>
      <w:textAlignment w:val="baseline"/>
    </w:pPr>
    <w:rPr>
      <w:rFonts w:ascii="Times New Roman" w:hAnsi="Times New Roman" w:cs="Times New Roman"/>
      <w:sz w:val="21"/>
      <w:szCs w:val="20"/>
    </w:rPr>
  </w:style>
  <w:style w:type="paragraph" w:customStyle="1" w:styleId="593">
    <w:name w:val="Char Char Char Char Char Char Char Char Char Char Char1 Char Char Char Char Char Char Char"/>
    <w:basedOn w:val="1"/>
    <w:qFormat/>
    <w:uiPriority w:val="0"/>
    <w:pPr>
      <w:widowControl w:val="0"/>
      <w:jc w:val="both"/>
    </w:pPr>
    <w:rPr>
      <w:rFonts w:ascii="Times New Roman" w:hAnsi="Times New Roman" w:cs="Times New Roman"/>
      <w:kern w:val="2"/>
      <w:szCs w:val="20"/>
    </w:rPr>
  </w:style>
  <w:style w:type="paragraph" w:customStyle="1" w:styleId="594">
    <w:name w:val="小3黑顶"/>
    <w:basedOn w:val="4"/>
    <w:qFormat/>
    <w:uiPriority w:val="0"/>
    <w:pPr>
      <w:widowControl w:val="0"/>
      <w:numPr>
        <w:ilvl w:val="0"/>
        <w:numId w:val="0"/>
      </w:numPr>
      <w:spacing w:before="156" w:beforeLines="50" w:after="156" w:afterLines="50" w:line="360" w:lineRule="auto"/>
      <w:jc w:val="both"/>
    </w:pPr>
    <w:rPr>
      <w:rFonts w:ascii="Symbol" w:hAnsi="宋体" w:eastAsia="宋体" w:cs="Times New Roman"/>
      <w:kern w:val="2"/>
      <w:sz w:val="30"/>
      <w:szCs w:val="20"/>
    </w:rPr>
  </w:style>
  <w:style w:type="paragraph" w:customStyle="1" w:styleId="595">
    <w:name w:val="小2黑"/>
    <w:basedOn w:val="4"/>
    <w:qFormat/>
    <w:uiPriority w:val="0"/>
    <w:pPr>
      <w:widowControl w:val="0"/>
      <w:numPr>
        <w:ilvl w:val="0"/>
        <w:numId w:val="0"/>
      </w:numPr>
      <w:spacing w:before="156" w:beforeLines="50" w:after="156" w:afterLines="50" w:line="540" w:lineRule="exact"/>
      <w:jc w:val="both"/>
    </w:pPr>
    <w:rPr>
      <w:rFonts w:ascii="Symbol" w:eastAsia="宋体" w:cs="Times New Roman"/>
      <w:kern w:val="2"/>
      <w:sz w:val="36"/>
      <w:szCs w:val="20"/>
    </w:rPr>
  </w:style>
  <w:style w:type="paragraph" w:customStyle="1" w:styleId="596">
    <w:name w:val="Char1 Char Char Char Char Char Char Char Char Char"/>
    <w:basedOn w:val="1"/>
    <w:qFormat/>
    <w:uiPriority w:val="0"/>
    <w:pPr>
      <w:spacing w:after="160" w:line="240" w:lineRule="exact"/>
    </w:pPr>
    <w:rPr>
      <w:rFonts w:ascii="Cambria Math" w:hAnsi="Cambria Math" w:cs="Times New Roman"/>
      <w:szCs w:val="20"/>
      <w:lang w:eastAsia="en-US"/>
    </w:rPr>
  </w:style>
  <w:style w:type="paragraph" w:customStyle="1" w:styleId="597">
    <w:name w:val="湛宝表格"/>
    <w:basedOn w:val="1"/>
    <w:qFormat/>
    <w:uiPriority w:val="0"/>
    <w:pPr>
      <w:widowControl w:val="0"/>
      <w:adjustRightInd w:val="0"/>
      <w:jc w:val="center"/>
      <w:textAlignment w:val="baseline"/>
    </w:pPr>
    <w:rPr>
      <w:rFonts w:ascii="Times New Roman" w:hAnsi="Times New Roman" w:eastAsia="Times New Roman" w:cs="Times New Roman"/>
      <w:spacing w:val="10"/>
      <w:sz w:val="21"/>
      <w:szCs w:val="20"/>
    </w:rPr>
  </w:style>
  <w:style w:type="paragraph" w:customStyle="1" w:styleId="598">
    <w:name w:val="麦志勤正文"/>
    <w:basedOn w:val="1"/>
    <w:link w:val="599"/>
    <w:qFormat/>
    <w:uiPriority w:val="0"/>
    <w:pPr>
      <w:widowControl w:val="0"/>
      <w:adjustRightInd w:val="0"/>
      <w:snapToGrid w:val="0"/>
      <w:spacing w:before="62" w:beforeLines="20" w:line="300" w:lineRule="auto"/>
      <w:ind w:firstLine="200" w:firstLineChars="200"/>
      <w:jc w:val="both"/>
    </w:pPr>
    <w:rPr>
      <w:rFonts w:cs="Times New Roman"/>
      <w:kern w:val="2"/>
      <w:szCs w:val="20"/>
    </w:rPr>
  </w:style>
  <w:style w:type="character" w:customStyle="1" w:styleId="599">
    <w:name w:val="麦志勤正文 Char"/>
    <w:link w:val="598"/>
    <w:qFormat/>
    <w:uiPriority w:val="0"/>
    <w:rPr>
      <w:rFonts w:ascii="宋体" w:hAnsi="宋体"/>
      <w:kern w:val="2"/>
      <w:sz w:val="24"/>
    </w:rPr>
  </w:style>
  <w:style w:type="paragraph" w:customStyle="1" w:styleId="600">
    <w:name w:val="篇名"/>
    <w:basedOn w:val="1"/>
    <w:next w:val="1"/>
    <w:qFormat/>
    <w:uiPriority w:val="0"/>
    <w:pPr>
      <w:widowControl w:val="0"/>
      <w:adjustRightInd w:val="0"/>
      <w:snapToGrid w:val="0"/>
      <w:spacing w:before="120" w:after="240" w:line="400" w:lineRule="exact"/>
      <w:ind w:firstLine="567" w:firstLineChars="200"/>
      <w:jc w:val="center"/>
      <w:textAlignment w:val="baseline"/>
    </w:pPr>
    <w:rPr>
      <w:rFonts w:ascii="Symbol" w:hAnsi="minorBidi" w:eastAsia="Symbol" w:cs="Times New Roman"/>
      <w:sz w:val="32"/>
      <w:szCs w:val="20"/>
    </w:rPr>
  </w:style>
  <w:style w:type="paragraph" w:customStyle="1" w:styleId="601">
    <w:name w:val="小标题（3黑）"/>
    <w:basedOn w:val="3"/>
    <w:qFormat/>
    <w:uiPriority w:val="0"/>
    <w:pPr>
      <w:keepLines/>
      <w:suppressLineNumbers/>
      <w:overflowPunct/>
      <w:adjustRightInd w:val="0"/>
      <w:spacing w:before="100" w:beforeAutospacing="1" w:after="100" w:afterAutospacing="1" w:line="240" w:lineRule="auto"/>
      <w:ind w:left="0" w:firstLine="567"/>
      <w:jc w:val="both"/>
    </w:pPr>
    <w:rPr>
      <w:rFonts w:ascii="Symbol" w:hAnsi="Symbol" w:eastAsia="Symbol" w:cs="Times New Roman"/>
      <w:bCs w:val="0"/>
      <w:color w:val="auto"/>
      <w:kern w:val="2"/>
      <w:sz w:val="32"/>
      <w:szCs w:val="20"/>
    </w:rPr>
  </w:style>
  <w:style w:type="paragraph" w:customStyle="1" w:styleId="602">
    <w:name w:val="Char Char1 Char Char Char Char Char Char Char Char Char Char Char Char Char Char Char Char Char Char Char Char Char Char Char Char Char Char Char Char Char Char"/>
    <w:basedOn w:val="1"/>
    <w:qFormat/>
    <w:uiPriority w:val="0"/>
    <w:pPr>
      <w:widowControl w:val="0"/>
      <w:jc w:val="both"/>
    </w:pPr>
    <w:rPr>
      <w:rFonts w:ascii="Times New Roman" w:hAnsi="Times New Roman" w:cs="Times New Roman"/>
      <w:kern w:val="2"/>
      <w:sz w:val="21"/>
      <w:szCs w:val="20"/>
    </w:rPr>
  </w:style>
  <w:style w:type="paragraph" w:customStyle="1" w:styleId="603">
    <w:name w:val="样式 样式1 + 居中"/>
    <w:basedOn w:val="1"/>
    <w:qFormat/>
    <w:uiPriority w:val="0"/>
    <w:pPr>
      <w:widowControl w:val="0"/>
      <w:jc w:val="center"/>
    </w:pPr>
    <w:rPr>
      <w:rFonts w:ascii="Times New Roman" w:hAnsi="Times New Roman" w:cs="Times New Roman"/>
      <w:kern w:val="2"/>
      <w:sz w:val="21"/>
      <w:szCs w:val="20"/>
    </w:rPr>
  </w:style>
  <w:style w:type="paragraph" w:customStyle="1" w:styleId="604">
    <w:name w:val="样式 1标题3级 + 段前: 0.1 行"/>
    <w:basedOn w:val="1"/>
    <w:qFormat/>
    <w:uiPriority w:val="0"/>
    <w:pPr>
      <w:keepNext/>
      <w:widowControl w:val="0"/>
      <w:snapToGrid w:val="0"/>
      <w:spacing w:before="120" w:line="420" w:lineRule="auto"/>
      <w:jc w:val="both"/>
      <w:outlineLvl w:val="2"/>
    </w:pPr>
    <w:rPr>
      <w:rFonts w:ascii="Times New Roman" w:hAnsi="Times New Roman" w:eastAsia="Symbol" w:cs="Times New Roman"/>
      <w:b/>
      <w:kern w:val="2"/>
      <w:szCs w:val="20"/>
    </w:rPr>
  </w:style>
  <w:style w:type="paragraph" w:customStyle="1" w:styleId="605">
    <w:name w:val="封面3"/>
    <w:basedOn w:val="606"/>
    <w:qFormat/>
    <w:uiPriority w:val="0"/>
    <w:rPr>
      <w:rFonts w:ascii="宋体" w:hAnsi="宋体"/>
      <w:sz w:val="72"/>
    </w:rPr>
  </w:style>
  <w:style w:type="paragraph" w:customStyle="1" w:styleId="606">
    <w:name w:val="封面2"/>
    <w:basedOn w:val="1"/>
    <w:qFormat/>
    <w:uiPriority w:val="0"/>
    <w:pPr>
      <w:widowControl w:val="0"/>
      <w:jc w:val="center"/>
    </w:pPr>
    <w:rPr>
      <w:rFonts w:ascii="Times New Roman" w:hAnsi="Times New Roman" w:cs="Times New Roman"/>
      <w:b/>
      <w:kern w:val="2"/>
      <w:sz w:val="44"/>
      <w:szCs w:val="20"/>
    </w:rPr>
  </w:style>
  <w:style w:type="paragraph" w:customStyle="1" w:styleId="607">
    <w:name w:val="样式 标题 2标题 2 Char Char + 宋体"/>
    <w:basedOn w:val="1"/>
    <w:qFormat/>
    <w:uiPriority w:val="0"/>
    <w:pPr>
      <w:widowControl w:val="0"/>
      <w:tabs>
        <w:tab w:val="left" w:pos="576"/>
      </w:tabs>
      <w:ind w:left="576" w:hanging="576"/>
      <w:jc w:val="both"/>
    </w:pPr>
    <w:rPr>
      <w:rFonts w:ascii="Times New Roman" w:hAnsi="Times New Roman" w:cs="Times New Roman"/>
      <w:kern w:val="2"/>
      <w:sz w:val="21"/>
      <w:szCs w:val="20"/>
    </w:rPr>
  </w:style>
  <w:style w:type="paragraph" w:customStyle="1" w:styleId="608">
    <w:name w:val="样式 样式 首行缩进:  2 字符 + 首行缩进:  2 字符"/>
    <w:basedOn w:val="1"/>
    <w:qFormat/>
    <w:uiPriority w:val="0"/>
    <w:pPr>
      <w:widowControl w:val="0"/>
      <w:snapToGrid w:val="0"/>
      <w:spacing w:line="360" w:lineRule="auto"/>
      <w:ind w:firstLine="502" w:firstLineChars="200"/>
      <w:jc w:val="both"/>
    </w:pPr>
    <w:rPr>
      <w:rFonts w:ascii="Times New Roman" w:hAnsi="Times New Roman"/>
      <w:kern w:val="2"/>
      <w:szCs w:val="20"/>
    </w:rPr>
  </w:style>
  <w:style w:type="paragraph" w:customStyle="1" w:styleId="609">
    <w:name w:val="样式 表 + 宋体"/>
    <w:basedOn w:val="1"/>
    <w:qFormat/>
    <w:uiPriority w:val="0"/>
    <w:pPr>
      <w:widowControl w:val="0"/>
      <w:tabs>
        <w:tab w:val="left" w:pos="1904"/>
      </w:tabs>
      <w:jc w:val="center"/>
    </w:pPr>
    <w:rPr>
      <w:rFonts w:cs="Times New Roman"/>
      <w:kern w:val="28"/>
      <w:sz w:val="21"/>
      <w:szCs w:val="20"/>
    </w:rPr>
  </w:style>
  <w:style w:type="paragraph" w:customStyle="1" w:styleId="610">
    <w:name w:val="xl23"/>
    <w:basedOn w:val="1"/>
    <w:qFormat/>
    <w:uiPriority w:val="0"/>
    <w:pPr>
      <w:spacing w:before="100" w:beforeAutospacing="1" w:after="100" w:afterAutospacing="1"/>
      <w:jc w:val="center"/>
    </w:pPr>
    <w:rPr>
      <w:rFonts w:ascii="Times New Roman" w:hAnsi="Times New Roman" w:cs="Times New Roman"/>
    </w:rPr>
  </w:style>
  <w:style w:type="paragraph" w:customStyle="1" w:styleId="611">
    <w:name w:val="样式 标题 3 + 首行缩进:  2 字符 段前: 8.15 磅 段后: 8.15 磅3"/>
    <w:basedOn w:val="5"/>
    <w:qFormat/>
    <w:uiPriority w:val="0"/>
    <w:pPr>
      <w:widowControl w:val="0"/>
      <w:snapToGrid w:val="0"/>
      <w:spacing w:before="156" w:beforeLines="50" w:after="163" w:line="240" w:lineRule="atLeast"/>
    </w:pPr>
    <w:rPr>
      <w:rFonts w:eastAsia="Symbol" w:cs="Times New Roman"/>
      <w:bCs w:val="0"/>
      <w:kern w:val="2"/>
      <w:sz w:val="24"/>
      <w:szCs w:val="20"/>
    </w:rPr>
  </w:style>
  <w:style w:type="paragraph" w:customStyle="1" w:styleId="612">
    <w:name w:val="MTDisplayEquation"/>
    <w:basedOn w:val="1"/>
    <w:next w:val="1"/>
    <w:qFormat/>
    <w:uiPriority w:val="0"/>
    <w:pPr>
      <w:widowControl w:val="0"/>
      <w:tabs>
        <w:tab w:val="center" w:pos="4160"/>
        <w:tab w:val="right" w:pos="8320"/>
      </w:tabs>
      <w:ind w:firstLine="480"/>
      <w:jc w:val="both"/>
    </w:pPr>
    <w:rPr>
      <w:rFonts w:ascii="Times New Roman" w:hAnsi="Times New Roman" w:cs="Times New Roman"/>
      <w:kern w:val="2"/>
      <w:szCs w:val="20"/>
    </w:rPr>
  </w:style>
  <w:style w:type="paragraph" w:customStyle="1" w:styleId="613">
    <w:name w:val="a"/>
    <w:basedOn w:val="1"/>
    <w:qFormat/>
    <w:uiPriority w:val="0"/>
    <w:pPr>
      <w:spacing w:before="100" w:beforeAutospacing="1" w:after="100" w:afterAutospacing="1"/>
    </w:pPr>
    <w:rPr>
      <w:rFonts w:cs="Times New Roman"/>
      <w:szCs w:val="20"/>
    </w:rPr>
  </w:style>
  <w:style w:type="paragraph" w:customStyle="1" w:styleId="614">
    <w:name w:val="样式 正文缩进 + 居中 首行缩进:  0 厘米 段前: 0 磅 行距: 单倍行距"/>
    <w:basedOn w:val="21"/>
    <w:qFormat/>
    <w:uiPriority w:val="0"/>
    <w:pPr>
      <w:widowControl w:val="0"/>
      <w:adjustRightInd w:val="0"/>
      <w:ind w:left="0"/>
      <w:jc w:val="center"/>
      <w:textAlignment w:val="baseline"/>
    </w:pPr>
    <w:rPr>
      <w:rFonts w:ascii="Times New Roman" w:hAnsi="Times New Roman" w:cs="Times New Roman"/>
      <w:kern w:val="28"/>
      <w:sz w:val="24"/>
    </w:rPr>
  </w:style>
  <w:style w:type="paragraph" w:customStyle="1" w:styleId="615">
    <w:name w:val="样式 编制日期 + 首行缩进:  6.4 字符"/>
    <w:basedOn w:val="1"/>
    <w:qFormat/>
    <w:uiPriority w:val="0"/>
    <w:pPr>
      <w:widowControl w:val="0"/>
      <w:ind w:firstLine="1799" w:firstLineChars="640"/>
      <w:jc w:val="both"/>
    </w:pPr>
    <w:rPr>
      <w:rFonts w:ascii="Times New Roman" w:hAnsi="Times New Roman" w:cs="Times New Roman"/>
      <w:b/>
      <w:kern w:val="2"/>
      <w:sz w:val="28"/>
      <w:szCs w:val="20"/>
    </w:rPr>
  </w:style>
  <w:style w:type="paragraph" w:customStyle="1" w:styleId="616">
    <w:name w:val="T表格"/>
    <w:qFormat/>
    <w:uiPriority w:val="0"/>
    <w:pPr>
      <w:jc w:val="center"/>
    </w:pPr>
    <w:rPr>
      <w:rFonts w:ascii="宋体" w:hAnsi="Times New Roman" w:eastAsia="宋体" w:cs="Times New Roman"/>
      <w:color w:val="000000"/>
      <w:spacing w:val="-10"/>
      <w:sz w:val="24"/>
      <w:lang w:val="en-US" w:eastAsia="zh-CN" w:bidi="ar-SA"/>
    </w:rPr>
  </w:style>
  <w:style w:type="paragraph" w:customStyle="1" w:styleId="617">
    <w:name w:val="普通(Web)1"/>
    <w:basedOn w:val="1"/>
    <w:qFormat/>
    <w:uiPriority w:val="0"/>
    <w:pPr>
      <w:spacing w:before="100" w:beforeAutospacing="1" w:after="100" w:afterAutospacing="1" w:line="360" w:lineRule="atLeast"/>
    </w:pPr>
    <w:rPr>
      <w:rFonts w:cs="Times New Roman"/>
      <w:color w:val="333333"/>
      <w:sz w:val="21"/>
      <w:szCs w:val="20"/>
    </w:rPr>
  </w:style>
  <w:style w:type="paragraph" w:customStyle="1" w:styleId="618">
    <w:name w:val="样式 题注 + 居中"/>
    <w:basedOn w:val="22"/>
    <w:qFormat/>
    <w:uiPriority w:val="0"/>
    <w:pPr>
      <w:widowControl w:val="0"/>
      <w:spacing w:line="324" w:lineRule="auto"/>
      <w:jc w:val="both"/>
    </w:pPr>
    <w:rPr>
      <w:rFonts w:ascii="Arial" w:hAnsi="Arial" w:eastAsia="宋体" w:cs="Times New Roman"/>
      <w:b/>
      <w:color w:val="000000"/>
      <w:kern w:val="2"/>
      <w:sz w:val="21"/>
      <w:szCs w:val="20"/>
    </w:rPr>
  </w:style>
  <w:style w:type="paragraph" w:customStyle="1" w:styleId="619">
    <w:name w:val="表格32"/>
    <w:basedOn w:val="145"/>
    <w:qFormat/>
    <w:uiPriority w:val="0"/>
    <w:pPr>
      <w:widowControl w:val="0"/>
      <w:snapToGrid/>
      <w:spacing w:beforeLines="0" w:afterLines="0" w:line="240" w:lineRule="auto"/>
      <w:ind w:firstLine="480" w:firstLineChars="200"/>
      <w:textAlignment w:val="center"/>
    </w:pPr>
    <w:rPr>
      <w:rFonts w:ascii="Times New Roman" w:hAnsi="Times New Roman" w:cs="Times New Roman"/>
      <w:kern w:val="2"/>
      <w:sz w:val="24"/>
    </w:rPr>
  </w:style>
  <w:style w:type="paragraph" w:customStyle="1" w:styleId="620">
    <w:name w:val="Char Char1 Char Char Char Char Char Char Char Char Char Char Char Char Char Char Char"/>
    <w:basedOn w:val="1"/>
    <w:qFormat/>
    <w:uiPriority w:val="0"/>
    <w:pPr>
      <w:widowControl w:val="0"/>
      <w:jc w:val="both"/>
    </w:pPr>
    <w:rPr>
      <w:rFonts w:ascii="Times New Roman" w:hAnsi="Times New Roman" w:cs="Times New Roman"/>
      <w:kern w:val="2"/>
      <w:sz w:val="21"/>
      <w:szCs w:val="20"/>
    </w:rPr>
  </w:style>
  <w:style w:type="paragraph" w:customStyle="1" w:styleId="621">
    <w:name w:val="1名"/>
    <w:basedOn w:val="1"/>
    <w:qFormat/>
    <w:uiPriority w:val="0"/>
    <w:pPr>
      <w:widowControl w:val="0"/>
      <w:spacing w:before="120"/>
      <w:jc w:val="both"/>
    </w:pPr>
    <w:rPr>
      <w:rFonts w:hAnsi="Times New Roman" w:cs="Times New Roman"/>
      <w:kern w:val="2"/>
      <w:sz w:val="28"/>
      <w:szCs w:val="20"/>
    </w:rPr>
  </w:style>
  <w:style w:type="paragraph" w:customStyle="1" w:styleId="622">
    <w:name w:val="xl28"/>
    <w:basedOn w:val="1"/>
    <w:qFormat/>
    <w:uiPriority w:val="0"/>
    <w:pPr>
      <w:spacing w:before="100" w:beforeAutospacing="1" w:after="100" w:afterAutospacing="1"/>
      <w:jc w:val="center"/>
    </w:pPr>
    <w:rPr>
      <w:rFonts w:ascii="Times New Roman" w:hAnsi="Times New Roman" w:cs="Times New Roman"/>
      <w:sz w:val="18"/>
      <w:szCs w:val="20"/>
    </w:rPr>
  </w:style>
  <w:style w:type="paragraph" w:customStyle="1" w:styleId="623">
    <w:name w:val="样式 标题 3 + 首行缩进:  2 字符 段前: 8.15 磅 段后: 8.15 磅2"/>
    <w:basedOn w:val="5"/>
    <w:qFormat/>
    <w:uiPriority w:val="0"/>
    <w:pPr>
      <w:widowControl w:val="0"/>
      <w:snapToGrid w:val="0"/>
      <w:spacing w:before="156" w:beforeLines="50" w:after="163" w:line="240" w:lineRule="atLeast"/>
      <w:ind w:firstLine="482" w:firstLineChars="200"/>
    </w:pPr>
    <w:rPr>
      <w:rFonts w:eastAsia="Symbol" w:cs="Times New Roman"/>
      <w:bCs w:val="0"/>
      <w:kern w:val="2"/>
      <w:sz w:val="24"/>
      <w:szCs w:val="20"/>
    </w:rPr>
  </w:style>
  <w:style w:type="paragraph" w:customStyle="1" w:styleId="624">
    <w:name w:val="标准"/>
    <w:basedOn w:val="1"/>
    <w:qFormat/>
    <w:uiPriority w:val="0"/>
    <w:pPr>
      <w:widowControl w:val="0"/>
      <w:adjustRightInd w:val="0"/>
      <w:spacing w:line="500" w:lineRule="atLeast"/>
      <w:jc w:val="center"/>
      <w:textAlignment w:val="baseline"/>
    </w:pPr>
    <w:rPr>
      <w:rFonts w:hAnsi="Times New Roman" w:cs="Times New Roman"/>
      <w:szCs w:val="20"/>
    </w:rPr>
  </w:style>
  <w:style w:type="paragraph" w:customStyle="1" w:styleId="625">
    <w:name w:val="样式 标题 3 + 首行缩进:  2 字符 段前: 8.15 磅 段后: 8.15 磅"/>
    <w:basedOn w:val="5"/>
    <w:qFormat/>
    <w:uiPriority w:val="0"/>
    <w:pPr>
      <w:widowControl w:val="0"/>
      <w:snapToGrid w:val="0"/>
      <w:spacing w:before="156" w:beforeLines="50" w:after="163" w:line="240" w:lineRule="atLeast"/>
      <w:ind w:firstLine="482" w:firstLineChars="200"/>
    </w:pPr>
    <w:rPr>
      <w:rFonts w:eastAsia="Symbol" w:cs="Times New Roman"/>
      <w:bCs w:val="0"/>
      <w:kern w:val="2"/>
      <w:sz w:val="24"/>
      <w:szCs w:val="20"/>
    </w:rPr>
  </w:style>
  <w:style w:type="paragraph" w:customStyle="1" w:styleId="626">
    <w:name w:val="样式 标题 3 + 宋体"/>
    <w:basedOn w:val="1"/>
    <w:qFormat/>
    <w:uiPriority w:val="0"/>
    <w:pPr>
      <w:widowControl w:val="0"/>
      <w:tabs>
        <w:tab w:val="left" w:pos="720"/>
      </w:tabs>
      <w:ind w:left="720" w:hanging="720"/>
      <w:jc w:val="both"/>
    </w:pPr>
    <w:rPr>
      <w:rFonts w:ascii="Times New Roman" w:hAnsi="Times New Roman" w:cs="Times New Roman"/>
      <w:kern w:val="2"/>
      <w:sz w:val="21"/>
      <w:szCs w:val="20"/>
    </w:rPr>
  </w:style>
  <w:style w:type="paragraph" w:customStyle="1" w:styleId="627">
    <w:name w:val="正文2"/>
    <w:basedOn w:val="34"/>
    <w:qFormat/>
    <w:uiPriority w:val="0"/>
    <w:pPr>
      <w:widowControl w:val="0"/>
      <w:snapToGrid/>
      <w:spacing w:before="0" w:after="0" w:line="360" w:lineRule="auto"/>
      <w:ind w:right="0" w:firstLine="200" w:firstLineChars="200"/>
      <w:jc w:val="both"/>
    </w:pPr>
    <w:rPr>
      <w:rFonts w:ascii="Times New Roman" w:hAnsi="Times New Roman" w:cs="Times New Roman"/>
      <w:kern w:val="2"/>
      <w:sz w:val="24"/>
    </w:rPr>
  </w:style>
  <w:style w:type="paragraph" w:customStyle="1" w:styleId="628">
    <w:name w:val="样式 标题 2 + 段前: 0 磅 段后: 0 磅 行距: 单倍行距"/>
    <w:basedOn w:val="4"/>
    <w:qFormat/>
    <w:uiPriority w:val="0"/>
    <w:pPr>
      <w:keepNext w:val="0"/>
      <w:keepLines w:val="0"/>
      <w:widowControl w:val="0"/>
      <w:numPr>
        <w:ilvl w:val="0"/>
        <w:numId w:val="0"/>
      </w:numPr>
      <w:adjustRightInd w:val="0"/>
      <w:spacing w:before="0" w:after="0" w:line="500" w:lineRule="exact"/>
      <w:jc w:val="both"/>
    </w:pPr>
    <w:rPr>
      <w:rFonts w:ascii="宋体" w:hAnsi="宋体" w:eastAsia="宋体" w:cs="Times New Roman"/>
      <w:kern w:val="2"/>
      <w:sz w:val="28"/>
      <w:szCs w:val="20"/>
    </w:rPr>
  </w:style>
  <w:style w:type="paragraph" w:customStyle="1" w:styleId="629">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630">
    <w:name w:val="样式 样式 标题 2H2SeHead wsa21标题 1.1 + 小三 左侧:  0 厘米 首行缩进:  0 厘米 行... +..."/>
    <w:basedOn w:val="1"/>
    <w:qFormat/>
    <w:uiPriority w:val="0"/>
    <w:pPr>
      <w:keepNext/>
      <w:keepLines/>
      <w:widowControl w:val="0"/>
      <w:snapToGrid w:val="0"/>
      <w:spacing w:before="156" w:beforeLines="50" w:after="156" w:afterLines="50" w:line="360" w:lineRule="auto"/>
      <w:jc w:val="both"/>
      <w:outlineLvl w:val="1"/>
    </w:pPr>
    <w:rPr>
      <w:rFonts w:hint="eastAsia" w:hAnsi="Times New Roman" w:cs="Times New Roman"/>
      <w:b/>
      <w:bCs/>
      <w:color w:val="000000"/>
      <w:kern w:val="2"/>
      <w:sz w:val="30"/>
      <w:szCs w:val="20"/>
    </w:rPr>
  </w:style>
  <w:style w:type="paragraph" w:customStyle="1" w:styleId="631">
    <w:name w:val="文档标题"/>
    <w:basedOn w:val="1"/>
    <w:qFormat/>
    <w:uiPriority w:val="0"/>
    <w:pPr>
      <w:widowControl w:val="0"/>
      <w:jc w:val="center"/>
    </w:pPr>
    <w:rPr>
      <w:rFonts w:ascii="Symbol" w:eastAsia="Symbol" w:cs="Times New Roman"/>
      <w:kern w:val="2"/>
      <w:sz w:val="36"/>
    </w:rPr>
  </w:style>
  <w:style w:type="paragraph" w:customStyle="1" w:styleId="632">
    <w:name w:val="样式 标题 3标题3H3h33rd level第二层条三级标题ReHead 3 WSAB Head..条标..."/>
    <w:basedOn w:val="5"/>
    <w:qFormat/>
    <w:uiPriority w:val="0"/>
    <w:pPr>
      <w:keepNext w:val="0"/>
      <w:keepLines w:val="0"/>
      <w:widowControl w:val="0"/>
      <w:tabs>
        <w:tab w:val="left" w:pos="0"/>
        <w:tab w:val="left" w:pos="720"/>
        <w:tab w:val="left" w:pos="851"/>
      </w:tabs>
      <w:snapToGrid w:val="0"/>
      <w:spacing w:before="200" w:after="93" w:afterLines="30" w:line="360" w:lineRule="auto"/>
      <w:ind w:firstLine="980" w:firstLineChars="200"/>
      <w:jc w:val="both"/>
    </w:pPr>
    <w:rPr>
      <w:kern w:val="2"/>
      <w:sz w:val="24"/>
      <w:szCs w:val="20"/>
      <w:lang w:val="zh-CN"/>
    </w:rPr>
  </w:style>
  <w:style w:type="paragraph" w:customStyle="1" w:styleId="633">
    <w:name w:val="Char Char1 Char Char Char Char Char Char Char"/>
    <w:basedOn w:val="1"/>
    <w:qFormat/>
    <w:uiPriority w:val="0"/>
    <w:pPr>
      <w:widowControl w:val="0"/>
      <w:jc w:val="both"/>
    </w:pPr>
    <w:rPr>
      <w:rFonts w:ascii="Times New Roman" w:hAnsi="Times New Roman" w:cs="Times New Roman"/>
      <w:kern w:val="2"/>
    </w:rPr>
  </w:style>
  <w:style w:type="paragraph" w:customStyle="1" w:styleId="634">
    <w:name w:val="Char Char1 Char"/>
    <w:basedOn w:val="1"/>
    <w:qFormat/>
    <w:uiPriority w:val="0"/>
    <w:pPr>
      <w:widowControl w:val="0"/>
      <w:ind w:firstLine="288"/>
      <w:jc w:val="both"/>
    </w:pPr>
    <w:rPr>
      <w:rFonts w:ascii="Times New Roman" w:hAnsi="Times New Roman" w:cs="Times New Roman"/>
      <w:kern w:val="2"/>
      <w:szCs w:val="20"/>
    </w:rPr>
  </w:style>
  <w:style w:type="paragraph" w:customStyle="1" w:styleId="635">
    <w:name w:val="4"/>
    <w:basedOn w:val="1"/>
    <w:next w:val="31"/>
    <w:qFormat/>
    <w:uiPriority w:val="0"/>
    <w:pPr>
      <w:widowControl w:val="0"/>
      <w:jc w:val="both"/>
    </w:pPr>
    <w:rPr>
      <w:rFonts w:hAnsi="Times New Roman" w:cs="Times New Roman"/>
      <w:kern w:val="2"/>
      <w:szCs w:val="20"/>
    </w:rPr>
  </w:style>
  <w:style w:type="paragraph" w:customStyle="1" w:styleId="636">
    <w:name w:val="自制表格"/>
    <w:basedOn w:val="1"/>
    <w:next w:val="1"/>
    <w:qFormat/>
    <w:uiPriority w:val="0"/>
    <w:pPr>
      <w:widowControl w:val="0"/>
      <w:spacing w:after="120"/>
      <w:jc w:val="both"/>
    </w:pPr>
    <w:rPr>
      <w:rFonts w:hAnsi="Times New Roman" w:cs="Times New Roman"/>
      <w:kern w:val="10"/>
      <w:sz w:val="28"/>
      <w:szCs w:val="20"/>
    </w:rPr>
  </w:style>
  <w:style w:type="paragraph" w:customStyle="1" w:styleId="637">
    <w:name w:val="麦志勤标题六"/>
    <w:basedOn w:val="1"/>
    <w:qFormat/>
    <w:uiPriority w:val="0"/>
    <w:pPr>
      <w:widowControl w:val="0"/>
      <w:adjustRightInd w:val="0"/>
      <w:snapToGrid w:val="0"/>
      <w:spacing w:before="312" w:beforeLines="100" w:line="300" w:lineRule="auto"/>
      <w:ind w:firstLine="200" w:firstLineChars="200"/>
      <w:jc w:val="both"/>
    </w:pPr>
    <w:rPr>
      <w:rFonts w:ascii="Symbol" w:eastAsia="Symbol" w:cs="Times New Roman"/>
      <w:kern w:val="2"/>
      <w:szCs w:val="20"/>
    </w:rPr>
  </w:style>
  <w:style w:type="paragraph" w:customStyle="1" w:styleId="638">
    <w:name w:val="xl39"/>
    <w:basedOn w:val="1"/>
    <w:qFormat/>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szCs w:val="20"/>
    </w:rPr>
  </w:style>
  <w:style w:type="paragraph" w:customStyle="1" w:styleId="639">
    <w:name w:val="前言、引言标题"/>
    <w:next w:val="1"/>
    <w:qFormat/>
    <w:uiPriority w:val="0"/>
    <w:pPr>
      <w:shd w:val="clear" w:color="FFFFFF" w:fill="FFFFFF"/>
      <w:tabs>
        <w:tab w:val="left" w:pos="903"/>
      </w:tabs>
      <w:spacing w:before="640" w:after="560"/>
      <w:ind w:left="903" w:hanging="315"/>
      <w:jc w:val="center"/>
      <w:outlineLvl w:val="0"/>
    </w:pPr>
    <w:rPr>
      <w:rFonts w:ascii="Symbol" w:hAnsi="Times New Roman" w:eastAsia="Symbol" w:cs="Times New Roman"/>
      <w:sz w:val="32"/>
      <w:lang w:val="en-US" w:eastAsia="zh-CN" w:bidi="ar-SA"/>
    </w:rPr>
  </w:style>
  <w:style w:type="paragraph" w:customStyle="1" w:styleId="640">
    <w:name w:val="表格样式1"/>
    <w:basedOn w:val="1"/>
    <w:qFormat/>
    <w:uiPriority w:val="0"/>
    <w:pPr>
      <w:widowControl w:val="0"/>
      <w:adjustRightInd w:val="0"/>
      <w:spacing w:line="20" w:lineRule="atLeast"/>
      <w:jc w:val="center"/>
      <w:textAlignment w:val="baseline"/>
    </w:pPr>
    <w:rPr>
      <w:rFonts w:hAnsi="Times New Roman" w:cs="Times New Roman"/>
      <w:sz w:val="21"/>
      <w:szCs w:val="20"/>
    </w:rPr>
  </w:style>
  <w:style w:type="paragraph" w:customStyle="1" w:styleId="641">
    <w:name w:val="xl27"/>
    <w:basedOn w:val="1"/>
    <w:qFormat/>
    <w:uiPriority w:val="0"/>
    <w:pPr>
      <w:spacing w:before="100" w:beforeAutospacing="1" w:after="100" w:afterAutospacing="1"/>
      <w:jc w:val="center"/>
    </w:pPr>
    <w:rPr>
      <w:rFonts w:cs="Times New Roman"/>
      <w:szCs w:val="20"/>
    </w:rPr>
  </w:style>
  <w:style w:type="paragraph" w:customStyle="1" w:styleId="642">
    <w:name w:val="表头及表尾"/>
    <w:qFormat/>
    <w:uiPriority w:val="0"/>
    <w:pPr>
      <w:tabs>
        <w:tab w:val="center" w:pos="4200"/>
        <w:tab w:val="right" w:pos="8400"/>
      </w:tabs>
      <w:adjustRightInd w:val="0"/>
      <w:snapToGrid w:val="0"/>
    </w:pPr>
    <w:rPr>
      <w:rFonts w:ascii="Times New Roman" w:hAnsi="Times New Roman" w:eastAsia="宋体" w:cs="Times New Roman"/>
      <w:b/>
      <w:snapToGrid w:val="0"/>
      <w:sz w:val="21"/>
      <w:lang w:val="en-US" w:eastAsia="zh-CN" w:bidi="ar-SA"/>
    </w:rPr>
  </w:style>
  <w:style w:type="paragraph" w:customStyle="1" w:styleId="643">
    <w:name w:val="表内"/>
    <w:qFormat/>
    <w:uiPriority w:val="0"/>
    <w:pPr>
      <w:adjustRightInd w:val="0"/>
      <w:snapToGrid w:val="0"/>
      <w:ind w:left="-105" w:leftChars="-50" w:right="-50" w:rightChars="-50"/>
      <w:jc w:val="center"/>
    </w:pPr>
    <w:rPr>
      <w:rFonts w:ascii="Times New Roman" w:hAnsi="Times New Roman" w:eastAsia="宋体" w:cs="Times New Roman"/>
      <w:sz w:val="21"/>
      <w:lang w:val="en-US" w:eastAsia="zh-CN" w:bidi="ar-SA"/>
    </w:rPr>
  </w:style>
  <w:style w:type="paragraph" w:customStyle="1" w:styleId="644">
    <w:name w:val="TAB"/>
    <w:basedOn w:val="34"/>
    <w:qFormat/>
    <w:uiPriority w:val="0"/>
    <w:pPr>
      <w:snapToGrid/>
      <w:spacing w:after="60" w:line="240" w:lineRule="auto"/>
      <w:ind w:right="0"/>
    </w:pPr>
    <w:rPr>
      <w:rFonts w:ascii="Arial" w:hAnsi="Arial" w:cs="Times New Roman"/>
      <w:lang w:eastAsia="fr-FR"/>
    </w:rPr>
  </w:style>
  <w:style w:type="paragraph" w:customStyle="1" w:styleId="645">
    <w:name w:val="样式 正文缩进 + 首行缩进:  2 字符"/>
    <w:basedOn w:val="21"/>
    <w:qFormat/>
    <w:uiPriority w:val="0"/>
    <w:pPr>
      <w:widowControl w:val="0"/>
      <w:spacing w:line="360" w:lineRule="auto"/>
      <w:ind w:left="0" w:firstLine="480" w:firstLineChars="200"/>
      <w:jc w:val="both"/>
    </w:pPr>
    <w:rPr>
      <w:rFonts w:cs="Times New Roman"/>
      <w:kern w:val="2"/>
      <w:sz w:val="24"/>
    </w:rPr>
  </w:style>
  <w:style w:type="paragraph" w:customStyle="1" w:styleId="646">
    <w:name w:val="表格 23"/>
    <w:basedOn w:val="1"/>
    <w:qFormat/>
    <w:uiPriority w:val="0"/>
    <w:pPr>
      <w:widowControl w:val="0"/>
      <w:autoSpaceDE w:val="0"/>
      <w:autoSpaceDN w:val="0"/>
      <w:adjustRightInd w:val="0"/>
      <w:spacing w:line="360" w:lineRule="auto"/>
      <w:ind w:firstLine="200" w:firstLineChars="200"/>
      <w:jc w:val="center"/>
    </w:pPr>
    <w:rPr>
      <w:rFonts w:ascii="Times New Roman" w:hAnsi="Times New Roman" w:eastAsia="Cambria Math" w:cs="Times New Roman"/>
      <w:szCs w:val="20"/>
    </w:rPr>
  </w:style>
  <w:style w:type="paragraph" w:customStyle="1" w:styleId="647">
    <w:name w:val="报告样式"/>
    <w:basedOn w:val="1"/>
    <w:next w:val="1"/>
    <w:qFormat/>
    <w:uiPriority w:val="0"/>
    <w:pPr>
      <w:widowControl w:val="0"/>
      <w:jc w:val="both"/>
    </w:pPr>
    <w:rPr>
      <w:rFonts w:ascii="Times New Roman" w:hAnsi="Times New Roman" w:cs="Times New Roman"/>
      <w:kern w:val="2"/>
      <w:szCs w:val="20"/>
    </w:rPr>
  </w:style>
  <w:style w:type="paragraph" w:customStyle="1" w:styleId="648">
    <w:name w:val="小房1"/>
    <w:basedOn w:val="1"/>
    <w:qFormat/>
    <w:uiPriority w:val="0"/>
    <w:pPr>
      <w:widowControl w:val="0"/>
      <w:adjustRightInd w:val="0"/>
      <w:spacing w:before="60" w:line="276" w:lineRule="auto"/>
      <w:ind w:firstLine="482"/>
      <w:jc w:val="both"/>
      <w:textAlignment w:val="baseline"/>
    </w:pPr>
    <w:rPr>
      <w:rFonts w:ascii="Times New Roman" w:hAnsi="Times New Roman" w:cs="Times New Roman"/>
      <w:sz w:val="28"/>
      <w:szCs w:val="20"/>
    </w:rPr>
  </w:style>
  <w:style w:type="paragraph" w:customStyle="1" w:styleId="649">
    <w:name w:val="ST20_1"/>
    <w:basedOn w:val="1"/>
    <w:qFormat/>
    <w:uiPriority w:val="0"/>
    <w:pPr>
      <w:widowControl w:val="0"/>
      <w:autoSpaceDE w:val="0"/>
      <w:autoSpaceDN w:val="0"/>
      <w:adjustRightInd w:val="0"/>
      <w:spacing w:line="312" w:lineRule="atLeast"/>
      <w:jc w:val="center"/>
      <w:textAlignment w:val="baseline"/>
    </w:pPr>
    <w:rPr>
      <w:rFonts w:hAnsi="minorBidi" w:cs="Times New Roman"/>
      <w:szCs w:val="20"/>
    </w:rPr>
  </w:style>
  <w:style w:type="paragraph" w:customStyle="1" w:styleId="650">
    <w:name w:val="表格内文字"/>
    <w:basedOn w:val="1"/>
    <w:link w:val="651"/>
    <w:qFormat/>
    <w:uiPriority w:val="0"/>
    <w:pPr>
      <w:tabs>
        <w:tab w:val="left" w:pos="0"/>
      </w:tabs>
      <w:snapToGrid w:val="0"/>
      <w:jc w:val="center"/>
    </w:pPr>
    <w:rPr>
      <w:rFonts w:cs="Times New Roman"/>
      <w:w w:val="90"/>
      <w:kern w:val="18"/>
      <w:szCs w:val="20"/>
    </w:rPr>
  </w:style>
  <w:style w:type="character" w:customStyle="1" w:styleId="651">
    <w:name w:val="表格内文字 Char Char"/>
    <w:link w:val="650"/>
    <w:qFormat/>
    <w:uiPriority w:val="0"/>
    <w:rPr>
      <w:rFonts w:ascii="宋体" w:hAnsi="宋体"/>
      <w:w w:val="90"/>
      <w:kern w:val="18"/>
      <w:sz w:val="24"/>
    </w:rPr>
  </w:style>
  <w:style w:type="paragraph" w:customStyle="1" w:styleId="652">
    <w:name w:val="样式 Arial 小四 行距: 1.5 倍行距"/>
    <w:basedOn w:val="1"/>
    <w:qFormat/>
    <w:uiPriority w:val="0"/>
    <w:pPr>
      <w:widowControl w:val="0"/>
      <w:tabs>
        <w:tab w:val="left" w:pos="1080"/>
        <w:tab w:val="left" w:pos="1200"/>
      </w:tabs>
      <w:spacing w:line="360" w:lineRule="auto"/>
      <w:ind w:left="360"/>
      <w:jc w:val="both"/>
    </w:pPr>
    <w:rPr>
      <w:rFonts w:ascii="Times New Roman" w:hAnsi="Times New Roman" w:cs="Times New Roman"/>
      <w:kern w:val="2"/>
      <w:szCs w:val="20"/>
    </w:rPr>
  </w:style>
  <w:style w:type="paragraph" w:customStyle="1" w:styleId="653">
    <w:name w:val="样式 标题 3 + (西文) Times New Roman (中文) 宋体 非加粗 段前: 0 磅 行距: 固定值 2..."/>
    <w:basedOn w:val="5"/>
    <w:qFormat/>
    <w:uiPriority w:val="0"/>
    <w:pPr>
      <w:keepLines w:val="0"/>
      <w:widowControl w:val="0"/>
      <w:autoSpaceDE w:val="0"/>
      <w:autoSpaceDN w:val="0"/>
      <w:adjustRightInd w:val="0"/>
      <w:snapToGrid w:val="0"/>
      <w:spacing w:before="0" w:after="0" w:line="460" w:lineRule="exact"/>
      <w:textAlignment w:val="baseline"/>
    </w:pPr>
    <w:rPr>
      <w:rFonts w:ascii="Times New Roman" w:hAnsi="Times New Roman" w:cs="Times New Roman"/>
      <w:b w:val="0"/>
      <w:bCs w:val="0"/>
      <w:sz w:val="24"/>
      <w:szCs w:val="20"/>
    </w:rPr>
  </w:style>
  <w:style w:type="paragraph" w:customStyle="1" w:styleId="654">
    <w:name w:val="正文表格"/>
    <w:basedOn w:val="1"/>
    <w:qFormat/>
    <w:uiPriority w:val="0"/>
    <w:pPr>
      <w:widowControl w:val="0"/>
      <w:jc w:val="center"/>
    </w:pPr>
    <w:rPr>
      <w:rFonts w:cs="Times New Roman"/>
      <w:kern w:val="2"/>
      <w:sz w:val="21"/>
      <w:szCs w:val="20"/>
    </w:rPr>
  </w:style>
  <w:style w:type="paragraph" w:customStyle="1" w:styleId="655">
    <w:name w:val="环评正文"/>
    <w:basedOn w:val="1"/>
    <w:qFormat/>
    <w:uiPriority w:val="0"/>
    <w:pPr>
      <w:widowControl w:val="0"/>
      <w:spacing w:line="360" w:lineRule="auto"/>
      <w:ind w:firstLine="200" w:firstLineChars="200"/>
      <w:jc w:val="both"/>
    </w:pPr>
    <w:rPr>
      <w:rFonts w:ascii="Times New Roman" w:hAnsi="Times New Roman" w:cs="Times New Roman"/>
      <w:kern w:val="2"/>
    </w:rPr>
  </w:style>
  <w:style w:type="paragraph" w:customStyle="1" w:styleId="656">
    <w:name w:val="默认段落字体 Para Char Char Char Char"/>
    <w:basedOn w:val="1"/>
    <w:qFormat/>
    <w:uiPriority w:val="0"/>
    <w:pPr>
      <w:widowControl w:val="0"/>
      <w:spacing w:line="360" w:lineRule="auto"/>
      <w:ind w:firstLine="200" w:firstLineChars="200"/>
      <w:jc w:val="both"/>
    </w:pPr>
    <w:rPr>
      <w:rFonts w:cs="Times New Roman"/>
      <w:kern w:val="2"/>
      <w:szCs w:val="20"/>
    </w:rPr>
  </w:style>
  <w:style w:type="paragraph" w:customStyle="1" w:styleId="657">
    <w:name w:val="Char Char Char1 Char Char Char Char Char Char Char Char Char Char Char Char Char Char Char Char"/>
    <w:basedOn w:val="1"/>
    <w:qFormat/>
    <w:uiPriority w:val="0"/>
    <w:pPr>
      <w:widowControl w:val="0"/>
      <w:spacing w:line="360" w:lineRule="auto"/>
      <w:ind w:firstLine="200" w:firstLineChars="200"/>
      <w:jc w:val="both"/>
    </w:pPr>
    <w:rPr>
      <w:rFonts w:cs="Times New Roman"/>
      <w:kern w:val="2"/>
      <w:szCs w:val="20"/>
    </w:rPr>
  </w:style>
  <w:style w:type="paragraph" w:customStyle="1" w:styleId="658">
    <w:name w:val="川岛插图"/>
    <w:basedOn w:val="1"/>
    <w:qFormat/>
    <w:uiPriority w:val="0"/>
    <w:pPr>
      <w:widowControl w:val="0"/>
      <w:spacing w:line="360" w:lineRule="auto"/>
      <w:ind w:firstLine="480" w:firstLineChars="200"/>
      <w:jc w:val="center"/>
    </w:pPr>
    <w:rPr>
      <w:rFonts w:ascii="Times New Roman" w:hAnsi="Times New Roman" w:cs="Times New Roman"/>
      <w:color w:val="000000"/>
      <w:kern w:val="2"/>
      <w:szCs w:val="20"/>
    </w:rPr>
  </w:style>
  <w:style w:type="paragraph" w:customStyle="1" w:styleId="659">
    <w:name w:val="表正文2"/>
    <w:basedOn w:val="1"/>
    <w:qFormat/>
    <w:uiPriority w:val="0"/>
    <w:pPr>
      <w:widowControl w:val="0"/>
      <w:adjustRightInd w:val="0"/>
      <w:snapToGrid w:val="0"/>
      <w:jc w:val="center"/>
    </w:pPr>
    <w:rPr>
      <w:rFonts w:ascii="Times New Roman" w:cs="Times New Roman"/>
      <w:kern w:val="2"/>
      <w:sz w:val="21"/>
      <w:szCs w:val="20"/>
    </w:rPr>
  </w:style>
  <w:style w:type="paragraph" w:customStyle="1" w:styleId="660">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61">
    <w:name w:val="Char Char Char Char Char Char Char Char Char"/>
    <w:basedOn w:val="1"/>
    <w:qFormat/>
    <w:uiPriority w:val="0"/>
    <w:pPr>
      <w:widowControl w:val="0"/>
      <w:jc w:val="both"/>
    </w:pPr>
    <w:rPr>
      <w:rFonts w:ascii="Times New Roman" w:hAnsi="Times New Roman" w:cs="Times New Roman"/>
      <w:kern w:val="2"/>
      <w:sz w:val="21"/>
      <w:szCs w:val="20"/>
    </w:rPr>
  </w:style>
  <w:style w:type="paragraph" w:customStyle="1" w:styleId="662">
    <w:name w:val="圆点"/>
    <w:qFormat/>
    <w:uiPriority w:val="0"/>
    <w:pPr>
      <w:tabs>
        <w:tab w:val="left" w:pos="420"/>
        <w:tab w:val="left" w:pos="1242"/>
      </w:tabs>
      <w:snapToGrid w:val="0"/>
      <w:spacing w:line="360" w:lineRule="auto"/>
      <w:ind w:left="1196" w:hanging="476"/>
    </w:pPr>
    <w:rPr>
      <w:rFonts w:ascii="宋体" w:hAnsi="宋体" w:eastAsia="宋体" w:cs="Times New Roman"/>
      <w:snapToGrid w:val="0"/>
      <w:sz w:val="24"/>
      <w:lang w:val="en-US" w:eastAsia="zh-CN" w:bidi="ar-SA"/>
    </w:rPr>
  </w:style>
  <w:style w:type="paragraph" w:customStyle="1" w:styleId="663">
    <w:name w:val="正文3"/>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664">
    <w:name w:val="样式 标题 1 + 宋体1"/>
    <w:basedOn w:val="3"/>
    <w:qFormat/>
    <w:uiPriority w:val="0"/>
    <w:pPr>
      <w:tabs>
        <w:tab w:val="left" w:pos="425"/>
        <w:tab w:val="right" w:pos="8640"/>
      </w:tabs>
      <w:autoSpaceDE w:val="0"/>
      <w:autoSpaceDN w:val="0"/>
      <w:adjustRightInd w:val="0"/>
      <w:snapToGrid/>
      <w:spacing w:after="120" w:line="440" w:lineRule="exact"/>
      <w:ind w:left="0" w:firstLine="0"/>
      <w:textAlignment w:val="baseline"/>
    </w:pPr>
    <w:rPr>
      <w:rFonts w:hAnsi="Times New Roman" w:eastAsia="宋体" w:cs="Times New Roman"/>
      <w:bCs w:val="0"/>
      <w:color w:val="auto"/>
      <w:kern w:val="28"/>
      <w:szCs w:val="20"/>
    </w:rPr>
  </w:style>
  <w:style w:type="paragraph" w:customStyle="1" w:styleId="665">
    <w:name w:val="标-5"/>
    <w:basedOn w:val="1"/>
    <w:qFormat/>
    <w:uiPriority w:val="0"/>
    <w:pPr>
      <w:widowControl w:val="0"/>
      <w:tabs>
        <w:tab w:val="right" w:leader="dot" w:pos="8789"/>
      </w:tabs>
      <w:spacing w:line="360" w:lineRule="auto"/>
      <w:ind w:firstLine="523" w:firstLineChars="218"/>
      <w:jc w:val="both"/>
    </w:pPr>
    <w:rPr>
      <w:rFonts w:ascii="Times New Roman" w:hAnsi="Times New Roman" w:cs="Times New Roman"/>
      <w:kern w:val="2"/>
      <w:szCs w:val="20"/>
    </w:rPr>
  </w:style>
  <w:style w:type="paragraph" w:customStyle="1" w:styleId="666">
    <w:name w:val="码头表"/>
    <w:basedOn w:val="1"/>
    <w:qFormat/>
    <w:uiPriority w:val="0"/>
    <w:pPr>
      <w:widowControl w:val="0"/>
      <w:adjustRightInd w:val="0"/>
      <w:snapToGrid w:val="0"/>
      <w:spacing w:line="360" w:lineRule="auto"/>
      <w:ind w:firstLine="480" w:firstLineChars="200"/>
      <w:jc w:val="both"/>
    </w:pPr>
    <w:rPr>
      <w:rFonts w:ascii="Times New Roman" w:hAnsi="Times New Roman" w:cs="Times New Roman"/>
      <w:color w:val="000000"/>
      <w:kern w:val="2"/>
      <w:szCs w:val="20"/>
      <w:u w:color="000000"/>
      <w:lang w:val="sq-AL"/>
    </w:rPr>
  </w:style>
  <w:style w:type="paragraph" w:customStyle="1" w:styleId="667">
    <w:name w:val="正文 + (西文) 宋体"/>
    <w:basedOn w:val="1"/>
    <w:qFormat/>
    <w:uiPriority w:val="0"/>
    <w:pPr>
      <w:widowControl w:val="0"/>
      <w:tabs>
        <w:tab w:val="left" w:pos="360"/>
      </w:tabs>
      <w:spacing w:line="360" w:lineRule="auto"/>
      <w:ind w:left="360" w:firstLine="510"/>
      <w:jc w:val="both"/>
    </w:pPr>
    <w:rPr>
      <w:rFonts w:cs="Times New Roman"/>
      <w:kern w:val="2"/>
      <w:szCs w:val="20"/>
    </w:rPr>
  </w:style>
  <w:style w:type="paragraph" w:customStyle="1" w:styleId="668">
    <w:name w:val="xl30"/>
    <w:basedOn w:val="1"/>
    <w:qFormat/>
    <w:uiPriority w:val="0"/>
    <w:pPr>
      <w:pBdr>
        <w:left w:val="single" w:color="auto" w:sz="4" w:space="0"/>
        <w:bottom w:val="single" w:color="auto" w:sz="4" w:space="0"/>
        <w:right w:val="single" w:color="auto" w:sz="4" w:space="0"/>
      </w:pBdr>
      <w:spacing w:before="100" w:beforeAutospacing="1" w:after="100" w:afterAutospacing="1"/>
      <w:jc w:val="center"/>
      <w:textAlignment w:val="top"/>
    </w:pPr>
    <w:rPr>
      <w:rFonts w:cs="Times New Roman"/>
      <w:sz w:val="21"/>
      <w:szCs w:val="20"/>
    </w:rPr>
  </w:style>
  <w:style w:type="paragraph" w:customStyle="1" w:styleId="669">
    <w:name w:val="样式 标题 2 + 段后: 16.3 磅"/>
    <w:basedOn w:val="4"/>
    <w:qFormat/>
    <w:uiPriority w:val="0"/>
    <w:pPr>
      <w:widowControl w:val="0"/>
      <w:numPr>
        <w:ilvl w:val="0"/>
        <w:numId w:val="0"/>
      </w:numPr>
      <w:spacing w:before="156" w:beforeLines="50" w:after="156" w:afterLines="50" w:line="312" w:lineRule="auto"/>
    </w:pPr>
    <w:rPr>
      <w:rFonts w:ascii="Times New Roman" w:hAnsi="Times New Roman" w:eastAsia="Symbol" w:cs="Times New Roman"/>
      <w:kern w:val="2"/>
      <w:sz w:val="24"/>
      <w:szCs w:val="20"/>
    </w:rPr>
  </w:style>
  <w:style w:type="paragraph" w:customStyle="1" w:styleId="670">
    <w:name w:val="样式 宋体 小四 首行缩进:  1.01 厘米 行距: 1.5 倍行距"/>
    <w:basedOn w:val="1"/>
    <w:qFormat/>
    <w:uiPriority w:val="0"/>
    <w:pPr>
      <w:widowControl w:val="0"/>
      <w:spacing w:line="360" w:lineRule="auto"/>
      <w:ind w:firstLine="570"/>
      <w:jc w:val="both"/>
    </w:pPr>
    <w:rPr>
      <w:rFonts w:cs="Times New Roman"/>
      <w:kern w:val="2"/>
      <w:szCs w:val="20"/>
    </w:rPr>
  </w:style>
  <w:style w:type="paragraph" w:customStyle="1" w:styleId="671">
    <w:name w:val="电镀正文"/>
    <w:basedOn w:val="21"/>
    <w:link w:val="672"/>
    <w:qFormat/>
    <w:uiPriority w:val="0"/>
    <w:pPr>
      <w:widowControl w:val="0"/>
      <w:spacing w:line="400" w:lineRule="exact"/>
      <w:ind w:left="0" w:firstLine="200" w:firstLineChars="200"/>
      <w:jc w:val="both"/>
    </w:pPr>
    <w:rPr>
      <w:rFonts w:cs="Times New Roman"/>
      <w:kern w:val="2"/>
      <w:sz w:val="24"/>
    </w:rPr>
  </w:style>
  <w:style w:type="character" w:customStyle="1" w:styleId="672">
    <w:name w:val="电镀正文 Char Char"/>
    <w:link w:val="671"/>
    <w:qFormat/>
    <w:uiPriority w:val="0"/>
    <w:rPr>
      <w:rFonts w:ascii="宋体" w:hAnsi="宋体"/>
      <w:kern w:val="2"/>
      <w:sz w:val="24"/>
    </w:rPr>
  </w:style>
  <w:style w:type="paragraph" w:customStyle="1" w:styleId="673">
    <w:name w:val="xl29"/>
    <w:basedOn w:val="1"/>
    <w:qFormat/>
    <w:uiPriority w:val="0"/>
    <w:pPr>
      <w:spacing w:before="100" w:beforeAutospacing="1" w:after="100" w:afterAutospacing="1"/>
    </w:pPr>
    <w:rPr>
      <w:rFonts w:cs="Times New Roman"/>
      <w:sz w:val="18"/>
      <w:szCs w:val="20"/>
    </w:rPr>
  </w:style>
  <w:style w:type="paragraph" w:customStyle="1" w:styleId="674">
    <w:name w:val="TOC 标题1"/>
    <w:basedOn w:val="3"/>
    <w:next w:val="1"/>
    <w:qFormat/>
    <w:uiPriority w:val="99"/>
    <w:pPr>
      <w:keepLines/>
      <w:overflowPunct/>
      <w:snapToGrid/>
      <w:spacing w:before="480" w:after="0" w:line="276" w:lineRule="auto"/>
      <w:ind w:left="0" w:firstLine="0"/>
      <w:outlineLvl w:val="9"/>
    </w:pPr>
    <w:rPr>
      <w:rFonts w:ascii="Symbol" w:hAnsi="Symbol" w:eastAsia="宋体" w:cs="Times New Roman"/>
      <w:bCs w:val="0"/>
      <w:color w:val="365F91"/>
      <w:kern w:val="0"/>
      <w:sz w:val="28"/>
      <w:szCs w:val="20"/>
    </w:rPr>
  </w:style>
  <w:style w:type="paragraph" w:customStyle="1" w:styleId="675">
    <w:name w:val="麦志勤表格标题"/>
    <w:basedOn w:val="1"/>
    <w:link w:val="676"/>
    <w:qFormat/>
    <w:uiPriority w:val="0"/>
    <w:pPr>
      <w:widowControl w:val="0"/>
      <w:adjustRightInd w:val="0"/>
      <w:snapToGrid w:val="0"/>
      <w:spacing w:before="156" w:beforeLines="50" w:after="62" w:afterLines="20" w:line="300" w:lineRule="auto"/>
      <w:jc w:val="center"/>
    </w:pPr>
    <w:rPr>
      <w:rFonts w:cs="Times New Roman"/>
      <w:kern w:val="2"/>
      <w:szCs w:val="20"/>
    </w:rPr>
  </w:style>
  <w:style w:type="character" w:customStyle="1" w:styleId="676">
    <w:name w:val="麦志勤表格标题 Char1"/>
    <w:link w:val="675"/>
    <w:qFormat/>
    <w:locked/>
    <w:uiPriority w:val="0"/>
    <w:rPr>
      <w:rFonts w:ascii="宋体" w:hAnsi="宋体"/>
      <w:kern w:val="2"/>
      <w:sz w:val="24"/>
    </w:rPr>
  </w:style>
  <w:style w:type="paragraph" w:customStyle="1" w:styleId="677">
    <w:name w:val="正文段落"/>
    <w:basedOn w:val="1"/>
    <w:qFormat/>
    <w:uiPriority w:val="0"/>
    <w:pPr>
      <w:spacing w:line="360" w:lineRule="auto"/>
    </w:pPr>
    <w:rPr>
      <w:rFonts w:ascii="Times New Roman" w:hAnsi="Times New Roman" w:cs="Times New Roman"/>
    </w:rPr>
  </w:style>
  <w:style w:type="paragraph" w:customStyle="1" w:styleId="678">
    <w:name w:val="样式 标题 3 + 四号"/>
    <w:basedOn w:val="5"/>
    <w:qFormat/>
    <w:uiPriority w:val="0"/>
    <w:pPr>
      <w:widowControl w:val="0"/>
      <w:snapToGrid w:val="0"/>
      <w:spacing w:before="0" w:after="0" w:line="360" w:lineRule="auto"/>
      <w:jc w:val="both"/>
    </w:pPr>
    <w:rPr>
      <w:rFonts w:ascii="Times New Roman" w:hAnsi="Times New Roman" w:cs="Times New Roman"/>
      <w:sz w:val="28"/>
    </w:rPr>
  </w:style>
  <w:style w:type="paragraph" w:customStyle="1" w:styleId="679">
    <w:name w:val="表X－X"/>
    <w:basedOn w:val="1"/>
    <w:qFormat/>
    <w:uiPriority w:val="0"/>
    <w:pPr>
      <w:widowControl w:val="0"/>
      <w:jc w:val="center"/>
    </w:pPr>
    <w:rPr>
      <w:rFonts w:ascii="Symbol" w:eastAsia="Symbol" w:cs="Times New Roman"/>
      <w:kern w:val="2"/>
      <w:sz w:val="28"/>
    </w:rPr>
  </w:style>
  <w:style w:type="paragraph" w:customStyle="1" w:styleId="680">
    <w:name w:val="小点"/>
    <w:basedOn w:val="1"/>
    <w:qFormat/>
    <w:uiPriority w:val="0"/>
    <w:pPr>
      <w:widowControl w:val="0"/>
      <w:tabs>
        <w:tab w:val="left" w:pos="1160"/>
      </w:tabs>
      <w:spacing w:line="360" w:lineRule="auto"/>
      <w:ind w:left="1160" w:hanging="510"/>
      <w:jc w:val="both"/>
    </w:pPr>
    <w:rPr>
      <w:rFonts w:ascii="Times New Roman" w:hAnsi="Times New Roman" w:cs="Times New Roman"/>
      <w:kern w:val="2"/>
    </w:rPr>
  </w:style>
  <w:style w:type="paragraph" w:customStyle="1" w:styleId="681">
    <w:name w:val="样式 样式 标题 4 + 非加粗 + 行距: 1.5 倍行距"/>
    <w:basedOn w:val="589"/>
    <w:qFormat/>
    <w:uiPriority w:val="0"/>
    <w:pPr>
      <w:spacing w:before="156" w:beforeLines="50" w:after="156" w:afterLines="50" w:line="360" w:lineRule="auto"/>
    </w:pPr>
    <w:rPr>
      <w:rFonts w:cs="宋体"/>
      <w:szCs w:val="20"/>
    </w:rPr>
  </w:style>
  <w:style w:type="paragraph" w:customStyle="1" w:styleId="682">
    <w:name w:val="Char Char Char Char Char Char Char"/>
    <w:basedOn w:val="1"/>
    <w:qFormat/>
    <w:uiPriority w:val="0"/>
    <w:pPr>
      <w:widowControl w:val="0"/>
      <w:jc w:val="both"/>
    </w:pPr>
    <w:rPr>
      <w:rFonts w:ascii="Times New Roman" w:hAnsi="Times New Roman" w:cs="Times New Roman"/>
      <w:kern w:val="2"/>
      <w:sz w:val="21"/>
    </w:rPr>
  </w:style>
  <w:style w:type="paragraph" w:customStyle="1" w:styleId="683">
    <w:name w:val="麦志勤标题四"/>
    <w:basedOn w:val="1"/>
    <w:qFormat/>
    <w:uiPriority w:val="0"/>
    <w:pPr>
      <w:widowControl w:val="0"/>
      <w:adjustRightInd w:val="0"/>
      <w:snapToGrid w:val="0"/>
      <w:spacing w:before="312" w:beforeLines="100" w:line="300" w:lineRule="auto"/>
      <w:jc w:val="both"/>
      <w:outlineLvl w:val="2"/>
    </w:pPr>
    <w:rPr>
      <w:rFonts w:ascii="Symbol" w:eastAsia="Symbol" w:cs="Times New Roman"/>
      <w:kern w:val="2"/>
      <w:sz w:val="30"/>
      <w:szCs w:val="20"/>
    </w:rPr>
  </w:style>
  <w:style w:type="paragraph" w:customStyle="1" w:styleId="684">
    <w:name w:val="form_first"/>
    <w:basedOn w:val="1"/>
    <w:qFormat/>
    <w:uiPriority w:val="0"/>
    <w:pPr>
      <w:widowControl w:val="0"/>
      <w:autoSpaceDE w:val="0"/>
      <w:autoSpaceDN w:val="0"/>
      <w:adjustRightInd w:val="0"/>
      <w:spacing w:line="360" w:lineRule="auto"/>
      <w:jc w:val="center"/>
    </w:pPr>
    <w:rPr>
      <w:rFonts w:ascii="Times New Roman" w:hAnsi="Times New Roman" w:cs="Times New Roman"/>
      <w:color w:val="000000"/>
      <w:sz w:val="21"/>
      <w:szCs w:val="20"/>
    </w:rPr>
  </w:style>
  <w:style w:type="paragraph" w:customStyle="1" w:styleId="685">
    <w:name w:val="字元 字元 Char Char 字元 字元1"/>
    <w:basedOn w:val="1"/>
    <w:qFormat/>
    <w:uiPriority w:val="0"/>
    <w:pPr>
      <w:widowControl w:val="0"/>
      <w:jc w:val="both"/>
    </w:pPr>
    <w:rPr>
      <w:rFonts w:ascii="Times New Roman" w:hAnsi="Times New Roman" w:cs="Times New Roman"/>
      <w:kern w:val="2"/>
      <w:szCs w:val="20"/>
    </w:rPr>
  </w:style>
  <w:style w:type="paragraph" w:customStyle="1" w:styleId="686">
    <w:name w:val="Char1 Char Char Char Char Char Char"/>
    <w:basedOn w:val="1"/>
    <w:qFormat/>
    <w:uiPriority w:val="0"/>
    <w:pPr>
      <w:spacing w:after="160" w:line="240" w:lineRule="exact"/>
    </w:pPr>
    <w:rPr>
      <w:rFonts w:ascii="Cambria Math" w:hAnsi="Cambria Math" w:cs="Times New Roman"/>
      <w:szCs w:val="20"/>
      <w:lang w:eastAsia="en-US"/>
    </w:rPr>
  </w:style>
  <w:style w:type="paragraph" w:customStyle="1" w:styleId="687">
    <w:name w:val="报告表格内中"/>
    <w:basedOn w:val="1"/>
    <w:qFormat/>
    <w:uiPriority w:val="0"/>
    <w:pPr>
      <w:widowControl w:val="0"/>
      <w:spacing w:before="100" w:beforeAutospacing="1"/>
      <w:jc w:val="center"/>
    </w:pPr>
    <w:rPr>
      <w:rFonts w:ascii="Times New Roman" w:hAnsi="Times New Roman" w:cs="Times New Roman"/>
      <w:kern w:val="2"/>
      <w:szCs w:val="20"/>
    </w:rPr>
  </w:style>
  <w:style w:type="paragraph" w:customStyle="1" w:styleId="688">
    <w:name w:val="样式 正文文本缩进 + 宋体 五号 黑色 全部大写 居中 首行缩进:  0 厘米 段前: 0 磅 行距: 单倍行距"/>
    <w:basedOn w:val="35"/>
    <w:qFormat/>
    <w:uiPriority w:val="0"/>
    <w:pPr>
      <w:widowControl w:val="0"/>
      <w:adjustRightInd w:val="0"/>
      <w:spacing w:after="0"/>
      <w:ind w:left="0" w:leftChars="0"/>
      <w:jc w:val="center"/>
      <w:textAlignment w:val="baseline"/>
    </w:pPr>
    <w:rPr>
      <w:rFonts w:cs="Times New Roman"/>
      <w:color w:val="000000"/>
      <w:kern w:val="28"/>
      <w:sz w:val="21"/>
    </w:rPr>
  </w:style>
  <w:style w:type="paragraph" w:customStyle="1" w:styleId="689">
    <w:name w:val="Char121"/>
    <w:basedOn w:val="1"/>
    <w:qFormat/>
    <w:uiPriority w:val="0"/>
    <w:pPr>
      <w:widowControl w:val="0"/>
      <w:snapToGrid w:val="0"/>
      <w:spacing w:line="360" w:lineRule="auto"/>
      <w:ind w:firstLine="529" w:firstLineChars="200"/>
      <w:jc w:val="both"/>
    </w:pPr>
    <w:rPr>
      <w:rFonts w:cs="Times New Roman"/>
      <w:b/>
      <w:kern w:val="2"/>
      <w:sz w:val="21"/>
      <w:szCs w:val="20"/>
    </w:rPr>
  </w:style>
  <w:style w:type="paragraph" w:customStyle="1" w:styleId="690">
    <w:name w:val="font5"/>
    <w:basedOn w:val="1"/>
    <w:qFormat/>
    <w:uiPriority w:val="0"/>
    <w:pPr>
      <w:spacing w:before="100" w:beforeAutospacing="1" w:after="100" w:afterAutospacing="1"/>
    </w:pPr>
    <w:rPr>
      <w:rFonts w:hint="eastAsia" w:cs="Times New Roman"/>
      <w:sz w:val="18"/>
      <w:szCs w:val="20"/>
    </w:rPr>
  </w:style>
  <w:style w:type="paragraph" w:customStyle="1" w:styleId="691">
    <w:name w:val="样式 宋体 小四 首行缩进:  0.85 厘米 行距: 多倍行距 1.75 字行"/>
    <w:basedOn w:val="1"/>
    <w:qFormat/>
    <w:uiPriority w:val="0"/>
    <w:pPr>
      <w:widowControl w:val="0"/>
      <w:adjustRightInd w:val="0"/>
      <w:spacing w:line="360" w:lineRule="auto"/>
      <w:ind w:firstLine="340"/>
      <w:jc w:val="both"/>
    </w:pPr>
    <w:rPr>
      <w:rFonts w:cs="Times New Roman"/>
      <w:kern w:val="2"/>
      <w:szCs w:val="20"/>
    </w:rPr>
  </w:style>
  <w:style w:type="paragraph" w:customStyle="1" w:styleId="692">
    <w:name w:val="样式 标题 3 + 首行缩进:  2 字符 段前: 8.15 磅 段后: 8.15 磅1"/>
    <w:basedOn w:val="5"/>
    <w:qFormat/>
    <w:uiPriority w:val="0"/>
    <w:pPr>
      <w:widowControl w:val="0"/>
      <w:snapToGrid w:val="0"/>
      <w:spacing w:before="156" w:beforeLines="50" w:after="163" w:line="240" w:lineRule="atLeast"/>
      <w:ind w:firstLine="482" w:firstLineChars="200"/>
    </w:pPr>
    <w:rPr>
      <w:rFonts w:eastAsia="Symbol" w:cs="Times New Roman"/>
      <w:bCs w:val="0"/>
      <w:kern w:val="2"/>
      <w:sz w:val="24"/>
      <w:szCs w:val="20"/>
    </w:rPr>
  </w:style>
  <w:style w:type="paragraph" w:customStyle="1" w:styleId="693">
    <w:name w:val="封面5"/>
    <w:basedOn w:val="1"/>
    <w:qFormat/>
    <w:uiPriority w:val="0"/>
    <w:pPr>
      <w:widowControl w:val="0"/>
      <w:snapToGrid w:val="0"/>
      <w:jc w:val="both"/>
    </w:pPr>
    <w:rPr>
      <w:rFonts w:ascii="Times New Roman" w:hAnsi="Times New Roman" w:cs="Times New Roman"/>
      <w:kern w:val="2"/>
      <w:sz w:val="21"/>
      <w:szCs w:val="20"/>
    </w:rPr>
  </w:style>
  <w:style w:type="paragraph" w:customStyle="1" w:styleId="694">
    <w:name w:val="表内5S"/>
    <w:basedOn w:val="1"/>
    <w:qFormat/>
    <w:uiPriority w:val="0"/>
    <w:pPr>
      <w:widowControl w:val="0"/>
      <w:spacing w:line="300" w:lineRule="exact"/>
      <w:jc w:val="both"/>
    </w:pPr>
    <w:rPr>
      <w:rFonts w:ascii="Times New Roman" w:hAnsi="Times New Roman" w:eastAsia="Arial" w:cs="Times New Roman"/>
      <w:kern w:val="2"/>
      <w:sz w:val="21"/>
      <w:szCs w:val="20"/>
    </w:rPr>
  </w:style>
  <w:style w:type="paragraph" w:customStyle="1" w:styleId="695">
    <w:name w:val="样式 1标题3级 + 左侧:  -0.85 厘米 段前: 1.55 磅"/>
    <w:basedOn w:val="1"/>
    <w:qFormat/>
    <w:uiPriority w:val="0"/>
    <w:pPr>
      <w:keepNext/>
      <w:widowControl w:val="0"/>
      <w:snapToGrid w:val="0"/>
      <w:spacing w:before="120" w:line="420" w:lineRule="auto"/>
      <w:ind w:left="-482" w:firstLine="199" w:firstLineChars="199"/>
      <w:jc w:val="both"/>
      <w:outlineLvl w:val="2"/>
    </w:pPr>
    <w:rPr>
      <w:rFonts w:ascii="Times New Roman" w:hAnsi="Times New Roman" w:eastAsia="Symbol" w:cs="Times New Roman"/>
      <w:b/>
      <w:kern w:val="2"/>
      <w:szCs w:val="20"/>
    </w:rPr>
  </w:style>
  <w:style w:type="paragraph" w:customStyle="1" w:styleId="696">
    <w:name w:val="五级条标题"/>
    <w:basedOn w:val="697"/>
    <w:next w:val="1"/>
    <w:qFormat/>
    <w:uiPriority w:val="0"/>
    <w:pPr>
      <w:tabs>
        <w:tab w:val="left" w:pos="360"/>
        <w:tab w:val="left" w:pos="903"/>
        <w:tab w:val="left" w:pos="1287"/>
      </w:tabs>
      <w:outlineLvl w:val="6"/>
    </w:pPr>
  </w:style>
  <w:style w:type="paragraph" w:customStyle="1" w:styleId="697">
    <w:name w:val="四级条标题"/>
    <w:basedOn w:val="560"/>
    <w:next w:val="1"/>
    <w:qFormat/>
    <w:uiPriority w:val="0"/>
    <w:pPr>
      <w:outlineLvl w:val="5"/>
    </w:pPr>
  </w:style>
  <w:style w:type="paragraph" w:customStyle="1" w:styleId="698">
    <w:name w:val="图表题"/>
    <w:next w:val="1"/>
    <w:qFormat/>
    <w:uiPriority w:val="0"/>
    <w:pPr>
      <w:spacing w:before="156" w:after="156" w:line="360" w:lineRule="exact"/>
      <w:jc w:val="center"/>
      <w:textAlignment w:val="center"/>
    </w:pPr>
    <w:rPr>
      <w:rFonts w:ascii="宋体" w:hAnsi="宋体" w:eastAsia="宋体" w:cs="Times New Roman"/>
      <w:b/>
      <w:kern w:val="2"/>
      <w:sz w:val="24"/>
      <w:lang w:val="en-US" w:eastAsia="zh-CN" w:bidi="ar-SA"/>
    </w:rPr>
  </w:style>
  <w:style w:type="paragraph" w:customStyle="1" w:styleId="699">
    <w:name w:val="样式9"/>
    <w:basedOn w:val="21"/>
    <w:qFormat/>
    <w:uiPriority w:val="0"/>
    <w:pPr>
      <w:widowControl w:val="0"/>
      <w:spacing w:line="360" w:lineRule="auto"/>
      <w:ind w:left="0" w:firstLine="480" w:firstLineChars="200"/>
      <w:jc w:val="both"/>
    </w:pPr>
    <w:rPr>
      <w:rFonts w:hAnsi="Times New Roman" w:cs="Times New Roman"/>
      <w:snapToGrid w:val="0"/>
      <w:kern w:val="2"/>
      <w:sz w:val="24"/>
    </w:rPr>
  </w:style>
  <w:style w:type="paragraph" w:customStyle="1" w:styleId="700">
    <w:name w:val="样式 正文缩进正文缩进 Char表格标题标题4正文不缩进s4正文2首行缩进两字正文缩进1 + 首行缩进:  2 ..."/>
    <w:basedOn w:val="21"/>
    <w:qFormat/>
    <w:uiPriority w:val="0"/>
    <w:pPr>
      <w:widowControl w:val="0"/>
      <w:spacing w:line="360" w:lineRule="auto"/>
      <w:ind w:left="0" w:firstLine="480" w:firstLineChars="200"/>
      <w:jc w:val="both"/>
    </w:pPr>
    <w:rPr>
      <w:rFonts w:cs="Times New Roman"/>
      <w:kern w:val="2"/>
      <w:sz w:val="24"/>
    </w:rPr>
  </w:style>
  <w:style w:type="paragraph" w:customStyle="1" w:styleId="701">
    <w:name w:val="样式 标题 1 + 宋体"/>
    <w:basedOn w:val="3"/>
    <w:qFormat/>
    <w:uiPriority w:val="0"/>
    <w:pPr>
      <w:tabs>
        <w:tab w:val="left" w:pos="0"/>
        <w:tab w:val="right" w:pos="8640"/>
      </w:tabs>
      <w:autoSpaceDE w:val="0"/>
      <w:autoSpaceDN w:val="0"/>
      <w:adjustRightInd w:val="0"/>
      <w:snapToGrid/>
      <w:spacing w:after="120" w:line="440" w:lineRule="exact"/>
      <w:textAlignment w:val="baseline"/>
    </w:pPr>
    <w:rPr>
      <w:rFonts w:hAnsi="Times New Roman" w:eastAsia="宋体" w:cs="Times New Roman"/>
      <w:bCs w:val="0"/>
      <w:color w:val="auto"/>
      <w:kern w:val="28"/>
      <w:szCs w:val="20"/>
    </w:rPr>
  </w:style>
  <w:style w:type="paragraph" w:customStyle="1" w:styleId="702">
    <w:name w:val="表内格式"/>
    <w:basedOn w:val="1"/>
    <w:qFormat/>
    <w:uiPriority w:val="0"/>
    <w:pPr>
      <w:widowControl w:val="0"/>
      <w:jc w:val="center"/>
    </w:pPr>
    <w:rPr>
      <w:rFonts w:ascii="Times New Roman" w:hAnsi="Times New Roman" w:cs="Times New Roman"/>
      <w:kern w:val="2"/>
      <w:sz w:val="18"/>
      <w:szCs w:val="20"/>
    </w:rPr>
  </w:style>
  <w:style w:type="paragraph" w:customStyle="1" w:styleId="703">
    <w:name w:val="正文(首行缩进)"/>
    <w:basedOn w:val="1"/>
    <w:qFormat/>
    <w:uiPriority w:val="0"/>
    <w:pPr>
      <w:widowControl w:val="0"/>
      <w:spacing w:line="360" w:lineRule="auto"/>
      <w:ind w:firstLine="510"/>
      <w:jc w:val="both"/>
    </w:pPr>
    <w:rPr>
      <w:rFonts w:cs="Times New Roman"/>
      <w:snapToGrid w:val="0"/>
    </w:rPr>
  </w:style>
  <w:style w:type="paragraph" w:customStyle="1" w:styleId="704">
    <w:name w:val="样式 题注2 + 首行缩进:  2 字符"/>
    <w:basedOn w:val="1"/>
    <w:qFormat/>
    <w:uiPriority w:val="0"/>
    <w:pPr>
      <w:widowControl w:val="0"/>
      <w:spacing w:line="324" w:lineRule="auto"/>
      <w:ind w:firstLine="420" w:firstLineChars="200"/>
      <w:jc w:val="center"/>
    </w:pPr>
    <w:rPr>
      <w:rFonts w:ascii="Arial" w:hAnsi="Arial" w:cs="Times New Roman"/>
      <w:b/>
      <w:color w:val="000000"/>
      <w:kern w:val="2"/>
      <w:sz w:val="21"/>
      <w:szCs w:val="20"/>
    </w:rPr>
  </w:style>
  <w:style w:type="paragraph" w:customStyle="1" w:styleId="705">
    <w:name w:val="正文文字缩进 2"/>
    <w:basedOn w:val="1"/>
    <w:qFormat/>
    <w:uiPriority w:val="0"/>
    <w:pPr>
      <w:widowControl w:val="0"/>
      <w:spacing w:line="360" w:lineRule="auto"/>
      <w:ind w:firstLine="425"/>
      <w:jc w:val="both"/>
    </w:pPr>
    <w:rPr>
      <w:rFonts w:ascii="Times New Roman" w:hAnsi="Times New Roman" w:eastAsia="Arial" w:cs="Times New Roman"/>
      <w:color w:val="000000"/>
      <w:kern w:val="2"/>
      <w:szCs w:val="20"/>
    </w:rPr>
  </w:style>
  <w:style w:type="paragraph" w:customStyle="1" w:styleId="706">
    <w:name w:val="Char Char Char Char Char Char1 Char Char Char1 Char Char Char1 Char Char Char Char Char Char Char Char Char Char"/>
    <w:basedOn w:val="1"/>
    <w:next w:val="1"/>
    <w:qFormat/>
    <w:uiPriority w:val="0"/>
    <w:pPr>
      <w:widowControl w:val="0"/>
      <w:spacing w:line="360" w:lineRule="auto"/>
      <w:ind w:firstLine="200" w:firstLineChars="200"/>
      <w:jc w:val="both"/>
    </w:pPr>
    <w:rPr>
      <w:rFonts w:cs="Times New Roman"/>
      <w:kern w:val="2"/>
      <w:szCs w:val="20"/>
    </w:rPr>
  </w:style>
  <w:style w:type="paragraph" w:customStyle="1" w:styleId="707">
    <w:name w:val="大标题"/>
    <w:basedOn w:val="3"/>
    <w:qFormat/>
    <w:uiPriority w:val="0"/>
    <w:pPr>
      <w:keepLines/>
      <w:suppressLineNumbers/>
      <w:overflowPunct/>
      <w:adjustRightInd w:val="0"/>
      <w:spacing w:before="100" w:beforeAutospacing="1" w:after="100" w:afterAutospacing="1" w:line="540" w:lineRule="exact"/>
      <w:ind w:left="0" w:firstLine="0"/>
      <w:jc w:val="center"/>
    </w:pPr>
    <w:rPr>
      <w:rFonts w:ascii="Symbol" w:hAnsi="Symbol" w:eastAsia="Symbol" w:cs="Times New Roman"/>
      <w:bCs w:val="0"/>
      <w:color w:val="auto"/>
      <w:kern w:val="2"/>
      <w:sz w:val="44"/>
      <w:szCs w:val="20"/>
    </w:rPr>
  </w:style>
  <w:style w:type="paragraph" w:customStyle="1" w:styleId="708">
    <w:name w:val="Char2 Char Char Char Char Char Char Char Char Char Char Char Char Char Char Char"/>
    <w:basedOn w:val="1"/>
    <w:qFormat/>
    <w:uiPriority w:val="0"/>
    <w:pPr>
      <w:widowControl w:val="0"/>
      <w:jc w:val="both"/>
    </w:pPr>
    <w:rPr>
      <w:rFonts w:ascii="Times New Roman" w:hAnsi="Times New Roman" w:cs="Times New Roman"/>
      <w:kern w:val="2"/>
      <w:sz w:val="21"/>
      <w:szCs w:val="20"/>
    </w:rPr>
  </w:style>
  <w:style w:type="paragraph" w:customStyle="1" w:styleId="709">
    <w:name w:val="标格文字"/>
    <w:basedOn w:val="1"/>
    <w:next w:val="21"/>
    <w:qFormat/>
    <w:uiPriority w:val="0"/>
    <w:pPr>
      <w:widowControl w:val="0"/>
      <w:spacing w:before="60" w:after="60"/>
      <w:jc w:val="both"/>
    </w:pPr>
    <w:rPr>
      <w:rFonts w:ascii="Times New Roman" w:hAnsi="Times New Roman" w:cs="Times New Roman"/>
      <w:kern w:val="2"/>
      <w:sz w:val="21"/>
      <w:szCs w:val="20"/>
    </w:rPr>
  </w:style>
  <w:style w:type="paragraph" w:customStyle="1" w:styleId="710">
    <w:name w:val="样式"/>
    <w:basedOn w:val="1"/>
    <w:next w:val="70"/>
    <w:qFormat/>
    <w:uiPriority w:val="0"/>
    <w:pPr>
      <w:widowControl w:val="0"/>
      <w:tabs>
        <w:tab w:val="left" w:pos="6720"/>
      </w:tabs>
      <w:spacing w:line="360" w:lineRule="auto"/>
      <w:ind w:firstLine="480" w:firstLineChars="200"/>
      <w:jc w:val="both"/>
    </w:pPr>
    <w:rPr>
      <w:rFonts w:ascii="Arial" w:hAnsi="Times New Roman" w:eastAsia="Arial" w:cs="Times New Roman"/>
      <w:kern w:val="2"/>
      <w:szCs w:val="20"/>
    </w:rPr>
  </w:style>
  <w:style w:type="paragraph" w:customStyle="1" w:styleId="711">
    <w:name w:val="封面文字"/>
    <w:qFormat/>
    <w:uiPriority w:val="0"/>
    <w:rPr>
      <w:rFonts w:ascii="Times New Roman" w:hAnsi="Times New Roman" w:eastAsia="宋体" w:cs="Times New Roman"/>
      <w:sz w:val="28"/>
      <w:lang w:val="en-US" w:eastAsia="zh-CN" w:bidi="ar-SA"/>
    </w:rPr>
  </w:style>
  <w:style w:type="paragraph" w:customStyle="1" w:styleId="712">
    <w:name w:val="样式 题注 + 首行缩进:  2 字符"/>
    <w:basedOn w:val="22"/>
    <w:qFormat/>
    <w:uiPriority w:val="0"/>
    <w:pPr>
      <w:widowControl w:val="0"/>
      <w:spacing w:line="324" w:lineRule="auto"/>
      <w:jc w:val="both"/>
    </w:pPr>
    <w:rPr>
      <w:rFonts w:ascii="Arial" w:hAnsi="Arial" w:eastAsia="Symbol" w:cs="Times New Roman"/>
      <w:color w:val="000000"/>
      <w:kern w:val="2"/>
      <w:sz w:val="20"/>
      <w:szCs w:val="20"/>
    </w:rPr>
  </w:style>
  <w:style w:type="paragraph" w:customStyle="1" w:styleId="713">
    <w:name w:val="样式 小初 加粗 阴影 居中 段前: 7.8 磅 段后: 7.8 磅"/>
    <w:basedOn w:val="1"/>
    <w:qFormat/>
    <w:uiPriority w:val="0"/>
    <w:pPr>
      <w:widowControl w:val="0"/>
      <w:jc w:val="center"/>
    </w:pPr>
    <w:rPr>
      <w:rFonts w:ascii="Times New Roman" w:hAnsi="Times New Roman" w:cs="Times New Roman"/>
      <w:b/>
      <w:kern w:val="2"/>
      <w:sz w:val="72"/>
      <w:szCs w:val="20"/>
      <w14:shadow w14:blurRad="50800" w14:dist="38100" w14:dir="2700000" w14:sx="100000" w14:sy="100000" w14:kx="0" w14:ky="0" w14:algn="tl">
        <w14:srgbClr w14:val="000000">
          <w14:alpha w14:val="60000"/>
        </w14:srgbClr>
      </w14:shadow>
    </w:rPr>
  </w:style>
  <w:style w:type="paragraph" w:customStyle="1" w:styleId="714">
    <w:name w:val="电镀表"/>
    <w:basedOn w:val="1"/>
    <w:link w:val="715"/>
    <w:qFormat/>
    <w:uiPriority w:val="0"/>
    <w:pPr>
      <w:widowControl w:val="0"/>
      <w:autoSpaceDE w:val="0"/>
      <w:autoSpaceDN w:val="0"/>
      <w:adjustRightInd w:val="0"/>
      <w:spacing w:line="0" w:lineRule="atLeast"/>
      <w:jc w:val="center"/>
      <w:textAlignment w:val="center"/>
    </w:pPr>
    <w:rPr>
      <w:rFonts w:ascii="Times New Roman" w:hAnsi="Times New Roman" w:cs="Times New Roman"/>
      <w:sz w:val="21"/>
      <w:szCs w:val="20"/>
    </w:rPr>
  </w:style>
  <w:style w:type="character" w:customStyle="1" w:styleId="715">
    <w:name w:val="电镀表 Char"/>
    <w:link w:val="714"/>
    <w:qFormat/>
    <w:uiPriority w:val="0"/>
    <w:rPr>
      <w:sz w:val="21"/>
    </w:rPr>
  </w:style>
  <w:style w:type="paragraph" w:customStyle="1" w:styleId="716">
    <w:name w:val="环评标题三级"/>
    <w:basedOn w:val="5"/>
    <w:qFormat/>
    <w:uiPriority w:val="0"/>
    <w:pPr>
      <w:widowControl w:val="0"/>
      <w:snapToGrid w:val="0"/>
      <w:spacing w:line="413" w:lineRule="auto"/>
      <w:jc w:val="both"/>
    </w:pPr>
    <w:rPr>
      <w:rFonts w:ascii="Times New Roman" w:hAnsi="Times New Roman" w:eastAsia="Symbol" w:cs="Times New Roman"/>
      <w:bCs w:val="0"/>
      <w:sz w:val="28"/>
      <w:szCs w:val="20"/>
    </w:rPr>
  </w:style>
  <w:style w:type="paragraph" w:customStyle="1" w:styleId="717">
    <w:name w:val="表格名和图名"/>
    <w:basedOn w:val="1"/>
    <w:qFormat/>
    <w:uiPriority w:val="0"/>
    <w:pPr>
      <w:widowControl w:val="0"/>
      <w:spacing w:line="360" w:lineRule="auto"/>
      <w:jc w:val="center"/>
    </w:pPr>
    <w:rPr>
      <w:rFonts w:ascii="Times New Roman" w:hAnsi="Times New Roman" w:cs="Times New Roman"/>
      <w:b/>
      <w:color w:val="000000"/>
      <w:kern w:val="2"/>
      <w:szCs w:val="20"/>
    </w:rPr>
  </w:style>
  <w:style w:type="paragraph" w:customStyle="1" w:styleId="718">
    <w:name w:val="基准页脚样式"/>
    <w:basedOn w:val="34"/>
    <w:qFormat/>
    <w:uiPriority w:val="0"/>
    <w:pPr>
      <w:widowControl w:val="0"/>
      <w:adjustRightInd w:val="0"/>
      <w:spacing w:before="0" w:after="0" w:line="240" w:lineRule="auto"/>
      <w:ind w:right="0"/>
      <w:jc w:val="center"/>
    </w:pPr>
    <w:rPr>
      <w:rFonts w:hAnsi="Times New Roman" w:cs="Times New Roman"/>
      <w:kern w:val="2"/>
      <w:sz w:val="21"/>
    </w:rPr>
  </w:style>
  <w:style w:type="paragraph" w:customStyle="1" w:styleId="719">
    <w:name w:val="我的正文"/>
    <w:basedOn w:val="1"/>
    <w:link w:val="720"/>
    <w:qFormat/>
    <w:uiPriority w:val="0"/>
    <w:pPr>
      <w:widowControl w:val="0"/>
      <w:spacing w:line="440" w:lineRule="exact"/>
      <w:ind w:firstLine="200" w:firstLineChars="200"/>
      <w:jc w:val="both"/>
    </w:pPr>
    <w:rPr>
      <w:rFonts w:ascii="Times New Roman" w:hAnsi="Times New Roman" w:cs="Times New Roman"/>
      <w:kern w:val="2"/>
      <w:szCs w:val="20"/>
    </w:rPr>
  </w:style>
  <w:style w:type="character" w:customStyle="1" w:styleId="720">
    <w:name w:val="我的正文 Char"/>
    <w:link w:val="719"/>
    <w:qFormat/>
    <w:uiPriority w:val="0"/>
    <w:rPr>
      <w:kern w:val="2"/>
      <w:sz w:val="24"/>
    </w:rPr>
  </w:style>
  <w:style w:type="paragraph" w:customStyle="1" w:styleId="721">
    <w:name w:val="题注2"/>
    <w:basedOn w:val="22"/>
    <w:next w:val="618"/>
    <w:qFormat/>
    <w:uiPriority w:val="0"/>
    <w:pPr>
      <w:widowControl w:val="0"/>
      <w:spacing w:line="324" w:lineRule="auto"/>
      <w:ind w:firstLine="400" w:firstLineChars="200"/>
      <w:jc w:val="both"/>
    </w:pPr>
    <w:rPr>
      <w:rFonts w:ascii="Arial" w:hAnsi="Arial" w:eastAsia="宋体" w:cs="Times New Roman"/>
      <w:color w:val="000000"/>
      <w:kern w:val="2"/>
      <w:sz w:val="21"/>
      <w:szCs w:val="20"/>
    </w:rPr>
  </w:style>
  <w:style w:type="paragraph" w:customStyle="1" w:styleId="722">
    <w:name w:val="正文1-1"/>
    <w:basedOn w:val="1"/>
    <w:next w:val="1"/>
    <w:link w:val="723"/>
    <w:qFormat/>
    <w:uiPriority w:val="0"/>
    <w:pPr>
      <w:adjustRightInd w:val="0"/>
      <w:snapToGrid w:val="0"/>
      <w:spacing w:line="360" w:lineRule="auto"/>
      <w:ind w:firstLine="200" w:firstLineChars="200"/>
    </w:pPr>
    <w:rPr>
      <w:rFonts w:ascii="Times New Roman" w:hAnsi="Times New Roman" w:cs="Times New Roman"/>
      <w:szCs w:val="20"/>
    </w:rPr>
  </w:style>
  <w:style w:type="character" w:customStyle="1" w:styleId="723">
    <w:name w:val="正文1-1 Char Char"/>
    <w:link w:val="722"/>
    <w:qFormat/>
    <w:uiPriority w:val="0"/>
    <w:rPr>
      <w:sz w:val="24"/>
    </w:rPr>
  </w:style>
  <w:style w:type="paragraph" w:customStyle="1" w:styleId="724">
    <w:name w:val="样式 标题 4Subsection标题 14标题 4 Char Char款标题1.1.1.1H4第三层条PIM 4..."/>
    <w:basedOn w:val="6"/>
    <w:qFormat/>
    <w:uiPriority w:val="0"/>
    <w:pPr>
      <w:widowControl w:val="0"/>
      <w:spacing w:before="0" w:after="0" w:line="360" w:lineRule="auto"/>
      <w:jc w:val="both"/>
    </w:pPr>
    <w:rPr>
      <w:rFonts w:ascii="Times New Roman" w:hAnsi="Times New Roman" w:eastAsia="宋体" w:cs="宋体"/>
      <w:kern w:val="2"/>
      <w:szCs w:val="20"/>
    </w:rPr>
  </w:style>
  <w:style w:type="paragraph" w:customStyle="1" w:styleId="725">
    <w:name w:val="...."/>
    <w:basedOn w:val="1"/>
    <w:next w:val="1"/>
    <w:qFormat/>
    <w:uiPriority w:val="0"/>
    <w:pPr>
      <w:widowControl w:val="0"/>
      <w:autoSpaceDE w:val="0"/>
      <w:autoSpaceDN w:val="0"/>
      <w:adjustRightInd w:val="0"/>
    </w:pPr>
    <w:rPr>
      <w:rFonts w:ascii="Times New Roman" w:hAnsi="Times New Roman" w:cs="Times New Roman"/>
    </w:rPr>
  </w:style>
  <w:style w:type="paragraph" w:customStyle="1" w:styleId="726">
    <w:name w:val="Char Char Char Char Char Char1 Char Char Char Char"/>
    <w:basedOn w:val="1"/>
    <w:qFormat/>
    <w:uiPriority w:val="0"/>
    <w:pPr>
      <w:widowControl w:val="0"/>
      <w:jc w:val="both"/>
    </w:pPr>
    <w:rPr>
      <w:rFonts w:ascii="Times New Roman" w:hAnsi="Times New Roman" w:cs="Times New Roman"/>
      <w:kern w:val="2"/>
    </w:rPr>
  </w:style>
  <w:style w:type="paragraph" w:customStyle="1" w:styleId="727">
    <w:name w:val="文本框1"/>
    <w:basedOn w:val="1"/>
    <w:qFormat/>
    <w:uiPriority w:val="0"/>
    <w:pPr>
      <w:widowControl w:val="0"/>
      <w:jc w:val="both"/>
    </w:pPr>
    <w:rPr>
      <w:rFonts w:cs="Times New Roman"/>
      <w:kern w:val="2"/>
      <w:szCs w:val="20"/>
    </w:rPr>
  </w:style>
  <w:style w:type="paragraph" w:customStyle="1" w:styleId="728">
    <w:name w:val="文档一级标题"/>
    <w:basedOn w:val="1"/>
    <w:qFormat/>
    <w:uiPriority w:val="0"/>
    <w:pPr>
      <w:widowControl w:val="0"/>
      <w:jc w:val="both"/>
    </w:pPr>
    <w:rPr>
      <w:rFonts w:ascii="Symbol" w:eastAsia="Symbol" w:cs="Times New Roman"/>
      <w:kern w:val="2"/>
      <w:sz w:val="28"/>
    </w:rPr>
  </w:style>
  <w:style w:type="paragraph" w:customStyle="1" w:styleId="729">
    <w:name w:val="Char Char Char2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730">
    <w:name w:val=".."/>
    <w:basedOn w:val="1"/>
    <w:next w:val="1"/>
    <w:qFormat/>
    <w:uiPriority w:val="0"/>
    <w:pPr>
      <w:widowControl w:val="0"/>
      <w:autoSpaceDE w:val="0"/>
      <w:autoSpaceDN w:val="0"/>
      <w:adjustRightInd w:val="0"/>
    </w:pPr>
    <w:rPr>
      <w:rFonts w:ascii="Times New Roman" w:hAnsi="Times New Roman" w:cs="Times New Roman"/>
    </w:rPr>
  </w:style>
  <w:style w:type="paragraph" w:customStyle="1" w:styleId="731">
    <w:name w:val="1标题1级"/>
    <w:basedOn w:val="1"/>
    <w:qFormat/>
    <w:uiPriority w:val="0"/>
    <w:pPr>
      <w:keepNext/>
      <w:widowControl w:val="0"/>
      <w:snapToGrid w:val="0"/>
      <w:spacing w:line="360" w:lineRule="auto"/>
      <w:jc w:val="both"/>
      <w:outlineLvl w:val="0"/>
    </w:pPr>
    <w:rPr>
      <w:rFonts w:ascii="Times New Roman" w:hAnsi="Times New Roman" w:eastAsia="Symbol" w:cs="Times New Roman"/>
      <w:b/>
      <w:kern w:val="2"/>
      <w:sz w:val="30"/>
      <w:szCs w:val="20"/>
    </w:rPr>
  </w:style>
  <w:style w:type="paragraph" w:customStyle="1" w:styleId="732">
    <w:name w:val="正文王"/>
    <w:basedOn w:val="46"/>
    <w:qFormat/>
    <w:uiPriority w:val="0"/>
    <w:pPr>
      <w:widowControl w:val="0"/>
      <w:spacing w:line="440" w:lineRule="exact"/>
      <w:jc w:val="both"/>
    </w:pPr>
    <w:rPr>
      <w:rFonts w:ascii="Arial" w:hAnsi="Arial" w:cs="Times New Roman"/>
      <w:snapToGrid w:val="0"/>
      <w:szCs w:val="20"/>
    </w:rPr>
  </w:style>
  <w:style w:type="paragraph" w:customStyle="1" w:styleId="733">
    <w:name w:val="小3楷顶"/>
    <w:basedOn w:val="594"/>
    <w:qFormat/>
    <w:uiPriority w:val="0"/>
    <w:pPr>
      <w:spacing w:before="240" w:beforeLines="0"/>
    </w:pPr>
    <w:rPr>
      <w:rFonts w:eastAsia="Arial"/>
    </w:rPr>
  </w:style>
  <w:style w:type="paragraph" w:customStyle="1" w:styleId="734">
    <w:name w:val="样式02"/>
    <w:basedOn w:val="4"/>
    <w:qFormat/>
    <w:uiPriority w:val="0"/>
    <w:pPr>
      <w:widowControl w:val="0"/>
      <w:numPr>
        <w:ilvl w:val="0"/>
        <w:numId w:val="0"/>
      </w:numPr>
      <w:spacing w:before="156" w:after="156" w:line="240" w:lineRule="auto"/>
      <w:jc w:val="both"/>
    </w:pPr>
    <w:rPr>
      <w:rFonts w:ascii="Times New Roman" w:hAnsi="Times New Roman" w:eastAsia="Symbol" w:cs="Times New Roman"/>
      <w:kern w:val="2"/>
      <w:sz w:val="28"/>
      <w:szCs w:val="20"/>
    </w:rPr>
  </w:style>
  <w:style w:type="paragraph" w:customStyle="1" w:styleId="735">
    <w:name w:val="Char1 Char Char1 Char"/>
    <w:basedOn w:val="1"/>
    <w:qFormat/>
    <w:uiPriority w:val="0"/>
    <w:pPr>
      <w:widowControl w:val="0"/>
      <w:adjustRightInd w:val="0"/>
      <w:snapToGrid w:val="0"/>
      <w:spacing w:line="400" w:lineRule="exact"/>
      <w:ind w:firstLine="200" w:firstLineChars="200"/>
      <w:jc w:val="both"/>
    </w:pPr>
    <w:rPr>
      <w:rFonts w:ascii="Times New Roman" w:hAnsi="Times New Roman" w:cs="Times New Roman"/>
      <w:kern w:val="2"/>
      <w:szCs w:val="20"/>
    </w:rPr>
  </w:style>
  <w:style w:type="paragraph" w:customStyle="1" w:styleId="736">
    <w:name w:val="xl32"/>
    <w:basedOn w:val="1"/>
    <w:qFormat/>
    <w:uiPriority w:val="0"/>
    <w:pPr>
      <w:pBdr>
        <w:bottom w:val="single" w:color="000000" w:sz="4" w:space="0"/>
        <w:right w:val="single" w:color="000000" w:sz="4" w:space="0"/>
      </w:pBdr>
      <w:spacing w:before="100" w:beforeAutospacing="1" w:after="100" w:afterAutospacing="1"/>
      <w:jc w:val="center"/>
      <w:textAlignment w:val="top"/>
    </w:pPr>
    <w:rPr>
      <w:rFonts w:ascii="Times New Roman" w:hAnsi="Times New Roman" w:cs="Times New Roman"/>
      <w:sz w:val="28"/>
      <w:szCs w:val="20"/>
    </w:rPr>
  </w:style>
  <w:style w:type="paragraph" w:customStyle="1" w:styleId="737">
    <w:name w:val="Char Char Char Char Char Char Char11"/>
    <w:basedOn w:val="1"/>
    <w:qFormat/>
    <w:uiPriority w:val="0"/>
    <w:pPr>
      <w:widowControl w:val="0"/>
      <w:jc w:val="both"/>
    </w:pPr>
    <w:rPr>
      <w:rFonts w:ascii="Times New Roman" w:hAnsi="Times New Roman" w:cs="Times New Roman"/>
      <w:kern w:val="2"/>
      <w:sz w:val="32"/>
      <w:szCs w:val="20"/>
    </w:rPr>
  </w:style>
  <w:style w:type="paragraph" w:customStyle="1" w:styleId="738">
    <w:name w:val="Char Char Char Char Char Char Char Char Char Char Char Char Char Char Char Char Char Char Char"/>
    <w:basedOn w:val="1"/>
    <w:qFormat/>
    <w:uiPriority w:val="0"/>
    <w:pPr>
      <w:spacing w:after="160" w:line="240" w:lineRule="exact"/>
    </w:pPr>
    <w:rPr>
      <w:rFonts w:ascii="Cambria Math" w:hAnsi="Cambria Math" w:cs="Times New Roman"/>
      <w:szCs w:val="20"/>
      <w:lang w:eastAsia="en-US"/>
    </w:rPr>
  </w:style>
  <w:style w:type="paragraph" w:customStyle="1" w:styleId="739">
    <w:name w:val="定表"/>
    <w:basedOn w:val="1"/>
    <w:qFormat/>
    <w:uiPriority w:val="0"/>
    <w:pPr>
      <w:widowControl w:val="0"/>
      <w:snapToGrid w:val="0"/>
      <w:spacing w:after="156" w:afterLines="50"/>
      <w:jc w:val="both"/>
    </w:pPr>
    <w:rPr>
      <w:rFonts w:ascii="Times New Roman" w:hAnsi="Times New Roman" w:cs="Times New Roman"/>
      <w:kern w:val="2"/>
      <w:sz w:val="21"/>
      <w:szCs w:val="20"/>
    </w:rPr>
  </w:style>
  <w:style w:type="paragraph" w:customStyle="1" w:styleId="740">
    <w:name w:val="comm3"/>
    <w:basedOn w:val="1"/>
    <w:qFormat/>
    <w:uiPriority w:val="0"/>
    <w:pPr>
      <w:spacing w:after="60"/>
      <w:jc w:val="center"/>
    </w:pPr>
    <w:rPr>
      <w:rFonts w:ascii="Arial" w:hAnsi="Arial" w:cs="Times New Roman"/>
      <w:szCs w:val="20"/>
      <w:lang w:val="en-CA" w:eastAsia="en-US"/>
    </w:rPr>
  </w:style>
  <w:style w:type="paragraph" w:customStyle="1" w:styleId="741">
    <w:name w:val="公式"/>
    <w:basedOn w:val="1"/>
    <w:qFormat/>
    <w:uiPriority w:val="0"/>
    <w:pPr>
      <w:widowControl w:val="0"/>
      <w:adjustRightInd w:val="0"/>
      <w:spacing w:line="288" w:lineRule="auto"/>
      <w:jc w:val="center"/>
      <w:textAlignment w:val="baseline"/>
    </w:pPr>
    <w:rPr>
      <w:rFonts w:ascii="Times New Roman" w:hAnsi="Times New Roman" w:cs="Times New Roman"/>
      <w:szCs w:val="20"/>
    </w:rPr>
  </w:style>
  <w:style w:type="paragraph" w:customStyle="1" w:styleId="742">
    <w:name w:val="第三节"/>
    <w:basedOn w:val="1"/>
    <w:qFormat/>
    <w:uiPriority w:val="0"/>
    <w:pPr>
      <w:widowControl w:val="0"/>
      <w:spacing w:before="312" w:beforeLines="100" w:line="360" w:lineRule="auto"/>
    </w:pPr>
    <w:rPr>
      <w:rFonts w:ascii="Symbol" w:hAnsi="Times New Roman" w:eastAsia="Symbol" w:cs="Times New Roman"/>
      <w:kern w:val="2"/>
      <w:sz w:val="32"/>
      <w:szCs w:val="20"/>
    </w:rPr>
  </w:style>
  <w:style w:type="paragraph" w:customStyle="1" w:styleId="743">
    <w:name w:val="表格名称"/>
    <w:basedOn w:val="1"/>
    <w:qFormat/>
    <w:uiPriority w:val="0"/>
    <w:pPr>
      <w:widowControl w:val="0"/>
      <w:spacing w:line="360" w:lineRule="auto"/>
      <w:ind w:firstLine="489" w:firstLineChars="203"/>
      <w:jc w:val="both"/>
    </w:pPr>
    <w:rPr>
      <w:rFonts w:ascii="Times New Roman" w:hAnsi="Times New Roman" w:cs="Times New Roman"/>
      <w:b/>
      <w:kern w:val="2"/>
      <w:szCs w:val="20"/>
    </w:rPr>
  </w:style>
  <w:style w:type="paragraph" w:customStyle="1" w:styleId="744">
    <w:name w:val="麦志勤表格式"/>
    <w:basedOn w:val="1"/>
    <w:qFormat/>
    <w:uiPriority w:val="0"/>
    <w:pPr>
      <w:widowControl w:val="0"/>
      <w:adjustRightInd w:val="0"/>
      <w:snapToGrid w:val="0"/>
      <w:spacing w:line="0" w:lineRule="atLeast"/>
      <w:jc w:val="center"/>
    </w:pPr>
    <w:rPr>
      <w:rFonts w:cs="Times New Roman"/>
      <w:kern w:val="2"/>
      <w:szCs w:val="20"/>
    </w:rPr>
  </w:style>
  <w:style w:type="paragraph" w:customStyle="1" w:styleId="745">
    <w:name w:val="插图"/>
    <w:basedOn w:val="1"/>
    <w:next w:val="1"/>
    <w:qFormat/>
    <w:uiPriority w:val="0"/>
    <w:pPr>
      <w:keepLines/>
      <w:widowControl w:val="0"/>
      <w:adjustRightInd w:val="0"/>
      <w:spacing w:before="360" w:after="300" w:line="567" w:lineRule="atLeast"/>
      <w:jc w:val="center"/>
      <w:textAlignment w:val="baseline"/>
    </w:pPr>
    <w:rPr>
      <w:rFonts w:ascii="Times New Roman" w:hAnsi="Times New Roman" w:cs="Times New Roman"/>
      <w:szCs w:val="20"/>
    </w:rPr>
  </w:style>
  <w:style w:type="paragraph" w:customStyle="1" w:styleId="746">
    <w:name w:val="样式 1标题2级 + 左  -0.85 字符"/>
    <w:basedOn w:val="536"/>
    <w:qFormat/>
    <w:uiPriority w:val="0"/>
    <w:pPr>
      <w:spacing w:before="312" w:beforeLines="100"/>
      <w:ind w:left="-85" w:leftChars="-85" w:firstLine="63" w:firstLineChars="63"/>
    </w:pPr>
  </w:style>
  <w:style w:type="paragraph" w:customStyle="1" w:styleId="747">
    <w:name w:val="Char Char1 Char Char Char Char Char Char Char Char Char Char Char Char Char Char Char Char Char Char Char Char Char Char Char Char Char Char Char Char Char Char1 Char Char Char Char1"/>
    <w:basedOn w:val="1"/>
    <w:qFormat/>
    <w:uiPriority w:val="0"/>
    <w:pPr>
      <w:widowControl w:val="0"/>
      <w:jc w:val="both"/>
    </w:pPr>
    <w:rPr>
      <w:rFonts w:ascii="Times New Roman" w:hAnsi="Times New Roman" w:cs="Times New Roman"/>
      <w:kern w:val="2"/>
      <w:sz w:val="21"/>
      <w:szCs w:val="20"/>
    </w:rPr>
  </w:style>
  <w:style w:type="paragraph" w:customStyle="1" w:styleId="748">
    <w:name w:val="样式 首行缩进:  2 字符4"/>
    <w:basedOn w:val="1"/>
    <w:link w:val="749"/>
    <w:qFormat/>
    <w:uiPriority w:val="0"/>
    <w:pPr>
      <w:widowControl w:val="0"/>
      <w:adjustRightInd w:val="0"/>
      <w:snapToGrid w:val="0"/>
      <w:spacing w:line="360" w:lineRule="auto"/>
      <w:ind w:firstLine="480" w:firstLineChars="200"/>
      <w:jc w:val="both"/>
    </w:pPr>
    <w:rPr>
      <w:rFonts w:ascii="Times New Roman" w:hAnsi="Times New Roman" w:cs="Times New Roman"/>
      <w:kern w:val="2"/>
      <w:szCs w:val="20"/>
    </w:rPr>
  </w:style>
  <w:style w:type="character" w:customStyle="1" w:styleId="749">
    <w:name w:val="样式 首行缩进:  2 字符4 Char"/>
    <w:link w:val="748"/>
    <w:qFormat/>
    <w:uiPriority w:val="0"/>
    <w:rPr>
      <w:kern w:val="2"/>
      <w:sz w:val="24"/>
    </w:rPr>
  </w:style>
  <w:style w:type="paragraph" w:customStyle="1" w:styleId="750">
    <w:name w:val="xl36"/>
    <w:basedOn w:val="1"/>
    <w:qFormat/>
    <w:uiPriority w:val="0"/>
    <w:pPr>
      <w:pBdr>
        <w:left w:val="single" w:color="auto" w:sz="4" w:space="0"/>
        <w:right w:val="single" w:color="auto" w:sz="4" w:space="0"/>
      </w:pBdr>
      <w:spacing w:before="100" w:beforeAutospacing="1" w:after="100" w:afterAutospacing="1"/>
      <w:jc w:val="center"/>
      <w:textAlignment w:val="top"/>
    </w:pPr>
    <w:rPr>
      <w:rFonts w:ascii="Times New Roman" w:hAnsi="Times New Roman" w:cs="Times New Roman"/>
      <w:szCs w:val="20"/>
    </w:rPr>
  </w:style>
  <w:style w:type="paragraph" w:customStyle="1" w:styleId="751">
    <w:name w:val="章标题"/>
    <w:next w:val="1"/>
    <w:qFormat/>
    <w:uiPriority w:val="0"/>
    <w:pPr>
      <w:tabs>
        <w:tab w:val="left" w:pos="903"/>
      </w:tabs>
      <w:spacing w:before="50" w:after="50"/>
      <w:ind w:left="903" w:hanging="315"/>
      <w:jc w:val="both"/>
      <w:outlineLvl w:val="1"/>
    </w:pPr>
    <w:rPr>
      <w:rFonts w:ascii="Symbol" w:hAnsi="Times New Roman" w:eastAsia="Symbol" w:cs="Times New Roman"/>
      <w:sz w:val="21"/>
      <w:lang w:val="en-US" w:eastAsia="zh-CN" w:bidi="ar-SA"/>
    </w:rPr>
  </w:style>
  <w:style w:type="paragraph" w:customStyle="1" w:styleId="752">
    <w:name w:val="Char Char Char Char Char Char Char Char"/>
    <w:basedOn w:val="1"/>
    <w:qFormat/>
    <w:uiPriority w:val="0"/>
    <w:pPr>
      <w:widowControl w:val="0"/>
      <w:jc w:val="both"/>
    </w:pPr>
    <w:rPr>
      <w:rFonts w:ascii="Times New Roman" w:hAnsi="Times New Roman" w:cs="Times New Roman"/>
      <w:kern w:val="2"/>
    </w:rPr>
  </w:style>
  <w:style w:type="character" w:customStyle="1" w:styleId="753">
    <w:name w:val="报告正文 Char Char Char"/>
    <w:qFormat/>
    <w:uiPriority w:val="0"/>
    <w:rPr>
      <w:rFonts w:ascii="宋体" w:eastAsia="宋体"/>
      <w:kern w:val="2"/>
      <w:sz w:val="24"/>
      <w:lang w:val="en-US" w:eastAsia="zh-CN" w:bidi="ar-SA"/>
    </w:rPr>
  </w:style>
  <w:style w:type="paragraph" w:customStyle="1" w:styleId="754">
    <w:name w:val="Char Char1 Char Char Char Char Char Char Char Char Char Char Char Char Char Char Char Char Char Char Char Char Char Char Char Char Char Char Char Char Char Char1 Char Char Char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755">
    <w:name w:val="Char Char1 Char Char Char Char Char Char Char Char Char Char Char Char Char Char Char Char Char Char Char Char Char Char Char Char Char Char Char Char Char Char1 Char"/>
    <w:basedOn w:val="1"/>
    <w:qFormat/>
    <w:uiPriority w:val="0"/>
    <w:pPr>
      <w:widowControl w:val="0"/>
      <w:jc w:val="both"/>
    </w:pPr>
    <w:rPr>
      <w:rFonts w:ascii="Times New Roman" w:hAnsi="Times New Roman" w:cs="Times New Roman"/>
      <w:kern w:val="2"/>
      <w:sz w:val="21"/>
    </w:rPr>
  </w:style>
  <w:style w:type="paragraph" w:customStyle="1" w:styleId="756">
    <w:name w:val="Char Char Char Char Char Char1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757">
    <w:name w:val="正文 1"/>
    <w:basedOn w:val="1"/>
    <w:qFormat/>
    <w:uiPriority w:val="0"/>
    <w:pPr>
      <w:widowControl w:val="0"/>
      <w:spacing w:line="480" w:lineRule="exact"/>
      <w:ind w:firstLine="567"/>
      <w:jc w:val="both"/>
    </w:pPr>
    <w:rPr>
      <w:rFonts w:ascii="Times New Roman" w:hAnsi="Times New Roman" w:cs="Times New Roman"/>
      <w:kern w:val="2"/>
      <w:sz w:val="28"/>
      <w:szCs w:val="20"/>
    </w:rPr>
  </w:style>
  <w:style w:type="paragraph" w:customStyle="1" w:styleId="758">
    <w:name w:val="正文仿宋"/>
    <w:basedOn w:val="1"/>
    <w:qFormat/>
    <w:uiPriority w:val="0"/>
    <w:pPr>
      <w:widowControl w:val="0"/>
      <w:adjustRightInd w:val="0"/>
      <w:snapToGrid w:val="0"/>
      <w:spacing w:line="360" w:lineRule="auto"/>
      <w:ind w:firstLine="567"/>
      <w:jc w:val="both"/>
    </w:pPr>
    <w:rPr>
      <w:rFonts w:ascii="Times New Roman" w:hAnsi="Times New Roman" w:cs="Times New Roman"/>
      <w:snapToGrid w:val="0"/>
      <w:szCs w:val="20"/>
    </w:rPr>
  </w:style>
  <w:style w:type="paragraph" w:customStyle="1" w:styleId="759">
    <w:name w:val="正文图小四"/>
    <w:basedOn w:val="1"/>
    <w:qFormat/>
    <w:uiPriority w:val="0"/>
    <w:pPr>
      <w:widowControl w:val="0"/>
      <w:adjustRightInd w:val="0"/>
      <w:snapToGrid w:val="0"/>
      <w:jc w:val="center"/>
      <w:textAlignment w:val="baseline"/>
    </w:pPr>
    <w:rPr>
      <w:rFonts w:hAnsi="Times New Roman" w:cs="Times New Roman"/>
      <w:szCs w:val="20"/>
    </w:rPr>
  </w:style>
  <w:style w:type="paragraph" w:customStyle="1" w:styleId="760">
    <w:name w:val="正文仿宋小四"/>
    <w:basedOn w:val="1"/>
    <w:qFormat/>
    <w:uiPriority w:val="0"/>
    <w:pPr>
      <w:widowControl w:val="0"/>
      <w:adjustRightInd w:val="0"/>
      <w:snapToGrid w:val="0"/>
      <w:spacing w:line="360" w:lineRule="auto"/>
      <w:ind w:firstLine="480" w:firstLineChars="200"/>
      <w:jc w:val="both"/>
    </w:pPr>
    <w:rPr>
      <w:rFonts w:ascii="Times New Roman" w:hAnsi="Times New Roman" w:cs="Times New Roman"/>
      <w:kern w:val="2"/>
    </w:rPr>
  </w:style>
  <w:style w:type="character" w:customStyle="1" w:styleId="761">
    <w:name w:val="h31"/>
    <w:qFormat/>
    <w:uiPriority w:val="0"/>
    <w:rPr>
      <w:sz w:val="21"/>
      <w:szCs w:val="21"/>
    </w:rPr>
  </w:style>
  <w:style w:type="paragraph" w:customStyle="1" w:styleId="762">
    <w:name w:val="标题112"/>
    <w:basedOn w:val="1"/>
    <w:link w:val="763"/>
    <w:qFormat/>
    <w:uiPriority w:val="0"/>
    <w:pPr>
      <w:widowControl w:val="0"/>
      <w:spacing w:line="360" w:lineRule="auto"/>
      <w:jc w:val="both"/>
    </w:pPr>
    <w:rPr>
      <w:rFonts w:cs="Times New Roman"/>
      <w:kern w:val="2"/>
    </w:rPr>
  </w:style>
  <w:style w:type="character" w:customStyle="1" w:styleId="763">
    <w:name w:val="标题1 Char"/>
    <w:link w:val="762"/>
    <w:qFormat/>
    <w:uiPriority w:val="0"/>
    <w:rPr>
      <w:rFonts w:ascii="宋体" w:hAnsi="宋体"/>
      <w:kern w:val="2"/>
      <w:sz w:val="24"/>
      <w:szCs w:val="24"/>
    </w:rPr>
  </w:style>
  <w:style w:type="paragraph" w:customStyle="1" w:styleId="764">
    <w:name w:val="文本正式"/>
    <w:basedOn w:val="1"/>
    <w:qFormat/>
    <w:uiPriority w:val="0"/>
    <w:pPr>
      <w:widowControl w:val="0"/>
      <w:spacing w:line="360" w:lineRule="auto"/>
      <w:ind w:firstLine="480" w:firstLineChars="200"/>
      <w:jc w:val="both"/>
    </w:pPr>
    <w:rPr>
      <w:rFonts w:ascii="Times New Roman" w:hAnsi="Times New Roman" w:cs="Times New Roman"/>
      <w:kern w:val="2"/>
      <w:szCs w:val="20"/>
    </w:rPr>
  </w:style>
  <w:style w:type="paragraph" w:customStyle="1" w:styleId="765">
    <w:name w:val="Char Char1 Char Char Char Char Char Char Char Char Char Char Char Char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766">
    <w:name w:val="Char Char1 Char Char Char Char Char Char Char Char Char Char Char Char Char Char Char Char Char Char Char Char Char Char Char Char Char Char Char Char Char Char1 Char Char Char"/>
    <w:basedOn w:val="1"/>
    <w:qFormat/>
    <w:uiPriority w:val="0"/>
    <w:pPr>
      <w:widowControl w:val="0"/>
      <w:jc w:val="both"/>
    </w:pPr>
    <w:rPr>
      <w:rFonts w:ascii="Times New Roman" w:hAnsi="Times New Roman" w:cs="Times New Roman"/>
      <w:kern w:val="2"/>
      <w:sz w:val="21"/>
    </w:rPr>
  </w:style>
  <w:style w:type="paragraph" w:customStyle="1" w:styleId="767">
    <w:name w:val="参加人员"/>
    <w:basedOn w:val="1"/>
    <w:qFormat/>
    <w:uiPriority w:val="0"/>
    <w:pPr>
      <w:widowControl w:val="0"/>
      <w:spacing w:line="500" w:lineRule="atLeast"/>
      <w:jc w:val="both"/>
    </w:pPr>
    <w:rPr>
      <w:rFonts w:ascii="Times New Roman" w:hAnsi="Times New Roman" w:cs="Times New Roman"/>
      <w:kern w:val="2"/>
      <w:szCs w:val="20"/>
    </w:rPr>
  </w:style>
  <w:style w:type="paragraph" w:customStyle="1" w:styleId="768">
    <w:name w:val="c12"/>
    <w:basedOn w:val="1"/>
    <w:qFormat/>
    <w:uiPriority w:val="0"/>
    <w:pPr>
      <w:spacing w:before="100" w:beforeAutospacing="1" w:after="100" w:afterAutospacing="1" w:line="315" w:lineRule="atLeast"/>
    </w:pPr>
    <w:rPr>
      <w:rFonts w:cs="Times New Roman"/>
      <w:color w:val="666666"/>
      <w:sz w:val="18"/>
      <w:szCs w:val="18"/>
    </w:rPr>
  </w:style>
  <w:style w:type="paragraph" w:customStyle="1" w:styleId="769">
    <w:name w:val="z正文"/>
    <w:basedOn w:val="35"/>
    <w:qFormat/>
    <w:uiPriority w:val="0"/>
    <w:pPr>
      <w:widowControl w:val="0"/>
      <w:autoSpaceDE w:val="0"/>
      <w:autoSpaceDN w:val="0"/>
      <w:adjustRightInd w:val="0"/>
      <w:snapToGrid w:val="0"/>
      <w:spacing w:after="0" w:line="360" w:lineRule="auto"/>
      <w:ind w:left="0" w:leftChars="0" w:firstLine="200" w:firstLineChars="200"/>
      <w:jc w:val="both"/>
      <w:textAlignment w:val="baseline"/>
    </w:pPr>
    <w:rPr>
      <w:rFonts w:ascii="Times New Roman" w:hAnsi="Times New Roman" w:cs="Times New Roman"/>
      <w:szCs w:val="24"/>
    </w:rPr>
  </w:style>
  <w:style w:type="paragraph" w:customStyle="1" w:styleId="770">
    <w:name w:val="样式62"/>
    <w:basedOn w:val="1"/>
    <w:qFormat/>
    <w:uiPriority w:val="0"/>
    <w:pPr>
      <w:widowControl w:val="0"/>
      <w:spacing w:before="156" w:beforeLines="50" w:after="156" w:afterLines="50" w:line="360" w:lineRule="auto"/>
      <w:ind w:firstLine="480" w:firstLineChars="200"/>
      <w:jc w:val="both"/>
    </w:pPr>
    <w:rPr>
      <w:rFonts w:ascii="Times New Roman" w:hAnsi="Times New Roman" w:cs="Times New Roman"/>
      <w:kern w:val="2"/>
    </w:rPr>
  </w:style>
  <w:style w:type="paragraph" w:customStyle="1" w:styleId="771">
    <w:name w:val="正文（YHY-GDB)"/>
    <w:basedOn w:val="1"/>
    <w:link w:val="772"/>
    <w:qFormat/>
    <w:uiPriority w:val="0"/>
    <w:pPr>
      <w:widowControl w:val="0"/>
      <w:spacing w:before="50" w:beforeLines="50" w:after="50" w:afterLines="50" w:line="360" w:lineRule="auto"/>
      <w:ind w:firstLine="200" w:firstLineChars="200"/>
      <w:jc w:val="both"/>
    </w:pPr>
    <w:rPr>
      <w:rFonts w:ascii="Times New Roman" w:hAnsi="Times New Roman" w:cs="Times New Roman"/>
      <w:kern w:val="2"/>
    </w:rPr>
  </w:style>
  <w:style w:type="character" w:customStyle="1" w:styleId="772">
    <w:name w:val="正文（YHY-GDB) Char"/>
    <w:link w:val="771"/>
    <w:qFormat/>
    <w:uiPriority w:val="0"/>
    <w:rPr>
      <w:kern w:val="2"/>
      <w:sz w:val="24"/>
      <w:szCs w:val="24"/>
    </w:rPr>
  </w:style>
  <w:style w:type="paragraph" w:customStyle="1" w:styleId="773">
    <w:name w:val="魏秀珍  报告正文1"/>
    <w:basedOn w:val="1"/>
    <w:link w:val="774"/>
    <w:qFormat/>
    <w:uiPriority w:val="0"/>
    <w:pPr>
      <w:widowControl w:val="0"/>
      <w:adjustRightInd w:val="0"/>
      <w:snapToGrid w:val="0"/>
      <w:spacing w:line="360" w:lineRule="auto"/>
      <w:ind w:firstLine="200" w:firstLineChars="200"/>
      <w:jc w:val="both"/>
    </w:pPr>
    <w:rPr>
      <w:rFonts w:hAnsi="Times New Roman" w:cs="Times New Roman"/>
      <w:kern w:val="2"/>
      <w:szCs w:val="20"/>
    </w:rPr>
  </w:style>
  <w:style w:type="character" w:customStyle="1" w:styleId="774">
    <w:name w:val="魏秀珍  报告正文1 Char Char"/>
    <w:link w:val="773"/>
    <w:qFormat/>
    <w:uiPriority w:val="0"/>
    <w:rPr>
      <w:rFonts w:ascii="宋体"/>
      <w:kern w:val="2"/>
      <w:sz w:val="24"/>
    </w:rPr>
  </w:style>
  <w:style w:type="character" w:customStyle="1" w:styleId="775">
    <w:name w:val="style3"/>
    <w:qFormat/>
    <w:uiPriority w:val="0"/>
  </w:style>
  <w:style w:type="paragraph" w:customStyle="1" w:styleId="776">
    <w:name w:val="字元 字元"/>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777">
    <w:name w:val="样式 宋体 小四 行距: 1.5 倍行距"/>
    <w:basedOn w:val="1"/>
    <w:qFormat/>
    <w:uiPriority w:val="0"/>
    <w:pPr>
      <w:widowControl w:val="0"/>
      <w:spacing w:line="360" w:lineRule="auto"/>
      <w:ind w:firstLine="480" w:firstLineChars="200"/>
      <w:jc w:val="both"/>
    </w:pPr>
    <w:rPr>
      <w:kern w:val="2"/>
      <w:szCs w:val="20"/>
    </w:rPr>
  </w:style>
  <w:style w:type="character" w:customStyle="1" w:styleId="778">
    <w:name w:val="H9 Char"/>
    <w:qFormat/>
    <w:uiPriority w:val="0"/>
    <w:rPr>
      <w:rFonts w:ascii="Arial" w:hAnsi="Arial" w:eastAsia="Symbol"/>
      <w:sz w:val="24"/>
      <w:lang w:val="en-US" w:eastAsia="zh-CN" w:bidi="ar-SA"/>
    </w:rPr>
  </w:style>
  <w:style w:type="paragraph" w:customStyle="1" w:styleId="779">
    <w:name w:val="样式54"/>
    <w:basedOn w:val="1"/>
    <w:qFormat/>
    <w:uiPriority w:val="0"/>
    <w:pPr>
      <w:widowControl w:val="0"/>
      <w:spacing w:line="360" w:lineRule="auto"/>
      <w:ind w:firstLine="425"/>
      <w:jc w:val="center"/>
      <w:outlineLvl w:val="4"/>
    </w:pPr>
    <w:rPr>
      <w:rFonts w:ascii="Times New Roman" w:hAnsi="Times New Roman" w:eastAsia="Symbol" w:cs="Times New Roman"/>
      <w:b/>
      <w:kern w:val="2"/>
      <w:sz w:val="21"/>
      <w:szCs w:val="20"/>
    </w:rPr>
  </w:style>
  <w:style w:type="paragraph" w:customStyle="1" w:styleId="780">
    <w:name w:val="Char2"/>
    <w:basedOn w:val="1"/>
    <w:qFormat/>
    <w:uiPriority w:val="0"/>
    <w:pPr>
      <w:widowControl w:val="0"/>
      <w:jc w:val="both"/>
    </w:pPr>
    <w:rPr>
      <w:rFonts w:ascii="Times New Roman" w:hAnsi="Times New Roman" w:cs="Times New Roman"/>
      <w:kern w:val="2"/>
    </w:rPr>
  </w:style>
  <w:style w:type="paragraph" w:customStyle="1" w:styleId="781">
    <w:name w:val="表格（5号）"/>
    <w:basedOn w:val="1"/>
    <w:qFormat/>
    <w:uiPriority w:val="0"/>
    <w:pPr>
      <w:widowControl w:val="0"/>
      <w:spacing w:line="360" w:lineRule="exact"/>
      <w:ind w:left="-113" w:right="-113"/>
      <w:jc w:val="center"/>
    </w:pPr>
    <w:rPr>
      <w:color w:val="000000"/>
      <w:kern w:val="2"/>
      <w:sz w:val="18"/>
      <w:szCs w:val="18"/>
    </w:rPr>
  </w:style>
  <w:style w:type="paragraph" w:customStyle="1" w:styleId="782">
    <w:name w:val="正文YHY"/>
    <w:basedOn w:val="1"/>
    <w:link w:val="783"/>
    <w:qFormat/>
    <w:uiPriority w:val="0"/>
    <w:pPr>
      <w:widowControl w:val="0"/>
      <w:spacing w:before="50" w:beforeLines="50" w:after="50" w:afterLines="50" w:line="360" w:lineRule="auto"/>
      <w:ind w:firstLine="200" w:firstLineChars="200"/>
      <w:jc w:val="both"/>
    </w:pPr>
    <w:rPr>
      <w:rFonts w:ascii="Times New Roman" w:hAnsi="Times New Roman" w:cs="Times New Roman"/>
      <w:kern w:val="2"/>
    </w:rPr>
  </w:style>
  <w:style w:type="character" w:customStyle="1" w:styleId="783">
    <w:name w:val="正文YHY Char"/>
    <w:link w:val="782"/>
    <w:qFormat/>
    <w:uiPriority w:val="0"/>
    <w:rPr>
      <w:kern w:val="2"/>
      <w:sz w:val="24"/>
      <w:szCs w:val="24"/>
    </w:rPr>
  </w:style>
  <w:style w:type="paragraph" w:customStyle="1" w:styleId="784">
    <w:name w:val="样式60"/>
    <w:basedOn w:val="247"/>
    <w:qFormat/>
    <w:uiPriority w:val="0"/>
    <w:pPr>
      <w:spacing w:before="0" w:beforeLines="0" w:after="0" w:afterLines="0" w:line="360" w:lineRule="auto"/>
      <w:ind w:firstLine="425"/>
      <w:outlineLvl w:val="4"/>
    </w:pPr>
    <w:rPr>
      <w:rFonts w:eastAsia="Symbol"/>
      <w:kern w:val="0"/>
      <w:szCs w:val="20"/>
    </w:rPr>
  </w:style>
  <w:style w:type="paragraph" w:customStyle="1" w:styleId="785">
    <w:name w:val="样式61"/>
    <w:basedOn w:val="296"/>
    <w:qFormat/>
    <w:uiPriority w:val="0"/>
    <w:pPr>
      <w:jc w:val="center"/>
    </w:pPr>
  </w:style>
  <w:style w:type="paragraph" w:customStyle="1" w:styleId="786">
    <w:name w:val="样式56"/>
    <w:basedOn w:val="296"/>
    <w:qFormat/>
    <w:uiPriority w:val="0"/>
    <w:pPr>
      <w:jc w:val="center"/>
    </w:pPr>
  </w:style>
  <w:style w:type="paragraph" w:customStyle="1" w:styleId="787">
    <w:name w:val="样式66"/>
    <w:basedOn w:val="296"/>
    <w:qFormat/>
    <w:uiPriority w:val="0"/>
    <w:pPr>
      <w:jc w:val="center"/>
    </w:pPr>
  </w:style>
  <w:style w:type="paragraph" w:customStyle="1" w:styleId="788">
    <w:name w:val="亲启"/>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789">
    <w:name w:val="样式55"/>
    <w:basedOn w:val="771"/>
    <w:qFormat/>
    <w:uiPriority w:val="0"/>
    <w:pPr>
      <w:spacing w:before="120" w:after="120"/>
      <w:ind w:firstLine="480"/>
    </w:pPr>
  </w:style>
  <w:style w:type="paragraph" w:customStyle="1" w:styleId="790">
    <w:name w:val="公式编辑器"/>
    <w:basedOn w:val="21"/>
    <w:qFormat/>
    <w:uiPriority w:val="0"/>
    <w:pPr>
      <w:widowControl w:val="0"/>
      <w:ind w:left="0" w:firstLine="200" w:firstLineChars="200"/>
      <w:jc w:val="both"/>
    </w:pPr>
    <w:rPr>
      <w:rFonts w:ascii="Times New Roman" w:hAnsi="Times New Roman" w:cs="Times New Roman"/>
      <w:kern w:val="2"/>
      <w:sz w:val="25"/>
    </w:rPr>
  </w:style>
  <w:style w:type="paragraph" w:customStyle="1" w:styleId="791">
    <w:name w:val="样式64"/>
    <w:basedOn w:val="785"/>
    <w:qFormat/>
    <w:uiPriority w:val="0"/>
  </w:style>
  <w:style w:type="paragraph" w:customStyle="1" w:styleId="792">
    <w:name w:val="样式 样式 样式 标题 3标题 13标题 3 Char1 Char Char Char标题 31ReHead 3 WSAh3B...."/>
    <w:basedOn w:val="1"/>
    <w:qFormat/>
    <w:uiPriority w:val="0"/>
    <w:pPr>
      <w:keepNext/>
      <w:keepLines/>
      <w:widowControl w:val="0"/>
      <w:spacing w:before="156" w:beforeLines="50" w:after="156" w:afterLines="50" w:line="460" w:lineRule="exact"/>
      <w:jc w:val="both"/>
      <w:outlineLvl w:val="2"/>
    </w:pPr>
    <w:rPr>
      <w:rFonts w:ascii="Times New Roman" w:hAnsi="Times New Roman"/>
      <w:b/>
      <w:bCs/>
      <w:color w:val="000000"/>
      <w:kern w:val="2"/>
      <w:szCs w:val="20"/>
    </w:rPr>
  </w:style>
  <w:style w:type="paragraph" w:customStyle="1" w:styleId="793">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character" w:customStyle="1" w:styleId="794">
    <w:name w:val="keyword"/>
    <w:qFormat/>
    <w:uiPriority w:val="0"/>
  </w:style>
  <w:style w:type="character" w:customStyle="1" w:styleId="795">
    <w:name w:val="文本 Char"/>
    <w:qFormat/>
    <w:uiPriority w:val="0"/>
    <w:rPr>
      <w:rFonts w:eastAsia="宋体"/>
      <w:kern w:val="2"/>
      <w:sz w:val="21"/>
      <w:szCs w:val="24"/>
      <w:lang w:val="en-US" w:eastAsia="zh-CN" w:bidi="ar-SA"/>
    </w:rPr>
  </w:style>
  <w:style w:type="character" w:customStyle="1" w:styleId="796">
    <w:name w:val="titlefont"/>
    <w:qFormat/>
    <w:uiPriority w:val="0"/>
  </w:style>
  <w:style w:type="paragraph" w:customStyle="1" w:styleId="797">
    <w:name w:val="题注+图"/>
    <w:basedOn w:val="22"/>
    <w:qFormat/>
    <w:uiPriority w:val="0"/>
    <w:pPr>
      <w:widowControl w:val="0"/>
      <w:jc w:val="center"/>
    </w:pPr>
    <w:rPr>
      <w:rFonts w:ascii="Arial" w:hAnsi="Arial" w:eastAsia="宋体"/>
      <w:b/>
      <w:bCs/>
      <w:kern w:val="2"/>
      <w:sz w:val="21"/>
      <w:szCs w:val="20"/>
    </w:rPr>
  </w:style>
  <w:style w:type="character" w:customStyle="1" w:styleId="798">
    <w:name w:val="表格文字 Char"/>
    <w:qFormat/>
    <w:uiPriority w:val="0"/>
    <w:rPr>
      <w:rFonts w:ascii="宋体" w:hAnsi="宋体" w:eastAsia="宋体"/>
      <w:sz w:val="21"/>
      <w:lang w:val="en-US" w:eastAsia="zh-CN" w:bidi="ar-SA"/>
    </w:rPr>
  </w:style>
  <w:style w:type="paragraph" w:customStyle="1" w:styleId="799">
    <w:name w:val="Char Char Char1 Char Char Char Char Char Char Char Char Char Char Char Char Char Char Char Char Char Char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800">
    <w:name w:val="第四节"/>
    <w:basedOn w:val="1"/>
    <w:qFormat/>
    <w:uiPriority w:val="0"/>
    <w:pPr>
      <w:widowControl w:val="0"/>
      <w:spacing w:before="360" w:beforeLines="150" w:line="360" w:lineRule="auto"/>
      <w:ind w:firstLine="358" w:firstLineChars="119"/>
    </w:pPr>
    <w:rPr>
      <w:rFonts w:ascii="Times New Roman" w:hAnsi="Times New Roman" w:eastAsia="Symbol" w:cs="Times New Roman"/>
      <w:b/>
      <w:bCs/>
      <w:sz w:val="30"/>
    </w:rPr>
  </w:style>
  <w:style w:type="character" w:customStyle="1" w:styleId="801">
    <w:name w:val="第一节"/>
    <w:qFormat/>
    <w:uiPriority w:val="0"/>
    <w:rPr>
      <w:rFonts w:eastAsia="Symbol"/>
      <w:b/>
      <w:bCs/>
      <w:spacing w:val="0"/>
      <w:position w:val="0"/>
      <w:sz w:val="44"/>
    </w:rPr>
  </w:style>
  <w:style w:type="character" w:customStyle="1" w:styleId="802">
    <w:name w:val="第二节"/>
    <w:qFormat/>
    <w:uiPriority w:val="0"/>
    <w:rPr>
      <w:rFonts w:ascii="Symbol" w:eastAsia="Symbol"/>
      <w:sz w:val="36"/>
    </w:rPr>
  </w:style>
  <w:style w:type="character" w:customStyle="1" w:styleId="803">
    <w:name w:val="contentfont1"/>
    <w:qFormat/>
    <w:uiPriority w:val="0"/>
    <w:rPr>
      <w:sz w:val="19"/>
      <w:szCs w:val="19"/>
    </w:rPr>
  </w:style>
  <w:style w:type="paragraph" w:customStyle="1" w:styleId="804">
    <w:name w:val="2152793030"/>
    <w:basedOn w:val="1"/>
    <w:qFormat/>
    <w:uiPriority w:val="0"/>
    <w:pPr>
      <w:widowControl w:val="0"/>
      <w:adjustRightInd w:val="0"/>
      <w:spacing w:line="420" w:lineRule="atLeast"/>
      <w:ind w:firstLine="601"/>
      <w:textAlignment w:val="baseline"/>
    </w:pPr>
    <w:rPr>
      <w:rFonts w:hAnsi="Times New Roman" w:cs="Times New Roman"/>
      <w:spacing w:val="20"/>
      <w:szCs w:val="20"/>
    </w:rPr>
  </w:style>
  <w:style w:type="paragraph" w:customStyle="1" w:styleId="805">
    <w:name w:val="表1"/>
    <w:basedOn w:val="1"/>
    <w:next w:val="1"/>
    <w:qFormat/>
    <w:uiPriority w:val="0"/>
    <w:pPr>
      <w:keepNext/>
      <w:framePr w:hSpace="181" w:vSpace="181" w:wrap="notBeside" w:vAnchor="text" w:hAnchor="text" w:xAlign="center" w:y="1"/>
      <w:autoSpaceDE w:val="0"/>
      <w:autoSpaceDN w:val="0"/>
      <w:adjustRightInd w:val="0"/>
      <w:spacing w:before="60" w:after="60"/>
      <w:textAlignment w:val="baseline"/>
    </w:pPr>
    <w:rPr>
      <w:rFonts w:ascii="Times New Roman" w:hAnsi="Times New Roman" w:cs="Times New Roman"/>
      <w:szCs w:val="20"/>
    </w:rPr>
  </w:style>
  <w:style w:type="paragraph" w:customStyle="1" w:styleId="806">
    <w:name w:val="节名"/>
    <w:basedOn w:val="1"/>
    <w:qFormat/>
    <w:uiPriority w:val="0"/>
    <w:pPr>
      <w:widowControl w:val="0"/>
      <w:adjustRightInd w:val="0"/>
      <w:spacing w:line="360" w:lineRule="auto"/>
      <w:jc w:val="both"/>
      <w:textAlignment w:val="baseline"/>
    </w:pPr>
    <w:rPr>
      <w:rFonts w:ascii="Times New Roman" w:hAnsi="Times New Roman" w:eastAsia="Symbol" w:cs="Times New Roman"/>
      <w:b/>
      <w:sz w:val="28"/>
      <w:szCs w:val="20"/>
    </w:rPr>
  </w:style>
  <w:style w:type="paragraph" w:customStyle="1" w:styleId="807">
    <w:name w:val="自制正文1"/>
    <w:basedOn w:val="1"/>
    <w:next w:val="1"/>
    <w:qFormat/>
    <w:uiPriority w:val="0"/>
    <w:pPr>
      <w:widowControl w:val="0"/>
      <w:adjustRightInd w:val="0"/>
      <w:snapToGrid w:val="0"/>
      <w:spacing w:line="300" w:lineRule="auto"/>
      <w:jc w:val="both"/>
    </w:pPr>
    <w:rPr>
      <w:rFonts w:ascii="Times New Roman" w:hAnsi="Times New Roman" w:cs="Times New Roman"/>
      <w:kern w:val="2"/>
    </w:rPr>
  </w:style>
  <w:style w:type="paragraph" w:customStyle="1" w:styleId="808">
    <w:name w:val="font6"/>
    <w:basedOn w:val="1"/>
    <w:qFormat/>
    <w:uiPriority w:val="0"/>
    <w:pPr>
      <w:spacing w:before="100" w:beforeAutospacing="1" w:after="100" w:afterAutospacing="1"/>
    </w:pPr>
    <w:rPr>
      <w:rFonts w:hint="eastAsia" w:cs="Times New Roman"/>
      <w:sz w:val="18"/>
      <w:szCs w:val="18"/>
    </w:rPr>
  </w:style>
  <w:style w:type="paragraph" w:customStyle="1" w:styleId="809">
    <w:name w:val="font7"/>
    <w:basedOn w:val="1"/>
    <w:qFormat/>
    <w:uiPriority w:val="0"/>
    <w:pPr>
      <w:spacing w:before="100" w:beforeAutospacing="1" w:after="100" w:afterAutospacing="1"/>
    </w:pPr>
    <w:rPr>
      <w:rFonts w:ascii="Times New Roman" w:hAnsi="Times New Roman" w:cs="Times New Roman"/>
      <w:sz w:val="21"/>
      <w:szCs w:val="21"/>
    </w:rPr>
  </w:style>
  <w:style w:type="paragraph" w:customStyle="1" w:styleId="810">
    <w:name w:val="font8"/>
    <w:basedOn w:val="1"/>
    <w:qFormat/>
    <w:uiPriority w:val="0"/>
    <w:pPr>
      <w:spacing w:before="100" w:beforeAutospacing="1" w:after="100" w:afterAutospacing="1"/>
    </w:pPr>
    <w:rPr>
      <w:rFonts w:ascii="Times New Roman" w:hAnsi="Times New Roman" w:cs="Times New Roman"/>
      <w:sz w:val="21"/>
      <w:szCs w:val="21"/>
    </w:rPr>
  </w:style>
  <w:style w:type="paragraph" w:customStyle="1" w:styleId="811">
    <w:name w:val="font9"/>
    <w:basedOn w:val="1"/>
    <w:qFormat/>
    <w:uiPriority w:val="0"/>
    <w:pPr>
      <w:spacing w:before="100" w:beforeAutospacing="1" w:after="100" w:afterAutospacing="1"/>
    </w:pPr>
    <w:rPr>
      <w:rFonts w:ascii="Times New Roman" w:hAnsi="Times New Roman" w:cs="Times New Roman"/>
      <w:color w:val="FF0000"/>
      <w:sz w:val="21"/>
      <w:szCs w:val="21"/>
    </w:rPr>
  </w:style>
  <w:style w:type="paragraph" w:customStyle="1" w:styleId="812">
    <w:name w:val="xl35"/>
    <w:basedOn w:val="1"/>
    <w:qFormat/>
    <w:uiPriority w:val="0"/>
    <w:pPr>
      <w:pBdr>
        <w:bottom w:val="single" w:color="auto" w:sz="4" w:space="0"/>
        <w:right w:val="single" w:color="auto" w:sz="4" w:space="0"/>
      </w:pBdr>
      <w:spacing w:before="100" w:beforeAutospacing="1" w:after="100" w:afterAutospacing="1"/>
      <w:jc w:val="center"/>
    </w:pPr>
    <w:rPr>
      <w:rFonts w:ascii="Times New Roman" w:hAnsi="Times New Roman" w:cs="Times New Roman"/>
      <w:color w:val="FF0000"/>
      <w:sz w:val="21"/>
      <w:szCs w:val="21"/>
    </w:rPr>
  </w:style>
  <w:style w:type="paragraph" w:customStyle="1" w:styleId="813">
    <w:name w:val="xl37"/>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cs="Times New Roman"/>
      <w:sz w:val="21"/>
      <w:szCs w:val="21"/>
    </w:rPr>
  </w:style>
  <w:style w:type="paragraph" w:customStyle="1" w:styleId="814">
    <w:name w:val="xl38"/>
    <w:basedOn w:val="1"/>
    <w:qFormat/>
    <w:uiPriority w:val="0"/>
    <w:pPr>
      <w:pBdr>
        <w:top w:val="single" w:color="auto" w:sz="4" w:space="0"/>
        <w:left w:val="single" w:color="auto" w:sz="4" w:space="0"/>
        <w:right w:val="single" w:color="auto" w:sz="4" w:space="0"/>
      </w:pBdr>
      <w:spacing w:before="100" w:beforeAutospacing="1" w:after="100" w:afterAutospacing="1"/>
      <w:jc w:val="center"/>
    </w:pPr>
    <w:rPr>
      <w:rFonts w:cs="Times New Roman"/>
      <w:sz w:val="21"/>
      <w:szCs w:val="21"/>
    </w:rPr>
  </w:style>
  <w:style w:type="paragraph" w:customStyle="1" w:styleId="815">
    <w:name w:val="font0"/>
    <w:basedOn w:val="1"/>
    <w:qFormat/>
    <w:uiPriority w:val="0"/>
    <w:pPr>
      <w:spacing w:before="100" w:beforeAutospacing="1" w:after="100" w:afterAutospacing="1"/>
    </w:pPr>
    <w:rPr>
      <w:rFonts w:hint="eastAsia" w:cs="Times New Roman"/>
    </w:rPr>
  </w:style>
  <w:style w:type="character" w:customStyle="1" w:styleId="816">
    <w:name w:val="3zw1"/>
    <w:qFormat/>
    <w:uiPriority w:val="0"/>
    <w:rPr>
      <w:color w:val="000000"/>
      <w:sz w:val="21"/>
      <w:szCs w:val="21"/>
    </w:rPr>
  </w:style>
  <w:style w:type="character" w:customStyle="1" w:styleId="817">
    <w:name w:val="bfont1"/>
    <w:qFormat/>
    <w:uiPriority w:val="0"/>
    <w:rPr>
      <w:b/>
      <w:bCs/>
    </w:rPr>
  </w:style>
  <w:style w:type="paragraph" w:customStyle="1" w:styleId="818">
    <w:name w:val="8"/>
    <w:basedOn w:val="1"/>
    <w:next w:val="76"/>
    <w:qFormat/>
    <w:uiPriority w:val="0"/>
    <w:pPr>
      <w:widowControl w:val="0"/>
      <w:spacing w:line="336" w:lineRule="auto"/>
      <w:jc w:val="both"/>
    </w:pPr>
    <w:rPr>
      <w:rFonts w:ascii="Times New Roman" w:hAnsi="Times New Roman" w:cs="Times New Roman"/>
      <w:spacing w:val="10"/>
      <w:kern w:val="2"/>
      <w:szCs w:val="20"/>
    </w:rPr>
  </w:style>
  <w:style w:type="character" w:customStyle="1" w:styleId="819">
    <w:name w:val="标题 2 Char Char Char Char Char Char C"/>
    <w:qFormat/>
    <w:uiPriority w:val="0"/>
    <w:rPr>
      <w:rFonts w:ascii="宋体" w:hAnsi="Arial"/>
      <w:b/>
      <w:sz w:val="28"/>
    </w:rPr>
  </w:style>
  <w:style w:type="paragraph" w:customStyle="1" w:styleId="820">
    <w:name w:val="普通 (Web)"/>
    <w:basedOn w:val="1"/>
    <w:qFormat/>
    <w:uiPriority w:val="0"/>
    <w:pPr>
      <w:spacing w:before="100" w:beforeAutospacing="1" w:after="100" w:afterAutospacing="1"/>
    </w:pPr>
    <w:rPr>
      <w:rFonts w:cs="Times New Roman"/>
    </w:rPr>
  </w:style>
  <w:style w:type="character" w:customStyle="1" w:styleId="821">
    <w:name w:val="样式 (西文) 宋体 字距调整小五 加宽量  0.2 磅"/>
    <w:qFormat/>
    <w:uiPriority w:val="0"/>
    <w:rPr>
      <w:rFonts w:ascii="Arial" w:hAnsi="宋体" w:eastAsia="Arial"/>
      <w:color w:val="auto"/>
      <w:spacing w:val="4"/>
      <w:kern w:val="18"/>
      <w:sz w:val="24"/>
      <w:szCs w:val="24"/>
    </w:rPr>
  </w:style>
  <w:style w:type="paragraph" w:customStyle="1" w:styleId="822">
    <w:name w:val="标题5"/>
    <w:basedOn w:val="4"/>
    <w:qFormat/>
    <w:uiPriority w:val="0"/>
    <w:pPr>
      <w:widowControl w:val="0"/>
      <w:numPr>
        <w:ilvl w:val="0"/>
        <w:numId w:val="0"/>
      </w:numPr>
      <w:adjustRightInd w:val="0"/>
      <w:snapToGrid w:val="0"/>
      <w:spacing w:before="120" w:after="0" w:line="300" w:lineRule="auto"/>
      <w:jc w:val="both"/>
    </w:pPr>
    <w:rPr>
      <w:rFonts w:ascii="Times New Roman" w:hAnsi="Times New Roman" w:eastAsia="宋体" w:cs="Times New Roman"/>
      <w:bCs/>
      <w:kern w:val="2"/>
    </w:rPr>
  </w:style>
  <w:style w:type="paragraph" w:customStyle="1" w:styleId="823">
    <w:name w:val="表后间隔"/>
    <w:basedOn w:val="55"/>
    <w:qFormat/>
    <w:uiPriority w:val="0"/>
    <w:pPr>
      <w:widowControl w:val="0"/>
      <w:tabs>
        <w:tab w:val="left" w:pos="0"/>
      </w:tabs>
      <w:spacing w:before="50" w:after="50" w:line="40" w:lineRule="exact"/>
      <w:ind w:firstLine="471"/>
    </w:pPr>
    <w:rPr>
      <w:rFonts w:cs="Times New Roman"/>
      <w:szCs w:val="27"/>
      <w:lang w:val="eu-ES"/>
    </w:rPr>
  </w:style>
  <w:style w:type="character" w:customStyle="1" w:styleId="824">
    <w:name w:val="defaultfont1"/>
    <w:qFormat/>
    <w:uiPriority w:val="0"/>
  </w:style>
  <w:style w:type="paragraph" w:customStyle="1" w:styleId="825">
    <w:name w:val="样式 标题 3B HeadH3标题 3 Char Char标题 3 Char Char Char Char标题 3 C..."/>
    <w:basedOn w:val="5"/>
    <w:qFormat/>
    <w:uiPriority w:val="0"/>
    <w:pPr>
      <w:widowControl w:val="0"/>
      <w:tabs>
        <w:tab w:val="left" w:pos="1605"/>
      </w:tabs>
      <w:spacing w:before="100" w:after="100" w:line="300" w:lineRule="auto"/>
      <w:ind w:left="1234" w:hanging="709"/>
      <w:jc w:val="both"/>
    </w:pPr>
    <w:rPr>
      <w:rFonts w:ascii="Symbol" w:hAnsi="Times New Roman" w:eastAsia="Symbol" w:cs="Times New Roman"/>
      <w:b w:val="0"/>
      <w:bCs w:val="0"/>
      <w:kern w:val="2"/>
      <w:sz w:val="28"/>
      <w:szCs w:val="20"/>
    </w:rPr>
  </w:style>
  <w:style w:type="paragraph" w:customStyle="1" w:styleId="826">
    <w:name w:val="样式 标题 2H2SeHead wsa2标题 1.1标题 2 Char Char Char Char Char标题 ..."/>
    <w:basedOn w:val="4"/>
    <w:qFormat/>
    <w:uiPriority w:val="0"/>
    <w:pPr>
      <w:widowControl w:val="0"/>
      <w:numPr>
        <w:ilvl w:val="0"/>
        <w:numId w:val="0"/>
      </w:numPr>
      <w:tabs>
        <w:tab w:val="left" w:pos="567"/>
      </w:tabs>
      <w:spacing w:before="120" w:after="120" w:line="360" w:lineRule="auto"/>
      <w:ind w:left="567" w:hanging="567"/>
      <w:jc w:val="both"/>
    </w:pPr>
    <w:rPr>
      <w:rFonts w:ascii="Symbol" w:eastAsia="Symbol" w:cs="Times New Roman"/>
      <w:b w:val="0"/>
      <w:kern w:val="2"/>
      <w:szCs w:val="20"/>
    </w:rPr>
  </w:style>
  <w:style w:type="character" w:customStyle="1" w:styleId="827">
    <w:name w:val="列表 3 Char"/>
    <w:qFormat/>
    <w:uiPriority w:val="0"/>
    <w:rPr>
      <w:rFonts w:eastAsia="宋体"/>
      <w:kern w:val="2"/>
      <w:sz w:val="24"/>
      <w:szCs w:val="24"/>
      <w:lang w:val="en-US" w:eastAsia="zh-CN" w:bidi="ar-SA"/>
    </w:rPr>
  </w:style>
  <w:style w:type="paragraph" w:customStyle="1" w:styleId="828">
    <w:name w:val="样式 标题 1Head 1wsa文章标题标题 1111. heading 1标准章H1PIM 1h11.章节..."/>
    <w:basedOn w:val="3"/>
    <w:qFormat/>
    <w:uiPriority w:val="0"/>
    <w:pPr>
      <w:keepLines/>
      <w:overflowPunct/>
      <w:adjustRightInd w:val="0"/>
      <w:spacing w:before="0" w:after="0" w:line="360" w:lineRule="auto"/>
      <w:ind w:left="0" w:firstLine="0"/>
      <w:jc w:val="both"/>
    </w:pPr>
    <w:rPr>
      <w:rFonts w:ascii="Times New Roman" w:hAnsi="Times New Roman" w:eastAsia="宋体" w:cs="Times New Roman"/>
      <w:snapToGrid w:val="0"/>
      <w:color w:val="auto"/>
      <w:sz w:val="44"/>
      <w:szCs w:val="44"/>
    </w:rPr>
  </w:style>
  <w:style w:type="paragraph" w:customStyle="1" w:styleId="829">
    <w:name w:val="Char Char Char Char Char Char1 Char"/>
    <w:basedOn w:val="1"/>
    <w:qFormat/>
    <w:uiPriority w:val="0"/>
    <w:pPr>
      <w:widowControl w:val="0"/>
      <w:tabs>
        <w:tab w:val="left" w:pos="360"/>
      </w:tabs>
      <w:spacing w:line="360" w:lineRule="auto"/>
      <w:ind w:firstLine="482"/>
      <w:jc w:val="both"/>
    </w:pPr>
    <w:rPr>
      <w:rFonts w:ascii="Cambria Math" w:hAnsi="Cambria Math" w:eastAsia="Symbol" w:cs="Times New Roman"/>
      <w:kern w:val="2"/>
      <w:sz w:val="21"/>
      <w:szCs w:val="21"/>
    </w:rPr>
  </w:style>
  <w:style w:type="paragraph" w:customStyle="1" w:styleId="830">
    <w:name w:val="默认段落字体 Para Char Char Char Char Char Char Char Char Char Char Char Char Char1 Char"/>
    <w:basedOn w:val="26"/>
    <w:qFormat/>
    <w:uiPriority w:val="0"/>
    <w:pPr>
      <w:widowControl w:val="0"/>
      <w:shd w:val="clear" w:color="auto" w:fill="000080"/>
      <w:jc w:val="both"/>
    </w:pPr>
    <w:rPr>
      <w:rFonts w:ascii="Cambria Math" w:hAnsi="Cambria Math" w:cs="Times New Roman"/>
      <w:kern w:val="2"/>
      <w:sz w:val="24"/>
      <w:szCs w:val="24"/>
    </w:rPr>
  </w:style>
  <w:style w:type="paragraph" w:customStyle="1" w:styleId="831">
    <w:name w:val="样式 小四"/>
    <w:basedOn w:val="1"/>
    <w:qFormat/>
    <w:uiPriority w:val="0"/>
    <w:pPr>
      <w:widowControl w:val="0"/>
      <w:tabs>
        <w:tab w:val="left" w:pos="1800"/>
      </w:tabs>
      <w:adjustRightInd w:val="0"/>
      <w:snapToGrid w:val="0"/>
      <w:spacing w:before="50" w:beforeLines="50"/>
      <w:ind w:firstLine="560" w:firstLineChars="200"/>
      <w:jc w:val="both"/>
    </w:pPr>
    <w:rPr>
      <w:rFonts w:hAnsi="Times New Roman" w:cs="Times New Roman"/>
      <w:kern w:val="2"/>
      <w:sz w:val="28"/>
      <w:szCs w:val="20"/>
    </w:rPr>
  </w:style>
  <w:style w:type="character" w:customStyle="1" w:styleId="832">
    <w:name w:val="ggtitle"/>
    <w:qFormat/>
    <w:uiPriority w:val="0"/>
  </w:style>
  <w:style w:type="character" w:customStyle="1" w:styleId="833">
    <w:name w:val="f9wen1"/>
    <w:qFormat/>
    <w:uiPriority w:val="0"/>
    <w:rPr>
      <w:spacing w:val="12"/>
      <w:sz w:val="18"/>
      <w:szCs w:val="18"/>
      <w:u w:val="none"/>
    </w:rPr>
  </w:style>
  <w:style w:type="paragraph" w:customStyle="1" w:styleId="834">
    <w:name w:val="表格3"/>
    <w:basedOn w:val="1"/>
    <w:qFormat/>
    <w:uiPriority w:val="0"/>
    <w:pPr>
      <w:widowControl w:val="0"/>
      <w:spacing w:line="240" w:lineRule="exact"/>
      <w:jc w:val="center"/>
    </w:pPr>
    <w:rPr>
      <w:rFonts w:ascii="Times New Roman" w:hAnsi="Times New Roman" w:cs="Times New Roman"/>
      <w:kern w:val="2"/>
      <w:sz w:val="21"/>
      <w:szCs w:val="20"/>
    </w:rPr>
  </w:style>
  <w:style w:type="paragraph" w:customStyle="1" w:styleId="835">
    <w:name w:val="表内字"/>
    <w:basedOn w:val="34"/>
    <w:qFormat/>
    <w:uiPriority w:val="0"/>
    <w:pPr>
      <w:overflowPunct w:val="0"/>
      <w:autoSpaceDE w:val="0"/>
      <w:autoSpaceDN w:val="0"/>
      <w:adjustRightInd w:val="0"/>
      <w:snapToGrid/>
      <w:spacing w:before="120" w:after="0" w:line="240" w:lineRule="auto"/>
      <w:ind w:right="0"/>
      <w:textAlignment w:val="baseline"/>
    </w:pPr>
    <w:rPr>
      <w:rFonts w:ascii="Arial" w:hAnsi="Arial" w:cs="Times New Roman"/>
      <w:spacing w:val="8"/>
      <w:sz w:val="24"/>
    </w:rPr>
  </w:style>
  <w:style w:type="paragraph" w:customStyle="1" w:styleId="836">
    <w:name w:val="表格內文1"/>
    <w:basedOn w:val="1"/>
    <w:qFormat/>
    <w:uiPriority w:val="0"/>
    <w:pPr>
      <w:widowControl w:val="0"/>
      <w:tabs>
        <w:tab w:val="left" w:pos="227"/>
      </w:tabs>
      <w:adjustRightInd w:val="0"/>
      <w:snapToGrid w:val="0"/>
      <w:spacing w:line="240" w:lineRule="atLeast"/>
      <w:jc w:val="both"/>
    </w:pPr>
    <w:rPr>
      <w:rFonts w:eastAsia="Cambria Math" w:cs="Times New Roman"/>
      <w:snapToGrid w:val="0"/>
      <w:szCs w:val="20"/>
      <w:lang w:eastAsia="zh-TW"/>
    </w:rPr>
  </w:style>
  <w:style w:type="character" w:customStyle="1" w:styleId="837">
    <w:name w:val="content1"/>
    <w:qFormat/>
    <w:uiPriority w:val="0"/>
    <w:rPr>
      <w:sz w:val="21"/>
      <w:szCs w:val="21"/>
    </w:rPr>
  </w:style>
  <w:style w:type="paragraph" w:customStyle="1" w:styleId="838">
    <w:name w:val="zmzw"/>
    <w:basedOn w:val="1"/>
    <w:qFormat/>
    <w:uiPriority w:val="0"/>
    <w:pPr>
      <w:widowControl w:val="0"/>
      <w:spacing w:line="360" w:lineRule="auto"/>
      <w:jc w:val="both"/>
    </w:pPr>
    <w:rPr>
      <w:rFonts w:ascii="Times New Roman" w:hAnsi="Times New Roman" w:cs="Times New Roman"/>
      <w:kern w:val="2"/>
      <w:sz w:val="28"/>
      <w:szCs w:val="20"/>
    </w:rPr>
  </w:style>
  <w:style w:type="paragraph" w:customStyle="1" w:styleId="839">
    <w:name w:val="3.1"/>
    <w:basedOn w:val="1"/>
    <w:qFormat/>
    <w:uiPriority w:val="0"/>
    <w:pPr>
      <w:widowControl w:val="0"/>
      <w:spacing w:before="240" w:after="120" w:line="360" w:lineRule="exact"/>
    </w:pPr>
    <w:rPr>
      <w:rFonts w:ascii="Times New Roman" w:hAnsi="Times New Roman" w:eastAsia="minorBidi" w:cs="Times New Roman"/>
      <w:kern w:val="2"/>
      <w:sz w:val="28"/>
      <w:szCs w:val="20"/>
      <w:lang w:eastAsia="zh-TW"/>
    </w:rPr>
  </w:style>
  <w:style w:type="paragraph" w:customStyle="1" w:styleId="840">
    <w:name w:val="1.1.1"/>
    <w:basedOn w:val="1"/>
    <w:qFormat/>
    <w:uiPriority w:val="0"/>
    <w:pPr>
      <w:widowControl w:val="0"/>
      <w:adjustRightInd w:val="0"/>
      <w:spacing w:before="240" w:after="120" w:line="360" w:lineRule="atLeast"/>
      <w:ind w:firstLine="198"/>
      <w:textAlignment w:val="baseline"/>
    </w:pPr>
    <w:rPr>
      <w:rFonts w:ascii="Times New Roman" w:hAnsi="Times New Roman" w:eastAsia="minorBidi" w:cs="Times New Roman"/>
      <w:sz w:val="28"/>
      <w:szCs w:val="20"/>
      <w:lang w:eastAsia="zh-TW"/>
    </w:rPr>
  </w:style>
  <w:style w:type="paragraph" w:customStyle="1" w:styleId="841">
    <w:name w:val="圖"/>
    <w:basedOn w:val="35"/>
    <w:qFormat/>
    <w:uiPriority w:val="0"/>
    <w:pPr>
      <w:widowControl w:val="0"/>
      <w:adjustRightInd w:val="0"/>
      <w:spacing w:after="0" w:line="360" w:lineRule="exact"/>
      <w:ind w:left="0" w:leftChars="0" w:firstLine="840"/>
      <w:jc w:val="center"/>
      <w:textAlignment w:val="baseline"/>
    </w:pPr>
    <w:rPr>
      <w:rFonts w:ascii="Arial" w:hAnsi="Arial" w:eastAsia="Symbol" w:cs="Times New Roman"/>
      <w:sz w:val="22"/>
      <w:lang w:eastAsia="zh-TW"/>
    </w:rPr>
  </w:style>
  <w:style w:type="paragraph" w:customStyle="1" w:styleId="842">
    <w:name w:val="z3"/>
    <w:basedOn w:val="5"/>
    <w:qFormat/>
    <w:uiPriority w:val="0"/>
    <w:pPr>
      <w:widowControl w:val="0"/>
      <w:tabs>
        <w:tab w:val="left" w:pos="720"/>
      </w:tabs>
      <w:spacing w:before="0" w:after="0" w:line="360" w:lineRule="auto"/>
      <w:ind w:firstLine="980" w:firstLineChars="200"/>
    </w:pPr>
    <w:rPr>
      <w:rFonts w:ascii="Arial" w:hAnsi="Times New Roman" w:eastAsia="Arial" w:cs="Times New Roman"/>
      <w:b w:val="0"/>
      <w:color w:val="000000"/>
      <w:kern w:val="2"/>
      <w:sz w:val="30"/>
    </w:rPr>
  </w:style>
  <w:style w:type="paragraph" w:customStyle="1" w:styleId="843">
    <w:name w:val="正文 t"/>
    <w:basedOn w:val="1"/>
    <w:qFormat/>
    <w:uiPriority w:val="0"/>
    <w:pPr>
      <w:widowControl w:val="0"/>
      <w:spacing w:before="120" w:after="120" w:line="240" w:lineRule="atLeast"/>
      <w:jc w:val="both"/>
    </w:pPr>
    <w:rPr>
      <w:rFonts w:ascii="Arial" w:hAnsi="Arial" w:cs="Times New Roman"/>
      <w:kern w:val="2"/>
      <w:szCs w:val="20"/>
    </w:rPr>
  </w:style>
  <w:style w:type="paragraph" w:customStyle="1" w:styleId="844">
    <w:name w:val="样式 首行缩进:  2 字符"/>
    <w:basedOn w:val="1"/>
    <w:link w:val="845"/>
    <w:qFormat/>
    <w:uiPriority w:val="0"/>
    <w:pPr>
      <w:widowControl w:val="0"/>
      <w:snapToGrid w:val="0"/>
      <w:spacing w:line="360" w:lineRule="auto"/>
      <w:ind w:firstLine="480" w:firstLineChars="200"/>
      <w:jc w:val="both"/>
    </w:pPr>
    <w:rPr>
      <w:rFonts w:ascii="Times New Roman" w:hAnsi="Times New Roman"/>
      <w:kern w:val="2"/>
      <w:szCs w:val="20"/>
    </w:rPr>
  </w:style>
  <w:style w:type="character" w:customStyle="1" w:styleId="845">
    <w:name w:val="样式 首行缩进:  2 字符 Char"/>
    <w:link w:val="844"/>
    <w:qFormat/>
    <w:uiPriority w:val="0"/>
    <w:rPr>
      <w:rFonts w:cs="宋体"/>
      <w:kern w:val="2"/>
      <w:sz w:val="24"/>
    </w:rPr>
  </w:style>
  <w:style w:type="paragraph" w:customStyle="1" w:styleId="846">
    <w:name w:val="样式 标题 4Subsection + 首行缩进:  2 字符"/>
    <w:basedOn w:val="6"/>
    <w:qFormat/>
    <w:uiPriority w:val="0"/>
    <w:pPr>
      <w:widowControl w:val="0"/>
      <w:snapToGrid w:val="0"/>
      <w:spacing w:before="0" w:after="0" w:line="360" w:lineRule="auto"/>
      <w:jc w:val="both"/>
    </w:pPr>
    <w:rPr>
      <w:rFonts w:ascii="Arial" w:hAnsi="Arial" w:eastAsia="Symbol" w:cs="Times New Roman"/>
      <w:b w:val="0"/>
      <w:bCs w:val="0"/>
      <w:kern w:val="2"/>
      <w:sz w:val="24"/>
      <w:szCs w:val="20"/>
    </w:rPr>
  </w:style>
  <w:style w:type="paragraph" w:customStyle="1" w:styleId="847">
    <w:name w:val="正文四号缩进"/>
    <w:basedOn w:val="1"/>
    <w:qFormat/>
    <w:uiPriority w:val="0"/>
    <w:pPr>
      <w:widowControl w:val="0"/>
      <w:spacing w:after="50" w:afterLines="50"/>
      <w:ind w:firstLine="200" w:firstLineChars="200"/>
      <w:jc w:val="both"/>
    </w:pPr>
    <w:rPr>
      <w:rFonts w:hAnsi="Times New Roman" w:cs="Times New Roman"/>
      <w:spacing w:val="10"/>
      <w:kern w:val="2"/>
      <w:szCs w:val="28"/>
    </w:rPr>
  </w:style>
  <w:style w:type="paragraph" w:customStyle="1" w:styleId="848">
    <w:name w:val="表中"/>
    <w:basedOn w:val="1"/>
    <w:qFormat/>
    <w:uiPriority w:val="0"/>
    <w:pPr>
      <w:widowControl w:val="0"/>
      <w:adjustRightInd w:val="0"/>
      <w:snapToGrid w:val="0"/>
      <w:spacing w:line="240" w:lineRule="atLeast"/>
      <w:jc w:val="center"/>
    </w:pPr>
    <w:rPr>
      <w:rFonts w:ascii="Times New Roman" w:hAnsi="Times New Roman" w:cs="Times New Roman"/>
      <w:snapToGrid w:val="0"/>
      <w:spacing w:val="10"/>
      <w:szCs w:val="20"/>
    </w:rPr>
  </w:style>
  <w:style w:type="paragraph" w:customStyle="1" w:styleId="849">
    <w:name w:val="小五"/>
    <w:basedOn w:val="1"/>
    <w:qFormat/>
    <w:uiPriority w:val="0"/>
    <w:pPr>
      <w:widowControl w:val="0"/>
      <w:snapToGrid w:val="0"/>
      <w:jc w:val="center"/>
    </w:pPr>
    <w:rPr>
      <w:rFonts w:ascii="Times New Roman" w:hAnsi="Times New Roman" w:cs="Times New Roman"/>
      <w:kern w:val="2"/>
      <w:sz w:val="18"/>
    </w:rPr>
  </w:style>
  <w:style w:type="paragraph" w:customStyle="1" w:styleId="850">
    <w:name w:val="样式 列表 + 居中"/>
    <w:basedOn w:val="66"/>
    <w:qFormat/>
    <w:uiPriority w:val="0"/>
    <w:pPr>
      <w:snapToGrid w:val="0"/>
      <w:ind w:left="0" w:firstLine="0" w:firstLineChars="0"/>
      <w:jc w:val="center"/>
    </w:pPr>
    <w:rPr>
      <w:szCs w:val="20"/>
    </w:rPr>
  </w:style>
  <w:style w:type="paragraph" w:customStyle="1" w:styleId="851">
    <w:name w:val="大表内容"/>
    <w:qFormat/>
    <w:uiPriority w:val="0"/>
    <w:pPr>
      <w:snapToGrid w:val="0"/>
      <w:jc w:val="center"/>
    </w:pPr>
    <w:rPr>
      <w:rFonts w:ascii="Times New Roman" w:hAnsi="Times New Roman" w:eastAsia="宋体" w:cs="Times New Roman"/>
      <w:sz w:val="21"/>
      <w:lang w:val="en-US" w:eastAsia="zh-CN" w:bidi="ar-SA"/>
    </w:rPr>
  </w:style>
  <w:style w:type="paragraph" w:customStyle="1" w:styleId="852">
    <w:name w:val="样式1.1.1"/>
    <w:basedOn w:val="1"/>
    <w:qFormat/>
    <w:uiPriority w:val="0"/>
    <w:pPr>
      <w:widowControl w:val="0"/>
      <w:spacing w:line="460" w:lineRule="exact"/>
      <w:jc w:val="both"/>
    </w:pPr>
    <w:rPr>
      <w:rFonts w:ascii="Times New Roman" w:hAnsi="Times New Roman" w:cs="Times New Roman"/>
      <w:bCs/>
      <w:kern w:val="2"/>
      <w:szCs w:val="21"/>
    </w:rPr>
  </w:style>
  <w:style w:type="paragraph" w:customStyle="1" w:styleId="853">
    <w:name w:val="样式 首行缩进:  2 字符1"/>
    <w:basedOn w:val="1"/>
    <w:link w:val="854"/>
    <w:qFormat/>
    <w:uiPriority w:val="0"/>
    <w:pPr>
      <w:widowControl w:val="0"/>
      <w:snapToGrid w:val="0"/>
      <w:spacing w:line="360" w:lineRule="auto"/>
      <w:ind w:firstLine="480" w:firstLineChars="200"/>
      <w:jc w:val="both"/>
    </w:pPr>
    <w:rPr>
      <w:rFonts w:ascii="Times New Roman" w:hAnsi="Times New Roman"/>
      <w:kern w:val="2"/>
      <w:szCs w:val="20"/>
    </w:rPr>
  </w:style>
  <w:style w:type="character" w:customStyle="1" w:styleId="854">
    <w:name w:val="样式 首行缩进:  2 字符1 Char"/>
    <w:link w:val="853"/>
    <w:qFormat/>
    <w:uiPriority w:val="0"/>
    <w:rPr>
      <w:rFonts w:cs="宋体"/>
      <w:kern w:val="2"/>
      <w:sz w:val="24"/>
    </w:rPr>
  </w:style>
  <w:style w:type="character" w:customStyle="1" w:styleId="855">
    <w:name w:val="article1"/>
    <w:qFormat/>
    <w:uiPriority w:val="0"/>
    <w:rPr>
      <w:color w:val="454545"/>
      <w:sz w:val="21"/>
      <w:szCs w:val="21"/>
      <w:u w:val="none"/>
    </w:rPr>
  </w:style>
  <w:style w:type="paragraph" w:customStyle="1" w:styleId="856">
    <w:name w:val="样式 小五 首行缩进: 0字符"/>
    <w:basedOn w:val="1"/>
    <w:qFormat/>
    <w:uiPriority w:val="0"/>
    <w:pPr>
      <w:widowControl w:val="0"/>
      <w:snapToGrid w:val="0"/>
      <w:spacing w:line="360" w:lineRule="auto"/>
      <w:ind w:firstLine="360" w:firstLineChars="200"/>
      <w:jc w:val="both"/>
    </w:pPr>
    <w:rPr>
      <w:rFonts w:ascii="Times New Roman" w:hAnsi="Times New Roman"/>
      <w:kern w:val="2"/>
      <w:sz w:val="18"/>
      <w:szCs w:val="20"/>
    </w:rPr>
  </w:style>
  <w:style w:type="paragraph" w:customStyle="1" w:styleId="857">
    <w:name w:val="样式 样式 小五 首行缩进: 0字符 + 首行缩进:  0字符"/>
    <w:basedOn w:val="856"/>
    <w:qFormat/>
    <w:uiPriority w:val="0"/>
    <w:pPr>
      <w:ind w:firstLine="480"/>
    </w:pPr>
  </w:style>
  <w:style w:type="paragraph" w:customStyle="1" w:styleId="858">
    <w:name w:val="样式 样式 标题 4Subsection + 首行缩进:  2 字符 + 左侧:  0.85 厘米 悬挂缩进: 8.64 字符"/>
    <w:basedOn w:val="846"/>
    <w:qFormat/>
    <w:uiPriority w:val="0"/>
    <w:pPr>
      <w:ind w:left="862" w:hanging="862"/>
    </w:pPr>
    <w:rPr>
      <w:rFonts w:cs="宋体"/>
      <w:b/>
      <w:bCs/>
    </w:rPr>
  </w:style>
  <w:style w:type="paragraph" w:customStyle="1" w:styleId="859">
    <w:name w:val="表格 21"/>
    <w:qFormat/>
    <w:uiPriority w:val="0"/>
    <w:pPr>
      <w:widowControl w:val="0"/>
      <w:autoSpaceDE w:val="0"/>
      <w:autoSpaceDN w:val="0"/>
      <w:adjustRightInd w:val="0"/>
      <w:jc w:val="center"/>
      <w:textAlignment w:val="baseline"/>
    </w:pPr>
    <w:rPr>
      <w:rFonts w:ascii="Times New Roman" w:hAnsi="Times New Roman" w:eastAsia="Cambria Math" w:cs="Times New Roman"/>
      <w:sz w:val="28"/>
      <w:lang w:val="en-US" w:eastAsia="zh-CN" w:bidi="ar-SA"/>
    </w:rPr>
  </w:style>
  <w:style w:type="paragraph" w:customStyle="1" w:styleId="860">
    <w:name w:val="defaultfont"/>
    <w:basedOn w:val="1"/>
    <w:qFormat/>
    <w:uiPriority w:val="0"/>
    <w:pPr>
      <w:spacing w:before="100" w:beforeAutospacing="1" w:after="100" w:afterAutospacing="1"/>
    </w:pPr>
  </w:style>
  <w:style w:type="character" w:customStyle="1" w:styleId="861">
    <w:name w:val="p14"/>
    <w:qFormat/>
    <w:uiPriority w:val="0"/>
  </w:style>
  <w:style w:type="paragraph" w:customStyle="1" w:styleId="862">
    <w:name w:val="p1"/>
    <w:basedOn w:val="1"/>
    <w:qFormat/>
    <w:uiPriority w:val="0"/>
    <w:pPr>
      <w:spacing w:before="100" w:beforeAutospacing="1" w:after="100" w:afterAutospacing="1" w:line="384" w:lineRule="atLeast"/>
    </w:pPr>
    <w:rPr>
      <w:color w:val="333333"/>
    </w:rPr>
  </w:style>
  <w:style w:type="paragraph" w:customStyle="1" w:styleId="863">
    <w:name w:val="xl57"/>
    <w:basedOn w:val="1"/>
    <w:qFormat/>
    <w:uiPriority w:val="0"/>
    <w:pPr>
      <w:pBdr>
        <w:left w:val="single" w:color="auto" w:sz="4" w:space="0"/>
        <w:right w:val="single" w:color="auto" w:sz="4" w:space="0"/>
      </w:pBdr>
      <w:spacing w:before="100" w:after="100"/>
      <w:jc w:val="center"/>
      <w:textAlignment w:val="center"/>
    </w:pPr>
    <w:rPr>
      <w:rFonts w:cs="Times New Roman"/>
      <w:sz w:val="22"/>
      <w:szCs w:val="20"/>
    </w:rPr>
  </w:style>
  <w:style w:type="paragraph" w:customStyle="1" w:styleId="864">
    <w:name w:val="5"/>
    <w:basedOn w:val="1"/>
    <w:qFormat/>
    <w:uiPriority w:val="0"/>
    <w:pPr>
      <w:widowControl w:val="0"/>
      <w:snapToGrid w:val="0"/>
      <w:spacing w:line="360" w:lineRule="auto"/>
      <w:ind w:firstLine="200" w:firstLineChars="200"/>
      <w:jc w:val="both"/>
    </w:pPr>
    <w:rPr>
      <w:rFonts w:ascii="Times New Roman" w:hAnsi="Times New Roman" w:cs="Times New Roman"/>
      <w:kern w:val="2"/>
    </w:rPr>
  </w:style>
  <w:style w:type="paragraph" w:customStyle="1" w:styleId="865">
    <w:name w:val="表内左齐"/>
    <w:basedOn w:val="1"/>
    <w:next w:val="35"/>
    <w:qFormat/>
    <w:uiPriority w:val="0"/>
    <w:pPr>
      <w:widowControl w:val="0"/>
      <w:snapToGrid w:val="0"/>
      <w:spacing w:line="360" w:lineRule="auto"/>
      <w:ind w:firstLine="480" w:firstLineChars="200"/>
      <w:jc w:val="both"/>
    </w:pPr>
    <w:rPr>
      <w:rFonts w:ascii="Times New Roman" w:hAnsi="Times New Roman" w:cs="Times New Roman"/>
      <w:kern w:val="2"/>
    </w:rPr>
  </w:style>
  <w:style w:type="paragraph" w:customStyle="1" w:styleId="866">
    <w:name w:val="6"/>
    <w:basedOn w:val="1"/>
    <w:qFormat/>
    <w:uiPriority w:val="0"/>
    <w:pPr>
      <w:widowControl w:val="0"/>
      <w:snapToGrid w:val="0"/>
      <w:spacing w:line="360" w:lineRule="auto"/>
      <w:ind w:firstLine="200" w:firstLineChars="200"/>
      <w:jc w:val="both"/>
    </w:pPr>
    <w:rPr>
      <w:rFonts w:ascii="Times New Roman" w:hAnsi="Times New Roman" w:cs="Times New Roman"/>
      <w:kern w:val="2"/>
    </w:rPr>
  </w:style>
  <w:style w:type="paragraph" w:customStyle="1" w:styleId="867">
    <w:name w:val="文本框文字"/>
    <w:basedOn w:val="1"/>
    <w:qFormat/>
    <w:uiPriority w:val="0"/>
    <w:pPr>
      <w:widowControl w:val="0"/>
      <w:jc w:val="center"/>
    </w:pPr>
    <w:rPr>
      <w:rFonts w:ascii="Times New Roman" w:hAnsi="Times New Roman" w:cs="Times New Roman"/>
      <w:kern w:val="2"/>
      <w:sz w:val="21"/>
    </w:rPr>
  </w:style>
  <w:style w:type="paragraph" w:customStyle="1" w:styleId="868">
    <w:name w:val="表的内容"/>
    <w:basedOn w:val="1"/>
    <w:next w:val="1"/>
    <w:qFormat/>
    <w:uiPriority w:val="0"/>
    <w:pPr>
      <w:widowControl w:val="0"/>
      <w:jc w:val="both"/>
    </w:pPr>
    <w:rPr>
      <w:rFonts w:ascii="Times New Roman" w:hAnsi="Times New Roman" w:cs="Times New Roman"/>
      <w:kern w:val="2"/>
      <w:position w:val="-20"/>
      <w:sz w:val="21"/>
    </w:rPr>
  </w:style>
  <w:style w:type="paragraph" w:customStyle="1" w:styleId="869">
    <w:name w:val="7"/>
    <w:basedOn w:val="1"/>
    <w:qFormat/>
    <w:uiPriority w:val="0"/>
    <w:pPr>
      <w:widowControl w:val="0"/>
      <w:spacing w:line="360" w:lineRule="auto"/>
      <w:jc w:val="both"/>
    </w:pPr>
    <w:rPr>
      <w:rFonts w:ascii="Times New Roman" w:hAnsi="Times New Roman" w:cs="Times New Roman"/>
      <w:kern w:val="2"/>
      <w:szCs w:val="20"/>
    </w:rPr>
  </w:style>
  <w:style w:type="paragraph" w:customStyle="1" w:styleId="870">
    <w:name w:val="表格文字2"/>
    <w:basedOn w:val="1"/>
    <w:qFormat/>
    <w:uiPriority w:val="0"/>
    <w:pPr>
      <w:widowControl w:val="0"/>
      <w:adjustRightInd w:val="0"/>
      <w:snapToGrid w:val="0"/>
      <w:ind w:left="-105" w:leftChars="-50" w:right="-105" w:rightChars="-50"/>
      <w:jc w:val="center"/>
      <w:textAlignment w:val="baseline"/>
    </w:pPr>
    <w:rPr>
      <w:rFonts w:ascii="Arial" w:hAnsi="Arial" w:cs="Times New Roman"/>
      <w:kern w:val="2"/>
      <w:szCs w:val="20"/>
    </w:rPr>
  </w:style>
  <w:style w:type="paragraph" w:customStyle="1" w:styleId="871">
    <w:name w:val="图表"/>
    <w:basedOn w:val="1"/>
    <w:next w:val="1"/>
    <w:qFormat/>
    <w:uiPriority w:val="0"/>
    <w:pPr>
      <w:keepNext/>
      <w:widowControl w:val="0"/>
      <w:autoSpaceDE w:val="0"/>
      <w:autoSpaceDN w:val="0"/>
      <w:adjustRightInd w:val="0"/>
      <w:jc w:val="both"/>
    </w:pPr>
    <w:rPr>
      <w:rFonts w:cs="Times New Roman"/>
      <w:bCs/>
      <w:kern w:val="2"/>
      <w:sz w:val="21"/>
      <w:szCs w:val="21"/>
    </w:rPr>
  </w:style>
  <w:style w:type="paragraph" w:customStyle="1" w:styleId="872">
    <w:name w:val="Definition Term"/>
    <w:basedOn w:val="1"/>
    <w:next w:val="1"/>
    <w:qFormat/>
    <w:uiPriority w:val="0"/>
    <w:pPr>
      <w:overflowPunct w:val="0"/>
      <w:autoSpaceDE w:val="0"/>
      <w:autoSpaceDN w:val="0"/>
      <w:adjustRightInd w:val="0"/>
      <w:textAlignment w:val="baseline"/>
    </w:pPr>
    <w:rPr>
      <w:rFonts w:ascii="Times New Roman" w:hAnsi="Times New Roman" w:cs="Times New Roman"/>
      <w:lang w:val="en-GB"/>
    </w:rPr>
  </w:style>
  <w:style w:type="paragraph" w:customStyle="1" w:styleId="873">
    <w:name w:val="表格五中"/>
    <w:link w:val="874"/>
    <w:qFormat/>
    <w:uiPriority w:val="0"/>
    <w:pPr>
      <w:adjustRightInd w:val="0"/>
      <w:snapToGrid w:val="0"/>
      <w:spacing w:line="240" w:lineRule="atLeast"/>
      <w:jc w:val="center"/>
    </w:pPr>
    <w:rPr>
      <w:rFonts w:ascii="Times New Roman" w:hAnsi="Times New Roman" w:eastAsia="宋体" w:cs="Times New Roman"/>
      <w:sz w:val="21"/>
      <w:lang w:val="en-US" w:eastAsia="zh-CN" w:bidi="ar-SA"/>
    </w:rPr>
  </w:style>
  <w:style w:type="character" w:customStyle="1" w:styleId="874">
    <w:name w:val="表格五中 Char"/>
    <w:link w:val="873"/>
    <w:qFormat/>
    <w:uiPriority w:val="0"/>
    <w:rPr>
      <w:sz w:val="21"/>
    </w:rPr>
  </w:style>
  <w:style w:type="paragraph" w:customStyle="1" w:styleId="875">
    <w:name w:val="表内五中"/>
    <w:qFormat/>
    <w:uiPriority w:val="0"/>
    <w:pPr>
      <w:adjustRightInd w:val="0"/>
      <w:ind w:left="-50"/>
      <w:jc w:val="center"/>
      <w:textAlignment w:val="baseline"/>
    </w:pPr>
    <w:rPr>
      <w:rFonts w:ascii="Times New Roman" w:hAnsi="Times New Roman" w:eastAsia="宋体" w:cs="Times New Roman"/>
      <w:sz w:val="21"/>
      <w:lang w:val="en-US" w:eastAsia="zh-CN" w:bidi="ar-SA"/>
    </w:rPr>
  </w:style>
  <w:style w:type="paragraph" w:customStyle="1" w:styleId="876">
    <w:name w:val="图表名称"/>
    <w:basedOn w:val="86"/>
    <w:next w:val="86"/>
    <w:link w:val="877"/>
    <w:qFormat/>
    <w:uiPriority w:val="0"/>
    <w:pPr>
      <w:widowControl w:val="0"/>
      <w:spacing w:after="120"/>
      <w:ind w:firstLine="0" w:firstLineChars="0"/>
      <w:jc w:val="center"/>
    </w:pPr>
    <w:rPr>
      <w:rFonts w:ascii="Times New Roman" w:hAnsi="Times New Roman" w:cs="Times New Roman"/>
      <w:b/>
      <w:kern w:val="2"/>
    </w:rPr>
  </w:style>
  <w:style w:type="character" w:customStyle="1" w:styleId="877">
    <w:name w:val="图表名称 Char"/>
    <w:link w:val="876"/>
    <w:qFormat/>
    <w:uiPriority w:val="0"/>
    <w:rPr>
      <w:b/>
      <w:kern w:val="2"/>
      <w:sz w:val="24"/>
      <w:szCs w:val="24"/>
    </w:rPr>
  </w:style>
  <w:style w:type="paragraph" w:customStyle="1" w:styleId="878">
    <w:name w:val="表格 33"/>
    <w:basedOn w:val="1"/>
    <w:qFormat/>
    <w:uiPriority w:val="0"/>
    <w:pPr>
      <w:widowControl w:val="0"/>
      <w:autoSpaceDE w:val="0"/>
      <w:autoSpaceDN w:val="0"/>
      <w:adjustRightInd w:val="0"/>
      <w:jc w:val="center"/>
      <w:textAlignment w:val="baseline"/>
    </w:pPr>
    <w:rPr>
      <w:rFonts w:ascii="Times New Roman" w:hAnsi="Times New Roman" w:eastAsia="Arial" w:cs="Times New Roman"/>
      <w:sz w:val="21"/>
      <w:szCs w:val="20"/>
    </w:rPr>
  </w:style>
  <w:style w:type="paragraph" w:customStyle="1" w:styleId="879">
    <w:name w:val="日期1"/>
    <w:basedOn w:val="1"/>
    <w:next w:val="1"/>
    <w:qFormat/>
    <w:uiPriority w:val="0"/>
    <w:pPr>
      <w:widowControl w:val="0"/>
      <w:adjustRightInd w:val="0"/>
      <w:spacing w:line="312" w:lineRule="atLeast"/>
      <w:jc w:val="right"/>
      <w:textAlignment w:val="baseline"/>
    </w:pPr>
    <w:rPr>
      <w:rFonts w:ascii="Arial" w:hAnsi="Times New Roman" w:cs="Times New Roman"/>
      <w:szCs w:val="20"/>
    </w:rPr>
  </w:style>
  <w:style w:type="paragraph" w:customStyle="1" w:styleId="880">
    <w:name w:val="Heading Base"/>
    <w:basedOn w:val="34"/>
    <w:next w:val="34"/>
    <w:qFormat/>
    <w:uiPriority w:val="0"/>
    <w:pPr>
      <w:keepNext/>
      <w:keepLines/>
      <w:snapToGrid/>
      <w:spacing w:before="0" w:after="0" w:line="240" w:lineRule="auto"/>
      <w:ind w:right="0"/>
    </w:pPr>
    <w:rPr>
      <w:rFonts w:cs="Times New Roman"/>
      <w:kern w:val="20"/>
      <w:sz w:val="21"/>
    </w:rPr>
  </w:style>
  <w:style w:type="paragraph" w:customStyle="1" w:styleId="881">
    <w:name w:val="表内小四中"/>
    <w:qFormat/>
    <w:uiPriority w:val="0"/>
    <w:pPr>
      <w:adjustRightInd w:val="0"/>
      <w:ind w:left="-50"/>
      <w:jc w:val="center"/>
      <w:textAlignment w:val="baseline"/>
    </w:pPr>
    <w:rPr>
      <w:rFonts w:ascii="Times New Roman" w:hAnsi="Times New Roman" w:eastAsia="宋体" w:cs="Times New Roman"/>
      <w:sz w:val="24"/>
      <w:lang w:val="en-US" w:eastAsia="zh-CN" w:bidi="ar-SA"/>
    </w:rPr>
  </w:style>
  <w:style w:type="paragraph" w:customStyle="1" w:styleId="882">
    <w:name w:val="块项目"/>
    <w:next w:val="86"/>
    <w:qFormat/>
    <w:uiPriority w:val="0"/>
    <w:pPr>
      <w:tabs>
        <w:tab w:val="left" w:pos="900"/>
        <w:tab w:val="left" w:pos="976"/>
      </w:tabs>
      <w:spacing w:before="120" w:after="120" w:line="360" w:lineRule="auto"/>
      <w:ind w:left="992" w:hanging="527"/>
    </w:pPr>
    <w:rPr>
      <w:rFonts w:ascii="Times New Roman" w:hAnsi="Times New Roman" w:eastAsia="宋体" w:cs="Times New Roman"/>
      <w:b/>
      <w:spacing w:val="20"/>
      <w:sz w:val="24"/>
      <w:lang w:val="en-US" w:eastAsia="zh-CN" w:bidi="ar-SA"/>
    </w:rPr>
  </w:style>
  <w:style w:type="paragraph" w:customStyle="1" w:styleId="883">
    <w:name w:val="表头5"/>
    <w:basedOn w:val="1"/>
    <w:qFormat/>
    <w:uiPriority w:val="0"/>
    <w:pPr>
      <w:widowControl w:val="0"/>
      <w:tabs>
        <w:tab w:val="left" w:pos="1200"/>
      </w:tabs>
      <w:adjustRightInd w:val="0"/>
      <w:snapToGrid w:val="0"/>
      <w:spacing w:before="240" w:beforeLines="100" w:after="120" w:afterLines="50" w:line="240" w:lineRule="atLeast"/>
      <w:ind w:left="950" w:leftChars="250" w:hanging="720"/>
      <w:jc w:val="both"/>
    </w:pPr>
    <w:rPr>
      <w:rFonts w:ascii="Times New Roman" w:hAnsi="Times New Roman" w:cs="Times New Roman"/>
      <w:b/>
      <w:kern w:val="2"/>
    </w:rPr>
  </w:style>
  <w:style w:type="paragraph" w:customStyle="1" w:styleId="884">
    <w:name w:val="表头4"/>
    <w:basedOn w:val="883"/>
    <w:qFormat/>
    <w:uiPriority w:val="0"/>
    <w:pPr>
      <w:tabs>
        <w:tab w:val="left" w:pos="360"/>
        <w:tab w:val="left" w:pos="1800"/>
        <w:tab w:val="clear" w:pos="1200"/>
      </w:tabs>
      <w:ind w:left="360" w:hanging="360"/>
    </w:pPr>
  </w:style>
  <w:style w:type="character" w:customStyle="1" w:styleId="885">
    <w:name w:val="Heading 3 Char"/>
    <w:qFormat/>
    <w:locked/>
    <w:uiPriority w:val="0"/>
    <w:rPr>
      <w:rFonts w:eastAsia="宋体"/>
      <w:b/>
      <w:bCs/>
      <w:kern w:val="2"/>
      <w:sz w:val="24"/>
      <w:szCs w:val="32"/>
      <w:lang w:val="en-US" w:eastAsia="zh-CN" w:bidi="ar-SA"/>
    </w:rPr>
  </w:style>
  <w:style w:type="paragraph" w:customStyle="1" w:styleId="886">
    <w:name w:val="char"/>
    <w:basedOn w:val="1"/>
    <w:qFormat/>
    <w:uiPriority w:val="0"/>
    <w:pPr>
      <w:tabs>
        <w:tab w:val="center" w:pos="4153"/>
        <w:tab w:val="right" w:pos="8306"/>
      </w:tabs>
      <w:snapToGrid w:val="0"/>
      <w:spacing w:after="160" w:line="300" w:lineRule="auto"/>
      <w:jc w:val="center"/>
    </w:pPr>
    <w:rPr>
      <w:rFonts w:cs="Cambria Math"/>
      <w:bCs/>
      <w:spacing w:val="2"/>
      <w:sz w:val="21"/>
      <w:szCs w:val="21"/>
      <w:lang w:eastAsia="en-US"/>
    </w:rPr>
  </w:style>
  <w:style w:type="character" w:customStyle="1" w:styleId="887">
    <w:name w:val="表格1 Char1"/>
    <w:qFormat/>
    <w:uiPriority w:val="0"/>
    <w:rPr>
      <w:rFonts w:ascii="minorBidi" w:eastAsia="宋体"/>
      <w:b/>
      <w:bCs/>
      <w:sz w:val="24"/>
      <w:lang w:val="en-US" w:eastAsia="zh-CN" w:bidi="ar-SA"/>
    </w:rPr>
  </w:style>
  <w:style w:type="paragraph" w:customStyle="1" w:styleId="888">
    <w:name w:val="正文普宁 Char"/>
    <w:basedOn w:val="1"/>
    <w:link w:val="889"/>
    <w:qFormat/>
    <w:uiPriority w:val="0"/>
    <w:pPr>
      <w:widowControl w:val="0"/>
      <w:spacing w:after="50" w:afterLines="50"/>
      <w:ind w:firstLine="200" w:firstLineChars="200"/>
      <w:jc w:val="both"/>
    </w:pPr>
    <w:rPr>
      <w:rFonts w:ascii="Times New Roman" w:hAnsi="Times New Roman" w:cs="Times New Roman"/>
      <w:kern w:val="2"/>
      <w:sz w:val="21"/>
    </w:rPr>
  </w:style>
  <w:style w:type="character" w:customStyle="1" w:styleId="889">
    <w:name w:val="正文普宁 Char Char"/>
    <w:link w:val="888"/>
    <w:qFormat/>
    <w:uiPriority w:val="0"/>
    <w:rPr>
      <w:kern w:val="2"/>
      <w:sz w:val="21"/>
      <w:szCs w:val="24"/>
    </w:rPr>
  </w:style>
  <w:style w:type="paragraph" w:customStyle="1" w:styleId="890">
    <w:name w:val="居中表内文"/>
    <w:basedOn w:val="1"/>
    <w:link w:val="891"/>
    <w:qFormat/>
    <w:uiPriority w:val="0"/>
    <w:pPr>
      <w:widowControl w:val="0"/>
      <w:jc w:val="center"/>
    </w:pPr>
    <w:rPr>
      <w:rFonts w:ascii="Times New Roman" w:hAnsi="Times New Roman"/>
      <w:kern w:val="2"/>
      <w:sz w:val="18"/>
      <w:szCs w:val="20"/>
    </w:rPr>
  </w:style>
  <w:style w:type="character" w:customStyle="1" w:styleId="891">
    <w:name w:val="居中表内文 Char"/>
    <w:link w:val="890"/>
    <w:qFormat/>
    <w:uiPriority w:val="0"/>
    <w:rPr>
      <w:rFonts w:cs="宋体"/>
      <w:kern w:val="2"/>
      <w:sz w:val="18"/>
    </w:rPr>
  </w:style>
  <w:style w:type="paragraph" w:customStyle="1" w:styleId="892">
    <w:name w:val="09表格题头"/>
    <w:basedOn w:val="1"/>
    <w:link w:val="893"/>
    <w:qFormat/>
    <w:uiPriority w:val="0"/>
    <w:pPr>
      <w:widowControl w:val="0"/>
      <w:spacing w:before="156" w:beforeLines="50"/>
    </w:pPr>
    <w:rPr>
      <w:rFonts w:ascii="Times New Roman" w:hAnsi="Times New Roman"/>
      <w:b/>
      <w:bCs/>
      <w:kern w:val="2"/>
      <w:sz w:val="21"/>
      <w:szCs w:val="20"/>
    </w:rPr>
  </w:style>
  <w:style w:type="character" w:customStyle="1" w:styleId="893">
    <w:name w:val="09表格题头 Char"/>
    <w:link w:val="892"/>
    <w:qFormat/>
    <w:uiPriority w:val="0"/>
    <w:rPr>
      <w:rFonts w:cs="宋体"/>
      <w:b/>
      <w:bCs/>
      <w:kern w:val="2"/>
      <w:sz w:val="21"/>
    </w:rPr>
  </w:style>
  <w:style w:type="paragraph" w:customStyle="1" w:styleId="894">
    <w:name w:val="五级无标题条"/>
    <w:basedOn w:val="1"/>
    <w:qFormat/>
    <w:uiPriority w:val="0"/>
    <w:pPr>
      <w:widowControl w:val="0"/>
      <w:jc w:val="both"/>
    </w:pPr>
    <w:rPr>
      <w:rFonts w:ascii="Times New Roman" w:hAnsi="Times New Roman" w:cs="Times New Roman"/>
      <w:kern w:val="2"/>
      <w:sz w:val="21"/>
    </w:rPr>
  </w:style>
  <w:style w:type="character" w:customStyle="1" w:styleId="895">
    <w:name w:val="正文文字 Char Char Char Char Char Char Char Char"/>
    <w:qFormat/>
    <w:uiPriority w:val="0"/>
    <w:rPr>
      <w:rFonts w:eastAsia="宋体"/>
      <w:kern w:val="2"/>
      <w:sz w:val="21"/>
      <w:szCs w:val="24"/>
      <w:lang w:val="en-US" w:eastAsia="zh-CN" w:bidi="ar-SA"/>
    </w:rPr>
  </w:style>
  <w:style w:type="paragraph" w:customStyle="1" w:styleId="896">
    <w:name w:val="正文(a)"/>
    <w:basedOn w:val="34"/>
    <w:qFormat/>
    <w:uiPriority w:val="0"/>
    <w:pPr>
      <w:tabs>
        <w:tab w:val="left" w:pos="1139"/>
        <w:tab w:val="left" w:pos="1332"/>
      </w:tabs>
      <w:snapToGrid/>
      <w:spacing w:before="0" w:after="0" w:line="351" w:lineRule="atLeast"/>
      <w:ind w:left="-141" w:right="0" w:firstLine="566"/>
      <w:jc w:val="both"/>
      <w:textAlignment w:val="baseline"/>
    </w:pPr>
    <w:rPr>
      <w:rFonts w:hAnsi="Times New Roman" w:cs="Times New Roman"/>
      <w:color w:val="000000"/>
      <w:spacing w:val="5"/>
      <w:kern w:val="2"/>
      <w:sz w:val="21"/>
      <w:szCs w:val="24"/>
      <w:u w:color="000000"/>
    </w:rPr>
  </w:style>
  <w:style w:type="paragraph" w:customStyle="1" w:styleId="897">
    <w:name w:val="样式 正文编号（1） +"/>
    <w:basedOn w:val="1"/>
    <w:qFormat/>
    <w:uiPriority w:val="0"/>
    <w:pPr>
      <w:widowControl w:val="0"/>
      <w:tabs>
        <w:tab w:val="left" w:pos="432"/>
        <w:tab w:val="left" w:pos="572"/>
      </w:tabs>
      <w:spacing w:line="520" w:lineRule="exact"/>
      <w:ind w:left="432" w:hanging="432"/>
      <w:jc w:val="both"/>
    </w:pPr>
    <w:rPr>
      <w:rFonts w:ascii="Times New Roman" w:hAnsi="Times New Roman" w:cs="Times New Roman"/>
      <w:sz w:val="28"/>
    </w:rPr>
  </w:style>
  <w:style w:type="paragraph" w:customStyle="1" w:styleId="898">
    <w:name w:val="标题 1文章"/>
    <w:basedOn w:val="3"/>
    <w:next w:val="1"/>
    <w:qFormat/>
    <w:uiPriority w:val="0"/>
    <w:pPr>
      <w:keepNext w:val="0"/>
      <w:widowControl w:val="0"/>
      <w:overflowPunct/>
      <w:autoSpaceDN w:val="0"/>
      <w:adjustRightInd w:val="0"/>
      <w:snapToGrid/>
      <w:spacing w:before="312" w:beforeLines="100" w:after="312" w:afterLines="100" w:line="360" w:lineRule="auto"/>
      <w:ind w:left="0" w:firstLine="0"/>
      <w:contextualSpacing/>
      <w:jc w:val="both"/>
      <w:textAlignment w:val="baseline"/>
      <w:outlineLvl w:val="1"/>
    </w:pPr>
    <w:rPr>
      <w:rFonts w:ascii="Symbol" w:hAnsi="Times New Roman" w:eastAsia="Symbol"/>
      <w:bCs w:val="0"/>
      <w:snapToGrid w:val="0"/>
      <w:color w:val="auto"/>
      <w:spacing w:val="4"/>
      <w:kern w:val="0"/>
      <w:sz w:val="48"/>
      <w:szCs w:val="48"/>
      <w:lang w:val="eu-ES"/>
    </w:rPr>
  </w:style>
  <w:style w:type="paragraph" w:customStyle="1" w:styleId="899">
    <w:name w:val="样式 标题 3H3B HeadReHead 3 WSAh3标题 3 Char标题 3 Char Char标题 3..."/>
    <w:basedOn w:val="5"/>
    <w:link w:val="900"/>
    <w:qFormat/>
    <w:uiPriority w:val="0"/>
    <w:pPr>
      <w:widowControl w:val="0"/>
      <w:adjustRightInd w:val="0"/>
      <w:spacing w:before="50" w:after="0" w:line="360" w:lineRule="auto"/>
    </w:pPr>
    <w:rPr>
      <w:rFonts w:ascii="Times New Roman" w:hAnsi="Times New Roman" w:cs="Times New Roman"/>
      <w:sz w:val="28"/>
      <w:szCs w:val="28"/>
    </w:rPr>
  </w:style>
  <w:style w:type="character" w:customStyle="1" w:styleId="900">
    <w:name w:val="样式 标题 3H3B HeadReHead 3 WSAh3标题 3 Char标题 3 Char Char标题 3... Char"/>
    <w:link w:val="899"/>
    <w:qFormat/>
    <w:uiPriority w:val="0"/>
    <w:rPr>
      <w:b/>
      <w:bCs/>
      <w:sz w:val="28"/>
      <w:szCs w:val="28"/>
    </w:rPr>
  </w:style>
  <w:style w:type="paragraph" w:customStyle="1" w:styleId="901">
    <w:name w:val="样式 标题 2H2SeHead wsa21标题 1.1. + Times New Roman"/>
    <w:basedOn w:val="4"/>
    <w:link w:val="902"/>
    <w:qFormat/>
    <w:uiPriority w:val="0"/>
    <w:pPr>
      <w:keepNext w:val="0"/>
      <w:keepLines w:val="0"/>
      <w:widowControl w:val="0"/>
      <w:numPr>
        <w:ilvl w:val="0"/>
        <w:numId w:val="0"/>
      </w:numPr>
      <w:adjustRightInd w:val="0"/>
      <w:snapToGrid w:val="0"/>
      <w:spacing w:before="100" w:beforeLines="100" w:after="50" w:afterLines="50" w:line="360" w:lineRule="auto"/>
      <w:jc w:val="both"/>
    </w:pPr>
    <w:rPr>
      <w:rFonts w:ascii="Times New Roman" w:hAnsi="Times New Roman" w:eastAsia="宋体" w:cs="Times New Roman"/>
      <w:bCs/>
      <w:sz w:val="30"/>
      <w:szCs w:val="30"/>
    </w:rPr>
  </w:style>
  <w:style w:type="character" w:customStyle="1" w:styleId="902">
    <w:name w:val="样式 标题 2H2SeHead wsa21标题 1.1. + Times New Roman Char"/>
    <w:link w:val="901"/>
    <w:qFormat/>
    <w:uiPriority w:val="0"/>
    <w:rPr>
      <w:b/>
      <w:bCs/>
      <w:sz w:val="30"/>
      <w:szCs w:val="30"/>
    </w:rPr>
  </w:style>
  <w:style w:type="paragraph" w:customStyle="1" w:styleId="903">
    <w:name w:val="样式 样式 样式 样式 标题 3H3B HeadReHead 3 WSAh3标题 3 Char标题 3 Char Char标题 ..."/>
    <w:basedOn w:val="1"/>
    <w:qFormat/>
    <w:uiPriority w:val="0"/>
    <w:pPr>
      <w:keepNext/>
      <w:keepLines/>
      <w:widowControl w:val="0"/>
      <w:adjustRightInd w:val="0"/>
      <w:spacing w:before="257" w:beforeLines="50" w:line="360" w:lineRule="auto"/>
      <w:outlineLvl w:val="2"/>
    </w:pPr>
    <w:rPr>
      <w:rFonts w:ascii="Times New Roman" w:hAnsi="Times New Roman"/>
      <w:b/>
      <w:bCs/>
      <w:sz w:val="28"/>
      <w:szCs w:val="20"/>
    </w:rPr>
  </w:style>
  <w:style w:type="paragraph" w:customStyle="1" w:styleId="904">
    <w:name w:val="注解文字"/>
    <w:basedOn w:val="1"/>
    <w:qFormat/>
    <w:uiPriority w:val="0"/>
    <w:pPr>
      <w:widowControl w:val="0"/>
      <w:spacing w:after="156" w:afterLines="50"/>
      <w:jc w:val="both"/>
    </w:pPr>
    <w:rPr>
      <w:rFonts w:ascii="Times New Roman" w:hAnsi="Arial" w:cs="Times New Roman"/>
      <w:bCs/>
      <w:snapToGrid w:val="0"/>
      <w:sz w:val="18"/>
      <w:szCs w:val="18"/>
      <w:lang w:val="eu-ES"/>
    </w:rPr>
  </w:style>
  <w:style w:type="character" w:customStyle="1" w:styleId="905">
    <w:name w:val="标题 2 Char Char1"/>
    <w:qFormat/>
    <w:uiPriority w:val="0"/>
    <w:rPr>
      <w:rFonts w:ascii="Symbol" w:hAnsi="Arial" w:eastAsia="Symbol" w:cs="宋体"/>
      <w:bCs/>
      <w:snapToGrid w:val="0"/>
      <w:kern w:val="2"/>
      <w:sz w:val="28"/>
      <w:szCs w:val="28"/>
      <w:lang w:val="eu-ES" w:eastAsia="zh-CN" w:bidi="ar-SA"/>
    </w:rPr>
  </w:style>
  <w:style w:type="character" w:customStyle="1" w:styleId="906">
    <w:name w:val="表格名称 Char Char"/>
    <w:qFormat/>
    <w:uiPriority w:val="0"/>
    <w:rPr>
      <w:rFonts w:ascii="Symbol" w:hAnsi="宋体" w:eastAsia="Symbol" w:cs="宋体"/>
      <w:bCs/>
      <w:snapToGrid w:val="0"/>
      <w:kern w:val="18"/>
      <w:sz w:val="24"/>
      <w:szCs w:val="24"/>
      <w:lang w:val="eu-ES" w:eastAsia="zh-CN" w:bidi="ar-SA"/>
    </w:rPr>
  </w:style>
  <w:style w:type="paragraph" w:customStyle="1" w:styleId="907">
    <w:name w:val="图片名称"/>
    <w:basedOn w:val="1"/>
    <w:qFormat/>
    <w:uiPriority w:val="0"/>
    <w:pPr>
      <w:widowControl w:val="0"/>
      <w:wordWrap w:val="0"/>
      <w:jc w:val="center"/>
    </w:pPr>
    <w:rPr>
      <w:rFonts w:ascii="Symbol" w:eastAsia="Symbol" w:cs="Times New Roman"/>
      <w:bCs/>
      <w:snapToGrid w:val="0"/>
      <w:color w:val="000000"/>
      <w:spacing w:val="-4"/>
      <w:lang w:val="eu-ES"/>
    </w:rPr>
  </w:style>
  <w:style w:type="paragraph" w:customStyle="1" w:styleId="908">
    <w:name w:val="表格文字3"/>
    <w:basedOn w:val="870"/>
    <w:qFormat/>
    <w:uiPriority w:val="0"/>
    <w:pPr>
      <w:autoSpaceDE w:val="0"/>
      <w:autoSpaceDN w:val="0"/>
      <w:snapToGrid/>
      <w:spacing w:before="31" w:beforeLines="10" w:after="31" w:afterLines="10"/>
      <w:ind w:left="0" w:leftChars="0" w:right="0" w:rightChars="0"/>
      <w:jc w:val="both"/>
      <w:textAlignment w:val="auto"/>
    </w:pPr>
    <w:rPr>
      <w:rFonts w:ascii="Times New Roman" w:hAnsi="Times New Roman"/>
      <w:bCs/>
      <w:kern w:val="0"/>
      <w:sz w:val="21"/>
      <w:szCs w:val="24"/>
    </w:rPr>
  </w:style>
  <w:style w:type="paragraph" w:customStyle="1" w:styleId="909">
    <w:name w:val="样式 标题 2 + 段前: 0.5 行 段后: 0.5 行"/>
    <w:basedOn w:val="4"/>
    <w:qFormat/>
    <w:uiPriority w:val="0"/>
    <w:pPr>
      <w:keepNext w:val="0"/>
      <w:widowControl w:val="0"/>
      <w:numPr>
        <w:ilvl w:val="0"/>
        <w:numId w:val="0"/>
      </w:numPr>
      <w:autoSpaceDE w:val="0"/>
      <w:autoSpaceDN w:val="0"/>
      <w:adjustRightInd w:val="0"/>
      <w:snapToGrid w:val="0"/>
      <w:spacing w:before="120" w:after="600" w:afterLines="600" w:line="520" w:lineRule="exact"/>
      <w:ind w:firstLine="471"/>
      <w:jc w:val="both"/>
      <w:textAlignment w:val="baseline"/>
    </w:pPr>
    <w:rPr>
      <w:rFonts w:ascii="Symbol" w:hAnsi="宋体" w:eastAsia="宋体"/>
      <w:b w:val="0"/>
      <w:bCs/>
      <w:snapToGrid w:val="0"/>
      <w:kern w:val="2"/>
      <w:sz w:val="28"/>
      <w:szCs w:val="20"/>
      <w:lang w:val="eu-ES"/>
    </w:rPr>
  </w:style>
  <w:style w:type="paragraph" w:customStyle="1" w:styleId="910">
    <w:name w:val="标 题 2"/>
    <w:basedOn w:val="4"/>
    <w:qFormat/>
    <w:uiPriority w:val="0"/>
    <w:pPr>
      <w:keepNext w:val="0"/>
      <w:keepLines w:val="0"/>
      <w:widowControl w:val="0"/>
      <w:numPr>
        <w:ilvl w:val="0"/>
        <w:numId w:val="0"/>
      </w:numPr>
      <w:autoSpaceDE w:val="0"/>
      <w:autoSpaceDN w:val="0"/>
      <w:adjustRightInd w:val="0"/>
      <w:snapToGrid w:val="0"/>
      <w:spacing w:before="163" w:after="163" w:line="520" w:lineRule="exact"/>
      <w:jc w:val="both"/>
      <w:textAlignment w:val="baseline"/>
    </w:pPr>
    <w:rPr>
      <w:rFonts w:ascii="Symbol" w:hAnsi="宋体" w:eastAsia="宋体" w:cs="Times New Roman"/>
      <w:b w:val="0"/>
      <w:bCs/>
      <w:snapToGrid w:val="0"/>
      <w:kern w:val="2"/>
      <w:sz w:val="30"/>
      <w:szCs w:val="20"/>
      <w:lang w:val="eu-ES"/>
    </w:rPr>
  </w:style>
  <w:style w:type="paragraph" w:customStyle="1" w:styleId="911">
    <w:name w:val="样式 正文首行缩进 + 宋体 小四 行距: 1.5 倍行距"/>
    <w:basedOn w:val="86"/>
    <w:qFormat/>
    <w:uiPriority w:val="0"/>
    <w:pPr>
      <w:widowControl w:val="0"/>
      <w:spacing w:after="120" w:line="360" w:lineRule="auto"/>
      <w:ind w:firstLine="480" w:firstLineChars="200"/>
      <w:jc w:val="both"/>
    </w:pPr>
    <w:rPr>
      <w:snapToGrid w:val="0"/>
      <w:kern w:val="2"/>
      <w:lang w:val="eu-ES"/>
    </w:rPr>
  </w:style>
  <w:style w:type="character" w:customStyle="1" w:styleId="912">
    <w:name w:val="样式 正文首行缩进 + 宋体 小四 行距: 1.5 倍行距 Char1"/>
    <w:qFormat/>
    <w:uiPriority w:val="0"/>
    <w:rPr>
      <w:rFonts w:ascii="Symbol" w:hAnsi="Arial" w:eastAsia="Symbol" w:cs="Arial"/>
      <w:bCs/>
      <w:kern w:val="2"/>
      <w:sz w:val="24"/>
      <w:szCs w:val="24"/>
      <w:lang w:val="en-US" w:eastAsia="zh-CN" w:bidi="ar-SA"/>
    </w:rPr>
  </w:style>
  <w:style w:type="paragraph" w:customStyle="1" w:styleId="913">
    <w:name w:val="样式 表格 + 宋体 五号"/>
    <w:basedOn w:val="1"/>
    <w:qFormat/>
    <w:uiPriority w:val="0"/>
    <w:pPr>
      <w:widowControl w:val="0"/>
      <w:adjustRightInd w:val="0"/>
      <w:snapToGrid w:val="0"/>
      <w:spacing w:line="360" w:lineRule="auto"/>
      <w:jc w:val="both"/>
      <w:textAlignment w:val="center"/>
    </w:pPr>
    <w:rPr>
      <w:rFonts w:cs="Times New Roman"/>
      <w:snapToGrid w:val="0"/>
      <w:sz w:val="21"/>
      <w:szCs w:val="20"/>
      <w:lang w:val="eu-ES"/>
    </w:rPr>
  </w:style>
  <w:style w:type="character" w:customStyle="1" w:styleId="914">
    <w:name w:val="样式 表格 + 宋体 五号 Char"/>
    <w:qFormat/>
    <w:uiPriority w:val="0"/>
    <w:rPr>
      <w:rFonts w:ascii="Symbol" w:hAnsi="Arial" w:eastAsia="Symbol" w:cs="Arial"/>
      <w:bCs/>
      <w:kern w:val="2"/>
      <w:sz w:val="21"/>
      <w:szCs w:val="24"/>
      <w:lang w:val="en-US" w:eastAsia="zh-CN" w:bidi="ar-SA"/>
    </w:rPr>
  </w:style>
  <w:style w:type="paragraph" w:customStyle="1" w:styleId="915">
    <w:name w:val="样式 标题 3 + 首行缩进:  0 厘米"/>
    <w:basedOn w:val="5"/>
    <w:qFormat/>
    <w:uiPriority w:val="0"/>
    <w:pPr>
      <w:widowControl w:val="0"/>
      <w:tabs>
        <w:tab w:val="left" w:pos="720"/>
      </w:tabs>
      <w:autoSpaceDN w:val="0"/>
      <w:adjustRightInd w:val="0"/>
      <w:spacing w:before="0" w:after="0" w:line="360" w:lineRule="auto"/>
      <w:ind w:firstLine="980" w:firstLineChars="200"/>
      <w:contextualSpacing/>
      <w:jc w:val="both"/>
      <w:textAlignment w:val="baseline"/>
    </w:pPr>
    <w:rPr>
      <w:rFonts w:ascii="Symbol" w:hAnsi="Symbol" w:eastAsia="Symbol"/>
      <w:b w:val="0"/>
      <w:snapToGrid w:val="0"/>
      <w:kern w:val="2"/>
      <w:sz w:val="30"/>
      <w:szCs w:val="28"/>
      <w:lang w:val="eu-ES"/>
    </w:rPr>
  </w:style>
  <w:style w:type="character" w:customStyle="1" w:styleId="916">
    <w:name w:val="样式 仿宋_GB2312 四号1"/>
    <w:qFormat/>
    <w:uiPriority w:val="0"/>
    <w:rPr>
      <w:rFonts w:ascii="Symbol" w:hAnsi="Arial" w:eastAsia="Symbol" w:cs="Arial"/>
      <w:bCs/>
      <w:kern w:val="2"/>
      <w:sz w:val="24"/>
      <w:szCs w:val="24"/>
      <w:lang w:val="en-US" w:eastAsia="zh-CN" w:bidi="ar-SA"/>
    </w:rPr>
  </w:style>
  <w:style w:type="paragraph" w:customStyle="1" w:styleId="917">
    <w:name w:val="样式 标题 1文章标题一、章节H1Otsikko 1Eia标题1－1 + 段前: 0.5 行 段后: 0.5 行"/>
    <w:basedOn w:val="3"/>
    <w:next w:val="1"/>
    <w:qFormat/>
    <w:uiPriority w:val="0"/>
    <w:pPr>
      <w:keepNext w:val="0"/>
      <w:widowControl w:val="0"/>
      <w:overflowPunct/>
      <w:autoSpaceDN w:val="0"/>
      <w:snapToGrid/>
      <w:spacing w:before="156" w:beforeLines="50" w:after="156" w:afterLines="50" w:line="520" w:lineRule="exact"/>
      <w:ind w:left="0" w:firstLine="471"/>
      <w:contextualSpacing/>
      <w:textAlignment w:val="baseline"/>
    </w:pPr>
    <w:rPr>
      <w:rFonts w:ascii="Symbol" w:hAnsi="Arial" w:eastAsia="Symbol"/>
      <w:b w:val="0"/>
      <w:bCs w:val="0"/>
      <w:snapToGrid w:val="0"/>
      <w:color w:val="auto"/>
      <w:kern w:val="2"/>
      <w:sz w:val="36"/>
      <w:szCs w:val="20"/>
      <w:lang w:val="eu-ES"/>
    </w:rPr>
  </w:style>
  <w:style w:type="paragraph" w:customStyle="1" w:styleId="918">
    <w:name w:val="样式 标题 1文章标题一、章节H1Otsikko 1Eia标题1－1 + 首行缩进:  0 厘米"/>
    <w:basedOn w:val="3"/>
    <w:next w:val="1"/>
    <w:qFormat/>
    <w:uiPriority w:val="0"/>
    <w:pPr>
      <w:keepNext w:val="0"/>
      <w:widowControl w:val="0"/>
      <w:tabs>
        <w:tab w:val="left" w:pos="360"/>
      </w:tabs>
      <w:overflowPunct/>
      <w:autoSpaceDN w:val="0"/>
      <w:snapToGrid/>
      <w:spacing w:before="156" w:beforeLines="50" w:after="156" w:afterLines="50" w:line="520" w:lineRule="exact"/>
      <w:ind w:left="360" w:hanging="360"/>
      <w:contextualSpacing/>
      <w:jc w:val="both"/>
      <w:textAlignment w:val="baseline"/>
    </w:pPr>
    <w:rPr>
      <w:rFonts w:ascii="Symbol" w:hAnsi="Arial" w:eastAsia="Symbol"/>
      <w:b w:val="0"/>
      <w:bCs w:val="0"/>
      <w:snapToGrid w:val="0"/>
      <w:color w:val="auto"/>
      <w:kern w:val="2"/>
      <w:sz w:val="36"/>
      <w:szCs w:val="20"/>
      <w:lang w:val="eu-ES"/>
    </w:rPr>
  </w:style>
  <w:style w:type="paragraph" w:customStyle="1" w:styleId="919">
    <w:name w:val="样式 标题 1文章 + 段前: 0.5 行 段后: 0.5 行"/>
    <w:basedOn w:val="898"/>
    <w:next w:val="1"/>
    <w:qFormat/>
    <w:uiPriority w:val="0"/>
    <w:pPr>
      <w:tabs>
        <w:tab w:val="left" w:pos="360"/>
      </w:tabs>
      <w:spacing w:before="156" w:beforeLines="50" w:after="156" w:afterLines="50" w:line="520" w:lineRule="exact"/>
      <w:ind w:left="360" w:firstLine="720" w:firstLineChars="200"/>
      <w:jc w:val="left"/>
      <w:outlineLvl w:val="0"/>
    </w:pPr>
    <w:rPr>
      <w:rFonts w:hAnsi="Arial"/>
      <w:b w:val="0"/>
      <w:spacing w:val="0"/>
      <w:kern w:val="2"/>
      <w:sz w:val="36"/>
      <w:szCs w:val="20"/>
    </w:rPr>
  </w:style>
  <w:style w:type="paragraph" w:customStyle="1" w:styleId="920">
    <w:name w:val="样式 样式 标题 1文章 + 段前: 0.5 行 段后: 0.5 行 + 段前: 0.5 行 段后: 0.5 行"/>
    <w:basedOn w:val="919"/>
    <w:qFormat/>
    <w:uiPriority w:val="0"/>
    <w:pPr>
      <w:spacing w:before="50" w:after="50"/>
      <w:ind w:firstLine="0" w:firstLineChars="0"/>
    </w:pPr>
  </w:style>
  <w:style w:type="paragraph" w:customStyle="1" w:styleId="921">
    <w:name w:val="样式 标题 + 首行缩进:  0.83 厘米"/>
    <w:basedOn w:val="84"/>
    <w:qFormat/>
    <w:uiPriority w:val="0"/>
    <w:pPr>
      <w:widowControl w:val="0"/>
      <w:tabs>
        <w:tab w:val="left" w:pos="360"/>
      </w:tabs>
      <w:autoSpaceDN w:val="0"/>
      <w:adjustRightInd w:val="0"/>
      <w:spacing w:before="156" w:beforeLines="50" w:after="156" w:afterLines="50" w:line="520" w:lineRule="exact"/>
      <w:ind w:left="360" w:firstLine="471"/>
      <w:contextualSpacing/>
      <w:textAlignment w:val="baseline"/>
    </w:pPr>
    <w:rPr>
      <w:rFonts w:ascii="Symbol" w:hAnsi="Arial" w:eastAsia="Symbol"/>
      <w:b w:val="0"/>
      <w:snapToGrid w:val="0"/>
      <w:kern w:val="2"/>
      <w:sz w:val="36"/>
      <w:szCs w:val="36"/>
      <w:lang w:val="eu-ES"/>
    </w:rPr>
  </w:style>
  <w:style w:type="paragraph" w:customStyle="1" w:styleId="922">
    <w:name w:val="标题111"/>
    <w:basedOn w:val="3"/>
    <w:next w:val="1"/>
    <w:qFormat/>
    <w:uiPriority w:val="0"/>
    <w:pPr>
      <w:keepNext w:val="0"/>
      <w:widowControl w:val="0"/>
      <w:overflowPunct/>
      <w:autoSpaceDN w:val="0"/>
      <w:adjustRightInd w:val="0"/>
      <w:spacing w:before="156" w:beforeLines="50" w:after="156" w:afterLines="50" w:line="520" w:lineRule="exact"/>
      <w:ind w:left="0" w:firstLine="471"/>
      <w:contextualSpacing/>
      <w:jc w:val="both"/>
      <w:textAlignment w:val="baseline"/>
    </w:pPr>
    <w:rPr>
      <w:rFonts w:ascii="Symbol" w:hAnsi="Arial" w:eastAsia="Symbol" w:cs="Times New Roman"/>
      <w:b w:val="0"/>
      <w:bCs w:val="0"/>
      <w:snapToGrid w:val="0"/>
      <w:color w:val="auto"/>
      <w:kern w:val="2"/>
      <w:sz w:val="36"/>
      <w:szCs w:val="20"/>
      <w:lang w:val="eu-ES"/>
    </w:rPr>
  </w:style>
  <w:style w:type="paragraph" w:customStyle="1" w:styleId="923">
    <w:name w:val="样式 标题 3 + (西文) 宋体"/>
    <w:basedOn w:val="5"/>
    <w:next w:val="1"/>
    <w:qFormat/>
    <w:uiPriority w:val="0"/>
    <w:pPr>
      <w:widowControl w:val="0"/>
      <w:tabs>
        <w:tab w:val="left" w:pos="720"/>
      </w:tabs>
      <w:autoSpaceDN w:val="0"/>
      <w:adjustRightInd w:val="0"/>
      <w:spacing w:before="0" w:after="0" w:line="520" w:lineRule="exact"/>
      <w:ind w:firstLine="471" w:firstLineChars="200"/>
      <w:contextualSpacing/>
      <w:jc w:val="both"/>
      <w:textAlignment w:val="baseline"/>
    </w:pPr>
    <w:rPr>
      <w:rFonts w:eastAsia="Symbol"/>
      <w:b w:val="0"/>
      <w:bCs w:val="0"/>
      <w:snapToGrid w:val="0"/>
      <w:kern w:val="2"/>
      <w:sz w:val="24"/>
      <w:szCs w:val="24"/>
      <w:lang w:val="eu-ES"/>
    </w:rPr>
  </w:style>
  <w:style w:type="character" w:customStyle="1" w:styleId="924">
    <w:name w:val="标题 1文章 Char"/>
    <w:qFormat/>
    <w:uiPriority w:val="0"/>
    <w:rPr>
      <w:rFonts w:ascii="宋体" w:hAnsi="宋体" w:cs="宋体"/>
      <w:b/>
      <w:bCs/>
      <w:sz w:val="44"/>
      <w:lang w:val="en-US"/>
    </w:rPr>
  </w:style>
  <w:style w:type="character" w:customStyle="1" w:styleId="925">
    <w:name w:val="样式 标题 3 + (西文) 宋体 Char"/>
    <w:qFormat/>
    <w:uiPriority w:val="0"/>
    <w:rPr>
      <w:rFonts w:ascii="宋体" w:hAnsi="宋体" w:cs="宋体"/>
      <w:b/>
      <w:bCs/>
      <w:snapToGrid w:val="0"/>
      <w:sz w:val="24"/>
      <w:szCs w:val="24"/>
      <w:lang w:val="eu-ES" w:eastAsia="zh-CN"/>
    </w:rPr>
  </w:style>
  <w:style w:type="paragraph" w:customStyle="1" w:styleId="926">
    <w:name w:val="夏1，正文仿3"/>
    <w:basedOn w:val="1"/>
    <w:qFormat/>
    <w:uiPriority w:val="0"/>
    <w:pPr>
      <w:widowControl w:val="0"/>
      <w:snapToGrid w:val="0"/>
      <w:spacing w:before="20" w:line="288" w:lineRule="auto"/>
      <w:ind w:firstLine="675"/>
      <w:jc w:val="both"/>
    </w:pPr>
    <w:rPr>
      <w:rFonts w:hAnsi="Times New Roman" w:cs="Times New Roman"/>
      <w:snapToGrid w:val="0"/>
      <w:spacing w:val="4"/>
      <w:sz w:val="32"/>
      <w:lang w:val="eu-ES"/>
    </w:rPr>
  </w:style>
  <w:style w:type="paragraph" w:customStyle="1" w:styleId="927">
    <w:name w:val="华2，标题2，黑体3号"/>
    <w:basedOn w:val="926"/>
    <w:next w:val="926"/>
    <w:qFormat/>
    <w:uiPriority w:val="0"/>
    <w:pPr>
      <w:spacing w:before="60"/>
      <w:jc w:val="left"/>
      <w:outlineLvl w:val="1"/>
    </w:pPr>
    <w:rPr>
      <w:rFonts w:ascii="Symbol" w:hAnsi="Arial" w:eastAsia="Symbol"/>
      <w:lang w:val="en-US"/>
    </w:rPr>
  </w:style>
  <w:style w:type="paragraph" w:customStyle="1" w:styleId="928">
    <w:name w:val="华1，标题1，标宋"/>
    <w:basedOn w:val="926"/>
    <w:next w:val="926"/>
    <w:qFormat/>
    <w:uiPriority w:val="0"/>
    <w:pPr>
      <w:spacing w:before="360" w:after="300"/>
      <w:ind w:firstLine="0"/>
      <w:jc w:val="center"/>
      <w:outlineLvl w:val="0"/>
    </w:pPr>
    <w:rPr>
      <w:rFonts w:ascii="Symbol" w:hAnsi="Arial" w:eastAsia="Symbol"/>
      <w:spacing w:val="20"/>
      <w:sz w:val="44"/>
      <w:lang w:val="en-US"/>
    </w:rPr>
  </w:style>
  <w:style w:type="paragraph" w:customStyle="1" w:styleId="929">
    <w:name w:val="样式 正文首行缩进 2 + 首行缩进:  2 字符1"/>
    <w:basedOn w:val="87"/>
    <w:qFormat/>
    <w:uiPriority w:val="0"/>
    <w:pPr>
      <w:widowControl w:val="0"/>
      <w:adjustRightInd w:val="0"/>
      <w:spacing w:line="360" w:lineRule="auto"/>
      <w:ind w:left="0" w:leftChars="0" w:firstLine="480"/>
      <w:jc w:val="both"/>
      <w:textAlignment w:val="baseline"/>
    </w:pPr>
    <w:rPr>
      <w:rFonts w:ascii="Times New Roman" w:hAnsi="Times New Roman"/>
      <w:kern w:val="2"/>
      <w:szCs w:val="20"/>
    </w:rPr>
  </w:style>
  <w:style w:type="character" w:customStyle="1" w:styleId="930">
    <w:name w:val="样式 题注 Char + 黑体 小四"/>
    <w:qFormat/>
    <w:uiPriority w:val="0"/>
    <w:rPr>
      <w:rFonts w:ascii="Symbol" w:hAnsi="Symbol" w:eastAsia="Symbol" w:cs="Arial"/>
      <w:bCs/>
      <w:kern w:val="2"/>
      <w:sz w:val="36"/>
      <w:szCs w:val="36"/>
      <w:lang w:val="en-US" w:eastAsia="zh-CN" w:bidi="ar-SA"/>
    </w:rPr>
  </w:style>
  <w:style w:type="character" w:customStyle="1" w:styleId="931">
    <w:name w:val="样式 正文首行缩进 2 + 首行缩进:  2 字符1 Char1"/>
    <w:qFormat/>
    <w:uiPriority w:val="0"/>
    <w:rPr>
      <w:rFonts w:ascii="Symbol" w:hAnsi="Arial" w:eastAsia="宋体" w:cs="宋体"/>
      <w:bCs/>
      <w:kern w:val="2"/>
      <w:sz w:val="24"/>
      <w:szCs w:val="24"/>
      <w:lang w:val="en-US" w:eastAsia="zh-CN" w:bidi="ar-SA"/>
    </w:rPr>
  </w:style>
  <w:style w:type="paragraph" w:customStyle="1" w:styleId="932">
    <w:name w:val="样式 小四 首行缩进:  0.85 厘米 行距: 1.5 倍行距"/>
    <w:basedOn w:val="1"/>
    <w:qFormat/>
    <w:uiPriority w:val="0"/>
    <w:pPr>
      <w:widowControl w:val="0"/>
      <w:adjustRightInd w:val="0"/>
      <w:spacing w:line="360" w:lineRule="auto"/>
      <w:ind w:firstLine="480"/>
      <w:jc w:val="both"/>
      <w:textAlignment w:val="baseline"/>
    </w:pPr>
    <w:rPr>
      <w:rFonts w:ascii="Times New Roman" w:hAnsi="Times New Roman"/>
      <w:kern w:val="2"/>
      <w:szCs w:val="20"/>
    </w:rPr>
  </w:style>
  <w:style w:type="character" w:customStyle="1" w:styleId="933">
    <w:name w:val="样式 小四 首行缩进:  0.85 厘米 行距: 1.5 倍行距 Char"/>
    <w:qFormat/>
    <w:uiPriority w:val="0"/>
    <w:rPr>
      <w:rFonts w:ascii="Symbol" w:hAnsi="Arial" w:eastAsia="宋体" w:cs="宋体"/>
      <w:bCs/>
      <w:kern w:val="2"/>
      <w:sz w:val="24"/>
      <w:szCs w:val="24"/>
      <w:lang w:val="en-US" w:eastAsia="zh-CN" w:bidi="ar-SA"/>
    </w:rPr>
  </w:style>
  <w:style w:type="paragraph" w:customStyle="1" w:styleId="934">
    <w:name w:val="海南化工城正文"/>
    <w:basedOn w:val="1"/>
    <w:link w:val="935"/>
    <w:qFormat/>
    <w:uiPriority w:val="0"/>
    <w:pPr>
      <w:widowControl w:val="0"/>
      <w:spacing w:line="324" w:lineRule="auto"/>
      <w:ind w:firstLine="480" w:firstLineChars="200"/>
      <w:jc w:val="both"/>
    </w:pPr>
    <w:rPr>
      <w:kern w:val="2"/>
      <w:szCs w:val="20"/>
    </w:rPr>
  </w:style>
  <w:style w:type="character" w:customStyle="1" w:styleId="935">
    <w:name w:val="海南化工城正文 Char Char Char Char"/>
    <w:link w:val="934"/>
    <w:qFormat/>
    <w:uiPriority w:val="0"/>
    <w:rPr>
      <w:rFonts w:ascii="宋体" w:hAnsi="宋体" w:cs="宋体"/>
      <w:kern w:val="2"/>
      <w:sz w:val="24"/>
    </w:rPr>
  </w:style>
  <w:style w:type="character" w:customStyle="1" w:styleId="936">
    <w:name w:val="海南化工城正文 Char"/>
    <w:qFormat/>
    <w:uiPriority w:val="0"/>
    <w:rPr>
      <w:rFonts w:ascii="宋体" w:hAnsi="宋体" w:eastAsia="宋体" w:cs="宋体"/>
      <w:kern w:val="2"/>
      <w:sz w:val="24"/>
      <w:lang w:val="en-US" w:eastAsia="zh-CN" w:bidi="ar-SA"/>
    </w:rPr>
  </w:style>
  <w:style w:type="paragraph" w:customStyle="1" w:styleId="937">
    <w:name w:val="银洲湖石化基地表"/>
    <w:basedOn w:val="1"/>
    <w:qFormat/>
    <w:uiPriority w:val="0"/>
    <w:pPr>
      <w:widowControl w:val="0"/>
      <w:autoSpaceDE w:val="0"/>
      <w:autoSpaceDN w:val="0"/>
      <w:adjustRightInd w:val="0"/>
      <w:spacing w:line="0" w:lineRule="atLeast"/>
      <w:jc w:val="center"/>
      <w:textAlignment w:val="center"/>
    </w:pPr>
    <w:rPr>
      <w:rFonts w:ascii="Times New Roman" w:hAnsi="Times New Roman" w:cs="Times New Roman"/>
      <w:sz w:val="21"/>
      <w:szCs w:val="21"/>
    </w:rPr>
  </w:style>
  <w:style w:type="paragraph" w:customStyle="1" w:styleId="938">
    <w:name w:val="银洲湖规划表标题"/>
    <w:basedOn w:val="1"/>
    <w:qFormat/>
    <w:uiPriority w:val="0"/>
    <w:pPr>
      <w:widowControl w:val="0"/>
      <w:spacing w:before="120" w:beforeLines="50" w:after="120" w:afterLines="50"/>
      <w:jc w:val="center"/>
    </w:pPr>
    <w:rPr>
      <w:rFonts w:ascii="Times New Roman" w:hAnsi="Times New Roman" w:cs="Times New Roman"/>
      <w:b/>
      <w:bCs/>
      <w:lang w:val="en-GB"/>
    </w:rPr>
  </w:style>
  <w:style w:type="paragraph" w:customStyle="1" w:styleId="939">
    <w:name w:val="沥青表"/>
    <w:basedOn w:val="1"/>
    <w:qFormat/>
    <w:uiPriority w:val="0"/>
    <w:pPr>
      <w:widowControl w:val="0"/>
      <w:adjustRightInd w:val="0"/>
      <w:spacing w:line="0" w:lineRule="atLeast"/>
      <w:jc w:val="center"/>
      <w:textAlignment w:val="baseline"/>
    </w:pPr>
    <w:rPr>
      <w:rFonts w:ascii="Times New Roman" w:hAnsi="Times New Roman" w:cs="Times New Roman"/>
      <w:bCs/>
      <w:spacing w:val="10"/>
      <w:sz w:val="21"/>
      <w:szCs w:val="21"/>
    </w:rPr>
  </w:style>
  <w:style w:type="paragraph" w:customStyle="1" w:styleId="940">
    <w:name w:val="008 表文字"/>
    <w:basedOn w:val="1"/>
    <w:qFormat/>
    <w:uiPriority w:val="0"/>
    <w:pPr>
      <w:spacing w:line="312" w:lineRule="auto"/>
      <w:jc w:val="center"/>
    </w:pPr>
    <w:rPr>
      <w:rFonts w:ascii="Times New Roman" w:hAnsi="Times New Roman"/>
      <w:bCs/>
      <w:kern w:val="21"/>
      <w:sz w:val="21"/>
      <w:szCs w:val="21"/>
    </w:rPr>
  </w:style>
  <w:style w:type="character" w:customStyle="1" w:styleId="941">
    <w:name w:val="p12grey"/>
    <w:qFormat/>
    <w:uiPriority w:val="0"/>
  </w:style>
  <w:style w:type="paragraph" w:customStyle="1" w:styleId="942">
    <w:name w:val="正文311"/>
    <w:basedOn w:val="35"/>
    <w:qFormat/>
    <w:uiPriority w:val="0"/>
    <w:pPr>
      <w:widowControl w:val="0"/>
      <w:spacing w:line="324" w:lineRule="auto"/>
      <w:ind w:left="0" w:leftChars="0" w:firstLine="480" w:firstLineChars="200"/>
      <w:jc w:val="both"/>
    </w:pPr>
    <w:rPr>
      <w:rFonts w:ascii="Arial" w:hAnsi="Arial" w:cs="Times New Roman"/>
      <w:bCs/>
      <w:snapToGrid w:val="0"/>
      <w:szCs w:val="24"/>
      <w:lang w:val="eu-ES"/>
    </w:rPr>
  </w:style>
  <w:style w:type="paragraph" w:customStyle="1" w:styleId="943">
    <w:name w:val="003 3j"/>
    <w:basedOn w:val="1"/>
    <w:qFormat/>
    <w:uiPriority w:val="0"/>
    <w:pPr>
      <w:keepNext/>
      <w:keepLines/>
      <w:widowControl w:val="0"/>
      <w:spacing w:before="100" w:after="100" w:line="415" w:lineRule="auto"/>
      <w:ind w:firstLine="200" w:firstLineChars="200"/>
      <w:jc w:val="both"/>
      <w:outlineLvl w:val="2"/>
    </w:pPr>
    <w:rPr>
      <w:rFonts w:ascii="Times New Roman" w:hAnsi="Times New Roman" w:cs="Times New Roman"/>
      <w:b/>
      <w:kern w:val="2"/>
      <w:sz w:val="28"/>
      <w:szCs w:val="28"/>
    </w:rPr>
  </w:style>
  <w:style w:type="paragraph" w:customStyle="1" w:styleId="944">
    <w:name w:val="普通(网站)1"/>
    <w:basedOn w:val="1"/>
    <w:qFormat/>
    <w:uiPriority w:val="0"/>
    <w:pPr>
      <w:spacing w:before="100" w:beforeAutospacing="1" w:after="100" w:afterAutospacing="1"/>
    </w:pPr>
    <w:rPr>
      <w:rFonts w:cs="Times New Roman"/>
    </w:rPr>
  </w:style>
  <w:style w:type="paragraph" w:customStyle="1" w:styleId="945">
    <w:name w:val="1st level Bullet"/>
    <w:basedOn w:val="1"/>
    <w:qFormat/>
    <w:uiPriority w:val="0"/>
    <w:pPr>
      <w:tabs>
        <w:tab w:val="left" w:pos="1440"/>
      </w:tabs>
      <w:spacing w:after="120" w:line="360" w:lineRule="auto"/>
      <w:ind w:left="1440" w:hanging="360"/>
      <w:jc w:val="both"/>
    </w:pPr>
    <w:rPr>
      <w:rFonts w:ascii="Arial" w:hAnsi="Arial" w:cs="Times New Roman"/>
      <w:sz w:val="22"/>
      <w:szCs w:val="20"/>
      <w:lang w:val="en-GB" w:eastAsia="en-US"/>
    </w:rPr>
  </w:style>
  <w:style w:type="paragraph" w:customStyle="1" w:styleId="946">
    <w:name w:val="第三标题"/>
    <w:basedOn w:val="5"/>
    <w:link w:val="947"/>
    <w:qFormat/>
    <w:uiPriority w:val="0"/>
    <w:pPr>
      <w:widowControl w:val="0"/>
      <w:adjustRightInd w:val="0"/>
      <w:spacing w:before="50" w:after="50" w:line="240" w:lineRule="atLeast"/>
      <w:jc w:val="both"/>
    </w:pPr>
    <w:rPr>
      <w:rFonts w:ascii="Arial" w:hAnsi="Arial" w:cs="Times New Roman"/>
      <w:color w:val="000000"/>
      <w:kern w:val="2"/>
    </w:rPr>
  </w:style>
  <w:style w:type="character" w:customStyle="1" w:styleId="947">
    <w:name w:val="第三标题 Char Char"/>
    <w:link w:val="946"/>
    <w:qFormat/>
    <w:uiPriority w:val="0"/>
    <w:rPr>
      <w:rFonts w:ascii="Arial" w:hAnsi="Arial"/>
      <w:b/>
      <w:bCs/>
      <w:color w:val="000000"/>
      <w:kern w:val="2"/>
      <w:sz w:val="32"/>
      <w:szCs w:val="32"/>
    </w:rPr>
  </w:style>
  <w:style w:type="character" w:customStyle="1" w:styleId="948">
    <w:name w:val="第三标题 Char"/>
    <w:qFormat/>
    <w:uiPriority w:val="0"/>
    <w:rPr>
      <w:rFonts w:ascii="Arial" w:hAnsi="Arial" w:eastAsia="宋体"/>
      <w:b/>
      <w:bCs/>
      <w:color w:val="000000"/>
      <w:kern w:val="2"/>
      <w:sz w:val="32"/>
      <w:szCs w:val="32"/>
      <w:lang w:val="en-US" w:eastAsia="zh-CN" w:bidi="ar-SA"/>
    </w:rPr>
  </w:style>
  <w:style w:type="paragraph" w:customStyle="1" w:styleId="949">
    <w:name w:val="样式 四号 加粗 黑色"/>
    <w:basedOn w:val="1"/>
    <w:next w:val="63"/>
    <w:qFormat/>
    <w:uiPriority w:val="0"/>
    <w:pPr>
      <w:widowControl w:val="0"/>
      <w:spacing w:line="360" w:lineRule="auto"/>
      <w:jc w:val="both"/>
    </w:pPr>
    <w:rPr>
      <w:rFonts w:ascii="Times New Roman" w:hAnsi="Times New Roman"/>
      <w:b/>
      <w:bCs/>
      <w:color w:val="000000"/>
      <w:kern w:val="2"/>
      <w:sz w:val="32"/>
      <w:szCs w:val="20"/>
    </w:rPr>
  </w:style>
  <w:style w:type="paragraph" w:customStyle="1" w:styleId="950">
    <w:name w:val="样式 小四 加粗"/>
    <w:basedOn w:val="1"/>
    <w:qFormat/>
    <w:uiPriority w:val="0"/>
    <w:pPr>
      <w:widowControl w:val="0"/>
      <w:spacing w:line="360" w:lineRule="auto"/>
      <w:jc w:val="both"/>
    </w:pPr>
    <w:rPr>
      <w:rFonts w:ascii="Times New Roman" w:hAnsi="Times New Roman"/>
      <w:b/>
      <w:bCs/>
      <w:kern w:val="2"/>
      <w:szCs w:val="20"/>
    </w:rPr>
  </w:style>
  <w:style w:type="paragraph" w:customStyle="1" w:styleId="951">
    <w:name w:val="第四层标题"/>
    <w:basedOn w:val="1"/>
    <w:qFormat/>
    <w:uiPriority w:val="0"/>
    <w:pPr>
      <w:widowControl w:val="0"/>
      <w:spacing w:line="360" w:lineRule="auto"/>
      <w:jc w:val="both"/>
    </w:pPr>
    <w:rPr>
      <w:rFonts w:ascii="Arial" w:hAnsi="Arial" w:cs="Times New Roman"/>
      <w:b/>
      <w:kern w:val="2"/>
      <w:szCs w:val="28"/>
    </w:rPr>
  </w:style>
  <w:style w:type="paragraph" w:customStyle="1" w:styleId="952">
    <w:name w:val="第四层次"/>
    <w:basedOn w:val="4"/>
    <w:qFormat/>
    <w:uiPriority w:val="0"/>
    <w:pPr>
      <w:widowControl w:val="0"/>
      <w:numPr>
        <w:ilvl w:val="0"/>
        <w:numId w:val="0"/>
      </w:numPr>
      <w:spacing w:before="120" w:line="360" w:lineRule="auto"/>
      <w:jc w:val="both"/>
    </w:pPr>
    <w:rPr>
      <w:rFonts w:ascii="宋体" w:hAnsi="宋体" w:eastAsia="宋体" w:cs="Times New Roman"/>
      <w:bCs/>
      <w:kern w:val="2"/>
      <w:sz w:val="24"/>
      <w:szCs w:val="32"/>
    </w:rPr>
  </w:style>
  <w:style w:type="paragraph" w:customStyle="1" w:styleId="953">
    <w:name w:val="第一标题"/>
    <w:basedOn w:val="3"/>
    <w:qFormat/>
    <w:uiPriority w:val="0"/>
    <w:pPr>
      <w:keepLines/>
      <w:widowControl w:val="0"/>
      <w:overflowPunct/>
      <w:spacing w:before="340" w:after="330" w:line="360" w:lineRule="auto"/>
      <w:ind w:left="0" w:firstLine="0"/>
      <w:jc w:val="center"/>
    </w:pPr>
    <w:rPr>
      <w:rFonts w:ascii="Times New Roman" w:hAnsi="Times New Roman" w:eastAsia="宋体"/>
      <w:color w:val="auto"/>
      <w:sz w:val="44"/>
      <w:szCs w:val="44"/>
    </w:rPr>
  </w:style>
  <w:style w:type="paragraph" w:customStyle="1" w:styleId="954">
    <w:name w:val="第二标题"/>
    <w:basedOn w:val="4"/>
    <w:link w:val="955"/>
    <w:qFormat/>
    <w:uiPriority w:val="0"/>
    <w:pPr>
      <w:widowControl w:val="0"/>
      <w:numPr>
        <w:ilvl w:val="0"/>
        <w:numId w:val="0"/>
      </w:numPr>
      <w:snapToGrid w:val="0"/>
      <w:spacing w:line="360" w:lineRule="auto"/>
      <w:jc w:val="both"/>
    </w:pPr>
    <w:rPr>
      <w:rFonts w:ascii="宋体" w:hAnsi="宋体" w:eastAsia="宋体" w:cs="Times New Roman"/>
      <w:kern w:val="2"/>
      <w:sz w:val="36"/>
      <w:szCs w:val="36"/>
    </w:rPr>
  </w:style>
  <w:style w:type="character" w:customStyle="1" w:styleId="955">
    <w:name w:val="第二标题 Char Char"/>
    <w:link w:val="954"/>
    <w:qFormat/>
    <w:uiPriority w:val="0"/>
    <w:rPr>
      <w:rFonts w:ascii="宋体" w:hAnsi="宋体"/>
      <w:b/>
      <w:kern w:val="2"/>
      <w:sz w:val="36"/>
      <w:szCs w:val="36"/>
    </w:rPr>
  </w:style>
  <w:style w:type="character" w:customStyle="1" w:styleId="956">
    <w:name w:val="第二标题 Char"/>
    <w:qFormat/>
    <w:uiPriority w:val="0"/>
    <w:rPr>
      <w:rFonts w:ascii="Arial" w:hAnsi="Arial" w:eastAsia="Symbol"/>
      <w:b/>
      <w:bCs/>
      <w:kern w:val="2"/>
      <w:sz w:val="36"/>
      <w:szCs w:val="36"/>
      <w:lang w:val="en-US" w:eastAsia="zh-CN" w:bidi="ar-SA"/>
    </w:rPr>
  </w:style>
  <w:style w:type="paragraph" w:customStyle="1" w:styleId="957">
    <w:name w:val="样式 第三标题 + 宋体"/>
    <w:basedOn w:val="946"/>
    <w:link w:val="958"/>
    <w:qFormat/>
    <w:uiPriority w:val="0"/>
    <w:pPr>
      <w:spacing w:line="360" w:lineRule="auto"/>
    </w:pPr>
    <w:rPr>
      <w:rFonts w:ascii="宋体" w:hAnsi="宋体"/>
    </w:rPr>
  </w:style>
  <w:style w:type="character" w:customStyle="1" w:styleId="958">
    <w:name w:val="样式 第三标题 + 宋体 Char Char"/>
    <w:link w:val="957"/>
    <w:qFormat/>
    <w:uiPriority w:val="0"/>
    <w:rPr>
      <w:rFonts w:ascii="宋体" w:hAnsi="宋体"/>
      <w:b/>
      <w:bCs/>
      <w:color w:val="000000"/>
      <w:kern w:val="2"/>
      <w:sz w:val="32"/>
      <w:szCs w:val="32"/>
    </w:rPr>
  </w:style>
  <w:style w:type="character" w:customStyle="1" w:styleId="959">
    <w:name w:val="样式 第三标题 + 宋体 Char"/>
    <w:qFormat/>
    <w:uiPriority w:val="0"/>
    <w:rPr>
      <w:rFonts w:ascii="宋体" w:hAnsi="宋体" w:eastAsia="宋体"/>
      <w:b/>
      <w:bCs/>
      <w:color w:val="000000"/>
      <w:kern w:val="2"/>
      <w:sz w:val="32"/>
      <w:szCs w:val="32"/>
      <w:lang w:val="en-US" w:eastAsia="zh-CN" w:bidi="ar-SA"/>
    </w:rPr>
  </w:style>
  <w:style w:type="paragraph" w:customStyle="1" w:styleId="960">
    <w:name w:val="公式1"/>
    <w:basedOn w:val="1"/>
    <w:qFormat/>
    <w:uiPriority w:val="0"/>
    <w:pPr>
      <w:widowControl w:val="0"/>
      <w:spacing w:before="50" w:beforeLines="50" w:line="400" w:lineRule="exact"/>
      <w:ind w:firstLine="480" w:firstLineChars="200"/>
      <w:jc w:val="both"/>
    </w:pPr>
    <w:rPr>
      <w:rFonts w:ascii="Arial" w:hAnsi="Arial" w:cs="Times New Roman"/>
      <w:kern w:val="2"/>
      <w:szCs w:val="20"/>
    </w:rPr>
  </w:style>
  <w:style w:type="paragraph" w:customStyle="1" w:styleId="961">
    <w:name w:val="退格正文"/>
    <w:basedOn w:val="1"/>
    <w:qFormat/>
    <w:uiPriority w:val="0"/>
    <w:pPr>
      <w:widowControl w:val="0"/>
      <w:spacing w:line="360" w:lineRule="auto"/>
      <w:ind w:firstLine="538" w:firstLineChars="192"/>
      <w:jc w:val="both"/>
    </w:pPr>
    <w:rPr>
      <w:rFonts w:ascii="Times New Roman" w:hAnsi="Times New Roman" w:cs="Times New Roman"/>
      <w:kern w:val="2"/>
      <w:sz w:val="28"/>
    </w:rPr>
  </w:style>
  <w:style w:type="paragraph" w:customStyle="1" w:styleId="962">
    <w:name w:val="正文4"/>
    <w:basedOn w:val="1"/>
    <w:qFormat/>
    <w:uiPriority w:val="0"/>
    <w:pPr>
      <w:widowControl w:val="0"/>
      <w:adjustRightInd w:val="0"/>
      <w:spacing w:line="315" w:lineRule="atLeast"/>
      <w:textAlignment w:val="baseline"/>
    </w:pPr>
    <w:rPr>
      <w:rFonts w:hAnsi="Times New Roman" w:cs="Times New Roman"/>
      <w:szCs w:val="20"/>
    </w:rPr>
  </w:style>
  <w:style w:type="paragraph" w:customStyle="1" w:styleId="963">
    <w:name w:val="样式 标题 2节 + 宋体 左侧:  0 厘米 段前: 12 磅"/>
    <w:basedOn w:val="4"/>
    <w:qFormat/>
    <w:uiPriority w:val="0"/>
    <w:pPr>
      <w:widowControl w:val="0"/>
      <w:numPr>
        <w:ilvl w:val="0"/>
        <w:numId w:val="0"/>
      </w:numPr>
      <w:adjustRightInd w:val="0"/>
      <w:spacing w:before="240" w:after="240" w:line="240" w:lineRule="auto"/>
      <w:textAlignment w:val="baseline"/>
    </w:pPr>
    <w:rPr>
      <w:rFonts w:ascii="宋体" w:hAnsi="宋体" w:eastAsia="宋体"/>
      <w:sz w:val="28"/>
    </w:rPr>
  </w:style>
  <w:style w:type="paragraph" w:customStyle="1" w:styleId="964">
    <w:name w:val="样式 样式 标题 2节 + 宋体 左侧:  0 厘米 段前: 12 磅 + Times New Roman1"/>
    <w:basedOn w:val="963"/>
    <w:qFormat/>
    <w:uiPriority w:val="0"/>
    <w:rPr>
      <w:rFonts w:ascii="Arial" w:hAnsi="Arial" w:eastAsia="Symbol"/>
      <w:b w:val="0"/>
      <w:bCs/>
      <w:sz w:val="30"/>
      <w:szCs w:val="30"/>
    </w:rPr>
  </w:style>
  <w:style w:type="paragraph" w:customStyle="1" w:styleId="965">
    <w:name w:val="样式 样式 标题 3标题 3 Char Char Char Char Char Char Char Char Char Char..."/>
    <w:basedOn w:val="1"/>
    <w:qFormat/>
    <w:uiPriority w:val="0"/>
    <w:pPr>
      <w:keepNext/>
      <w:keepLines/>
      <w:widowControl w:val="0"/>
      <w:adjustRightInd w:val="0"/>
      <w:spacing w:line="360" w:lineRule="auto"/>
      <w:textAlignment w:val="baseline"/>
      <w:outlineLvl w:val="2"/>
    </w:pPr>
    <w:rPr>
      <w:rFonts w:ascii="Arial" w:hAnsi="Arial" w:eastAsia="Symbol" w:cs="Times New Roman"/>
      <w:bCs/>
    </w:rPr>
  </w:style>
  <w:style w:type="character" w:customStyle="1" w:styleId="966">
    <w:name w:val="ps141"/>
    <w:qFormat/>
    <w:uiPriority w:val="0"/>
    <w:rPr>
      <w:color w:val="333333"/>
      <w:sz w:val="21"/>
      <w:szCs w:val="21"/>
      <w:u w:val="none"/>
    </w:rPr>
  </w:style>
  <w:style w:type="paragraph" w:customStyle="1" w:styleId="967">
    <w:name w:val="wtext"/>
    <w:basedOn w:val="1"/>
    <w:qFormat/>
    <w:uiPriority w:val="0"/>
    <w:pPr>
      <w:spacing w:before="100" w:beforeAutospacing="1" w:after="100" w:afterAutospacing="1"/>
      <w:ind w:firstLine="480"/>
    </w:pPr>
    <w:rPr>
      <w:rFonts w:hint="eastAsia" w:cs="Times New Roman"/>
      <w:color w:val="000000"/>
      <w:sz w:val="22"/>
      <w:szCs w:val="22"/>
    </w:rPr>
  </w:style>
  <w:style w:type="paragraph" w:customStyle="1" w:styleId="968">
    <w:name w:val="样式 正文 +"/>
    <w:basedOn w:val="1"/>
    <w:qFormat/>
    <w:uiPriority w:val="0"/>
    <w:pPr>
      <w:widowControl w:val="0"/>
      <w:spacing w:line="360" w:lineRule="auto"/>
      <w:ind w:firstLine="480" w:firstLineChars="200"/>
      <w:jc w:val="both"/>
    </w:pPr>
    <w:rPr>
      <w:rFonts w:ascii="Cambria Math" w:hAnsi="Cambria Math" w:cs="Times New Roman"/>
      <w:kern w:val="2"/>
    </w:rPr>
  </w:style>
  <w:style w:type="paragraph" w:customStyle="1" w:styleId="969">
    <w:name w:val="样式 左侧:  2 字符"/>
    <w:basedOn w:val="1"/>
    <w:qFormat/>
    <w:uiPriority w:val="0"/>
    <w:pPr>
      <w:widowControl w:val="0"/>
      <w:spacing w:line="360" w:lineRule="auto"/>
      <w:ind w:firstLine="480" w:firstLineChars="200"/>
      <w:jc w:val="both"/>
    </w:pPr>
    <w:rPr>
      <w:rFonts w:cs="Times New Roman"/>
      <w:kern w:val="2"/>
      <w:szCs w:val="20"/>
    </w:rPr>
  </w:style>
  <w:style w:type="paragraph" w:customStyle="1" w:styleId="970">
    <w:name w:val="正文并列"/>
    <w:basedOn w:val="1"/>
    <w:next w:val="1"/>
    <w:qFormat/>
    <w:uiPriority w:val="0"/>
    <w:pPr>
      <w:widowControl w:val="0"/>
      <w:snapToGrid w:val="0"/>
      <w:spacing w:line="400" w:lineRule="exact"/>
      <w:ind w:firstLine="200" w:firstLineChars="200"/>
      <w:jc w:val="both"/>
    </w:pPr>
    <w:rPr>
      <w:rFonts w:ascii="Times New Roman" w:hAnsi="Times New Roman" w:cs="Times New Roman"/>
      <w:kern w:val="2"/>
      <w:szCs w:val="20"/>
    </w:rPr>
  </w:style>
  <w:style w:type="paragraph" w:customStyle="1" w:styleId="971">
    <w:name w:val="居中正文"/>
    <w:basedOn w:val="86"/>
    <w:qFormat/>
    <w:uiPriority w:val="0"/>
    <w:pPr>
      <w:widowControl w:val="0"/>
      <w:adjustRightInd w:val="0"/>
      <w:spacing w:before="120" w:line="360" w:lineRule="auto"/>
      <w:ind w:firstLine="0" w:firstLineChars="0"/>
      <w:jc w:val="center"/>
      <w:textAlignment w:val="baseline"/>
    </w:pPr>
    <w:rPr>
      <w:rFonts w:hAnsi="Times New Roman" w:cs="Times New Roman"/>
      <w:kern w:val="28"/>
    </w:rPr>
  </w:style>
  <w:style w:type="paragraph" w:customStyle="1" w:styleId="972">
    <w:name w:val="湛宝标题"/>
    <w:basedOn w:val="22"/>
    <w:qFormat/>
    <w:uiPriority w:val="0"/>
    <w:pPr>
      <w:widowControl w:val="0"/>
      <w:spacing w:line="360" w:lineRule="auto"/>
      <w:ind w:firstLine="482"/>
      <w:jc w:val="center"/>
    </w:pPr>
    <w:rPr>
      <w:rFonts w:ascii="Arial" w:hAnsi="Arial" w:eastAsia="宋体" w:cs="Arial"/>
      <w:bCs/>
      <w:kern w:val="2"/>
      <w:szCs w:val="20"/>
    </w:rPr>
  </w:style>
  <w:style w:type="paragraph" w:customStyle="1" w:styleId="973">
    <w:name w:val="正文首缩"/>
    <w:basedOn w:val="1"/>
    <w:qFormat/>
    <w:uiPriority w:val="0"/>
    <w:pPr>
      <w:widowControl w:val="0"/>
      <w:adjustRightInd w:val="0"/>
      <w:snapToGrid w:val="0"/>
      <w:spacing w:line="360" w:lineRule="atLeast"/>
      <w:ind w:firstLine="510"/>
      <w:jc w:val="both"/>
      <w:textAlignment w:val="baseline"/>
    </w:pPr>
    <w:rPr>
      <w:rFonts w:ascii="Times New Roman" w:hAnsi="Times New Roman" w:cs="Times New Roman"/>
      <w:szCs w:val="20"/>
    </w:rPr>
  </w:style>
  <w:style w:type="paragraph" w:customStyle="1" w:styleId="974">
    <w:name w:val="样式 图表标题 + 加粗 段前: 0.5 行 段后: 0.5 行"/>
    <w:basedOn w:val="1"/>
    <w:qFormat/>
    <w:uiPriority w:val="0"/>
    <w:pPr>
      <w:widowControl w:val="0"/>
      <w:spacing w:before="156" w:beforeLines="50" w:after="156" w:afterLines="50" w:line="440" w:lineRule="exact"/>
      <w:jc w:val="center"/>
    </w:pPr>
    <w:rPr>
      <w:rFonts w:ascii="Times New Roman" w:hAnsi="Times New Roman"/>
      <w:b/>
      <w:bCs/>
      <w:kern w:val="2"/>
      <w:szCs w:val="20"/>
    </w:rPr>
  </w:style>
  <w:style w:type="character" w:customStyle="1" w:styleId="975">
    <w:name w:val="font9pt"/>
    <w:qFormat/>
    <w:uiPriority w:val="0"/>
  </w:style>
  <w:style w:type="paragraph" w:customStyle="1" w:styleId="976">
    <w:name w:val="标题4（韶关规划）"/>
    <w:basedOn w:val="6"/>
    <w:qFormat/>
    <w:uiPriority w:val="0"/>
    <w:pPr>
      <w:widowControl w:val="0"/>
      <w:adjustRightInd w:val="0"/>
      <w:snapToGrid w:val="0"/>
      <w:spacing w:before="240" w:after="240" w:line="240" w:lineRule="auto"/>
      <w:jc w:val="both"/>
    </w:pPr>
    <w:rPr>
      <w:rFonts w:ascii="Times New Roman" w:hAnsi="Times New Roman" w:eastAsia="宋体" w:cs="Times New Roman"/>
      <w:bCs w:val="0"/>
    </w:rPr>
  </w:style>
  <w:style w:type="paragraph" w:customStyle="1" w:styleId="977">
    <w:name w:val="表标题1"/>
    <w:basedOn w:val="1"/>
    <w:next w:val="1"/>
    <w:qFormat/>
    <w:uiPriority w:val="0"/>
    <w:pPr>
      <w:widowControl w:val="0"/>
      <w:spacing w:before="120" w:beforeLines="50" w:after="120" w:line="300" w:lineRule="auto"/>
      <w:jc w:val="center"/>
    </w:pPr>
    <w:rPr>
      <w:rFonts w:ascii="Times New Roman" w:hAnsi="Times New Roman" w:cs="Times New Roman"/>
      <w:color w:val="000000"/>
      <w:kern w:val="2"/>
      <w:szCs w:val="20"/>
    </w:rPr>
  </w:style>
  <w:style w:type="paragraph" w:customStyle="1" w:styleId="978">
    <w:name w:val="框图1"/>
    <w:basedOn w:val="1"/>
    <w:qFormat/>
    <w:uiPriority w:val="0"/>
    <w:pPr>
      <w:widowControl w:val="0"/>
      <w:adjustRightInd w:val="0"/>
      <w:spacing w:before="20" w:after="20" w:line="20" w:lineRule="atLeast"/>
      <w:jc w:val="center"/>
      <w:textAlignment w:val="baseline"/>
    </w:pPr>
    <w:rPr>
      <w:rFonts w:ascii="Times New Roman" w:hAnsi="Times New Roman" w:cs="Times New Roman"/>
      <w:kern w:val="18"/>
      <w:szCs w:val="20"/>
    </w:rPr>
  </w:style>
  <w:style w:type="character" w:customStyle="1" w:styleId="979">
    <w:name w:val="main1"/>
    <w:qFormat/>
    <w:uiPriority w:val="0"/>
    <w:rPr>
      <w:rFonts w:hint="default" w:ascii="Arial" w:hAnsi="Arial"/>
      <w:color w:val="0033CC"/>
      <w:sz w:val="18"/>
      <w:szCs w:val="18"/>
    </w:rPr>
  </w:style>
  <w:style w:type="character" w:customStyle="1" w:styleId="980">
    <w:name w:val="qatitle1"/>
    <w:qFormat/>
    <w:uiPriority w:val="0"/>
    <w:rPr>
      <w:color w:val="0033CC"/>
      <w:sz w:val="22"/>
      <w:szCs w:val="22"/>
      <w:u w:val="single"/>
    </w:rPr>
  </w:style>
  <w:style w:type="paragraph" w:customStyle="1" w:styleId="981">
    <w:name w:val="(1)"/>
    <w:basedOn w:val="1"/>
    <w:qFormat/>
    <w:uiPriority w:val="0"/>
    <w:pPr>
      <w:widowControl w:val="0"/>
      <w:adjustRightInd w:val="0"/>
      <w:spacing w:line="500" w:lineRule="exact"/>
      <w:jc w:val="both"/>
      <w:textAlignment w:val="baseline"/>
    </w:pPr>
    <w:rPr>
      <w:rFonts w:hAnsi="Times New Roman" w:cs="Times New Roman"/>
      <w:szCs w:val="20"/>
    </w:rPr>
  </w:style>
  <w:style w:type="paragraph" w:customStyle="1" w:styleId="982">
    <w:name w:val="Char Char Char121"/>
    <w:basedOn w:val="1"/>
    <w:qFormat/>
    <w:uiPriority w:val="0"/>
    <w:pPr>
      <w:widowControl w:val="0"/>
      <w:spacing w:before="100" w:beforeLines="100"/>
      <w:jc w:val="both"/>
    </w:pPr>
    <w:rPr>
      <w:rFonts w:ascii="Times New Roman" w:hAnsi="Times New Roman" w:cs="Times New Roman"/>
      <w:kern w:val="2"/>
      <w:sz w:val="21"/>
    </w:rPr>
  </w:style>
  <w:style w:type="paragraph" w:customStyle="1" w:styleId="983">
    <w:name w:val="标号标题"/>
    <w:basedOn w:val="1"/>
    <w:link w:val="984"/>
    <w:qFormat/>
    <w:uiPriority w:val="0"/>
    <w:pPr>
      <w:widowControl w:val="0"/>
      <w:spacing w:before="240" w:after="240" w:line="360" w:lineRule="auto"/>
      <w:jc w:val="center"/>
    </w:pPr>
    <w:rPr>
      <w:rFonts w:ascii="Symbol" w:hAnsi="Times New Roman" w:eastAsia="Symbol" w:cs="Times New Roman"/>
      <w:kern w:val="2"/>
    </w:rPr>
  </w:style>
  <w:style w:type="character" w:customStyle="1" w:styleId="984">
    <w:name w:val="标号标题 Char"/>
    <w:link w:val="983"/>
    <w:qFormat/>
    <w:uiPriority w:val="0"/>
    <w:rPr>
      <w:rFonts w:ascii="Symbol" w:eastAsia="Symbol"/>
      <w:kern w:val="2"/>
      <w:sz w:val="24"/>
      <w:szCs w:val="24"/>
    </w:rPr>
  </w:style>
  <w:style w:type="paragraph" w:customStyle="1" w:styleId="985">
    <w:name w:val="样式 样式 样式 四号 居中 + 首行缩进:  2 字符 + 首行缩进:  2 字符"/>
    <w:basedOn w:val="1"/>
    <w:qFormat/>
    <w:uiPriority w:val="0"/>
    <w:pPr>
      <w:widowControl w:val="0"/>
      <w:spacing w:line="360" w:lineRule="auto"/>
      <w:ind w:firstLine="200" w:firstLineChars="200"/>
      <w:jc w:val="both"/>
    </w:pPr>
    <w:rPr>
      <w:rFonts w:ascii="Times New Roman" w:hAnsi="Times New Roman"/>
      <w:kern w:val="2"/>
      <w:sz w:val="28"/>
      <w:szCs w:val="20"/>
    </w:rPr>
  </w:style>
  <w:style w:type="paragraph" w:customStyle="1" w:styleId="986">
    <w:name w:val="Char Char Char Char Char Char Char Char Char Char Char Char Char Char Char Char Char Char Char Char Char Char Char Char Char Char Char Char Char Char Char Char Char Char Char Char Char"/>
    <w:basedOn w:val="1"/>
    <w:qFormat/>
    <w:uiPriority w:val="0"/>
    <w:pPr>
      <w:widowControl w:val="0"/>
      <w:spacing w:line="480" w:lineRule="exact"/>
      <w:jc w:val="both"/>
    </w:pPr>
    <w:rPr>
      <w:rFonts w:ascii="Times New Roman" w:hAnsi="Times New Roman" w:cs="Times New Roman"/>
      <w:kern w:val="2"/>
      <w:sz w:val="21"/>
    </w:rPr>
  </w:style>
  <w:style w:type="paragraph" w:customStyle="1" w:styleId="987">
    <w:name w:val="Char Char Char Char Char Char Char Char Char Char Char Char Char Char Char Char Char Char Char Char Char Char Char Char Char Char Char Char"/>
    <w:basedOn w:val="1"/>
    <w:qFormat/>
    <w:uiPriority w:val="0"/>
    <w:pPr>
      <w:widowControl w:val="0"/>
      <w:spacing w:line="480" w:lineRule="exact"/>
      <w:jc w:val="both"/>
    </w:pPr>
    <w:rPr>
      <w:rFonts w:ascii="Times New Roman" w:hAnsi="Times New Roman" w:cs="Times New Roman"/>
      <w:kern w:val="2"/>
      <w:sz w:val="21"/>
    </w:rPr>
  </w:style>
  <w:style w:type="paragraph" w:customStyle="1" w:styleId="988">
    <w:name w:val="Char Char Char Char Char Char Char Char Char Char Char Char Char Char Char Char Char Char Char Char Char Char Char Char Char Char Char Char Char Char"/>
    <w:basedOn w:val="1"/>
    <w:qFormat/>
    <w:uiPriority w:val="0"/>
    <w:pPr>
      <w:widowControl w:val="0"/>
      <w:spacing w:line="480" w:lineRule="exact"/>
      <w:jc w:val="both"/>
    </w:pPr>
    <w:rPr>
      <w:rFonts w:ascii="Times New Roman" w:hAnsi="Times New Roman" w:cs="Times New Roman"/>
      <w:kern w:val="2"/>
      <w:sz w:val="21"/>
    </w:rPr>
  </w:style>
  <w:style w:type="paragraph" w:customStyle="1" w:styleId="989">
    <w:name w:val="样式 标题 2标题2Se节标题 1.11.1标题2条标题h2l22nd levelTitre22Heade..."/>
    <w:basedOn w:val="4"/>
    <w:qFormat/>
    <w:uiPriority w:val="0"/>
    <w:pPr>
      <w:widowControl w:val="0"/>
      <w:numPr>
        <w:ilvl w:val="0"/>
        <w:numId w:val="0"/>
      </w:numPr>
      <w:spacing w:before="240" w:after="120" w:line="415" w:lineRule="auto"/>
      <w:jc w:val="both"/>
    </w:pPr>
    <w:rPr>
      <w:rFonts w:ascii="宋体" w:hAnsi="宋体" w:eastAsia="Symbol"/>
      <w:bCs/>
      <w:kern w:val="2"/>
      <w:sz w:val="28"/>
      <w:szCs w:val="28"/>
    </w:rPr>
  </w:style>
  <w:style w:type="paragraph" w:customStyle="1" w:styleId="990">
    <w:name w:val="样式 标题 3 + 宋体 四号 Char Char"/>
    <w:basedOn w:val="5"/>
    <w:link w:val="991"/>
    <w:qFormat/>
    <w:uiPriority w:val="0"/>
    <w:pPr>
      <w:widowControl w:val="0"/>
      <w:spacing w:before="80" w:beforeLines="80" w:after="40" w:afterLines="40" w:line="360" w:lineRule="auto"/>
      <w:ind w:left="200" w:leftChars="200"/>
      <w:jc w:val="both"/>
    </w:pPr>
    <w:rPr>
      <w:rFonts w:cs="Times New Roman"/>
      <w:kern w:val="2"/>
      <w:sz w:val="28"/>
      <w:szCs w:val="28"/>
    </w:rPr>
  </w:style>
  <w:style w:type="character" w:customStyle="1" w:styleId="991">
    <w:name w:val="样式 标题 3 + 宋体 四号 Char Char Char"/>
    <w:link w:val="990"/>
    <w:qFormat/>
    <w:uiPriority w:val="0"/>
    <w:rPr>
      <w:rFonts w:ascii="宋体" w:hAnsi="宋体"/>
      <w:b/>
      <w:bCs/>
      <w:kern w:val="2"/>
      <w:sz w:val="28"/>
      <w:szCs w:val="28"/>
    </w:rPr>
  </w:style>
  <w:style w:type="paragraph" w:customStyle="1" w:styleId="992">
    <w:name w:val="中文报告书样式"/>
    <w:basedOn w:val="1"/>
    <w:qFormat/>
    <w:uiPriority w:val="0"/>
    <w:pPr>
      <w:widowControl w:val="0"/>
      <w:adjustRightInd w:val="0"/>
      <w:spacing w:line="480" w:lineRule="atLeast"/>
      <w:ind w:firstLine="482"/>
      <w:jc w:val="both"/>
      <w:textAlignment w:val="baseline"/>
    </w:pPr>
    <w:rPr>
      <w:rFonts w:ascii="Times New Roman" w:hAnsi="Times New Roman" w:cs="Times New Roman"/>
      <w:kern w:val="24"/>
      <w:szCs w:val="20"/>
    </w:rPr>
  </w:style>
  <w:style w:type="paragraph" w:customStyle="1" w:styleId="993">
    <w:name w:val="样式 标题 3 + 宋体 四号 Char"/>
    <w:basedOn w:val="5"/>
    <w:qFormat/>
    <w:uiPriority w:val="0"/>
    <w:pPr>
      <w:widowControl w:val="0"/>
      <w:spacing w:before="80" w:beforeLines="80" w:after="40" w:afterLines="40" w:line="360" w:lineRule="auto"/>
      <w:ind w:left="200" w:leftChars="200"/>
      <w:jc w:val="both"/>
    </w:pPr>
    <w:rPr>
      <w:rFonts w:cs="Times New Roman"/>
      <w:kern w:val="2"/>
      <w:sz w:val="28"/>
      <w:szCs w:val="28"/>
    </w:rPr>
  </w:style>
  <w:style w:type="paragraph" w:customStyle="1" w:styleId="994">
    <w:name w:val="Char Char Char Char Char Char Char Char Char Char Char Char Char Char Char"/>
    <w:basedOn w:val="1"/>
    <w:qFormat/>
    <w:uiPriority w:val="0"/>
    <w:pPr>
      <w:widowControl w:val="0"/>
      <w:spacing w:line="480" w:lineRule="exact"/>
      <w:jc w:val="both"/>
    </w:pPr>
    <w:rPr>
      <w:rFonts w:ascii="Times New Roman" w:hAnsi="Times New Roman" w:cs="Times New Roman"/>
      <w:kern w:val="2"/>
      <w:sz w:val="21"/>
    </w:rPr>
  </w:style>
  <w:style w:type="paragraph" w:customStyle="1" w:styleId="995">
    <w:name w:val="Char Char Char Char Char Char Char Char Char Char Char Char Char"/>
    <w:basedOn w:val="1"/>
    <w:qFormat/>
    <w:uiPriority w:val="0"/>
    <w:pPr>
      <w:widowControl w:val="0"/>
      <w:spacing w:line="480" w:lineRule="exact"/>
      <w:jc w:val="both"/>
    </w:pPr>
    <w:rPr>
      <w:rFonts w:ascii="Times New Roman" w:hAnsi="Times New Roman" w:cs="Times New Roman"/>
      <w:kern w:val="2"/>
      <w:sz w:val="21"/>
    </w:rPr>
  </w:style>
  <w:style w:type="paragraph" w:customStyle="1" w:styleId="996">
    <w:name w:val="Title_u"/>
    <w:basedOn w:val="1"/>
    <w:qFormat/>
    <w:uiPriority w:val="0"/>
    <w:pPr>
      <w:overflowPunct w:val="0"/>
      <w:autoSpaceDE w:val="0"/>
      <w:autoSpaceDN w:val="0"/>
      <w:adjustRightInd w:val="0"/>
      <w:spacing w:before="120" w:after="120" w:line="360" w:lineRule="auto"/>
      <w:jc w:val="center"/>
      <w:textAlignment w:val="baseline"/>
    </w:pPr>
    <w:rPr>
      <w:rFonts w:ascii="Symbol" w:hAnsi="Times New Roman" w:eastAsia="Symbol" w:cs="Times New Roman"/>
      <w:b/>
      <w:sz w:val="28"/>
      <w:szCs w:val="20"/>
    </w:rPr>
  </w:style>
  <w:style w:type="paragraph" w:customStyle="1" w:styleId="997">
    <w:name w:val="l_text"/>
    <w:basedOn w:val="1"/>
    <w:qFormat/>
    <w:uiPriority w:val="0"/>
    <w:pPr>
      <w:overflowPunct w:val="0"/>
      <w:autoSpaceDE w:val="0"/>
      <w:autoSpaceDN w:val="0"/>
      <w:adjustRightInd w:val="0"/>
      <w:spacing w:line="360" w:lineRule="auto"/>
      <w:ind w:firstLine="567"/>
      <w:jc w:val="both"/>
      <w:textAlignment w:val="baseline"/>
    </w:pPr>
    <w:rPr>
      <w:rFonts w:ascii="Times New Roman" w:hAnsi="Times New Roman" w:cs="Times New Roman"/>
      <w:sz w:val="28"/>
      <w:szCs w:val="20"/>
      <w:lang w:val="en-GB"/>
    </w:rPr>
  </w:style>
  <w:style w:type="paragraph" w:customStyle="1" w:styleId="998">
    <w:name w:val="默认段落字体 Para Char Char Char Char Char Char Char Char Char Char"/>
    <w:basedOn w:val="5"/>
    <w:qFormat/>
    <w:uiPriority w:val="0"/>
    <w:pPr>
      <w:widowControl w:val="0"/>
      <w:tabs>
        <w:tab w:val="left" w:pos="360"/>
        <w:tab w:val="left" w:pos="900"/>
      </w:tabs>
      <w:snapToGrid w:val="0"/>
      <w:spacing w:before="120" w:after="120" w:line="360" w:lineRule="auto"/>
      <w:ind w:left="542" w:leftChars="-12" w:firstLine="200" w:firstLineChars="200"/>
    </w:pPr>
    <w:rPr>
      <w:rFonts w:ascii="Times New Roman" w:hAnsi="Times New Roman" w:eastAsia="Symbol" w:cs="Times New Roman"/>
      <w:b w:val="0"/>
      <w:bCs w:val="0"/>
      <w:kern w:val="2"/>
      <w:sz w:val="24"/>
      <w:szCs w:val="24"/>
    </w:rPr>
  </w:style>
  <w:style w:type="paragraph" w:customStyle="1" w:styleId="999">
    <w:name w:val="Char Char Char Char Char Char Char Char Char Char Char Char Char Char Char Char Char Char Char Char Char Char Char Char Char Char Char Char Char Char Char"/>
    <w:basedOn w:val="1"/>
    <w:qFormat/>
    <w:uiPriority w:val="0"/>
    <w:pPr>
      <w:widowControl w:val="0"/>
      <w:spacing w:line="480" w:lineRule="exact"/>
      <w:jc w:val="both"/>
    </w:pPr>
    <w:rPr>
      <w:rFonts w:ascii="Times New Roman" w:hAnsi="Times New Roman" w:cs="Times New Roman"/>
      <w:kern w:val="2"/>
      <w:sz w:val="21"/>
    </w:rPr>
  </w:style>
  <w:style w:type="paragraph" w:customStyle="1" w:styleId="1000">
    <w:name w:val="5 Char"/>
    <w:basedOn w:val="1"/>
    <w:qFormat/>
    <w:uiPriority w:val="0"/>
    <w:pPr>
      <w:widowControl w:val="0"/>
      <w:jc w:val="both"/>
    </w:pPr>
    <w:rPr>
      <w:rFonts w:ascii="Times New Roman" w:hAnsi="Times New Roman" w:cs="Times New Roman"/>
      <w:kern w:val="2"/>
    </w:rPr>
  </w:style>
  <w:style w:type="paragraph" w:customStyle="1" w:styleId="1001">
    <w:name w:val="样式17"/>
    <w:basedOn w:val="1"/>
    <w:link w:val="1002"/>
    <w:qFormat/>
    <w:uiPriority w:val="0"/>
    <w:pPr>
      <w:widowControl w:val="0"/>
      <w:adjustRightInd w:val="0"/>
      <w:snapToGrid w:val="0"/>
      <w:spacing w:line="360" w:lineRule="auto"/>
      <w:jc w:val="center"/>
    </w:pPr>
    <w:rPr>
      <w:rFonts w:ascii="Symbol" w:eastAsia="Symbol" w:cs="Times New Roman"/>
      <w:bCs/>
      <w:kern w:val="2"/>
      <w:sz w:val="21"/>
      <w:szCs w:val="21"/>
    </w:rPr>
  </w:style>
  <w:style w:type="character" w:customStyle="1" w:styleId="1002">
    <w:name w:val="样式17 Char"/>
    <w:link w:val="1001"/>
    <w:qFormat/>
    <w:uiPriority w:val="0"/>
    <w:rPr>
      <w:rFonts w:ascii="Symbol" w:hAnsi="宋体" w:eastAsia="Symbol"/>
      <w:bCs/>
      <w:kern w:val="2"/>
      <w:sz w:val="21"/>
      <w:szCs w:val="21"/>
    </w:rPr>
  </w:style>
  <w:style w:type="paragraph" w:customStyle="1" w:styleId="1003">
    <w:name w:val="图表格式"/>
    <w:basedOn w:val="1"/>
    <w:qFormat/>
    <w:uiPriority w:val="0"/>
    <w:pPr>
      <w:widowControl w:val="0"/>
      <w:adjustRightInd w:val="0"/>
      <w:snapToGrid w:val="0"/>
      <w:spacing w:line="360" w:lineRule="auto"/>
      <w:ind w:firstLine="250" w:firstLineChars="250"/>
      <w:jc w:val="both"/>
    </w:pPr>
    <w:rPr>
      <w:rFonts w:ascii="Times New Roman" w:hAnsi="Times New Roman" w:eastAsia="Symbol" w:cs="Times New Roman"/>
      <w:snapToGrid w:val="0"/>
      <w:szCs w:val="20"/>
    </w:rPr>
  </w:style>
  <w:style w:type="paragraph" w:customStyle="1" w:styleId="1004">
    <w:name w:val="000 正文"/>
    <w:basedOn w:val="1"/>
    <w:qFormat/>
    <w:uiPriority w:val="0"/>
    <w:pPr>
      <w:widowControl w:val="0"/>
      <w:spacing w:before="50" w:beforeLines="50" w:after="50" w:afterLines="50" w:line="324" w:lineRule="auto"/>
      <w:ind w:firstLine="200" w:firstLineChars="200"/>
      <w:jc w:val="both"/>
    </w:pPr>
    <w:rPr>
      <w:rFonts w:ascii="Times New Roman" w:hAnsi="Times New Roman" w:cs="Times New Roman"/>
      <w:kern w:val="2"/>
    </w:rPr>
  </w:style>
  <w:style w:type="paragraph" w:customStyle="1" w:styleId="1005">
    <w:name w:val="样式 样式 段前: 4.65 磅 行距: 多倍行距 1.15 字行 + 首行缩进:  2 字符"/>
    <w:basedOn w:val="1"/>
    <w:qFormat/>
    <w:uiPriority w:val="0"/>
    <w:pPr>
      <w:widowControl w:val="0"/>
      <w:spacing w:before="93" w:line="312" w:lineRule="auto"/>
      <w:ind w:firstLine="200" w:firstLineChars="200"/>
      <w:jc w:val="both"/>
    </w:pPr>
    <w:rPr>
      <w:rFonts w:ascii="Times New Roman" w:hAnsi="Times New Roman"/>
      <w:kern w:val="2"/>
      <w:szCs w:val="20"/>
    </w:rPr>
  </w:style>
  <w:style w:type="paragraph" w:customStyle="1" w:styleId="1006">
    <w:name w:val="样式27"/>
    <w:basedOn w:val="1"/>
    <w:link w:val="1007"/>
    <w:qFormat/>
    <w:uiPriority w:val="0"/>
    <w:pPr>
      <w:keepNext/>
      <w:keepLines/>
      <w:widowControl w:val="0"/>
      <w:tabs>
        <w:tab w:val="left" w:pos="360"/>
        <w:tab w:val="left" w:pos="540"/>
        <w:tab w:val="left" w:pos="1476"/>
      </w:tabs>
      <w:spacing w:before="120" w:beforeLines="50" w:after="120" w:afterLines="50" w:line="360" w:lineRule="auto"/>
      <w:ind w:left="1476" w:hanging="1296"/>
      <w:jc w:val="both"/>
      <w:outlineLvl w:val="1"/>
    </w:pPr>
    <w:rPr>
      <w:rFonts w:eastAsia="Symbol" w:cs="Times New Roman"/>
      <w:b/>
      <w:kern w:val="2"/>
      <w:sz w:val="28"/>
      <w:szCs w:val="28"/>
    </w:rPr>
  </w:style>
  <w:style w:type="character" w:customStyle="1" w:styleId="1007">
    <w:name w:val="样式27 Char"/>
    <w:link w:val="1006"/>
    <w:qFormat/>
    <w:uiPriority w:val="0"/>
    <w:rPr>
      <w:rFonts w:ascii="宋体" w:hAnsi="宋体" w:eastAsia="Symbol"/>
      <w:b/>
      <w:kern w:val="2"/>
      <w:sz w:val="28"/>
      <w:szCs w:val="28"/>
    </w:rPr>
  </w:style>
  <w:style w:type="paragraph" w:customStyle="1" w:styleId="1008">
    <w:name w:val="样式21"/>
    <w:basedOn w:val="1"/>
    <w:link w:val="1009"/>
    <w:qFormat/>
    <w:uiPriority w:val="0"/>
    <w:pPr>
      <w:keepNext/>
      <w:keepLines/>
      <w:widowControl w:val="0"/>
      <w:tabs>
        <w:tab w:val="left" w:pos="360"/>
        <w:tab w:val="left" w:pos="540"/>
        <w:tab w:val="left" w:pos="1605"/>
      </w:tabs>
      <w:spacing w:before="120" w:beforeLines="50" w:after="120" w:afterLines="50" w:line="360" w:lineRule="auto"/>
      <w:ind w:left="1234" w:hanging="709"/>
      <w:jc w:val="both"/>
      <w:outlineLvl w:val="2"/>
    </w:pPr>
    <w:rPr>
      <w:rFonts w:ascii="Times New Roman" w:eastAsia="Symbol" w:cs="Times New Roman"/>
      <w:szCs w:val="32"/>
    </w:rPr>
  </w:style>
  <w:style w:type="character" w:customStyle="1" w:styleId="1009">
    <w:name w:val="样式21 Char"/>
    <w:link w:val="1008"/>
    <w:qFormat/>
    <w:uiPriority w:val="0"/>
    <w:rPr>
      <w:rFonts w:hAnsi="宋体" w:eastAsia="Symbol"/>
      <w:sz w:val="24"/>
      <w:szCs w:val="32"/>
    </w:rPr>
  </w:style>
  <w:style w:type="paragraph" w:customStyle="1" w:styleId="1010">
    <w:name w:val="样式14"/>
    <w:basedOn w:val="1"/>
    <w:link w:val="1011"/>
    <w:qFormat/>
    <w:uiPriority w:val="0"/>
    <w:pPr>
      <w:widowControl w:val="0"/>
      <w:adjustRightInd w:val="0"/>
      <w:snapToGrid w:val="0"/>
      <w:spacing w:line="360" w:lineRule="auto"/>
      <w:ind w:firstLine="480" w:firstLineChars="200"/>
      <w:jc w:val="both"/>
    </w:pPr>
    <w:rPr>
      <w:rFonts w:ascii="Times New Roman" w:hAnsi="Times New Roman" w:cs="Times New Roman"/>
    </w:rPr>
  </w:style>
  <w:style w:type="character" w:customStyle="1" w:styleId="1011">
    <w:name w:val="样式14 Char"/>
    <w:link w:val="1010"/>
    <w:qFormat/>
    <w:uiPriority w:val="0"/>
    <w:rPr>
      <w:sz w:val="24"/>
      <w:szCs w:val="24"/>
    </w:rPr>
  </w:style>
  <w:style w:type="paragraph" w:customStyle="1" w:styleId="1012">
    <w:name w:val="正文标准样式"/>
    <w:basedOn w:val="1"/>
    <w:qFormat/>
    <w:uiPriority w:val="0"/>
    <w:pPr>
      <w:widowControl w:val="0"/>
      <w:adjustRightInd w:val="0"/>
      <w:spacing w:line="300" w:lineRule="auto"/>
      <w:ind w:firstLine="482"/>
      <w:jc w:val="both"/>
      <w:textAlignment w:val="baseline"/>
    </w:pPr>
    <w:rPr>
      <w:rFonts w:ascii="Times New Roman" w:hAnsi="Times New Roman" w:cs="Times New Roman"/>
      <w:szCs w:val="20"/>
    </w:rPr>
  </w:style>
  <w:style w:type="paragraph" w:customStyle="1" w:styleId="1013">
    <w:name w:val="xl79"/>
    <w:basedOn w:val="1"/>
    <w:qFormat/>
    <w:uiPriority w:val="0"/>
    <w:pPr>
      <w:spacing w:before="100" w:beforeAutospacing="1" w:after="100" w:afterAutospacing="1"/>
      <w:jc w:val="center"/>
    </w:pPr>
    <w:rPr>
      <w:rFonts w:ascii="Arial" w:hAnsi="Arial" w:cs="Arial"/>
    </w:rPr>
  </w:style>
  <w:style w:type="paragraph" w:customStyle="1" w:styleId="1014">
    <w:name w:val="00 标题2"/>
    <w:basedOn w:val="5"/>
    <w:link w:val="1015"/>
    <w:qFormat/>
    <w:uiPriority w:val="0"/>
    <w:pPr>
      <w:widowControl w:val="0"/>
      <w:spacing w:before="120" w:beforeLines="50" w:after="120" w:afterLines="50" w:line="300" w:lineRule="auto"/>
    </w:pPr>
    <w:rPr>
      <w:rFonts w:ascii="Times New Roman" w:hAnsi="Times New Roman" w:eastAsia="Symbol" w:cs="Times New Roman"/>
      <w:kern w:val="2"/>
      <w:sz w:val="30"/>
    </w:rPr>
  </w:style>
  <w:style w:type="character" w:customStyle="1" w:styleId="1015">
    <w:name w:val="00 标题2 Char"/>
    <w:link w:val="1014"/>
    <w:qFormat/>
    <w:uiPriority w:val="0"/>
    <w:rPr>
      <w:rFonts w:eastAsia="Symbol"/>
      <w:b/>
      <w:bCs/>
      <w:kern w:val="2"/>
      <w:sz w:val="30"/>
      <w:szCs w:val="32"/>
    </w:rPr>
  </w:style>
  <w:style w:type="paragraph" w:customStyle="1" w:styleId="1016">
    <w:name w:val="Char2 Char Char Char Char Char Char Char Char Char"/>
    <w:basedOn w:val="1"/>
    <w:qFormat/>
    <w:uiPriority w:val="0"/>
    <w:pPr>
      <w:widowControl w:val="0"/>
      <w:spacing w:line="360" w:lineRule="auto"/>
      <w:ind w:firstLine="200" w:firstLineChars="200"/>
      <w:jc w:val="both"/>
    </w:pPr>
    <w:rPr>
      <w:kern w:val="2"/>
    </w:rPr>
  </w:style>
  <w:style w:type="paragraph" w:customStyle="1" w:styleId="1017">
    <w:name w:val="表格 3"/>
    <w:basedOn w:val="1"/>
    <w:qFormat/>
    <w:uiPriority w:val="0"/>
    <w:pPr>
      <w:keepNext/>
      <w:widowControl w:val="0"/>
      <w:autoSpaceDE w:val="0"/>
      <w:autoSpaceDN w:val="0"/>
      <w:adjustRightInd w:val="0"/>
      <w:jc w:val="center"/>
    </w:pPr>
    <w:rPr>
      <w:rFonts w:cs="Times New Roman"/>
      <w:bCs/>
      <w:iCs/>
      <w:sz w:val="18"/>
      <w:szCs w:val="18"/>
    </w:rPr>
  </w:style>
  <w:style w:type="paragraph" w:customStyle="1" w:styleId="1018">
    <w:name w:val="正文（韶关规划）"/>
    <w:basedOn w:val="87"/>
    <w:qFormat/>
    <w:uiPriority w:val="0"/>
    <w:pPr>
      <w:widowControl w:val="0"/>
      <w:tabs>
        <w:tab w:val="left" w:pos="7996"/>
      </w:tabs>
      <w:autoSpaceDE w:val="0"/>
      <w:autoSpaceDN w:val="0"/>
      <w:adjustRightInd w:val="0"/>
      <w:snapToGrid w:val="0"/>
      <w:spacing w:before="156" w:beforeLines="50" w:line="360" w:lineRule="auto"/>
      <w:ind w:left="0" w:leftChars="0" w:firstLine="480"/>
      <w:jc w:val="both"/>
    </w:pPr>
    <w:rPr>
      <w:rFonts w:ascii="Times New Roman" w:hAnsi="Times New Roman" w:cs="Times New Roman"/>
      <w:color w:val="000000"/>
      <w:kern w:val="2"/>
    </w:rPr>
  </w:style>
  <w:style w:type="character" w:customStyle="1" w:styleId="1019">
    <w:name w:val="正文文字( 首段缩进两字） Char"/>
    <w:qFormat/>
    <w:uiPriority w:val="0"/>
    <w:rPr>
      <w:rFonts w:ascii="宋体" w:hAnsi="宋体" w:eastAsia="宋体"/>
      <w:kern w:val="2"/>
      <w:sz w:val="24"/>
      <w:szCs w:val="24"/>
      <w:lang w:val="en-US" w:eastAsia="zh-CN" w:bidi="ar-SA"/>
    </w:rPr>
  </w:style>
  <w:style w:type="character" w:customStyle="1" w:styleId="1020">
    <w:name w:val="样式 标题 3标题 3 Char Char Char标题 3 Char Char Char Char Char Char标... Char"/>
    <w:link w:val="1021"/>
    <w:qFormat/>
    <w:uiPriority w:val="0"/>
    <w:rPr>
      <w:rFonts w:ascii="Cambria Math" w:hAnsi="Cambria Math"/>
      <w:b/>
      <w:kern w:val="2"/>
      <w:sz w:val="24"/>
    </w:rPr>
  </w:style>
  <w:style w:type="paragraph" w:customStyle="1" w:styleId="1021">
    <w:name w:val="样式 标题 3标题 3 Char Char Char标题 3 Char Char Char Char Char Char标..."/>
    <w:basedOn w:val="5"/>
    <w:link w:val="1020"/>
    <w:qFormat/>
    <w:uiPriority w:val="0"/>
    <w:pPr>
      <w:widowControl w:val="0"/>
      <w:tabs>
        <w:tab w:val="left" w:pos="720"/>
      </w:tabs>
      <w:spacing w:before="0" w:after="0" w:line="360" w:lineRule="auto"/>
      <w:jc w:val="both"/>
    </w:pPr>
    <w:rPr>
      <w:rFonts w:ascii="Cambria Math" w:hAnsi="Cambria Math" w:cs="Times New Roman"/>
      <w:bCs w:val="0"/>
      <w:kern w:val="2"/>
      <w:sz w:val="24"/>
      <w:szCs w:val="20"/>
    </w:rPr>
  </w:style>
  <w:style w:type="character" w:customStyle="1" w:styleId="1022">
    <w:name w:val="font2"/>
    <w:qFormat/>
    <w:uiPriority w:val="0"/>
    <w:rPr>
      <w:color w:val="336633"/>
      <w:sz w:val="21"/>
    </w:rPr>
  </w:style>
  <w:style w:type="character" w:customStyle="1" w:styleId="1023">
    <w:name w:val="未命名1"/>
    <w:qFormat/>
    <w:uiPriority w:val="0"/>
  </w:style>
  <w:style w:type="paragraph" w:customStyle="1" w:styleId="1024">
    <w:name w:val="样式 宋体 小四 两端对齐 首行缩进:  0.85 厘米 行距: 1.5 倍行距"/>
    <w:basedOn w:val="1"/>
    <w:qFormat/>
    <w:uiPriority w:val="0"/>
    <w:pPr>
      <w:spacing w:line="360" w:lineRule="auto"/>
      <w:ind w:firstLine="482"/>
      <w:jc w:val="both"/>
    </w:pPr>
    <w:rPr>
      <w:rFonts w:ascii="Times New Roman" w:hAnsi="Times New Roman" w:cs="Times New Roman"/>
      <w:szCs w:val="20"/>
    </w:rPr>
  </w:style>
  <w:style w:type="paragraph" w:customStyle="1" w:styleId="1025">
    <w:name w:val="样式 表格 + 宋体 居中"/>
    <w:basedOn w:val="145"/>
    <w:qFormat/>
    <w:uiPriority w:val="0"/>
    <w:pPr>
      <w:widowControl w:val="0"/>
      <w:adjustRightInd/>
      <w:snapToGrid/>
      <w:spacing w:beforeLines="0" w:afterLines="0" w:line="360" w:lineRule="auto"/>
      <w:textAlignment w:val="center"/>
    </w:pPr>
    <w:rPr>
      <w:rFonts w:ascii="Times New Roman" w:hAnsi="Times New Roman" w:cs="Times New Roman"/>
      <w:kern w:val="2"/>
      <w:sz w:val="24"/>
    </w:rPr>
  </w:style>
  <w:style w:type="paragraph" w:customStyle="1" w:styleId="1026">
    <w:name w:val="xl40"/>
    <w:basedOn w:val="1"/>
    <w:qFormat/>
    <w:uiPriority w:val="0"/>
    <w:pPr>
      <w:pBdr>
        <w:left w:val="single" w:color="auto" w:sz="8" w:space="0"/>
        <w:right w:val="single" w:color="auto" w:sz="8" w:space="0"/>
      </w:pBdr>
      <w:shd w:val="clear" w:color="auto" w:fill="CCFFCC"/>
      <w:spacing w:before="100" w:beforeAutospacing="1" w:after="100" w:afterAutospacing="1" w:line="360" w:lineRule="auto"/>
      <w:ind w:firstLine="465"/>
      <w:jc w:val="center"/>
      <w:textAlignment w:val="center"/>
    </w:pPr>
    <w:rPr>
      <w:rFonts w:cs="Times New Roman"/>
      <w:szCs w:val="20"/>
    </w:rPr>
  </w:style>
  <w:style w:type="paragraph" w:customStyle="1" w:styleId="1027">
    <w:name w:val="xl41"/>
    <w:basedOn w:val="1"/>
    <w:qFormat/>
    <w:uiPriority w:val="0"/>
    <w:pPr>
      <w:pBdr>
        <w:left w:val="single" w:color="auto" w:sz="8" w:space="0"/>
        <w:bottom w:val="single" w:color="auto" w:sz="8" w:space="0"/>
        <w:right w:val="single" w:color="auto" w:sz="8" w:space="0"/>
      </w:pBdr>
      <w:shd w:val="clear" w:color="auto" w:fill="CCFFCC"/>
      <w:spacing w:before="100" w:beforeAutospacing="1" w:after="100" w:afterAutospacing="1" w:line="360" w:lineRule="auto"/>
      <w:ind w:firstLine="465"/>
      <w:jc w:val="center"/>
      <w:textAlignment w:val="center"/>
    </w:pPr>
    <w:rPr>
      <w:rFonts w:cs="Times New Roman"/>
      <w:szCs w:val="20"/>
    </w:rPr>
  </w:style>
  <w:style w:type="paragraph" w:customStyle="1" w:styleId="1028">
    <w:name w:val="標準（日本語）"/>
    <w:basedOn w:val="1"/>
    <w:qFormat/>
    <w:uiPriority w:val="0"/>
    <w:pPr>
      <w:widowControl w:val="0"/>
      <w:overflowPunct w:val="0"/>
      <w:adjustRightInd w:val="0"/>
      <w:spacing w:after="156" w:afterLines="50" w:line="360" w:lineRule="auto"/>
      <w:ind w:firstLine="465"/>
      <w:jc w:val="both"/>
    </w:pPr>
    <w:rPr>
      <w:rFonts w:ascii="Times New Roman" w:hAnsi="Times New Roman" w:eastAsia="Cambria Math" w:cs="Times New Roman"/>
      <w:snapToGrid w:val="0"/>
      <w:szCs w:val="20"/>
      <w:lang w:eastAsia="ja-JP"/>
    </w:rPr>
  </w:style>
  <w:style w:type="paragraph" w:customStyle="1" w:styleId="1029">
    <w:name w:val="xl49"/>
    <w:basedOn w:val="1"/>
    <w:qFormat/>
    <w:uiPriority w:val="0"/>
    <w:pPr>
      <w:pBdr>
        <w:top w:val="single" w:color="auto" w:sz="8" w:space="0"/>
        <w:left w:val="single" w:color="auto" w:sz="8" w:space="0"/>
        <w:right w:val="single" w:color="auto" w:sz="8" w:space="0"/>
      </w:pBdr>
      <w:shd w:val="clear" w:color="auto" w:fill="FF99CC"/>
      <w:spacing w:before="100" w:beforeAutospacing="1" w:after="100" w:afterAutospacing="1" w:line="360" w:lineRule="auto"/>
      <w:ind w:firstLine="465"/>
      <w:jc w:val="center"/>
      <w:textAlignment w:val="center"/>
    </w:pPr>
    <w:rPr>
      <w:rFonts w:cs="Times New Roman"/>
      <w:szCs w:val="20"/>
    </w:rPr>
  </w:style>
  <w:style w:type="paragraph" w:customStyle="1" w:styleId="1030">
    <w:name w:val="xl52"/>
    <w:basedOn w:val="1"/>
    <w:qFormat/>
    <w:uiPriority w:val="0"/>
    <w:pPr>
      <w:pBdr>
        <w:left w:val="single" w:color="auto" w:sz="8" w:space="0"/>
        <w:bottom w:val="single" w:color="auto" w:sz="8" w:space="0"/>
        <w:right w:val="single" w:color="auto" w:sz="8" w:space="0"/>
      </w:pBdr>
      <w:shd w:val="clear" w:color="auto" w:fill="FF99CC"/>
      <w:spacing w:before="100" w:beforeAutospacing="1" w:after="100" w:afterAutospacing="1" w:line="360" w:lineRule="auto"/>
      <w:ind w:firstLine="465"/>
      <w:jc w:val="center"/>
      <w:textAlignment w:val="center"/>
    </w:pPr>
    <w:rPr>
      <w:rFonts w:cs="Times New Roman"/>
      <w:szCs w:val="20"/>
    </w:rPr>
  </w:style>
  <w:style w:type="paragraph" w:customStyle="1" w:styleId="1031">
    <w:name w:val="xl43"/>
    <w:basedOn w:val="1"/>
    <w:qFormat/>
    <w:uiPriority w:val="0"/>
    <w:pPr>
      <w:pBdr>
        <w:top w:val="single" w:color="auto" w:sz="8" w:space="0"/>
        <w:left w:val="single" w:color="auto" w:sz="8" w:space="0"/>
        <w:right w:val="single" w:color="auto" w:sz="8" w:space="0"/>
      </w:pBdr>
      <w:spacing w:before="100" w:beforeAutospacing="1" w:after="100" w:afterAutospacing="1" w:line="360" w:lineRule="auto"/>
      <w:ind w:firstLine="465"/>
      <w:jc w:val="center"/>
      <w:textAlignment w:val="center"/>
    </w:pPr>
    <w:rPr>
      <w:rFonts w:cs="Times New Roman"/>
      <w:sz w:val="28"/>
      <w:szCs w:val="20"/>
    </w:rPr>
  </w:style>
  <w:style w:type="paragraph" w:customStyle="1" w:styleId="1032">
    <w:name w:val="xl44"/>
    <w:basedOn w:val="1"/>
    <w:qFormat/>
    <w:uiPriority w:val="0"/>
    <w:pPr>
      <w:pBdr>
        <w:left w:val="single" w:color="auto" w:sz="8" w:space="0"/>
        <w:right w:val="single" w:color="auto" w:sz="8" w:space="0"/>
      </w:pBdr>
      <w:spacing w:before="100" w:beforeAutospacing="1" w:after="100" w:afterAutospacing="1" w:line="360" w:lineRule="auto"/>
      <w:ind w:firstLine="465"/>
      <w:jc w:val="center"/>
      <w:textAlignment w:val="center"/>
    </w:pPr>
    <w:rPr>
      <w:rFonts w:cs="Times New Roman"/>
      <w:sz w:val="28"/>
      <w:szCs w:val="20"/>
    </w:rPr>
  </w:style>
  <w:style w:type="paragraph" w:customStyle="1" w:styleId="1033">
    <w:name w:val="标1"/>
    <w:basedOn w:val="1"/>
    <w:qFormat/>
    <w:uiPriority w:val="0"/>
    <w:pPr>
      <w:widowControl w:val="0"/>
      <w:tabs>
        <w:tab w:val="left" w:pos="839"/>
      </w:tabs>
      <w:adjustRightInd w:val="0"/>
      <w:spacing w:line="288" w:lineRule="auto"/>
      <w:ind w:right="-34" w:firstLine="465"/>
      <w:jc w:val="both"/>
      <w:textAlignment w:val="baseline"/>
    </w:pPr>
    <w:rPr>
      <w:rFonts w:ascii="Times New Roman" w:hAnsi="Times New Roman" w:eastAsia="Arial" w:cs="Times New Roman"/>
      <w:sz w:val="32"/>
      <w:szCs w:val="20"/>
    </w:rPr>
  </w:style>
  <w:style w:type="paragraph" w:customStyle="1" w:styleId="1034">
    <w:name w:val="xl51"/>
    <w:basedOn w:val="1"/>
    <w:qFormat/>
    <w:uiPriority w:val="0"/>
    <w:pPr>
      <w:pBdr>
        <w:left w:val="single" w:color="auto" w:sz="8" w:space="0"/>
        <w:right w:val="single" w:color="auto" w:sz="8" w:space="0"/>
      </w:pBdr>
      <w:spacing w:before="100" w:beforeAutospacing="1" w:after="100" w:afterAutospacing="1" w:line="360" w:lineRule="auto"/>
      <w:ind w:firstLine="465"/>
      <w:jc w:val="center"/>
      <w:textAlignment w:val="center"/>
    </w:pPr>
    <w:rPr>
      <w:rFonts w:hint="eastAsia" w:ascii="Symbol" w:eastAsia="Symbol" w:cs="Times New Roman"/>
      <w:b/>
      <w:sz w:val="28"/>
      <w:szCs w:val="20"/>
    </w:rPr>
  </w:style>
  <w:style w:type="paragraph" w:customStyle="1" w:styleId="1035">
    <w:name w:val="xl47"/>
    <w:basedOn w:val="1"/>
    <w:qFormat/>
    <w:uiPriority w:val="0"/>
    <w:pPr>
      <w:pBdr>
        <w:left w:val="single" w:color="auto" w:sz="8" w:space="0"/>
        <w:right w:val="single" w:color="auto" w:sz="8" w:space="0"/>
      </w:pBdr>
      <w:spacing w:before="100" w:beforeAutospacing="1" w:after="100" w:afterAutospacing="1" w:line="360" w:lineRule="auto"/>
      <w:ind w:firstLine="465"/>
      <w:jc w:val="center"/>
      <w:textAlignment w:val="center"/>
    </w:pPr>
    <w:rPr>
      <w:rFonts w:cs="Times New Roman"/>
      <w:sz w:val="28"/>
      <w:szCs w:val="20"/>
    </w:rPr>
  </w:style>
  <w:style w:type="paragraph" w:customStyle="1" w:styleId="1036">
    <w:name w:val="xl55"/>
    <w:basedOn w:val="1"/>
    <w:qFormat/>
    <w:uiPriority w:val="0"/>
    <w:pPr>
      <w:pBdr>
        <w:left w:val="single" w:color="auto" w:sz="8" w:space="0"/>
        <w:right w:val="single" w:color="auto" w:sz="8" w:space="0"/>
      </w:pBdr>
      <w:spacing w:before="100" w:beforeAutospacing="1" w:after="100" w:afterAutospacing="1" w:line="360" w:lineRule="auto"/>
      <w:ind w:firstLine="465"/>
      <w:jc w:val="center"/>
      <w:textAlignment w:val="center"/>
    </w:pPr>
    <w:rPr>
      <w:rFonts w:cs="Times New Roman"/>
      <w:sz w:val="28"/>
      <w:szCs w:val="20"/>
    </w:rPr>
  </w:style>
  <w:style w:type="paragraph" w:customStyle="1" w:styleId="1037">
    <w:name w:val="xl42"/>
    <w:basedOn w:val="1"/>
    <w:qFormat/>
    <w:uiPriority w:val="0"/>
    <w:pPr>
      <w:pBdr>
        <w:top w:val="single" w:color="auto" w:sz="8" w:space="0"/>
        <w:left w:val="single" w:color="auto" w:sz="8" w:space="0"/>
        <w:right w:val="single" w:color="auto" w:sz="8" w:space="0"/>
      </w:pBdr>
      <w:spacing w:before="100" w:beforeAutospacing="1" w:after="100" w:afterAutospacing="1" w:line="360" w:lineRule="auto"/>
      <w:ind w:firstLine="465"/>
      <w:jc w:val="center"/>
      <w:textAlignment w:val="center"/>
    </w:pPr>
    <w:rPr>
      <w:rFonts w:ascii="Times New Roman" w:hAnsi="Times New Roman" w:cs="Times New Roman"/>
      <w:szCs w:val="20"/>
    </w:rPr>
  </w:style>
  <w:style w:type="paragraph" w:customStyle="1" w:styleId="1038">
    <w:name w:val="Plain Text1"/>
    <w:basedOn w:val="1"/>
    <w:qFormat/>
    <w:uiPriority w:val="0"/>
    <w:pPr>
      <w:widowControl w:val="0"/>
      <w:adjustRightInd w:val="0"/>
      <w:spacing w:line="360" w:lineRule="auto"/>
      <w:ind w:firstLine="465"/>
      <w:jc w:val="both"/>
      <w:textAlignment w:val="baseline"/>
    </w:pPr>
    <w:rPr>
      <w:rFonts w:hAnsi="minorBidi" w:cs="Times New Roman"/>
      <w:kern w:val="2"/>
      <w:szCs w:val="20"/>
    </w:rPr>
  </w:style>
  <w:style w:type="paragraph" w:customStyle="1" w:styleId="1039">
    <w:name w:val="xl58"/>
    <w:basedOn w:val="1"/>
    <w:qFormat/>
    <w:uiPriority w:val="0"/>
    <w:pPr>
      <w:pBdr>
        <w:left w:val="single" w:color="auto" w:sz="8" w:space="0"/>
        <w:bottom w:val="single" w:color="auto" w:sz="8" w:space="0"/>
        <w:right w:val="single" w:color="auto" w:sz="8" w:space="0"/>
      </w:pBdr>
      <w:shd w:val="clear" w:color="auto" w:fill="FF99CC"/>
      <w:spacing w:before="100" w:beforeAutospacing="1" w:after="100" w:afterAutospacing="1" w:line="360" w:lineRule="auto"/>
      <w:ind w:firstLine="465"/>
      <w:jc w:val="center"/>
      <w:textAlignment w:val="center"/>
    </w:pPr>
    <w:rPr>
      <w:rFonts w:cs="Times New Roman"/>
      <w:szCs w:val="20"/>
    </w:rPr>
  </w:style>
  <w:style w:type="paragraph" w:customStyle="1" w:styleId="1040">
    <w:name w:val="xl50"/>
    <w:basedOn w:val="1"/>
    <w:qFormat/>
    <w:uiPriority w:val="0"/>
    <w:pPr>
      <w:pBdr>
        <w:left w:val="single" w:color="auto" w:sz="8" w:space="0"/>
        <w:bottom w:val="single" w:color="auto" w:sz="8" w:space="0"/>
        <w:right w:val="single" w:color="auto" w:sz="8" w:space="0"/>
      </w:pBdr>
      <w:shd w:val="clear" w:color="auto" w:fill="FF99CC"/>
      <w:spacing w:before="100" w:beforeAutospacing="1" w:after="100" w:afterAutospacing="1" w:line="360" w:lineRule="auto"/>
      <w:ind w:firstLine="465"/>
      <w:jc w:val="center"/>
      <w:textAlignment w:val="center"/>
    </w:pPr>
    <w:rPr>
      <w:rFonts w:cs="Times New Roman"/>
      <w:szCs w:val="20"/>
    </w:rPr>
  </w:style>
  <w:style w:type="paragraph" w:customStyle="1" w:styleId="1041">
    <w:name w:val="xl48"/>
    <w:basedOn w:val="1"/>
    <w:qFormat/>
    <w:uiPriority w:val="0"/>
    <w:pPr>
      <w:pBdr>
        <w:left w:val="single" w:color="auto" w:sz="8" w:space="0"/>
        <w:bottom w:val="single" w:color="auto" w:sz="8" w:space="0"/>
        <w:right w:val="single" w:color="auto" w:sz="8" w:space="0"/>
      </w:pBdr>
      <w:spacing w:before="100" w:beforeAutospacing="1" w:after="100" w:afterAutospacing="1" w:line="360" w:lineRule="auto"/>
      <w:ind w:firstLine="465"/>
      <w:jc w:val="center"/>
      <w:textAlignment w:val="center"/>
    </w:pPr>
    <w:rPr>
      <w:rFonts w:cs="Times New Roman"/>
      <w:sz w:val="28"/>
      <w:szCs w:val="20"/>
    </w:rPr>
  </w:style>
  <w:style w:type="paragraph" w:customStyle="1" w:styleId="1042">
    <w:name w:val="标题附件2"/>
    <w:basedOn w:val="35"/>
    <w:qFormat/>
    <w:uiPriority w:val="0"/>
    <w:pPr>
      <w:widowControl w:val="0"/>
      <w:spacing w:before="156" w:beforeLines="50" w:after="156" w:afterLines="50"/>
      <w:ind w:left="0" w:leftChars="0" w:firstLine="171" w:firstLineChars="171"/>
      <w:jc w:val="both"/>
    </w:pPr>
    <w:rPr>
      <w:rFonts w:ascii="Times New Roman" w:hAnsi="Times New Roman" w:eastAsia="Symbol" w:cs="Times New Roman"/>
      <w:kern w:val="2"/>
      <w:sz w:val="28"/>
    </w:rPr>
  </w:style>
  <w:style w:type="paragraph" w:customStyle="1" w:styleId="1043">
    <w:name w:val="xl56"/>
    <w:basedOn w:val="1"/>
    <w:qFormat/>
    <w:uiPriority w:val="0"/>
    <w:pPr>
      <w:pBdr>
        <w:left w:val="single" w:color="auto" w:sz="8" w:space="0"/>
        <w:bottom w:val="single" w:color="auto" w:sz="8" w:space="0"/>
        <w:right w:val="single" w:color="auto" w:sz="8" w:space="0"/>
      </w:pBdr>
      <w:spacing w:before="100" w:beforeAutospacing="1" w:after="100" w:afterAutospacing="1" w:line="360" w:lineRule="auto"/>
      <w:ind w:firstLine="465"/>
      <w:jc w:val="center"/>
      <w:textAlignment w:val="center"/>
    </w:pPr>
    <w:rPr>
      <w:rFonts w:cs="Times New Roman"/>
      <w:sz w:val="28"/>
      <w:szCs w:val="20"/>
    </w:rPr>
  </w:style>
  <w:style w:type="paragraph" w:customStyle="1" w:styleId="1044">
    <w:name w:val="黄埔正文"/>
    <w:qFormat/>
    <w:uiPriority w:val="0"/>
    <w:pPr>
      <w:spacing w:before="156" w:beforeLines="50" w:line="440" w:lineRule="exact"/>
      <w:ind w:firstLine="480"/>
      <w:jc w:val="both"/>
    </w:pPr>
    <w:rPr>
      <w:rFonts w:ascii="宋体" w:hAnsi="Times New Roman" w:eastAsia="宋体" w:cs="Times New Roman"/>
      <w:color w:val="000000"/>
      <w:kern w:val="2"/>
      <w:sz w:val="24"/>
      <w:lang w:val="en-US" w:eastAsia="zh-CN" w:bidi="ar-SA"/>
    </w:rPr>
  </w:style>
  <w:style w:type="paragraph" w:customStyle="1" w:styleId="1045">
    <w:name w:val="xl53"/>
    <w:basedOn w:val="1"/>
    <w:qFormat/>
    <w:uiPriority w:val="0"/>
    <w:pPr>
      <w:pBdr>
        <w:left w:val="single" w:color="auto" w:sz="8" w:space="0"/>
        <w:right w:val="single" w:color="auto" w:sz="8" w:space="0"/>
      </w:pBdr>
      <w:spacing w:before="100" w:beforeAutospacing="1" w:after="100" w:afterAutospacing="1" w:line="360" w:lineRule="auto"/>
      <w:ind w:firstLine="465"/>
      <w:jc w:val="center"/>
      <w:textAlignment w:val="center"/>
    </w:pPr>
    <w:rPr>
      <w:rFonts w:hint="eastAsia" w:ascii="Symbol" w:eastAsia="Symbol" w:cs="Times New Roman"/>
      <w:b/>
      <w:sz w:val="28"/>
      <w:szCs w:val="20"/>
    </w:rPr>
  </w:style>
  <w:style w:type="paragraph" w:customStyle="1" w:styleId="1046">
    <w:name w:val="xl59"/>
    <w:basedOn w:val="1"/>
    <w:qFormat/>
    <w:uiPriority w:val="0"/>
    <w:pPr>
      <w:pBdr>
        <w:left w:val="single" w:color="auto" w:sz="8" w:space="0"/>
        <w:right w:val="single" w:color="auto" w:sz="8" w:space="0"/>
      </w:pBdr>
      <w:spacing w:before="100" w:beforeAutospacing="1" w:after="100" w:afterAutospacing="1" w:line="360" w:lineRule="auto"/>
      <w:ind w:firstLine="465"/>
      <w:jc w:val="center"/>
      <w:textAlignment w:val="center"/>
    </w:pPr>
    <w:rPr>
      <w:rFonts w:hint="eastAsia" w:ascii="Symbol" w:eastAsia="Symbol" w:cs="Times New Roman"/>
      <w:b/>
      <w:sz w:val="28"/>
      <w:szCs w:val="20"/>
    </w:rPr>
  </w:style>
  <w:style w:type="paragraph" w:customStyle="1" w:styleId="1047">
    <w:name w:val="xl54"/>
    <w:basedOn w:val="1"/>
    <w:qFormat/>
    <w:uiPriority w:val="0"/>
    <w:pPr>
      <w:pBdr>
        <w:left w:val="single" w:color="auto" w:sz="8" w:space="0"/>
        <w:right w:val="single" w:color="auto" w:sz="8" w:space="0"/>
      </w:pBdr>
      <w:spacing w:before="100" w:beforeAutospacing="1" w:after="100" w:afterAutospacing="1" w:line="360" w:lineRule="auto"/>
      <w:ind w:firstLine="465"/>
      <w:jc w:val="center"/>
      <w:textAlignment w:val="center"/>
    </w:pPr>
    <w:rPr>
      <w:rFonts w:cs="Times New Roman"/>
      <w:b/>
      <w:sz w:val="36"/>
      <w:szCs w:val="20"/>
    </w:rPr>
  </w:style>
  <w:style w:type="paragraph" w:customStyle="1" w:styleId="1048">
    <w:name w:val="123"/>
    <w:basedOn w:val="21"/>
    <w:qFormat/>
    <w:uiPriority w:val="0"/>
    <w:pPr>
      <w:tabs>
        <w:tab w:val="left" w:pos="352"/>
      </w:tabs>
      <w:overflowPunct w:val="0"/>
      <w:autoSpaceDE w:val="0"/>
      <w:autoSpaceDN w:val="0"/>
      <w:adjustRightInd w:val="0"/>
      <w:snapToGrid w:val="0"/>
      <w:spacing w:before="50" w:line="460" w:lineRule="exact"/>
      <w:ind w:left="0" w:firstLine="200" w:firstLineChars="200"/>
      <w:jc w:val="both"/>
      <w:textAlignment w:val="bottom"/>
    </w:pPr>
    <w:rPr>
      <w:rFonts w:ascii="Times New Roman" w:hAnsi="Times New Roman" w:cs="Times New Roman"/>
      <w:color w:val="000000"/>
      <w:sz w:val="21"/>
    </w:rPr>
  </w:style>
  <w:style w:type="paragraph" w:customStyle="1" w:styleId="1049">
    <w:name w:val="Char2 Char Char Char Char Char Char Char Char Char11"/>
    <w:basedOn w:val="1"/>
    <w:qFormat/>
    <w:uiPriority w:val="0"/>
    <w:pPr>
      <w:widowControl w:val="0"/>
      <w:spacing w:line="360" w:lineRule="auto"/>
      <w:ind w:firstLine="200" w:firstLineChars="200"/>
      <w:jc w:val="both"/>
    </w:pPr>
    <w:rPr>
      <w:kern w:val="2"/>
    </w:rPr>
  </w:style>
  <w:style w:type="character" w:customStyle="1" w:styleId="1050">
    <w:name w:val="textcontents1"/>
    <w:qFormat/>
    <w:uiPriority w:val="0"/>
    <w:rPr>
      <w:color w:val="000000"/>
      <w:sz w:val="21"/>
      <w:szCs w:val="21"/>
    </w:rPr>
  </w:style>
  <w:style w:type="paragraph" w:customStyle="1" w:styleId="1051">
    <w:name w:val="样式16"/>
    <w:basedOn w:val="1"/>
    <w:link w:val="1052"/>
    <w:qFormat/>
    <w:uiPriority w:val="0"/>
    <w:pPr>
      <w:widowControl w:val="0"/>
      <w:adjustRightInd w:val="0"/>
      <w:snapToGrid w:val="0"/>
      <w:spacing w:line="360" w:lineRule="auto"/>
      <w:jc w:val="center"/>
    </w:pPr>
    <w:rPr>
      <w:rFonts w:ascii="Symbol" w:eastAsia="Symbol" w:cs="Times New Roman"/>
      <w:bCs/>
      <w:kern w:val="2"/>
      <w:sz w:val="21"/>
      <w:szCs w:val="21"/>
    </w:rPr>
  </w:style>
  <w:style w:type="character" w:customStyle="1" w:styleId="1052">
    <w:name w:val="样式16 Char"/>
    <w:link w:val="1051"/>
    <w:qFormat/>
    <w:uiPriority w:val="0"/>
    <w:rPr>
      <w:rFonts w:ascii="Symbol" w:hAnsi="宋体" w:eastAsia="Symbol"/>
      <w:bCs/>
      <w:kern w:val="2"/>
      <w:sz w:val="21"/>
      <w:szCs w:val="21"/>
    </w:rPr>
  </w:style>
  <w:style w:type="paragraph" w:customStyle="1" w:styleId="1053">
    <w:name w:val="样式23"/>
    <w:basedOn w:val="1"/>
    <w:qFormat/>
    <w:uiPriority w:val="0"/>
    <w:pPr>
      <w:keepNext/>
      <w:keepLines/>
      <w:widowControl w:val="0"/>
      <w:tabs>
        <w:tab w:val="left" w:pos="360"/>
        <w:tab w:val="left" w:pos="540"/>
        <w:tab w:val="left" w:pos="576"/>
      </w:tabs>
      <w:spacing w:before="156" w:beforeLines="50" w:after="156" w:afterLines="50" w:line="360" w:lineRule="auto"/>
      <w:ind w:left="576" w:hanging="576"/>
      <w:jc w:val="both"/>
      <w:outlineLvl w:val="1"/>
    </w:pPr>
    <w:rPr>
      <w:rFonts w:eastAsia="Symbol" w:cs="Times New Roman"/>
      <w:kern w:val="2"/>
      <w:sz w:val="28"/>
      <w:szCs w:val="28"/>
    </w:rPr>
  </w:style>
  <w:style w:type="paragraph" w:customStyle="1" w:styleId="1054">
    <w:name w:val="样式18"/>
    <w:basedOn w:val="1"/>
    <w:link w:val="1055"/>
    <w:qFormat/>
    <w:uiPriority w:val="0"/>
    <w:pPr>
      <w:widowControl w:val="0"/>
      <w:spacing w:before="156" w:beforeLines="50" w:after="156" w:afterLines="50" w:line="360" w:lineRule="auto"/>
      <w:ind w:right="25" w:rightChars="12" w:firstLine="480" w:firstLineChars="200"/>
      <w:jc w:val="both"/>
    </w:pPr>
    <w:rPr>
      <w:rFonts w:ascii="Times New Roman" w:hAnsi="Times New Roman" w:cs="Times New Roman"/>
      <w:color w:val="000000"/>
      <w:kern w:val="2"/>
    </w:rPr>
  </w:style>
  <w:style w:type="character" w:customStyle="1" w:styleId="1055">
    <w:name w:val="样式18 Char"/>
    <w:link w:val="1054"/>
    <w:qFormat/>
    <w:uiPriority w:val="0"/>
    <w:rPr>
      <w:color w:val="000000"/>
      <w:kern w:val="2"/>
      <w:sz w:val="24"/>
      <w:szCs w:val="24"/>
    </w:rPr>
  </w:style>
  <w:style w:type="paragraph" w:customStyle="1" w:styleId="1056">
    <w:name w:val="默认段落字体 Para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1057">
    <w:name w:val="CM104"/>
    <w:basedOn w:val="1"/>
    <w:next w:val="1"/>
    <w:qFormat/>
    <w:uiPriority w:val="0"/>
    <w:pPr>
      <w:widowControl w:val="0"/>
      <w:autoSpaceDE w:val="0"/>
      <w:autoSpaceDN w:val="0"/>
      <w:adjustRightInd w:val="0"/>
      <w:spacing w:after="543"/>
    </w:pPr>
    <w:rPr>
      <w:rFonts w:hAnsi="Times New Roman" w:cs="Times New Roman"/>
    </w:rPr>
  </w:style>
  <w:style w:type="character" w:customStyle="1" w:styleId="1058">
    <w:name w:val="even Char"/>
    <w:qFormat/>
    <w:uiPriority w:val="0"/>
    <w:rPr>
      <w:rFonts w:eastAsia="宋体"/>
      <w:kern w:val="2"/>
      <w:sz w:val="18"/>
      <w:lang w:val="en-US" w:eastAsia="zh-CN" w:bidi="ar-SA"/>
    </w:rPr>
  </w:style>
  <w:style w:type="character" w:customStyle="1" w:styleId="1059">
    <w:name w:val="图标题 Char"/>
    <w:qFormat/>
    <w:uiPriority w:val="0"/>
    <w:rPr>
      <w:rFonts w:ascii="Arial" w:hAnsi="Arial" w:eastAsia="Symbol"/>
      <w:b/>
      <w:bCs/>
      <w:kern w:val="2"/>
      <w:sz w:val="24"/>
      <w:szCs w:val="24"/>
      <w:lang w:val="en-US" w:eastAsia="zh-CN" w:bidi="ar-SA"/>
    </w:rPr>
  </w:style>
  <w:style w:type="character" w:customStyle="1" w:styleId="1060">
    <w:name w:val="123YJ Char Char"/>
    <w:qFormat/>
    <w:uiPriority w:val="0"/>
    <w:rPr>
      <w:rFonts w:eastAsia="宋体"/>
      <w:kern w:val="2"/>
      <w:sz w:val="18"/>
      <w:lang w:val="en-US" w:eastAsia="zh-CN" w:bidi="ar-SA"/>
    </w:rPr>
  </w:style>
  <w:style w:type="character" w:customStyle="1" w:styleId="1061">
    <w:name w:val="H7 Char"/>
    <w:qFormat/>
    <w:uiPriority w:val="0"/>
    <w:rPr>
      <w:rFonts w:ascii="宋体" w:hAnsi="Arial" w:eastAsia="宋体"/>
      <w:b/>
      <w:kern w:val="2"/>
      <w:sz w:val="24"/>
      <w:szCs w:val="24"/>
      <w:lang w:val="en-US" w:eastAsia="zh-CN" w:bidi="ar-SA"/>
    </w:rPr>
  </w:style>
  <w:style w:type="character" w:customStyle="1" w:styleId="1062">
    <w:name w:val="正文文字( 首段缩进两字） Char Char"/>
    <w:qFormat/>
    <w:uiPriority w:val="0"/>
    <w:rPr>
      <w:rFonts w:eastAsia="宋体"/>
      <w:kern w:val="2"/>
      <w:sz w:val="21"/>
      <w:szCs w:val="24"/>
      <w:lang w:val="en-US" w:eastAsia="zh-CN" w:bidi="ar-SA"/>
    </w:rPr>
  </w:style>
  <w:style w:type="character" w:customStyle="1" w:styleId="1063">
    <w:name w:val="H8 Char"/>
    <w:qFormat/>
    <w:uiPriority w:val="0"/>
    <w:rPr>
      <w:rFonts w:ascii="Arial" w:hAnsi="Arial" w:eastAsia="Symbol"/>
      <w:kern w:val="2"/>
      <w:sz w:val="24"/>
      <w:szCs w:val="24"/>
      <w:lang w:val="en-US" w:eastAsia="zh-CN" w:bidi="ar-SA"/>
    </w:rPr>
  </w:style>
  <w:style w:type="paragraph" w:customStyle="1" w:styleId="1064">
    <w:name w:val="样式 四号1"/>
    <w:basedOn w:val="1"/>
    <w:link w:val="1065"/>
    <w:qFormat/>
    <w:uiPriority w:val="0"/>
    <w:pPr>
      <w:widowControl w:val="0"/>
      <w:spacing w:line="360" w:lineRule="auto"/>
      <w:ind w:right="-80" w:rightChars="-38" w:firstLine="2100" w:firstLineChars="700"/>
      <w:jc w:val="both"/>
    </w:pPr>
    <w:rPr>
      <w:rFonts w:ascii="Times New Roman" w:hAnsi="Times New Roman"/>
      <w:kern w:val="2"/>
      <w:sz w:val="30"/>
      <w:szCs w:val="30"/>
    </w:rPr>
  </w:style>
  <w:style w:type="character" w:customStyle="1" w:styleId="1065">
    <w:name w:val="样式 四号1 Char"/>
    <w:link w:val="1064"/>
    <w:qFormat/>
    <w:uiPriority w:val="0"/>
    <w:rPr>
      <w:rFonts w:cs="宋体"/>
      <w:kern w:val="2"/>
      <w:sz w:val="30"/>
      <w:szCs w:val="30"/>
    </w:rPr>
  </w:style>
  <w:style w:type="character" w:customStyle="1" w:styleId="1066">
    <w:name w:val="headline-content2"/>
    <w:qFormat/>
    <w:uiPriority w:val="0"/>
  </w:style>
  <w:style w:type="character" w:customStyle="1" w:styleId="1067">
    <w:name w:val="txt1"/>
    <w:qFormat/>
    <w:uiPriority w:val="0"/>
    <w:rPr>
      <w:rFonts w:ascii="宋体" w:hAnsi="宋体" w:eastAsia="宋体" w:cs="Times New Roman"/>
      <w:sz w:val="21"/>
      <w:szCs w:val="21"/>
    </w:rPr>
  </w:style>
  <w:style w:type="paragraph" w:customStyle="1" w:styleId="1068">
    <w:name w:val="[紧缩正文]"/>
    <w:basedOn w:val="1"/>
    <w:qFormat/>
    <w:uiPriority w:val="0"/>
    <w:pPr>
      <w:widowControl w:val="0"/>
      <w:spacing w:line="440" w:lineRule="exact"/>
      <w:ind w:firstLine="500" w:firstLineChars="200"/>
      <w:jc w:val="both"/>
    </w:pPr>
    <w:rPr>
      <w:rFonts w:ascii="Times New Roman" w:cs="Times New Roman"/>
      <w:kern w:val="2"/>
      <w:sz w:val="25"/>
      <w:szCs w:val="20"/>
    </w:rPr>
  </w:style>
  <w:style w:type="paragraph" w:customStyle="1" w:styleId="1069">
    <w:name w:val="【表格文字】"/>
    <w:basedOn w:val="1"/>
    <w:next w:val="1"/>
    <w:qFormat/>
    <w:uiPriority w:val="0"/>
    <w:pPr>
      <w:widowControl w:val="0"/>
      <w:spacing w:line="320" w:lineRule="atLeast"/>
      <w:jc w:val="center"/>
    </w:pPr>
    <w:rPr>
      <w:rFonts w:ascii="Times New Roman" w:hAnsi="Times New Roman" w:cs="Times New Roman"/>
      <w:kern w:val="2"/>
      <w:sz w:val="21"/>
      <w:szCs w:val="20"/>
    </w:rPr>
  </w:style>
  <w:style w:type="character" w:customStyle="1" w:styleId="1070">
    <w:name w:val="[正文格式] Char Char"/>
    <w:link w:val="1071"/>
    <w:qFormat/>
    <w:uiPriority w:val="0"/>
    <w:rPr>
      <w:kern w:val="2"/>
      <w:sz w:val="25"/>
    </w:rPr>
  </w:style>
  <w:style w:type="paragraph" w:customStyle="1" w:styleId="1071">
    <w:name w:val="[正文格式] Char"/>
    <w:basedOn w:val="1"/>
    <w:link w:val="1070"/>
    <w:qFormat/>
    <w:uiPriority w:val="0"/>
    <w:pPr>
      <w:widowControl w:val="0"/>
      <w:spacing w:line="440" w:lineRule="exact"/>
      <w:ind w:firstLine="500" w:firstLineChars="200"/>
      <w:jc w:val="both"/>
    </w:pPr>
    <w:rPr>
      <w:rFonts w:ascii="Times New Roman" w:hAnsi="Times New Roman" w:cs="Times New Roman"/>
      <w:kern w:val="2"/>
      <w:sz w:val="25"/>
      <w:szCs w:val="20"/>
    </w:rPr>
  </w:style>
  <w:style w:type="paragraph" w:customStyle="1" w:styleId="1072">
    <w:name w:val="报告书 标题二"/>
    <w:basedOn w:val="4"/>
    <w:next w:val="5"/>
    <w:qFormat/>
    <w:uiPriority w:val="0"/>
    <w:pPr>
      <w:widowControl w:val="0"/>
      <w:numPr>
        <w:ilvl w:val="0"/>
        <w:numId w:val="0"/>
      </w:numPr>
      <w:spacing w:before="100" w:beforeLines="100" w:after="0" w:line="360" w:lineRule="auto"/>
    </w:pPr>
    <w:rPr>
      <w:rFonts w:ascii="宋体" w:hAnsi="宋体" w:eastAsia="宋体" w:cs="Times New Roman"/>
      <w:kern w:val="2"/>
      <w:szCs w:val="32"/>
    </w:rPr>
  </w:style>
  <w:style w:type="paragraph" w:customStyle="1" w:styleId="1073">
    <w:name w:val="报告书 标题三"/>
    <w:basedOn w:val="5"/>
    <w:next w:val="46"/>
    <w:qFormat/>
    <w:uiPriority w:val="0"/>
    <w:pPr>
      <w:widowControl w:val="0"/>
      <w:spacing w:before="0" w:after="0" w:line="360" w:lineRule="auto"/>
    </w:pPr>
    <w:rPr>
      <w:rFonts w:cs="Times New Roman"/>
      <w:kern w:val="2"/>
      <w:sz w:val="28"/>
      <w:szCs w:val="28"/>
    </w:rPr>
  </w:style>
  <w:style w:type="character" w:customStyle="1" w:styleId="1074">
    <w:name w:val="题注 Char1"/>
    <w:qFormat/>
    <w:uiPriority w:val="0"/>
    <w:rPr>
      <w:rFonts w:ascii="Arial" w:hAnsi="Arial" w:eastAsia="Symbol"/>
      <w:kern w:val="2"/>
      <w:lang w:val="en-US" w:eastAsia="zh-CN" w:bidi="ar-SA"/>
    </w:rPr>
  </w:style>
  <w:style w:type="character" w:customStyle="1" w:styleId="1075">
    <w:name w:val="123YJ Char2"/>
    <w:qFormat/>
    <w:uiPriority w:val="0"/>
    <w:rPr>
      <w:rFonts w:eastAsia="宋体"/>
      <w:kern w:val="2"/>
      <w:sz w:val="18"/>
      <w:lang w:val="en-US" w:eastAsia="zh-CN" w:bidi="ar-SA"/>
    </w:rPr>
  </w:style>
  <w:style w:type="paragraph" w:customStyle="1" w:styleId="1076">
    <w:name w:val="文章大标题"/>
    <w:basedOn w:val="1"/>
    <w:qFormat/>
    <w:uiPriority w:val="0"/>
    <w:pPr>
      <w:widowControl w:val="0"/>
      <w:spacing w:before="240" w:beforeLines="100" w:after="240" w:afterLines="100" w:line="520" w:lineRule="exact"/>
      <w:jc w:val="center"/>
      <w:outlineLvl w:val="0"/>
    </w:pPr>
    <w:rPr>
      <w:rFonts w:ascii="Times New Roman" w:hAnsi="Times New Roman" w:eastAsia="Symbol"/>
      <w:kern w:val="2"/>
      <w:sz w:val="36"/>
      <w:szCs w:val="20"/>
    </w:rPr>
  </w:style>
  <w:style w:type="paragraph" w:customStyle="1" w:styleId="1077">
    <w:name w:val="8 Char"/>
    <w:basedOn w:val="1"/>
    <w:qFormat/>
    <w:uiPriority w:val="0"/>
    <w:pPr>
      <w:widowControl w:val="0"/>
      <w:jc w:val="both"/>
    </w:pPr>
    <w:rPr>
      <w:rFonts w:ascii="Cambria Math" w:hAnsi="Cambria Math" w:cs="Times New Roman"/>
      <w:kern w:val="2"/>
      <w:szCs w:val="20"/>
    </w:rPr>
  </w:style>
  <w:style w:type="paragraph" w:customStyle="1" w:styleId="1078">
    <w:name w:val="样式 首行缩进:  2 字符2"/>
    <w:basedOn w:val="1"/>
    <w:qFormat/>
    <w:uiPriority w:val="0"/>
    <w:pPr>
      <w:widowControl w:val="0"/>
      <w:snapToGrid w:val="0"/>
      <w:spacing w:line="360" w:lineRule="auto"/>
      <w:ind w:firstLine="480" w:firstLineChars="200"/>
      <w:jc w:val="both"/>
    </w:pPr>
    <w:rPr>
      <w:rFonts w:ascii="Times New Roman" w:hAnsi="Times New Roman"/>
      <w:kern w:val="2"/>
      <w:szCs w:val="20"/>
    </w:rPr>
  </w:style>
  <w:style w:type="paragraph" w:customStyle="1" w:styleId="1079">
    <w:name w:val="图件标题"/>
    <w:basedOn w:val="1"/>
    <w:qFormat/>
    <w:uiPriority w:val="0"/>
    <w:pPr>
      <w:keepNext/>
      <w:keepLines/>
      <w:widowControl w:val="0"/>
      <w:spacing w:beforeLines="100" w:line="360" w:lineRule="auto"/>
      <w:jc w:val="center"/>
      <w:outlineLvl w:val="5"/>
    </w:pPr>
    <w:rPr>
      <w:rFonts w:ascii="Times New Roman" w:hAnsi="Times New Roman" w:cs="Times New Roman"/>
      <w:bCs/>
      <w:kern w:val="2"/>
      <w:szCs w:val="32"/>
    </w:rPr>
  </w:style>
  <w:style w:type="character" w:customStyle="1" w:styleId="1080">
    <w:name w:val="grame"/>
    <w:qFormat/>
    <w:uiPriority w:val="0"/>
  </w:style>
  <w:style w:type="paragraph" w:customStyle="1" w:styleId="1081">
    <w:name w:val="二号标题样式"/>
    <w:basedOn w:val="1"/>
    <w:qFormat/>
    <w:uiPriority w:val="0"/>
    <w:pPr>
      <w:keepNext/>
      <w:keepLines/>
      <w:widowControl w:val="0"/>
      <w:spacing w:before="50" w:beforeLines="50" w:after="50" w:afterLines="50" w:line="520" w:lineRule="exact"/>
      <w:jc w:val="both"/>
      <w:outlineLvl w:val="2"/>
    </w:pPr>
    <w:rPr>
      <w:rFonts w:ascii="Arial" w:hAnsi="Arial" w:eastAsia="Symbol"/>
      <w:kern w:val="2"/>
      <w:sz w:val="28"/>
      <w:szCs w:val="20"/>
    </w:rPr>
  </w:style>
  <w:style w:type="character" w:customStyle="1" w:styleId="1082">
    <w:name w:val="正文文字缩进 21 Char"/>
    <w:qFormat/>
    <w:uiPriority w:val="0"/>
    <w:rPr>
      <w:rFonts w:ascii="宋体" w:hAnsi="宋体" w:eastAsia="宋体"/>
      <w:b/>
      <w:bCs/>
      <w:kern w:val="2"/>
      <w:sz w:val="24"/>
      <w:szCs w:val="24"/>
      <w:lang w:val="en-US" w:eastAsia="zh-CN" w:bidi="ar-SA"/>
    </w:rPr>
  </w:style>
  <w:style w:type="character" w:customStyle="1" w:styleId="1083">
    <w:name w:val="图片 Char1"/>
    <w:qFormat/>
    <w:uiPriority w:val="0"/>
    <w:rPr>
      <w:rFonts w:ascii="Arial" w:hAnsi="Arial" w:eastAsia="Symbol"/>
      <w:b/>
      <w:bCs/>
      <w:kern w:val="2"/>
      <w:sz w:val="24"/>
      <w:szCs w:val="24"/>
      <w:lang w:val="en-US" w:eastAsia="zh-CN" w:bidi="ar-SA"/>
    </w:rPr>
  </w:style>
  <w:style w:type="character" w:customStyle="1" w:styleId="1084">
    <w:name w:val="H9 Char1"/>
    <w:qFormat/>
    <w:uiPriority w:val="0"/>
    <w:rPr>
      <w:rFonts w:ascii="Arial" w:hAnsi="Arial" w:eastAsia="Symbol"/>
      <w:kern w:val="2"/>
      <w:sz w:val="24"/>
      <w:szCs w:val="21"/>
      <w:lang w:val="en-US" w:eastAsia="zh-CN" w:bidi="ar-SA"/>
    </w:rPr>
  </w:style>
  <w:style w:type="character" w:customStyle="1" w:styleId="1085">
    <w:name w:val="正文文字缩进 31 Char"/>
    <w:qFormat/>
    <w:uiPriority w:val="0"/>
    <w:rPr>
      <w:rFonts w:eastAsia="宋体"/>
      <w:kern w:val="2"/>
      <w:sz w:val="24"/>
      <w:szCs w:val="24"/>
      <w:lang w:val="en-US" w:eastAsia="zh-CN" w:bidi="ar-SA"/>
    </w:rPr>
  </w:style>
  <w:style w:type="character" w:customStyle="1" w:styleId="1086">
    <w:name w:val="标题 7表内5号 Char1"/>
    <w:qFormat/>
    <w:uiPriority w:val="0"/>
    <w:rPr>
      <w:rFonts w:eastAsia="宋体"/>
      <w:b/>
      <w:bCs/>
      <w:kern w:val="2"/>
      <w:sz w:val="24"/>
      <w:szCs w:val="24"/>
      <w:lang w:val="en-US" w:eastAsia="zh-CN" w:bidi="ar-SA"/>
    </w:rPr>
  </w:style>
  <w:style w:type="character" w:customStyle="1" w:styleId="1087">
    <w:name w:val="正文文字 2 Char Char1"/>
    <w:qFormat/>
    <w:uiPriority w:val="0"/>
    <w:rPr>
      <w:rFonts w:ascii="Symbol" w:eastAsia="Symbol"/>
      <w:kern w:val="2"/>
      <w:sz w:val="18"/>
      <w:lang w:val="en-US" w:eastAsia="zh-CN" w:bidi="ar-SA"/>
    </w:rPr>
  </w:style>
  <w:style w:type="character" w:customStyle="1" w:styleId="1088">
    <w:name w:val="H8 Char1"/>
    <w:qFormat/>
    <w:uiPriority w:val="0"/>
    <w:rPr>
      <w:rFonts w:ascii="Arial" w:hAnsi="Arial" w:eastAsia="Symbol"/>
      <w:kern w:val="2"/>
      <w:sz w:val="24"/>
      <w:szCs w:val="24"/>
      <w:lang w:val="en-US" w:eastAsia="zh-CN" w:bidi="ar-SA"/>
    </w:rPr>
  </w:style>
  <w:style w:type="paragraph" w:customStyle="1" w:styleId="1089">
    <w:name w:val="Char Char Char Char Char Char Char Char Char Char Char Char Char Char Char Char Char Char Char Char Char Char Char Char Char Char Char Char Char"/>
    <w:basedOn w:val="1"/>
    <w:qFormat/>
    <w:uiPriority w:val="0"/>
    <w:pPr>
      <w:widowControl w:val="0"/>
      <w:autoSpaceDE w:val="0"/>
      <w:autoSpaceDN w:val="0"/>
      <w:adjustRightInd w:val="0"/>
      <w:snapToGrid w:val="0"/>
      <w:spacing w:before="50" w:after="50" w:line="360" w:lineRule="auto"/>
      <w:ind w:firstLine="560" w:firstLineChars="200"/>
      <w:jc w:val="both"/>
    </w:pPr>
    <w:rPr>
      <w:rFonts w:ascii="Times New Roman" w:hAnsi="Times New Roman" w:cs="Times New Roman"/>
      <w:color w:val="000000"/>
      <w:kern w:val="2"/>
    </w:rPr>
  </w:style>
  <w:style w:type="paragraph" w:customStyle="1" w:styleId="1090">
    <w:name w:val="报告"/>
    <w:basedOn w:val="1"/>
    <w:link w:val="1091"/>
    <w:qFormat/>
    <w:uiPriority w:val="0"/>
    <w:pPr>
      <w:widowControl w:val="0"/>
      <w:tabs>
        <w:tab w:val="left" w:pos="1440"/>
      </w:tabs>
      <w:overflowPunct w:val="0"/>
      <w:autoSpaceDE w:val="0"/>
      <w:autoSpaceDN w:val="0"/>
      <w:adjustRightInd w:val="0"/>
      <w:snapToGrid w:val="0"/>
      <w:spacing w:before="120" w:after="120" w:line="400" w:lineRule="atLeast"/>
      <w:ind w:left="400" w:leftChars="400"/>
      <w:jc w:val="both"/>
      <w:textAlignment w:val="baseline"/>
    </w:pPr>
    <w:rPr>
      <w:rFonts w:ascii="Times New Roman" w:hAnsi="Times New Roman" w:cs="Times New Roman"/>
      <w:lang w:val="en-GB"/>
    </w:rPr>
  </w:style>
  <w:style w:type="character" w:customStyle="1" w:styleId="1091">
    <w:name w:val="报告 Char1"/>
    <w:link w:val="1090"/>
    <w:qFormat/>
    <w:uiPriority w:val="0"/>
    <w:rPr>
      <w:sz w:val="24"/>
      <w:szCs w:val="24"/>
      <w:lang w:val="en-GB"/>
    </w:rPr>
  </w:style>
  <w:style w:type="paragraph" w:customStyle="1" w:styleId="1092">
    <w:name w:val="注释"/>
    <w:basedOn w:val="1"/>
    <w:qFormat/>
    <w:uiPriority w:val="0"/>
    <w:pPr>
      <w:widowControl w:val="0"/>
      <w:spacing w:before="60" w:after="60" w:line="360" w:lineRule="auto"/>
      <w:ind w:left="567" w:leftChars="270" w:firstLine="1050" w:firstLineChars="500"/>
      <w:jc w:val="both"/>
    </w:pPr>
    <w:rPr>
      <w:rFonts w:hAnsi="Times New Roman"/>
      <w:kern w:val="2"/>
      <w:sz w:val="21"/>
      <w:szCs w:val="21"/>
    </w:rPr>
  </w:style>
  <w:style w:type="paragraph" w:customStyle="1" w:styleId="1093">
    <w:name w:val="正文文字 3"/>
    <w:basedOn w:val="1"/>
    <w:qFormat/>
    <w:uiPriority w:val="0"/>
    <w:pPr>
      <w:widowControl w:val="0"/>
      <w:jc w:val="both"/>
    </w:pPr>
    <w:rPr>
      <w:rFonts w:ascii="Times New Roman" w:hAnsi="Times New Roman" w:cs="Times New Roman"/>
      <w:kern w:val="2"/>
      <w:sz w:val="21"/>
      <w:szCs w:val="21"/>
    </w:rPr>
  </w:style>
  <w:style w:type="paragraph" w:customStyle="1" w:styleId="1094">
    <w:name w:val="小标题"/>
    <w:basedOn w:val="1"/>
    <w:qFormat/>
    <w:uiPriority w:val="0"/>
    <w:pPr>
      <w:widowControl w:val="0"/>
      <w:adjustRightInd w:val="0"/>
      <w:snapToGrid w:val="0"/>
      <w:spacing w:before="156" w:beforeLines="50" w:after="120"/>
      <w:ind w:firstLine="482" w:firstLineChars="200"/>
    </w:pPr>
    <w:rPr>
      <w:rFonts w:ascii="Symbol" w:hAnsi="Times New Roman" w:eastAsia="Symbol" w:cs="Symbol"/>
      <w:b/>
      <w:bCs/>
      <w:u w:val="single"/>
    </w:rPr>
  </w:style>
  <w:style w:type="paragraph" w:customStyle="1" w:styleId="1095">
    <w:name w:val="条目"/>
    <w:basedOn w:val="1"/>
    <w:qFormat/>
    <w:uiPriority w:val="0"/>
    <w:pPr>
      <w:tabs>
        <w:tab w:val="left" w:pos="1620"/>
      </w:tabs>
      <w:overflowPunct w:val="0"/>
      <w:autoSpaceDE w:val="0"/>
      <w:autoSpaceDN w:val="0"/>
      <w:adjustRightInd w:val="0"/>
      <w:spacing w:before="60" w:after="60" w:line="400" w:lineRule="atLeast"/>
      <w:ind w:left="709"/>
      <w:jc w:val="both"/>
      <w:textAlignment w:val="baseline"/>
    </w:pPr>
    <w:rPr>
      <w:rFonts w:hAnsi="minorBidi"/>
    </w:rPr>
  </w:style>
  <w:style w:type="paragraph" w:customStyle="1" w:styleId="1096">
    <w:name w:val="内容"/>
    <w:basedOn w:val="1"/>
    <w:qFormat/>
    <w:uiPriority w:val="0"/>
    <w:pPr>
      <w:widowControl w:val="0"/>
      <w:adjustRightInd w:val="0"/>
      <w:spacing w:before="100" w:beforeLines="50" w:beforeAutospacing="1" w:after="100" w:afterLines="50" w:afterAutospacing="1" w:line="400" w:lineRule="atLeast"/>
      <w:ind w:left="851"/>
      <w:jc w:val="both"/>
      <w:textAlignment w:val="baseline"/>
    </w:pPr>
    <w:rPr>
      <w:rFonts w:ascii="Times New Roman" w:hAnsi="Times New Roman" w:cs="Times New Roman"/>
    </w:rPr>
  </w:style>
  <w:style w:type="paragraph" w:customStyle="1" w:styleId="1097">
    <w:name w:val="ST20_6"/>
    <w:basedOn w:val="1"/>
    <w:qFormat/>
    <w:uiPriority w:val="0"/>
    <w:pPr>
      <w:widowControl w:val="0"/>
      <w:suppressLineNumbers/>
      <w:autoSpaceDE w:val="0"/>
      <w:autoSpaceDN w:val="0"/>
      <w:adjustRightInd w:val="0"/>
      <w:spacing w:before="50" w:beforeLines="50" w:after="120" w:afterLines="50" w:line="400" w:lineRule="atLeast"/>
      <w:ind w:left="851"/>
      <w:jc w:val="both"/>
      <w:textAlignment w:val="baseline"/>
    </w:pPr>
    <w:rPr>
      <w:rFonts w:hAnsi="minorBidi"/>
    </w:rPr>
  </w:style>
  <w:style w:type="paragraph" w:customStyle="1" w:styleId="1098">
    <w:name w:val="图表名"/>
    <w:basedOn w:val="1090"/>
    <w:qFormat/>
    <w:uiPriority w:val="0"/>
    <w:pPr>
      <w:tabs>
        <w:tab w:val="clear" w:pos="1440"/>
      </w:tabs>
      <w:overflowPunct/>
      <w:autoSpaceDE/>
      <w:autoSpaceDN/>
      <w:adjustRightInd/>
      <w:snapToGrid/>
      <w:spacing w:line="480" w:lineRule="atLeast"/>
      <w:ind w:left="0" w:leftChars="0" w:firstLine="480" w:firstLineChars="200"/>
      <w:jc w:val="center"/>
      <w:textAlignment w:val="auto"/>
    </w:pPr>
    <w:rPr>
      <w:b/>
      <w:bCs/>
      <w:kern w:val="2"/>
      <w:lang w:val="zh-CN"/>
    </w:rPr>
  </w:style>
  <w:style w:type="paragraph" w:customStyle="1" w:styleId="1099">
    <w:name w:val="样式 段前: 0.3 行 段后: 0.3 行"/>
    <w:basedOn w:val="1"/>
    <w:qFormat/>
    <w:uiPriority w:val="0"/>
    <w:pPr>
      <w:widowControl w:val="0"/>
      <w:spacing w:before="93" w:after="93" w:line="360" w:lineRule="auto"/>
      <w:ind w:firstLine="200" w:firstLineChars="200"/>
      <w:jc w:val="both"/>
    </w:pPr>
    <w:rPr>
      <w:rFonts w:ascii="Times New Roman" w:hAnsi="Times New Roman" w:cs="Times New Roman"/>
      <w:kern w:val="2"/>
    </w:rPr>
  </w:style>
  <w:style w:type="paragraph" w:customStyle="1" w:styleId="1100">
    <w:name w:val="报告1"/>
    <w:basedOn w:val="1090"/>
    <w:qFormat/>
    <w:uiPriority w:val="0"/>
    <w:pPr>
      <w:tabs>
        <w:tab w:val="clear" w:pos="1440"/>
      </w:tabs>
      <w:snapToGrid/>
      <w:ind w:left="840" w:firstLine="360" w:firstLineChars="150"/>
    </w:pPr>
    <w:rPr>
      <w:lang w:val="en-US"/>
    </w:rPr>
  </w:style>
  <w:style w:type="paragraph" w:customStyle="1" w:styleId="1101">
    <w:name w:val="报告2"/>
    <w:basedOn w:val="1090"/>
    <w:qFormat/>
    <w:uiPriority w:val="0"/>
    <w:pPr>
      <w:tabs>
        <w:tab w:val="clear" w:pos="1440"/>
      </w:tabs>
      <w:snapToGrid/>
      <w:ind w:left="1200" w:hanging="360" w:hangingChars="150"/>
    </w:pPr>
    <w:rPr>
      <w:lang w:val="en-US"/>
    </w:rPr>
  </w:style>
  <w:style w:type="paragraph" w:customStyle="1" w:styleId="1102">
    <w:name w:val="样式 报告 + 首行缩进:  2 字符"/>
    <w:basedOn w:val="1090"/>
    <w:link w:val="1103"/>
    <w:qFormat/>
    <w:uiPriority w:val="0"/>
    <w:pPr>
      <w:widowControl/>
      <w:tabs>
        <w:tab w:val="clear" w:pos="1440"/>
      </w:tabs>
      <w:snapToGrid/>
      <w:ind w:left="0" w:leftChars="0" w:firstLine="480" w:firstLineChars="200"/>
    </w:pPr>
    <w:rPr>
      <w:lang w:val="en-US"/>
    </w:rPr>
  </w:style>
  <w:style w:type="character" w:customStyle="1" w:styleId="1103">
    <w:name w:val="样式 报告 + 首行缩进:  2 字符 Char Char"/>
    <w:link w:val="1102"/>
    <w:qFormat/>
    <w:uiPriority w:val="0"/>
    <w:rPr>
      <w:sz w:val="24"/>
      <w:szCs w:val="24"/>
    </w:rPr>
  </w:style>
  <w:style w:type="character" w:customStyle="1" w:styleId="1104">
    <w:name w:val="样式 报告 + 首行缩进:  2 字符 Char"/>
    <w:qFormat/>
    <w:uiPriority w:val="0"/>
    <w:rPr>
      <w:rFonts w:eastAsia="宋体"/>
      <w:sz w:val="24"/>
      <w:szCs w:val="24"/>
      <w:lang w:val="en-US" w:eastAsia="zh-CN"/>
    </w:rPr>
  </w:style>
  <w:style w:type="character" w:customStyle="1" w:styleId="1105">
    <w:name w:val="ourfont"/>
    <w:qFormat/>
    <w:uiPriority w:val="0"/>
  </w:style>
  <w:style w:type="paragraph" w:customStyle="1" w:styleId="1106">
    <w:name w:val="分标题"/>
    <w:basedOn w:val="1097"/>
    <w:qFormat/>
    <w:uiPriority w:val="0"/>
    <w:pPr>
      <w:keepNext/>
      <w:keepLines/>
      <w:spacing w:before="0" w:beforeLines="0" w:afterLines="0"/>
      <w:ind w:left="0"/>
    </w:pPr>
    <w:rPr>
      <w:b/>
      <w:bCs/>
      <w:u w:val="single"/>
      <w:lang w:val="en-GB"/>
    </w:rPr>
  </w:style>
  <w:style w:type="paragraph" w:customStyle="1" w:styleId="1107">
    <w:name w:val="样式 报告 + 小四 段前: 0.3 行 段后: 0.3 行"/>
    <w:basedOn w:val="1090"/>
    <w:qFormat/>
    <w:uiPriority w:val="0"/>
    <w:pPr>
      <w:tabs>
        <w:tab w:val="clear" w:pos="1440"/>
      </w:tabs>
      <w:snapToGrid/>
      <w:spacing w:before="72" w:beforeLines="30" w:after="72" w:afterLines="30" w:line="440" w:lineRule="atLeast"/>
      <w:ind w:left="0" w:leftChars="0" w:firstLine="540" w:firstLineChars="225"/>
    </w:pPr>
    <w:rPr>
      <w:lang w:val="en-US"/>
    </w:rPr>
  </w:style>
  <w:style w:type="character" w:customStyle="1" w:styleId="1108">
    <w:name w:val="样式 报告 + 首行缩进:  0.58 字符 Char Char"/>
    <w:qFormat/>
    <w:uiPriority w:val="0"/>
    <w:rPr>
      <w:rFonts w:eastAsia="宋体"/>
      <w:kern w:val="2"/>
      <w:sz w:val="24"/>
      <w:szCs w:val="24"/>
      <w:lang w:val="en-US" w:eastAsia="zh-CN" w:bidi="ar-SA"/>
    </w:rPr>
  </w:style>
  <w:style w:type="paragraph" w:customStyle="1" w:styleId="1109">
    <w:name w:val="样式 报告 + 首行缩进:  2 字符 段前: 0.1 行 段后: 0.1 行"/>
    <w:basedOn w:val="1"/>
    <w:qFormat/>
    <w:uiPriority w:val="0"/>
    <w:pPr>
      <w:widowControl w:val="0"/>
      <w:overflowPunct w:val="0"/>
      <w:autoSpaceDE w:val="0"/>
      <w:autoSpaceDN w:val="0"/>
      <w:adjustRightInd w:val="0"/>
      <w:spacing w:before="24" w:beforeLines="10" w:after="24" w:afterLines="10" w:line="440" w:lineRule="atLeast"/>
      <w:ind w:firstLine="497" w:firstLineChars="207"/>
      <w:jc w:val="both"/>
      <w:textAlignment w:val="baseline"/>
    </w:pPr>
    <w:rPr>
      <w:rFonts w:ascii="Times New Roman" w:hAnsi="Times New Roman" w:cs="Times New Roman"/>
      <w:lang w:val="zh-CN"/>
    </w:rPr>
  </w:style>
  <w:style w:type="paragraph" w:customStyle="1" w:styleId="1110">
    <w:name w:val="样式 标题 2标题 2 CharH2título 2h2RN chapter段节 + 左侧:  0 厘米 首行缩..."/>
    <w:basedOn w:val="4"/>
    <w:qFormat/>
    <w:uiPriority w:val="0"/>
    <w:pPr>
      <w:keepNext w:val="0"/>
      <w:keepLines w:val="0"/>
      <w:widowControl w:val="0"/>
      <w:numPr>
        <w:ilvl w:val="0"/>
        <w:numId w:val="0"/>
      </w:numPr>
      <w:tabs>
        <w:tab w:val="left" w:pos="992"/>
      </w:tabs>
      <w:adjustRightInd w:val="0"/>
      <w:spacing w:before="240" w:beforeLines="100" w:after="240" w:afterLines="100" w:line="416" w:lineRule="atLeast"/>
      <w:ind w:left="992" w:hanging="567" w:firstLineChars="200"/>
      <w:jc w:val="both"/>
      <w:textAlignment w:val="baseline"/>
    </w:pPr>
    <w:rPr>
      <w:rFonts w:eastAsia="Symbol" w:cs="Arial"/>
      <w:bCs/>
      <w:szCs w:val="32"/>
    </w:rPr>
  </w:style>
  <w:style w:type="paragraph" w:customStyle="1" w:styleId="1111">
    <w:name w:val="样式 报告 + 段前: 0.2 行 段后: 0.2 行 左  0 字符 首行缩进:  2 字符"/>
    <w:basedOn w:val="1090"/>
    <w:semiHidden/>
    <w:qFormat/>
    <w:uiPriority w:val="0"/>
    <w:pPr>
      <w:tabs>
        <w:tab w:val="clear" w:pos="1440"/>
      </w:tabs>
      <w:snapToGrid/>
      <w:spacing w:before="62" w:beforeLines="20" w:after="62" w:afterLines="20" w:line="440" w:lineRule="atLeast"/>
      <w:ind w:left="0" w:leftChars="0" w:firstLine="480" w:firstLineChars="200"/>
    </w:pPr>
    <w:rPr>
      <w:lang w:val="en-US"/>
    </w:rPr>
  </w:style>
  <w:style w:type="paragraph" w:customStyle="1" w:styleId="1112">
    <w:name w:val="样式 报告 + 段前: 0.3 行 段后: 0.3 行1"/>
    <w:basedOn w:val="1090"/>
    <w:qFormat/>
    <w:uiPriority w:val="0"/>
    <w:pPr>
      <w:tabs>
        <w:tab w:val="clear" w:pos="1440"/>
      </w:tabs>
      <w:snapToGrid/>
      <w:spacing w:before="93" w:beforeLines="30" w:after="93" w:afterLines="30" w:line="440" w:lineRule="atLeast"/>
      <w:ind w:left="0" w:leftChars="0" w:firstLine="540" w:firstLineChars="225"/>
    </w:pPr>
    <w:rPr>
      <w:lang w:val="en-US"/>
    </w:rPr>
  </w:style>
  <w:style w:type="character" w:customStyle="1" w:styleId="1113">
    <w:name w:val="小标题1"/>
    <w:qFormat/>
    <w:uiPriority w:val="0"/>
    <w:rPr>
      <w:b/>
      <w:bCs/>
      <w:u w:val="single"/>
    </w:rPr>
  </w:style>
  <w:style w:type="paragraph" w:customStyle="1" w:styleId="1114">
    <w:name w:val="样式 报告 Char + 首行缩进:  2 字符"/>
    <w:basedOn w:val="1"/>
    <w:qFormat/>
    <w:uiPriority w:val="0"/>
    <w:pPr>
      <w:overflowPunct w:val="0"/>
      <w:autoSpaceDE w:val="0"/>
      <w:autoSpaceDN w:val="0"/>
      <w:adjustRightInd w:val="0"/>
      <w:spacing w:before="120" w:after="120" w:line="400" w:lineRule="atLeast"/>
      <w:ind w:firstLine="480" w:firstLineChars="200"/>
      <w:jc w:val="both"/>
      <w:textAlignment w:val="baseline"/>
    </w:pPr>
    <w:rPr>
      <w:rFonts w:ascii="Times New Roman" w:hAnsi="Times New Roman" w:cs="Times New Roman"/>
      <w:kern w:val="2"/>
    </w:rPr>
  </w:style>
  <w:style w:type="character" w:customStyle="1" w:styleId="1115">
    <w:name w:val="报告 Char Char Char"/>
    <w:qFormat/>
    <w:uiPriority w:val="0"/>
    <w:rPr>
      <w:rFonts w:eastAsia="宋体"/>
      <w:sz w:val="24"/>
      <w:szCs w:val="24"/>
      <w:lang w:val="en-US" w:eastAsia="zh-CN"/>
    </w:rPr>
  </w:style>
  <w:style w:type="paragraph" w:customStyle="1" w:styleId="1116">
    <w:name w:val="小标题 Char"/>
    <w:basedOn w:val="1"/>
    <w:qFormat/>
    <w:uiPriority w:val="0"/>
    <w:pPr>
      <w:widowControl w:val="0"/>
      <w:adjustRightInd w:val="0"/>
      <w:spacing w:before="20" w:beforeLines="20" w:after="20" w:afterLines="20" w:line="360" w:lineRule="atLeast"/>
      <w:ind w:left="100" w:leftChars="100" w:firstLine="200" w:firstLineChars="200"/>
      <w:jc w:val="both"/>
      <w:textAlignment w:val="baseline"/>
    </w:pPr>
    <w:rPr>
      <w:rFonts w:ascii="Times New Roman" w:hAnsi="Times New Roman" w:cs="Times New Roman"/>
      <w:b/>
      <w:bCs/>
      <w:u w:val="words"/>
    </w:rPr>
  </w:style>
  <w:style w:type="character" w:customStyle="1" w:styleId="1117">
    <w:name w:val="小标题 Char Char"/>
    <w:qFormat/>
    <w:uiPriority w:val="0"/>
    <w:rPr>
      <w:rFonts w:eastAsia="宋体"/>
      <w:b/>
      <w:bCs/>
      <w:sz w:val="24"/>
      <w:szCs w:val="24"/>
      <w:u w:val="words"/>
      <w:lang w:val="en-US" w:eastAsia="zh-CN"/>
    </w:rPr>
  </w:style>
  <w:style w:type="paragraph" w:customStyle="1" w:styleId="1118">
    <w:name w:val="样式 标题 3标题3H3h33rd level第二层条标题 3 Char Char标题 31标题 3 Char ..."/>
    <w:basedOn w:val="5"/>
    <w:qFormat/>
    <w:uiPriority w:val="0"/>
    <w:pPr>
      <w:widowControl w:val="0"/>
      <w:adjustRightInd w:val="0"/>
      <w:spacing w:before="120" w:beforeLines="50" w:after="120" w:afterLines="50" w:line="416" w:lineRule="atLeast"/>
      <w:jc w:val="both"/>
      <w:textAlignment w:val="baseline"/>
    </w:pPr>
    <w:rPr>
      <w:rFonts w:ascii="Arial" w:hAnsi="Arial" w:cs="Arial"/>
      <w:color w:val="000000"/>
      <w:sz w:val="28"/>
      <w:szCs w:val="28"/>
    </w:rPr>
  </w:style>
  <w:style w:type="paragraph" w:customStyle="1" w:styleId="1119">
    <w:name w:val="样式 报告 + 首行缩进:  2 字符 段前: 0.3 行 段后: 0.3 行"/>
    <w:basedOn w:val="1"/>
    <w:qFormat/>
    <w:uiPriority w:val="0"/>
    <w:pPr>
      <w:widowControl w:val="0"/>
      <w:spacing w:before="93" w:after="93" w:line="360" w:lineRule="auto"/>
      <w:ind w:firstLine="480"/>
      <w:jc w:val="both"/>
    </w:pPr>
    <w:rPr>
      <w:rFonts w:ascii="Times New Roman" w:hAnsi="Times New Roman" w:cs="Times New Roman"/>
      <w:color w:val="FF0000"/>
      <w:kern w:val="2"/>
      <w:lang w:val="en-GB"/>
    </w:rPr>
  </w:style>
  <w:style w:type="character" w:customStyle="1" w:styleId="1120">
    <w:name w:val="报告 Char Char1"/>
    <w:qFormat/>
    <w:uiPriority w:val="0"/>
    <w:rPr>
      <w:rFonts w:eastAsia="宋体"/>
      <w:sz w:val="24"/>
      <w:lang w:val="en-US" w:eastAsia="zh-CN" w:bidi="ar-SA"/>
    </w:rPr>
  </w:style>
  <w:style w:type="paragraph" w:customStyle="1" w:styleId="1121">
    <w:name w:val="font13"/>
    <w:basedOn w:val="1"/>
    <w:qFormat/>
    <w:uiPriority w:val="0"/>
    <w:pPr>
      <w:spacing w:before="100" w:beforeAutospacing="1" w:after="100" w:afterAutospacing="1"/>
    </w:pPr>
    <w:rPr>
      <w:rFonts w:ascii="Times New Roman" w:hAnsi="Times New Roman" w:cs="Times New Roman"/>
      <w:b/>
      <w:bCs/>
      <w:sz w:val="28"/>
      <w:szCs w:val="28"/>
    </w:rPr>
  </w:style>
  <w:style w:type="paragraph" w:customStyle="1" w:styleId="1122">
    <w:name w:val="表内文字"/>
    <w:basedOn w:val="1"/>
    <w:qFormat/>
    <w:uiPriority w:val="0"/>
    <w:pPr>
      <w:snapToGrid w:val="0"/>
      <w:spacing w:line="400" w:lineRule="exact"/>
      <w:jc w:val="center"/>
    </w:pPr>
    <w:rPr>
      <w:rFonts w:ascii="Times New Roman" w:hAnsi="Times New Roman" w:cs="Times New Roman"/>
      <w:sz w:val="21"/>
      <w:szCs w:val="20"/>
    </w:rPr>
  </w:style>
  <w:style w:type="paragraph" w:customStyle="1" w:styleId="1123">
    <w:name w:val="样式 表格标题 + 五号 左侧:  -0.45 字符"/>
    <w:basedOn w:val="1"/>
    <w:qFormat/>
    <w:uiPriority w:val="0"/>
    <w:pPr>
      <w:widowControl w:val="0"/>
      <w:wordWrap w:val="0"/>
      <w:adjustRightInd w:val="0"/>
      <w:snapToGrid w:val="0"/>
      <w:ind w:left="105"/>
      <w:jc w:val="both"/>
    </w:pPr>
    <w:rPr>
      <w:rFonts w:ascii="Times New Roman" w:cs="Times New Roman"/>
      <w:b/>
      <w:bCs/>
      <w:kern w:val="2"/>
      <w:sz w:val="21"/>
      <w:szCs w:val="21"/>
    </w:rPr>
  </w:style>
  <w:style w:type="paragraph" w:customStyle="1" w:styleId="1124">
    <w:name w:val="表格式"/>
    <w:basedOn w:val="66"/>
    <w:qFormat/>
    <w:uiPriority w:val="0"/>
    <w:pPr>
      <w:adjustRightInd w:val="0"/>
      <w:snapToGrid w:val="0"/>
      <w:ind w:left="105" w:hanging="105" w:firstLineChars="0"/>
      <w:jc w:val="center"/>
    </w:pPr>
    <w:rPr>
      <w:szCs w:val="20"/>
    </w:rPr>
  </w:style>
  <w:style w:type="paragraph" w:customStyle="1" w:styleId="1125">
    <w:name w:val="样式 标题 4 + 段前: 7.8 磅 段后: 0 磅 行距: 单倍行距"/>
    <w:basedOn w:val="6"/>
    <w:qFormat/>
    <w:uiPriority w:val="0"/>
    <w:pPr>
      <w:widowControl w:val="0"/>
      <w:tabs>
        <w:tab w:val="left" w:pos="864"/>
      </w:tabs>
      <w:spacing w:before="156" w:after="0" w:line="240" w:lineRule="auto"/>
      <w:ind w:left="864" w:hanging="864" w:firstLineChars="200"/>
      <w:jc w:val="both"/>
    </w:pPr>
    <w:rPr>
      <w:rFonts w:ascii="Arial" w:hAnsi="Arial" w:eastAsia="Symbol" w:cs="宋体"/>
      <w:i/>
      <w:kern w:val="2"/>
      <w:sz w:val="24"/>
      <w:szCs w:val="20"/>
    </w:rPr>
  </w:style>
  <w:style w:type="character" w:customStyle="1" w:styleId="1126">
    <w:name w:val="f10"/>
    <w:qFormat/>
    <w:uiPriority w:val="0"/>
  </w:style>
  <w:style w:type="paragraph" w:customStyle="1" w:styleId="1127">
    <w:name w:val="样式 表格标题 + 首行缩进:  0.61 字符"/>
    <w:basedOn w:val="154"/>
    <w:qFormat/>
    <w:uiPriority w:val="0"/>
    <w:pPr>
      <w:widowControl w:val="0"/>
      <w:wordWrap w:val="0"/>
      <w:spacing w:line="240" w:lineRule="auto"/>
      <w:ind w:left="-143" w:leftChars="-68" w:firstLine="128" w:firstLineChars="61"/>
      <w:outlineLvl w:val="9"/>
    </w:pPr>
    <w:rPr>
      <w:rFonts w:ascii="Times New Roman" w:eastAsia="宋体"/>
      <w:b/>
      <w:kern w:val="2"/>
      <w:sz w:val="21"/>
      <w:szCs w:val="20"/>
    </w:rPr>
  </w:style>
  <w:style w:type="paragraph" w:customStyle="1" w:styleId="1128">
    <w:name w:val="表名"/>
    <w:basedOn w:val="1"/>
    <w:link w:val="1129"/>
    <w:qFormat/>
    <w:uiPriority w:val="0"/>
    <w:pPr>
      <w:widowControl w:val="0"/>
      <w:adjustRightInd w:val="0"/>
      <w:spacing w:before="93" w:after="93" w:line="360" w:lineRule="auto"/>
      <w:jc w:val="center"/>
    </w:pPr>
    <w:rPr>
      <w:rFonts w:ascii="Times New Roman" w:hAnsi="Times New Roman" w:cs="Times New Roman"/>
      <w:b/>
      <w:bCs/>
    </w:rPr>
  </w:style>
  <w:style w:type="character" w:customStyle="1" w:styleId="1129">
    <w:name w:val="表名 Char"/>
    <w:link w:val="1128"/>
    <w:qFormat/>
    <w:uiPriority w:val="0"/>
    <w:rPr>
      <w:b/>
      <w:bCs/>
      <w:sz w:val="24"/>
      <w:szCs w:val="24"/>
    </w:rPr>
  </w:style>
  <w:style w:type="character" w:customStyle="1" w:styleId="1130">
    <w:name w:val="news1"/>
    <w:qFormat/>
    <w:uiPriority w:val="0"/>
    <w:rPr>
      <w:color w:val="000000"/>
      <w:sz w:val="21"/>
      <w:szCs w:val="21"/>
      <w:u w:val="none"/>
    </w:rPr>
  </w:style>
  <w:style w:type="paragraph" w:customStyle="1" w:styleId="1131">
    <w:name w:val="样式 表格标题 + 左侧:  -0.45 字符"/>
    <w:basedOn w:val="1"/>
    <w:qFormat/>
    <w:uiPriority w:val="0"/>
    <w:pPr>
      <w:widowControl w:val="0"/>
      <w:adjustRightInd w:val="0"/>
      <w:snapToGrid w:val="0"/>
      <w:spacing w:before="120" w:after="60" w:line="400" w:lineRule="exact"/>
      <w:ind w:left="-45" w:leftChars="-45"/>
      <w:jc w:val="center"/>
    </w:pPr>
    <w:rPr>
      <w:rFonts w:ascii="Symbol" w:hAnsi="Times New Roman"/>
      <w:b/>
      <w:bCs/>
      <w:kern w:val="2"/>
      <w:szCs w:val="20"/>
    </w:rPr>
  </w:style>
  <w:style w:type="paragraph" w:customStyle="1" w:styleId="1132">
    <w:name w:val="样式 表格正文 + 五号"/>
    <w:qFormat/>
    <w:uiPriority w:val="0"/>
    <w:rPr>
      <w:rFonts w:ascii="Times New Roman" w:hAnsi="Times New Roman" w:eastAsia="宋体" w:cs="Times New Roman"/>
      <w:lang w:val="en-US" w:eastAsia="zh-CN" w:bidi="ar-SA"/>
    </w:rPr>
  </w:style>
  <w:style w:type="paragraph" w:customStyle="1" w:styleId="1133">
    <w:name w:val="参考文献行"/>
    <w:basedOn w:val="34"/>
    <w:qFormat/>
    <w:uiPriority w:val="0"/>
    <w:pPr>
      <w:widowControl w:val="0"/>
      <w:snapToGrid/>
      <w:spacing w:before="0" w:after="0" w:line="240" w:lineRule="auto"/>
      <w:ind w:right="0"/>
      <w:jc w:val="center"/>
    </w:pPr>
    <w:rPr>
      <w:rFonts w:hAnsi="Times New Roman" w:cs="Times New Roman"/>
      <w:kern w:val="2"/>
      <w:sz w:val="21"/>
    </w:rPr>
  </w:style>
  <w:style w:type="character" w:customStyle="1" w:styleId="1134">
    <w:name w:val="info"/>
    <w:qFormat/>
    <w:uiPriority w:val="0"/>
  </w:style>
  <w:style w:type="paragraph" w:customStyle="1" w:styleId="1135">
    <w:name w:val="样式 段前: 7.8 磅"/>
    <w:basedOn w:val="1"/>
    <w:qFormat/>
    <w:uiPriority w:val="0"/>
    <w:pPr>
      <w:widowControl w:val="0"/>
      <w:spacing w:line="360" w:lineRule="auto"/>
      <w:ind w:firstLine="480" w:firstLineChars="200"/>
      <w:jc w:val="both"/>
    </w:pPr>
    <w:rPr>
      <w:rFonts w:ascii="Times New Roman" w:hAnsi="Times New Roman"/>
      <w:kern w:val="2"/>
      <w:szCs w:val="20"/>
    </w:rPr>
  </w:style>
  <w:style w:type="paragraph" w:customStyle="1" w:styleId="1136">
    <w:name w:val="样式 标题 1标题 11一、 + Times New Roman 行距: 固定值 23 磅"/>
    <w:basedOn w:val="3"/>
    <w:qFormat/>
    <w:uiPriority w:val="0"/>
    <w:pPr>
      <w:keepLines/>
      <w:widowControl w:val="0"/>
      <w:overflowPunct/>
      <w:snapToGrid/>
      <w:spacing w:before="0" w:after="0" w:line="460" w:lineRule="exact"/>
      <w:ind w:left="0" w:firstLine="0"/>
      <w:jc w:val="both"/>
    </w:pPr>
    <w:rPr>
      <w:rFonts w:ascii="Symbol" w:hAnsi="Times New Roman" w:eastAsia="Symbol"/>
      <w:b w:val="0"/>
      <w:color w:val="auto"/>
      <w:sz w:val="32"/>
      <w:szCs w:val="32"/>
    </w:rPr>
  </w:style>
  <w:style w:type="paragraph" w:customStyle="1" w:styleId="1137">
    <w:name w:val="样式44"/>
    <w:basedOn w:val="1"/>
    <w:link w:val="1138"/>
    <w:qFormat/>
    <w:uiPriority w:val="0"/>
    <w:pPr>
      <w:widowControl w:val="0"/>
      <w:spacing w:before="120" w:after="120" w:line="360" w:lineRule="auto"/>
      <w:ind w:firstLine="480" w:firstLineChars="200"/>
      <w:jc w:val="both"/>
    </w:pPr>
    <w:rPr>
      <w:rFonts w:ascii="Times New Roman" w:hAnsi="Times New Roman" w:cs="Times New Roman"/>
      <w:color w:val="000000"/>
      <w:szCs w:val="20"/>
    </w:rPr>
  </w:style>
  <w:style w:type="character" w:customStyle="1" w:styleId="1138">
    <w:name w:val="样式44 Char"/>
    <w:link w:val="1137"/>
    <w:qFormat/>
    <w:uiPriority w:val="0"/>
    <w:rPr>
      <w:color w:val="000000"/>
      <w:sz w:val="24"/>
    </w:rPr>
  </w:style>
  <w:style w:type="paragraph" w:customStyle="1" w:styleId="1139">
    <w:name w:val="文章正文"/>
    <w:basedOn w:val="1"/>
    <w:link w:val="1140"/>
    <w:qFormat/>
    <w:uiPriority w:val="0"/>
    <w:pPr>
      <w:widowControl w:val="0"/>
      <w:spacing w:before="156" w:beforeLines="50" w:after="156" w:afterLines="50" w:line="360" w:lineRule="auto"/>
      <w:ind w:firstLine="480" w:firstLineChars="200"/>
      <w:jc w:val="both"/>
    </w:pPr>
    <w:rPr>
      <w:rFonts w:cs="Times New Roman"/>
      <w:kern w:val="2"/>
    </w:rPr>
  </w:style>
  <w:style w:type="character" w:customStyle="1" w:styleId="1140">
    <w:name w:val="文章正文 Char"/>
    <w:link w:val="1139"/>
    <w:qFormat/>
    <w:uiPriority w:val="0"/>
    <w:rPr>
      <w:rFonts w:ascii="宋体" w:hAnsi="宋体"/>
      <w:kern w:val="2"/>
      <w:sz w:val="24"/>
      <w:szCs w:val="24"/>
    </w:rPr>
  </w:style>
  <w:style w:type="paragraph" w:customStyle="1" w:styleId="1141">
    <w:name w:val="表格，内容"/>
    <w:basedOn w:val="1"/>
    <w:qFormat/>
    <w:uiPriority w:val="0"/>
    <w:pPr>
      <w:widowControl w:val="0"/>
      <w:jc w:val="center"/>
    </w:pPr>
    <w:rPr>
      <w:rFonts w:ascii="Times New Roman" w:hAnsi="Times New Roman" w:cs="Times New Roman"/>
      <w:spacing w:val="10"/>
      <w:kern w:val="44"/>
      <w:sz w:val="21"/>
    </w:rPr>
  </w:style>
  <w:style w:type="paragraph" w:customStyle="1" w:styleId="1142">
    <w:name w:val="样式12"/>
    <w:basedOn w:val="1"/>
    <w:link w:val="1143"/>
    <w:qFormat/>
    <w:uiPriority w:val="0"/>
    <w:pPr>
      <w:keepNext/>
      <w:keepLines/>
      <w:widowControl w:val="0"/>
      <w:tabs>
        <w:tab w:val="left" w:pos="360"/>
        <w:tab w:val="left" w:pos="567"/>
      </w:tabs>
      <w:spacing w:before="156" w:beforeLines="50" w:after="156" w:afterLines="50" w:line="360" w:lineRule="auto"/>
      <w:ind w:left="567" w:hanging="992"/>
      <w:jc w:val="both"/>
      <w:outlineLvl w:val="1"/>
    </w:pPr>
    <w:rPr>
      <w:rFonts w:eastAsia="Symbol" w:cs="Times New Roman"/>
      <w:kern w:val="2"/>
      <w:sz w:val="28"/>
      <w:szCs w:val="28"/>
    </w:rPr>
  </w:style>
  <w:style w:type="character" w:customStyle="1" w:styleId="1143">
    <w:name w:val="样式12 Char"/>
    <w:link w:val="1142"/>
    <w:qFormat/>
    <w:uiPriority w:val="0"/>
    <w:rPr>
      <w:rFonts w:ascii="宋体" w:hAnsi="宋体" w:eastAsia="Symbol"/>
      <w:kern w:val="2"/>
      <w:sz w:val="28"/>
      <w:szCs w:val="28"/>
    </w:rPr>
  </w:style>
  <w:style w:type="paragraph" w:customStyle="1" w:styleId="1144">
    <w:name w:val="样式22"/>
    <w:basedOn w:val="1"/>
    <w:link w:val="1145"/>
    <w:qFormat/>
    <w:uiPriority w:val="0"/>
    <w:pPr>
      <w:keepNext/>
      <w:keepLines/>
      <w:widowControl w:val="0"/>
      <w:tabs>
        <w:tab w:val="left" w:pos="360"/>
        <w:tab w:val="left" w:pos="540"/>
        <w:tab w:val="left" w:pos="1680"/>
      </w:tabs>
      <w:spacing w:before="120" w:beforeLines="50" w:after="120" w:afterLines="50" w:line="360" w:lineRule="auto"/>
      <w:ind w:left="1680" w:hanging="420"/>
      <w:jc w:val="both"/>
      <w:outlineLvl w:val="2"/>
    </w:pPr>
    <w:rPr>
      <w:rFonts w:ascii="Times New Roman" w:hAnsi="Times New Roman" w:eastAsia="Symbol" w:cs="Times New Roman"/>
      <w:szCs w:val="32"/>
    </w:rPr>
  </w:style>
  <w:style w:type="character" w:customStyle="1" w:styleId="1145">
    <w:name w:val="样式22 Char"/>
    <w:link w:val="1144"/>
    <w:qFormat/>
    <w:uiPriority w:val="0"/>
    <w:rPr>
      <w:rFonts w:eastAsia="Symbol"/>
      <w:sz w:val="24"/>
      <w:szCs w:val="32"/>
    </w:rPr>
  </w:style>
  <w:style w:type="paragraph" w:customStyle="1" w:styleId="1146">
    <w:name w:val="样式25"/>
    <w:basedOn w:val="265"/>
    <w:qFormat/>
    <w:uiPriority w:val="0"/>
    <w:pPr>
      <w:keepNext/>
      <w:keepLines/>
      <w:tabs>
        <w:tab w:val="left" w:pos="180"/>
      </w:tabs>
      <w:overflowPunct/>
      <w:autoSpaceDE/>
      <w:autoSpaceDN/>
      <w:adjustRightInd/>
      <w:spacing w:before="120" w:beforeLines="50" w:after="120" w:afterLines="50"/>
      <w:ind w:left="180" w:hanging="180" w:firstLineChars="0"/>
      <w:textAlignment w:val="auto"/>
      <w:outlineLvl w:val="0"/>
    </w:pPr>
    <w:rPr>
      <w:rFonts w:eastAsia="Symbol"/>
      <w:kern w:val="44"/>
      <w:sz w:val="30"/>
      <w:szCs w:val="44"/>
    </w:rPr>
  </w:style>
  <w:style w:type="paragraph" w:customStyle="1" w:styleId="1147">
    <w:name w:val="样式33"/>
    <w:basedOn w:val="1144"/>
    <w:link w:val="1148"/>
    <w:qFormat/>
    <w:uiPriority w:val="0"/>
  </w:style>
  <w:style w:type="character" w:customStyle="1" w:styleId="1148">
    <w:name w:val="样式33 Char"/>
    <w:link w:val="1147"/>
    <w:qFormat/>
    <w:uiPriority w:val="0"/>
    <w:rPr>
      <w:rFonts w:eastAsia="Symbol"/>
      <w:sz w:val="24"/>
      <w:szCs w:val="32"/>
    </w:rPr>
  </w:style>
  <w:style w:type="paragraph" w:customStyle="1" w:styleId="1149">
    <w:name w:val="样式48"/>
    <w:basedOn w:val="1142"/>
    <w:qFormat/>
    <w:uiPriority w:val="0"/>
    <w:pPr>
      <w:spacing w:before="120" w:after="120"/>
      <w:ind w:hanging="567"/>
    </w:pPr>
  </w:style>
  <w:style w:type="paragraph" w:customStyle="1" w:styleId="1150">
    <w:name w:val="样式 样式 表格1 + 首行缩进:  0.63 厘米 + 段前: 7.8 磅"/>
    <w:basedOn w:val="1"/>
    <w:qFormat/>
    <w:uiPriority w:val="0"/>
    <w:pPr>
      <w:widowControl w:val="0"/>
      <w:adjustRightInd w:val="0"/>
      <w:snapToGrid w:val="0"/>
      <w:spacing w:line="300" w:lineRule="exact"/>
      <w:jc w:val="center"/>
    </w:pPr>
    <w:rPr>
      <w:kern w:val="2"/>
      <w:sz w:val="18"/>
      <w:szCs w:val="18"/>
    </w:rPr>
  </w:style>
  <w:style w:type="paragraph" w:customStyle="1" w:styleId="1151">
    <w:name w:val="a封面－项目名称"/>
    <w:basedOn w:val="1"/>
    <w:next w:val="1"/>
    <w:qFormat/>
    <w:uiPriority w:val="0"/>
    <w:pPr>
      <w:widowControl w:val="0"/>
      <w:spacing w:before="120" w:beforeLines="50" w:after="120" w:afterLines="50" w:line="360" w:lineRule="auto"/>
      <w:jc w:val="center"/>
    </w:pPr>
    <w:rPr>
      <w:rFonts w:ascii="Times New Roman" w:hAnsi="Times New Roman" w:eastAsia="Symbol" w:cs="Times New Roman"/>
      <w:b/>
      <w:kern w:val="2"/>
      <w:sz w:val="48"/>
    </w:rPr>
  </w:style>
  <w:style w:type="paragraph" w:customStyle="1" w:styleId="1152">
    <w:name w:val="三级标题"/>
    <w:basedOn w:val="5"/>
    <w:link w:val="1153"/>
    <w:qFormat/>
    <w:uiPriority w:val="99"/>
    <w:pPr>
      <w:widowControl w:val="0"/>
      <w:spacing w:before="156" w:beforeLines="50" w:after="156" w:afterLines="50" w:line="360" w:lineRule="auto"/>
      <w:jc w:val="both"/>
    </w:pPr>
    <w:rPr>
      <w:bCs w:val="0"/>
      <w:kern w:val="2"/>
      <w:sz w:val="24"/>
      <w:szCs w:val="24"/>
    </w:rPr>
  </w:style>
  <w:style w:type="character" w:customStyle="1" w:styleId="1153">
    <w:name w:val="三级标题 Char"/>
    <w:link w:val="1152"/>
    <w:qFormat/>
    <w:uiPriority w:val="99"/>
    <w:rPr>
      <w:rFonts w:ascii="宋体" w:hAnsi="宋体" w:cs="宋体"/>
      <w:b/>
      <w:kern w:val="2"/>
      <w:sz w:val="24"/>
      <w:szCs w:val="24"/>
    </w:rPr>
  </w:style>
  <w:style w:type="paragraph" w:customStyle="1" w:styleId="1154">
    <w:name w:val="小表"/>
    <w:basedOn w:val="1"/>
    <w:qFormat/>
    <w:uiPriority w:val="0"/>
    <w:pPr>
      <w:overflowPunct w:val="0"/>
      <w:autoSpaceDE w:val="0"/>
      <w:autoSpaceDN w:val="0"/>
      <w:adjustRightInd w:val="0"/>
      <w:jc w:val="center"/>
      <w:textAlignment w:val="bottom"/>
    </w:pPr>
    <w:rPr>
      <w:rFonts w:ascii="Times New Roman" w:hAnsi="Times New Roman" w:cs="Times New Roman"/>
      <w:sz w:val="21"/>
      <w:szCs w:val="20"/>
    </w:rPr>
  </w:style>
  <w:style w:type="paragraph" w:customStyle="1" w:styleId="1155">
    <w:name w:val="style24"/>
    <w:basedOn w:val="1"/>
    <w:qFormat/>
    <w:uiPriority w:val="0"/>
    <w:pPr>
      <w:spacing w:before="100" w:beforeAutospacing="1" w:after="100" w:afterAutospacing="1"/>
    </w:pPr>
    <w:rPr>
      <w:sz w:val="20"/>
      <w:szCs w:val="20"/>
    </w:rPr>
  </w:style>
  <w:style w:type="character" w:customStyle="1" w:styleId="1156">
    <w:name w:val="style241"/>
    <w:qFormat/>
    <w:uiPriority w:val="0"/>
    <w:rPr>
      <w:sz w:val="20"/>
      <w:szCs w:val="20"/>
    </w:rPr>
  </w:style>
  <w:style w:type="character" w:customStyle="1" w:styleId="1157">
    <w:name w:val="big"/>
    <w:qFormat/>
    <w:uiPriority w:val="0"/>
  </w:style>
  <w:style w:type="paragraph" w:customStyle="1" w:styleId="1158">
    <w:name w:val="样式 样式 样式 标题 3标题 3 CharReHead 3 WSAh3H3B Head条标题1.1.1Section头... ..."/>
    <w:basedOn w:val="1"/>
    <w:qFormat/>
    <w:uiPriority w:val="0"/>
    <w:pPr>
      <w:keepNext/>
      <w:keepLines/>
      <w:widowControl w:val="0"/>
      <w:tabs>
        <w:tab w:val="left" w:pos="720"/>
      </w:tabs>
      <w:adjustRightInd w:val="0"/>
      <w:snapToGrid w:val="0"/>
      <w:textAlignment w:val="center"/>
      <w:outlineLvl w:val="2"/>
    </w:pPr>
    <w:rPr>
      <w:rFonts w:ascii="Times New Roman" w:hAnsi="Times New Roman"/>
      <w:b/>
      <w:bCs/>
      <w:sz w:val="28"/>
      <w:szCs w:val="28"/>
      <w:lang w:val="zh-CN"/>
    </w:rPr>
  </w:style>
  <w:style w:type="paragraph" w:customStyle="1" w:styleId="1159">
    <w:name w:val="样式 标题 1 + 首行缩进:  2 字符1"/>
    <w:basedOn w:val="3"/>
    <w:qFormat/>
    <w:uiPriority w:val="0"/>
    <w:pPr>
      <w:keepLines/>
      <w:widowControl w:val="0"/>
      <w:tabs>
        <w:tab w:val="left" w:pos="360"/>
      </w:tabs>
      <w:overflowPunct/>
      <w:adjustRightInd w:val="0"/>
      <w:snapToGrid/>
      <w:spacing w:before="156" w:beforeLines="50" w:after="156" w:afterLines="50" w:line="240" w:lineRule="auto"/>
      <w:ind w:left="0" w:firstLine="0"/>
      <w:jc w:val="both"/>
      <w:textAlignment w:val="baseline"/>
    </w:pPr>
    <w:rPr>
      <w:rFonts w:ascii="Times New Roman" w:hAnsi="Times New Roman" w:eastAsia="宋体"/>
      <w:color w:val="auto"/>
      <w:sz w:val="36"/>
      <w:szCs w:val="36"/>
    </w:rPr>
  </w:style>
  <w:style w:type="paragraph" w:customStyle="1" w:styleId="1160">
    <w:name w:val="样式 标题 2标题2SeHead wsa2H21标题 1.1Chapter TitleChapter节标题 1..."/>
    <w:basedOn w:val="4"/>
    <w:qFormat/>
    <w:uiPriority w:val="0"/>
    <w:pPr>
      <w:widowControl w:val="0"/>
      <w:numPr>
        <w:ilvl w:val="0"/>
        <w:numId w:val="0"/>
      </w:numPr>
      <w:tabs>
        <w:tab w:val="left" w:pos="720"/>
      </w:tabs>
      <w:spacing w:before="0" w:after="0" w:line="360" w:lineRule="auto"/>
    </w:pPr>
    <w:rPr>
      <w:rFonts w:ascii="Times New Roman" w:hAnsi="Times New Roman" w:eastAsia="宋体"/>
      <w:bCs/>
      <w:sz w:val="30"/>
      <w:szCs w:val="30"/>
    </w:rPr>
  </w:style>
  <w:style w:type="paragraph" w:customStyle="1" w:styleId="1161">
    <w:name w:val="样式 标题 3标题 3 CharReHead 3 WSAh3H3B Head条标题1.1.1Section头..."/>
    <w:basedOn w:val="5"/>
    <w:qFormat/>
    <w:uiPriority w:val="0"/>
    <w:pPr>
      <w:widowControl w:val="0"/>
      <w:tabs>
        <w:tab w:val="left" w:pos="720"/>
      </w:tabs>
      <w:adjustRightInd w:val="0"/>
      <w:snapToGrid w:val="0"/>
      <w:spacing w:before="156" w:beforeLines="50" w:after="156" w:afterLines="50" w:line="360" w:lineRule="auto"/>
    </w:pPr>
    <w:rPr>
      <w:rFonts w:ascii="Times New Roman" w:hAnsi="Times New Roman"/>
      <w:sz w:val="30"/>
      <w:szCs w:val="30"/>
      <w:lang w:val="zh-CN"/>
    </w:rPr>
  </w:style>
  <w:style w:type="paragraph" w:customStyle="1" w:styleId="1162">
    <w:name w:val="表居中（中文）"/>
    <w:basedOn w:val="1"/>
    <w:qFormat/>
    <w:uiPriority w:val="0"/>
    <w:pPr>
      <w:widowControl w:val="0"/>
      <w:adjustRightInd w:val="0"/>
      <w:spacing w:line="380" w:lineRule="atLeast"/>
      <w:jc w:val="center"/>
      <w:textAlignment w:val="baseline"/>
    </w:pPr>
    <w:rPr>
      <w:rFonts w:ascii="Times New Roman" w:hAnsi="Times New Roman" w:eastAsia="Arial" w:cs="Times New Roman"/>
      <w:sz w:val="21"/>
      <w:szCs w:val="20"/>
    </w:rPr>
  </w:style>
  <w:style w:type="paragraph" w:customStyle="1" w:styleId="1163">
    <w:name w:val="图标"/>
    <w:basedOn w:val="1"/>
    <w:qFormat/>
    <w:uiPriority w:val="0"/>
    <w:pPr>
      <w:widowControl w:val="0"/>
      <w:tabs>
        <w:tab w:val="left" w:pos="1920"/>
      </w:tabs>
      <w:spacing w:line="400" w:lineRule="atLeast"/>
      <w:jc w:val="center"/>
    </w:pPr>
    <w:rPr>
      <w:rFonts w:ascii="Times New Roman" w:hAnsi="Times New Roman" w:cs="Times New Roman"/>
      <w:bCs/>
      <w:color w:val="000000"/>
      <w:kern w:val="2"/>
      <w:szCs w:val="21"/>
    </w:rPr>
  </w:style>
  <w:style w:type="character" w:customStyle="1" w:styleId="1164">
    <w:name w:val="l17-z105"/>
    <w:qFormat/>
    <w:uiPriority w:val="0"/>
  </w:style>
  <w:style w:type="paragraph" w:customStyle="1" w:styleId="1165">
    <w:name w:val="正文 + 首行缩进:  2 字符 Char"/>
    <w:basedOn w:val="1"/>
    <w:link w:val="1166"/>
    <w:qFormat/>
    <w:uiPriority w:val="0"/>
    <w:pPr>
      <w:widowControl w:val="0"/>
      <w:spacing w:line="360" w:lineRule="auto"/>
      <w:ind w:firstLine="480" w:firstLineChars="200"/>
      <w:jc w:val="both"/>
    </w:pPr>
    <w:rPr>
      <w:rFonts w:ascii="Times New Roman" w:hAnsi="Times New Roman"/>
      <w:kern w:val="2"/>
    </w:rPr>
  </w:style>
  <w:style w:type="character" w:customStyle="1" w:styleId="1166">
    <w:name w:val="正文 + 首行缩进:  2 字符 Char Char"/>
    <w:link w:val="1165"/>
    <w:qFormat/>
    <w:uiPriority w:val="0"/>
    <w:rPr>
      <w:rFonts w:cs="宋体"/>
      <w:kern w:val="2"/>
      <w:sz w:val="24"/>
      <w:szCs w:val="24"/>
    </w:rPr>
  </w:style>
  <w:style w:type="paragraph" w:customStyle="1" w:styleId="1167">
    <w:name w:val="我的标题3"/>
    <w:basedOn w:val="1"/>
    <w:qFormat/>
    <w:uiPriority w:val="0"/>
    <w:pPr>
      <w:widowControl w:val="0"/>
      <w:spacing w:line="460" w:lineRule="exact"/>
      <w:jc w:val="both"/>
    </w:pPr>
    <w:rPr>
      <w:rFonts w:ascii="Times New Roman" w:hAnsi="Times New Roman" w:eastAsia="Symbol" w:cs="Times New Roman"/>
      <w:kern w:val="2"/>
      <w:sz w:val="28"/>
      <w:szCs w:val="28"/>
    </w:rPr>
  </w:style>
  <w:style w:type="paragraph" w:customStyle="1" w:styleId="1168">
    <w:name w:val="我的标题1"/>
    <w:basedOn w:val="1"/>
    <w:qFormat/>
    <w:uiPriority w:val="0"/>
    <w:pPr>
      <w:widowControl w:val="0"/>
      <w:spacing w:line="460" w:lineRule="exact"/>
      <w:ind w:firstLine="192" w:firstLineChars="192"/>
      <w:jc w:val="both"/>
      <w:outlineLvl w:val="0"/>
    </w:pPr>
    <w:rPr>
      <w:rFonts w:ascii="Symbol" w:hAnsi="Times New Roman" w:eastAsia="Symbol" w:cs="Times New Roman"/>
      <w:kern w:val="2"/>
      <w:sz w:val="32"/>
    </w:rPr>
  </w:style>
  <w:style w:type="paragraph" w:customStyle="1" w:styleId="1169">
    <w:name w:val="我的标题2"/>
    <w:basedOn w:val="1"/>
    <w:qFormat/>
    <w:uiPriority w:val="0"/>
    <w:pPr>
      <w:widowControl w:val="0"/>
      <w:ind w:firstLine="576" w:firstLineChars="192"/>
      <w:jc w:val="both"/>
    </w:pPr>
    <w:rPr>
      <w:rFonts w:ascii="Symbol" w:hAnsi="Times New Roman" w:eastAsia="Symbol" w:cs="Times New Roman"/>
      <w:kern w:val="2"/>
      <w:sz w:val="30"/>
    </w:rPr>
  </w:style>
  <w:style w:type="paragraph" w:customStyle="1" w:styleId="1170">
    <w:name w:val="样式 标题 2标题 21标题 121 + Times New Roman 小三 非加粗 黑色 段前: 8 磅 段...1"/>
    <w:basedOn w:val="4"/>
    <w:qFormat/>
    <w:uiPriority w:val="0"/>
    <w:pPr>
      <w:widowControl w:val="0"/>
      <w:numPr>
        <w:ilvl w:val="0"/>
        <w:numId w:val="0"/>
      </w:numPr>
      <w:tabs>
        <w:tab w:val="left" w:pos="1279"/>
      </w:tabs>
      <w:spacing w:before="160" w:after="160" w:line="240" w:lineRule="auto"/>
      <w:ind w:left="1279" w:hanging="420"/>
      <w:jc w:val="both"/>
    </w:pPr>
    <w:rPr>
      <w:rFonts w:ascii="Times New Roman" w:hAnsi="Times New Roman" w:eastAsia="Symbol" w:cs="Times New Roman"/>
      <w:color w:val="000000"/>
      <w:kern w:val="2"/>
      <w:sz w:val="30"/>
      <w:szCs w:val="20"/>
    </w:rPr>
  </w:style>
  <w:style w:type="paragraph" w:customStyle="1" w:styleId="1171">
    <w:name w:val="样式 黑体 小四 加粗 行距: 固定值 20 磅"/>
    <w:basedOn w:val="1"/>
    <w:qFormat/>
    <w:uiPriority w:val="0"/>
    <w:pPr>
      <w:widowControl w:val="0"/>
      <w:spacing w:line="400" w:lineRule="exact"/>
      <w:jc w:val="both"/>
    </w:pPr>
    <w:rPr>
      <w:rFonts w:ascii="Symbol" w:hAnsi="Times New Roman" w:eastAsia="Symbol"/>
      <w:b/>
      <w:bCs/>
      <w:kern w:val="2"/>
      <w:sz w:val="28"/>
      <w:szCs w:val="20"/>
    </w:rPr>
  </w:style>
  <w:style w:type="paragraph" w:customStyle="1" w:styleId="1172">
    <w:name w:val="样式 黑体 小四 加粗 行距: 固定值 20 磅1"/>
    <w:basedOn w:val="1"/>
    <w:qFormat/>
    <w:uiPriority w:val="0"/>
    <w:pPr>
      <w:widowControl w:val="0"/>
      <w:spacing w:line="400" w:lineRule="exact"/>
      <w:jc w:val="both"/>
    </w:pPr>
    <w:rPr>
      <w:rFonts w:ascii="Symbol" w:hAnsi="Times New Roman"/>
      <w:b/>
      <w:bCs/>
      <w:kern w:val="2"/>
      <w:szCs w:val="20"/>
    </w:rPr>
  </w:style>
  <w:style w:type="paragraph" w:customStyle="1" w:styleId="1173">
    <w:name w:val="样式 黑体 小四 加粗 行距: 固定值 20 磅2"/>
    <w:basedOn w:val="1"/>
    <w:qFormat/>
    <w:uiPriority w:val="0"/>
    <w:pPr>
      <w:widowControl w:val="0"/>
      <w:spacing w:line="400" w:lineRule="exact"/>
      <w:jc w:val="both"/>
    </w:pPr>
    <w:rPr>
      <w:rFonts w:ascii="Symbol" w:hAnsi="Times New Roman" w:eastAsia="Symbol"/>
      <w:b/>
      <w:bCs/>
      <w:kern w:val="2"/>
      <w:sz w:val="28"/>
      <w:szCs w:val="20"/>
    </w:rPr>
  </w:style>
  <w:style w:type="paragraph" w:customStyle="1" w:styleId="1174">
    <w:name w:val="样式 黑体 小四 加粗 行距: 固定值 20 磅3"/>
    <w:basedOn w:val="1"/>
    <w:qFormat/>
    <w:uiPriority w:val="0"/>
    <w:pPr>
      <w:widowControl w:val="0"/>
      <w:spacing w:line="400" w:lineRule="exact"/>
      <w:jc w:val="both"/>
    </w:pPr>
    <w:rPr>
      <w:rFonts w:ascii="Symbol" w:hAnsi="Times New Roman" w:eastAsia="Symbol"/>
      <w:b/>
      <w:bCs/>
      <w:kern w:val="2"/>
      <w:sz w:val="28"/>
      <w:szCs w:val="20"/>
    </w:rPr>
  </w:style>
  <w:style w:type="paragraph" w:customStyle="1" w:styleId="1175">
    <w:name w:val="样式 小四 行距: 固定值 23 磅"/>
    <w:basedOn w:val="1"/>
    <w:qFormat/>
    <w:uiPriority w:val="0"/>
    <w:pPr>
      <w:widowControl w:val="0"/>
      <w:tabs>
        <w:tab w:val="left" w:pos="0"/>
      </w:tabs>
      <w:ind w:hanging="425"/>
      <w:jc w:val="both"/>
    </w:pPr>
    <w:rPr>
      <w:rFonts w:ascii="Times New Roman" w:hAnsi="Times New Roman" w:cs="Times New Roman"/>
      <w:kern w:val="2"/>
      <w:sz w:val="28"/>
    </w:rPr>
  </w:style>
  <w:style w:type="paragraph" w:customStyle="1" w:styleId="1176">
    <w:name w:val="样式 标题 2标题 21标题 121 + Times New Roman 小三 非加粗 黑色 段前: 8 磅 段...3"/>
    <w:basedOn w:val="1"/>
    <w:qFormat/>
    <w:uiPriority w:val="0"/>
    <w:pPr>
      <w:widowControl w:val="0"/>
      <w:tabs>
        <w:tab w:val="left" w:pos="567"/>
      </w:tabs>
      <w:ind w:left="567" w:hanging="567"/>
      <w:jc w:val="both"/>
    </w:pPr>
    <w:rPr>
      <w:rFonts w:ascii="Times New Roman" w:hAnsi="Times New Roman" w:cs="Times New Roman"/>
      <w:kern w:val="2"/>
      <w:sz w:val="28"/>
    </w:rPr>
  </w:style>
  <w:style w:type="paragraph" w:customStyle="1" w:styleId="1177">
    <w:name w:val="样式 标题 2标题 21标题 121 + Times New Roman 小三 非加粗 黑色 段前: 8 磅 段..."/>
    <w:basedOn w:val="4"/>
    <w:qFormat/>
    <w:uiPriority w:val="0"/>
    <w:pPr>
      <w:widowControl w:val="0"/>
      <w:numPr>
        <w:ilvl w:val="0"/>
        <w:numId w:val="0"/>
      </w:numPr>
      <w:tabs>
        <w:tab w:val="left" w:pos="360"/>
      </w:tabs>
      <w:spacing w:before="160" w:after="160" w:line="240" w:lineRule="auto"/>
      <w:jc w:val="both"/>
    </w:pPr>
    <w:rPr>
      <w:rFonts w:ascii="Times New Roman" w:hAnsi="Times New Roman" w:eastAsia="Symbol" w:cs="Times New Roman"/>
      <w:color w:val="000000"/>
      <w:kern w:val="2"/>
      <w:sz w:val="30"/>
      <w:szCs w:val="20"/>
    </w:rPr>
  </w:style>
  <w:style w:type="paragraph" w:customStyle="1" w:styleId="1178">
    <w:name w:val="样式 标题 2标题 21标题 121 + Times New Roman 小三 非加粗 黑色 段前: 8 磅 段...2"/>
    <w:basedOn w:val="4"/>
    <w:qFormat/>
    <w:uiPriority w:val="0"/>
    <w:pPr>
      <w:widowControl w:val="0"/>
      <w:numPr>
        <w:ilvl w:val="0"/>
        <w:numId w:val="0"/>
      </w:numPr>
      <w:spacing w:before="160" w:after="160" w:line="240" w:lineRule="auto"/>
      <w:ind w:left="1247"/>
      <w:jc w:val="both"/>
    </w:pPr>
    <w:rPr>
      <w:rFonts w:ascii="Times New Roman" w:hAnsi="Times New Roman" w:eastAsia="Symbol" w:cs="Times New Roman"/>
      <w:color w:val="000000"/>
      <w:kern w:val="2"/>
      <w:sz w:val="30"/>
      <w:szCs w:val="20"/>
    </w:rPr>
  </w:style>
  <w:style w:type="paragraph" w:customStyle="1" w:styleId="1179">
    <w:name w:val="样式 标题 4标题 14 + 加粗 无下划线 自动设置 段前: 3 磅 段后: 10 磅"/>
    <w:basedOn w:val="6"/>
    <w:qFormat/>
    <w:uiPriority w:val="0"/>
    <w:pPr>
      <w:keepLines w:val="0"/>
      <w:widowControl w:val="0"/>
      <w:adjustRightInd w:val="0"/>
      <w:snapToGrid w:val="0"/>
      <w:spacing w:before="60" w:after="200" w:line="240" w:lineRule="auto"/>
      <w:ind w:left="1703"/>
      <w:jc w:val="both"/>
    </w:pPr>
    <w:rPr>
      <w:rFonts w:ascii="Times New Roman" w:hAnsi="Times New Roman" w:eastAsia="宋体" w:cs="Times New Roman"/>
      <w:kern w:val="2"/>
      <w:sz w:val="24"/>
      <w:szCs w:val="20"/>
    </w:rPr>
  </w:style>
  <w:style w:type="paragraph" w:customStyle="1" w:styleId="1180">
    <w:name w:val="样式 标题 4标题 14 + 加粗 无下划线 自动设置 段前: 3 磅 段后: 10 磅1"/>
    <w:basedOn w:val="6"/>
    <w:qFormat/>
    <w:uiPriority w:val="0"/>
    <w:pPr>
      <w:keepLines w:val="0"/>
      <w:widowControl w:val="0"/>
      <w:tabs>
        <w:tab w:val="left" w:pos="2356"/>
      </w:tabs>
      <w:adjustRightInd w:val="0"/>
      <w:snapToGrid w:val="0"/>
      <w:spacing w:before="60" w:after="200" w:line="240" w:lineRule="auto"/>
      <w:ind w:left="1984"/>
      <w:jc w:val="both"/>
    </w:pPr>
    <w:rPr>
      <w:rFonts w:ascii="Times New Roman" w:hAnsi="Times New Roman" w:eastAsia="宋体" w:cs="Times New Roman"/>
      <w:kern w:val="2"/>
      <w:sz w:val="24"/>
      <w:szCs w:val="20"/>
    </w:rPr>
  </w:style>
  <w:style w:type="paragraph" w:customStyle="1" w:styleId="1181">
    <w:name w:val="样式 标题 4标题 14 + 加粗 无下划线 自动设置 段前: 3 磅 段后: 10 磅2"/>
    <w:basedOn w:val="6"/>
    <w:qFormat/>
    <w:uiPriority w:val="0"/>
    <w:pPr>
      <w:keepLines w:val="0"/>
      <w:widowControl w:val="0"/>
      <w:tabs>
        <w:tab w:val="left" w:pos="864"/>
      </w:tabs>
      <w:adjustRightInd w:val="0"/>
      <w:snapToGrid w:val="0"/>
      <w:spacing w:before="60" w:after="200" w:line="240" w:lineRule="auto"/>
      <w:ind w:left="864"/>
      <w:jc w:val="both"/>
    </w:pPr>
    <w:rPr>
      <w:rFonts w:ascii="Times New Roman" w:hAnsi="Times New Roman" w:eastAsia="宋体" w:cs="Times New Roman"/>
      <w:kern w:val="2"/>
      <w:sz w:val="24"/>
      <w:szCs w:val="20"/>
    </w:rPr>
  </w:style>
  <w:style w:type="paragraph" w:customStyle="1" w:styleId="1182">
    <w:name w:val="样式 样式 标题 4标题 14 + 自动设置 + 无下划线"/>
    <w:basedOn w:val="1183"/>
    <w:qFormat/>
    <w:uiPriority w:val="0"/>
    <w:pPr>
      <w:tabs>
        <w:tab w:val="left" w:pos="425"/>
      </w:tabs>
    </w:pPr>
    <w:rPr>
      <w:u w:val="none"/>
    </w:rPr>
  </w:style>
  <w:style w:type="paragraph" w:customStyle="1" w:styleId="1183">
    <w:name w:val="样式 标题 4标题 14 + 自动设置"/>
    <w:basedOn w:val="6"/>
    <w:qFormat/>
    <w:uiPriority w:val="0"/>
    <w:pPr>
      <w:keepLines w:val="0"/>
      <w:widowControl w:val="0"/>
      <w:adjustRightInd w:val="0"/>
      <w:snapToGrid w:val="0"/>
      <w:spacing w:before="0" w:after="0" w:line="240" w:lineRule="auto"/>
      <w:jc w:val="both"/>
    </w:pPr>
    <w:rPr>
      <w:rFonts w:ascii="Times New Roman" w:hAnsi="Times New Roman" w:eastAsia="Symbol" w:cs="Times New Roman"/>
      <w:b w:val="0"/>
      <w:bCs w:val="0"/>
      <w:kern w:val="2"/>
      <w:sz w:val="24"/>
      <w:szCs w:val="24"/>
      <w:u w:val="single"/>
    </w:rPr>
  </w:style>
  <w:style w:type="paragraph" w:customStyle="1" w:styleId="1184">
    <w:name w:val="样式 标题 4标题 14 + 加粗 无下划线 自动设置 段前: 3 磅 段后: 10 磅4"/>
    <w:basedOn w:val="6"/>
    <w:qFormat/>
    <w:uiPriority w:val="0"/>
    <w:pPr>
      <w:keepLines w:val="0"/>
      <w:widowControl w:val="0"/>
      <w:tabs>
        <w:tab w:val="left" w:pos="864"/>
      </w:tabs>
      <w:adjustRightInd w:val="0"/>
      <w:snapToGrid w:val="0"/>
      <w:spacing w:before="60" w:after="200" w:line="240" w:lineRule="auto"/>
      <w:ind w:left="864"/>
      <w:jc w:val="both"/>
    </w:pPr>
    <w:rPr>
      <w:rFonts w:ascii="Times New Roman" w:hAnsi="Times New Roman" w:eastAsia="宋体" w:cs="Times New Roman"/>
      <w:kern w:val="2"/>
      <w:sz w:val="24"/>
      <w:szCs w:val="20"/>
    </w:rPr>
  </w:style>
  <w:style w:type="paragraph" w:customStyle="1" w:styleId="1185">
    <w:name w:val="T正文"/>
    <w:basedOn w:val="1"/>
    <w:next w:val="1"/>
    <w:qFormat/>
    <w:uiPriority w:val="0"/>
    <w:pPr>
      <w:widowControl w:val="0"/>
      <w:autoSpaceDE w:val="0"/>
      <w:autoSpaceDN w:val="0"/>
      <w:adjustRightInd w:val="0"/>
    </w:pPr>
    <w:rPr>
      <w:rFonts w:ascii="Arial" w:hAnsi="Times New Roman" w:eastAsia="Arial" w:cs="Times New Roman"/>
    </w:rPr>
  </w:style>
  <w:style w:type="paragraph" w:customStyle="1" w:styleId="1186">
    <w:name w:val="样式 标题 3标题 13标题 3 Char1 Char Char Char标题 31ReHead 3 WSAh3B..."/>
    <w:basedOn w:val="5"/>
    <w:qFormat/>
    <w:uiPriority w:val="0"/>
    <w:pPr>
      <w:widowControl w:val="0"/>
      <w:spacing w:before="50" w:beforeLines="50" w:after="50" w:afterLines="50" w:line="460" w:lineRule="exact"/>
      <w:jc w:val="both"/>
    </w:pPr>
    <w:rPr>
      <w:rFonts w:ascii="Times New Roman" w:hAnsi="Times New Roman"/>
      <w:color w:val="000000"/>
      <w:kern w:val="2"/>
      <w:sz w:val="24"/>
      <w:szCs w:val="20"/>
    </w:rPr>
  </w:style>
  <w:style w:type="paragraph" w:customStyle="1" w:styleId="1187">
    <w:name w:val="样式 标题 2标题 21标题 121标题 2 Char1 Char节H2节标题 1.1节标题 1.1 Char..."/>
    <w:basedOn w:val="4"/>
    <w:qFormat/>
    <w:uiPriority w:val="0"/>
    <w:pPr>
      <w:keepNext w:val="0"/>
      <w:keepLines w:val="0"/>
      <w:numPr>
        <w:ilvl w:val="0"/>
        <w:numId w:val="0"/>
      </w:numPr>
      <w:adjustRightInd w:val="0"/>
      <w:spacing w:before="100" w:after="100" w:line="460" w:lineRule="exact"/>
      <w:textAlignment w:val="baseline"/>
    </w:pPr>
    <w:rPr>
      <w:rFonts w:ascii="Times New Roman" w:hAnsi="Times New Roman" w:eastAsia="Symbol"/>
      <w:bCs/>
      <w:color w:val="000000"/>
      <w:sz w:val="28"/>
      <w:szCs w:val="20"/>
    </w:rPr>
  </w:style>
  <w:style w:type="paragraph" w:customStyle="1" w:styleId="1188">
    <w:name w:val="样式 标题 1标题 11一、标题 1 Char章 + Times New Roman 小三 非加粗 黑色 行距:..."/>
    <w:basedOn w:val="3"/>
    <w:qFormat/>
    <w:uiPriority w:val="0"/>
    <w:pPr>
      <w:keepLines/>
      <w:widowControl w:val="0"/>
      <w:overflowPunct/>
      <w:snapToGrid/>
      <w:spacing w:before="0" w:after="0" w:line="460" w:lineRule="exact"/>
      <w:ind w:left="0" w:firstLine="0"/>
      <w:jc w:val="both"/>
    </w:pPr>
    <w:rPr>
      <w:rFonts w:ascii="Times New Roman" w:hAnsi="Times New Roman" w:eastAsia="Symbol"/>
      <w:b w:val="0"/>
      <w:bCs w:val="0"/>
      <w:szCs w:val="20"/>
    </w:rPr>
  </w:style>
  <w:style w:type="paragraph" w:customStyle="1" w:styleId="1189">
    <w:name w:val="样式 标题 4标题 14H4 + 段前: 0.5 行 段后: 0.5 行 行距: 1.5 倍行距"/>
    <w:basedOn w:val="6"/>
    <w:qFormat/>
    <w:uiPriority w:val="0"/>
    <w:pPr>
      <w:overflowPunct w:val="0"/>
      <w:autoSpaceDE w:val="0"/>
      <w:autoSpaceDN w:val="0"/>
      <w:adjustRightInd w:val="0"/>
      <w:spacing w:before="156" w:beforeLines="50" w:after="156" w:afterLines="50" w:line="360" w:lineRule="auto"/>
      <w:ind w:firstLine="980" w:firstLineChars="200"/>
      <w:jc w:val="both"/>
      <w:textAlignment w:val="bottom"/>
    </w:pPr>
    <w:rPr>
      <w:rFonts w:ascii="Times New Roman" w:hAnsi="Times New Roman" w:eastAsia="宋体" w:cs="宋体"/>
      <w:b w:val="0"/>
      <w:bCs w:val="0"/>
      <w:sz w:val="24"/>
      <w:szCs w:val="20"/>
    </w:rPr>
  </w:style>
  <w:style w:type="paragraph" w:customStyle="1" w:styleId="1190">
    <w:name w:val="样式 样式 标题 3标题 13标题 3 Char1 Char Char Char标题 31ReHead 3 WSAh3B... ..."/>
    <w:basedOn w:val="1186"/>
    <w:qFormat/>
    <w:uiPriority w:val="0"/>
    <w:pPr>
      <w:spacing w:before="0" w:beforeLines="0" w:line="360" w:lineRule="auto"/>
    </w:pPr>
  </w:style>
  <w:style w:type="paragraph" w:customStyle="1" w:styleId="1191">
    <w:name w:val="样式 样式 标题 3标题 13标题 3 Char1 Char Char Char标题 31ReHead 3 WSAh3B... ...1"/>
    <w:basedOn w:val="1186"/>
    <w:qFormat/>
    <w:uiPriority w:val="0"/>
  </w:style>
  <w:style w:type="paragraph" w:customStyle="1" w:styleId="1192">
    <w:name w:val="样式 样式 标题 3标题 13标题 3 Char1 Char Char Char标题 31ReHead 3 WSAh3B... ...2"/>
    <w:basedOn w:val="1186"/>
    <w:qFormat/>
    <w:uiPriority w:val="0"/>
    <w:pPr>
      <w:spacing w:before="156" w:after="156"/>
    </w:pPr>
  </w:style>
  <w:style w:type="paragraph" w:customStyle="1" w:styleId="1193">
    <w:name w:val="样式 标题 2标题 21标题 121标题 2 Char1 Char节H2节标题 1.1节标题 1.1 Char...1"/>
    <w:basedOn w:val="4"/>
    <w:qFormat/>
    <w:uiPriority w:val="0"/>
    <w:pPr>
      <w:keepNext w:val="0"/>
      <w:keepLines w:val="0"/>
      <w:numPr>
        <w:ilvl w:val="0"/>
        <w:numId w:val="0"/>
      </w:numPr>
      <w:adjustRightInd w:val="0"/>
      <w:spacing w:before="156" w:after="156" w:line="460" w:lineRule="exact"/>
      <w:textAlignment w:val="baseline"/>
    </w:pPr>
    <w:rPr>
      <w:rFonts w:ascii="Symbol" w:hAnsi="Times New Roman" w:eastAsia="Symbol"/>
      <w:bCs/>
      <w:color w:val="000000"/>
      <w:sz w:val="28"/>
      <w:szCs w:val="20"/>
    </w:rPr>
  </w:style>
  <w:style w:type="character" w:customStyle="1" w:styleId="1194">
    <w:name w:val="text-blk1"/>
    <w:qFormat/>
    <w:uiPriority w:val="0"/>
    <w:rPr>
      <w:color w:val="000000"/>
      <w:sz w:val="18"/>
      <w:szCs w:val="18"/>
    </w:rPr>
  </w:style>
  <w:style w:type="paragraph" w:customStyle="1" w:styleId="1195">
    <w:name w:val="样式 样式 标题 2标题 21标题 121标题 2 Char1 Char节H2节标题 1.1节标题 1.1 Char... +"/>
    <w:basedOn w:val="1187"/>
    <w:qFormat/>
    <w:uiPriority w:val="0"/>
    <w:rPr>
      <w:kern w:val="2"/>
    </w:rPr>
  </w:style>
  <w:style w:type="paragraph" w:customStyle="1" w:styleId="1196">
    <w:name w:val="样式 样式 标题 1标题 11一、标题 1 Char章 + Times New Roman 小三 非加粗 黑色 行距:... +..."/>
    <w:basedOn w:val="1188"/>
    <w:qFormat/>
    <w:uiPriority w:val="0"/>
    <w:pPr>
      <w:spacing w:before="156" w:after="156"/>
    </w:pPr>
  </w:style>
  <w:style w:type="paragraph" w:customStyle="1" w:styleId="1197">
    <w:name w:val="样式 样式 标题 2标题 21标题 121标题 2 Char1 Char节H2节标题 1.1节标题 1.1 Char... + ..."/>
    <w:basedOn w:val="1187"/>
    <w:qFormat/>
    <w:uiPriority w:val="0"/>
    <w:pPr>
      <w:spacing w:before="156" w:after="156"/>
    </w:pPr>
  </w:style>
  <w:style w:type="paragraph" w:customStyle="1" w:styleId="1198">
    <w:name w:val="样式 标题 3 + 宋体 四号 段前: 0 磅 段后: 0 磅 行距: 单倍行距"/>
    <w:basedOn w:val="5"/>
    <w:qFormat/>
    <w:uiPriority w:val="0"/>
    <w:pPr>
      <w:widowControl w:val="0"/>
      <w:spacing w:before="0" w:after="0" w:line="240" w:lineRule="auto"/>
      <w:jc w:val="both"/>
    </w:pPr>
    <w:rPr>
      <w:rFonts w:ascii="Times New Roman" w:hAnsi="Times New Roman" w:cs="Times New Roman"/>
      <w:kern w:val="2"/>
      <w:sz w:val="28"/>
      <w:szCs w:val="28"/>
    </w:rPr>
  </w:style>
  <w:style w:type="character" w:customStyle="1" w:styleId="1199">
    <w:name w:val="表格 32 Char"/>
    <w:qFormat/>
    <w:uiPriority w:val="0"/>
    <w:rPr>
      <w:rFonts w:ascii="宋体" w:hAnsi="Symbol" w:eastAsia="宋体"/>
      <w:kern w:val="24"/>
      <w:sz w:val="24"/>
      <w:lang w:bidi="ar-SA"/>
    </w:rPr>
  </w:style>
  <w:style w:type="paragraph" w:customStyle="1" w:styleId="1200">
    <w:name w:val="样式 标题 4"/>
    <w:basedOn w:val="6"/>
    <w:next w:val="1"/>
    <w:qFormat/>
    <w:uiPriority w:val="0"/>
    <w:pPr>
      <w:widowControl w:val="0"/>
      <w:spacing w:before="120" w:after="0" w:line="360" w:lineRule="auto"/>
    </w:pPr>
    <w:rPr>
      <w:rFonts w:ascii="Times New Roman" w:hAnsi="Times New Roman" w:eastAsia="Symbol" w:cs="宋体"/>
      <w:kern w:val="2"/>
      <w:sz w:val="24"/>
      <w:szCs w:val="24"/>
    </w:rPr>
  </w:style>
  <w:style w:type="paragraph" w:customStyle="1" w:styleId="1201">
    <w:name w:val="xl62"/>
    <w:basedOn w:val="1"/>
    <w:qFormat/>
    <w:uiPriority w:val="0"/>
    <w:pPr>
      <w:pBdr>
        <w:bottom w:val="single" w:color="auto" w:sz="4" w:space="0"/>
      </w:pBdr>
      <w:spacing w:before="100" w:after="100"/>
      <w:jc w:val="center"/>
    </w:pPr>
    <w:rPr>
      <w:rFonts w:hint="eastAsia" w:cs="Times New Roman"/>
      <w:szCs w:val="20"/>
    </w:rPr>
  </w:style>
  <w:style w:type="paragraph" w:customStyle="1" w:styleId="1202">
    <w:name w:val="表格(小)"/>
    <w:basedOn w:val="145"/>
    <w:qFormat/>
    <w:uiPriority w:val="0"/>
    <w:pPr>
      <w:widowControl w:val="0"/>
      <w:adjustRightInd/>
      <w:spacing w:beforeLines="0" w:afterLines="0" w:line="240" w:lineRule="auto"/>
      <w:ind w:left="-140" w:leftChars="-50" w:right="-140" w:rightChars="-50"/>
    </w:pPr>
    <w:rPr>
      <w:rFonts w:cs="Times New Roman"/>
      <w:kern w:val="2"/>
      <w:sz w:val="15"/>
      <w:szCs w:val="30"/>
    </w:rPr>
  </w:style>
  <w:style w:type="paragraph" w:customStyle="1" w:styleId="1203">
    <w:name w:val="标3"/>
    <w:basedOn w:val="5"/>
    <w:next w:val="1"/>
    <w:qFormat/>
    <w:uiPriority w:val="0"/>
    <w:pPr>
      <w:widowControl w:val="0"/>
      <w:autoSpaceDE w:val="0"/>
      <w:autoSpaceDN w:val="0"/>
      <w:adjustRightInd w:val="0"/>
      <w:spacing w:before="120" w:beforeLines="50" w:after="0" w:line="360" w:lineRule="auto"/>
      <w:ind w:firstLine="560" w:firstLineChars="200"/>
      <w:jc w:val="both"/>
      <w:textAlignment w:val="baseline"/>
      <w:outlineLvl w:val="9"/>
    </w:pPr>
    <w:rPr>
      <w:rFonts w:ascii="Times New Roman" w:hAnsi="Times New Roman" w:eastAsia="Symbol" w:cs="Times New Roman"/>
      <w:b w:val="0"/>
      <w:bCs w:val="0"/>
      <w:sz w:val="28"/>
      <w:szCs w:val="20"/>
    </w:rPr>
  </w:style>
  <w:style w:type="paragraph" w:customStyle="1" w:styleId="1204">
    <w:name w:val="样1"/>
    <w:basedOn w:val="1"/>
    <w:qFormat/>
    <w:uiPriority w:val="0"/>
    <w:pPr>
      <w:widowControl w:val="0"/>
      <w:autoSpaceDE w:val="0"/>
      <w:autoSpaceDN w:val="0"/>
      <w:adjustRightInd w:val="0"/>
      <w:spacing w:line="360" w:lineRule="auto"/>
      <w:ind w:right="232"/>
      <w:jc w:val="center"/>
      <w:textAlignment w:val="bottom"/>
    </w:pPr>
    <w:rPr>
      <w:rFonts w:ascii="Times New Roman" w:hAnsi="Times New Roman" w:cs="Times New Roman"/>
      <w:szCs w:val="20"/>
    </w:rPr>
  </w:style>
  <w:style w:type="paragraph" w:customStyle="1" w:styleId="1205">
    <w:name w:val="样2"/>
    <w:basedOn w:val="1"/>
    <w:next w:val="1"/>
    <w:qFormat/>
    <w:uiPriority w:val="0"/>
    <w:pPr>
      <w:widowControl w:val="0"/>
      <w:autoSpaceDE w:val="0"/>
      <w:autoSpaceDN w:val="0"/>
      <w:adjustRightInd w:val="0"/>
      <w:snapToGrid w:val="0"/>
      <w:jc w:val="center"/>
      <w:textAlignment w:val="baseline"/>
    </w:pPr>
    <w:rPr>
      <w:rFonts w:ascii="Times New Roman" w:hAnsi="Times New Roman" w:cs="Times New Roman"/>
      <w:sz w:val="21"/>
      <w:szCs w:val="21"/>
    </w:rPr>
  </w:style>
  <w:style w:type="paragraph" w:customStyle="1" w:styleId="1206">
    <w:name w:val="标2"/>
    <w:basedOn w:val="4"/>
    <w:next w:val="1"/>
    <w:qFormat/>
    <w:uiPriority w:val="0"/>
    <w:pPr>
      <w:widowControl w:val="0"/>
      <w:numPr>
        <w:ilvl w:val="0"/>
        <w:numId w:val="0"/>
      </w:numPr>
      <w:autoSpaceDE w:val="0"/>
      <w:autoSpaceDN w:val="0"/>
      <w:adjustRightInd w:val="0"/>
      <w:spacing w:before="240" w:beforeLines="100" w:after="40" w:line="360" w:lineRule="auto"/>
      <w:ind w:firstLine="600" w:firstLineChars="200"/>
      <w:jc w:val="both"/>
      <w:textAlignment w:val="baseline"/>
      <w:outlineLvl w:val="9"/>
    </w:pPr>
    <w:rPr>
      <w:rFonts w:ascii="Times New Roman" w:hAnsi="Times New Roman" w:eastAsia="Symbol" w:cs="Times New Roman"/>
      <w:b w:val="0"/>
      <w:sz w:val="30"/>
      <w:szCs w:val="20"/>
    </w:rPr>
  </w:style>
  <w:style w:type="paragraph" w:customStyle="1" w:styleId="1207">
    <w:name w:val="xl60"/>
    <w:basedOn w:val="1"/>
    <w:qFormat/>
    <w:uiPriority w:val="0"/>
    <w:pPr>
      <w:pBdr>
        <w:left w:val="single" w:color="auto" w:sz="8" w:space="0"/>
        <w:bottom w:val="single" w:color="auto" w:sz="4" w:space="0"/>
        <w:right w:val="single" w:color="auto" w:sz="4" w:space="0"/>
      </w:pBdr>
      <w:spacing w:before="100" w:beforeAutospacing="1" w:after="100" w:afterAutospacing="1"/>
      <w:jc w:val="center"/>
    </w:pPr>
    <w:rPr>
      <w:rFonts w:hint="eastAsia"/>
    </w:rPr>
  </w:style>
  <w:style w:type="paragraph" w:customStyle="1" w:styleId="1208">
    <w:name w:val="表内式样"/>
    <w:qFormat/>
    <w:uiPriority w:val="0"/>
    <w:pPr>
      <w:widowControl w:val="0"/>
      <w:adjustRightInd w:val="0"/>
      <w:snapToGrid w:val="0"/>
      <w:spacing w:line="260" w:lineRule="atLeast"/>
      <w:jc w:val="center"/>
    </w:pPr>
    <w:rPr>
      <w:rFonts w:ascii="Times New Roman" w:hAnsi="Times New Roman" w:eastAsia="宋体" w:cs="Times New Roman"/>
      <w:snapToGrid w:val="0"/>
      <w:color w:val="000000"/>
      <w:sz w:val="24"/>
      <w:szCs w:val="24"/>
      <w:lang w:val="en-US" w:eastAsia="zh-CN" w:bidi="ar-SA"/>
    </w:rPr>
  </w:style>
  <w:style w:type="paragraph" w:customStyle="1" w:styleId="1209">
    <w:name w:val="表列"/>
    <w:basedOn w:val="1"/>
    <w:qFormat/>
    <w:uiPriority w:val="0"/>
    <w:pPr>
      <w:widowControl w:val="0"/>
      <w:adjustRightInd w:val="0"/>
      <w:spacing w:line="240" w:lineRule="atLeast"/>
      <w:jc w:val="both"/>
      <w:textAlignment w:val="baseline"/>
    </w:pPr>
    <w:rPr>
      <w:rFonts w:ascii="Times New Roman" w:hAnsi="Times New Roman" w:cs="Times New Roman"/>
      <w:kern w:val="2"/>
      <w:szCs w:val="20"/>
    </w:rPr>
  </w:style>
  <w:style w:type="character" w:customStyle="1" w:styleId="1210">
    <w:name w:val="table Char"/>
    <w:qFormat/>
    <w:uiPriority w:val="0"/>
    <w:rPr>
      <w:rFonts w:ascii="宋体" w:eastAsia="宋体"/>
      <w:color w:val="000000"/>
      <w:sz w:val="24"/>
      <w:lang w:val="en-US" w:eastAsia="zh-CN" w:bidi="ar-SA"/>
    </w:rPr>
  </w:style>
  <w:style w:type="paragraph" w:customStyle="1" w:styleId="1211">
    <w:name w:val="Losange 3"/>
    <w:basedOn w:val="1212"/>
    <w:qFormat/>
    <w:uiPriority w:val="0"/>
    <w:pPr>
      <w:tabs>
        <w:tab w:val="left" w:pos="360"/>
      </w:tabs>
      <w:ind w:left="360" w:hanging="360" w:hangingChars="200"/>
    </w:pPr>
  </w:style>
  <w:style w:type="paragraph" w:customStyle="1" w:styleId="1212">
    <w:name w:val="Losange 1"/>
    <w:basedOn w:val="1213"/>
    <w:qFormat/>
    <w:uiPriority w:val="0"/>
    <w:pPr>
      <w:ind w:left="1531" w:hanging="397"/>
    </w:pPr>
  </w:style>
  <w:style w:type="paragraph" w:customStyle="1" w:styleId="1213">
    <w:name w:val="Retrait 1"/>
    <w:basedOn w:val="1"/>
    <w:qFormat/>
    <w:uiPriority w:val="0"/>
    <w:pPr>
      <w:overflowPunct w:val="0"/>
      <w:autoSpaceDE w:val="0"/>
      <w:autoSpaceDN w:val="0"/>
      <w:adjustRightInd w:val="0"/>
      <w:spacing w:before="120"/>
      <w:ind w:left="851"/>
      <w:jc w:val="both"/>
      <w:textAlignment w:val="baseline"/>
    </w:pPr>
    <w:rPr>
      <w:rFonts w:ascii="Arial" w:hAnsi="Arial" w:cs="Times New Roman"/>
      <w:color w:val="000000"/>
      <w:sz w:val="22"/>
      <w:lang w:val="en-GB"/>
    </w:rPr>
  </w:style>
  <w:style w:type="paragraph" w:customStyle="1" w:styleId="1214">
    <w:name w:val="样式 首行缩进:  1.01 厘米"/>
    <w:basedOn w:val="1"/>
    <w:qFormat/>
    <w:uiPriority w:val="0"/>
    <w:pPr>
      <w:widowControl w:val="0"/>
      <w:spacing w:line="460" w:lineRule="exact"/>
      <w:ind w:firstLine="480" w:firstLineChars="200"/>
      <w:jc w:val="both"/>
    </w:pPr>
    <w:rPr>
      <w:rFonts w:ascii="Times New Roman" w:hAnsi="Times New Roman" w:cs="Times New Roman"/>
      <w:color w:val="000000"/>
      <w:kern w:val="2"/>
    </w:rPr>
  </w:style>
  <w:style w:type="paragraph" w:customStyle="1" w:styleId="1215">
    <w:name w:val="样式 正文缩进正文缩进 Char首行缩进两字s4文本条款 + 宋体"/>
    <w:basedOn w:val="21"/>
    <w:qFormat/>
    <w:uiPriority w:val="0"/>
    <w:pPr>
      <w:widowControl w:val="0"/>
      <w:adjustRightInd w:val="0"/>
      <w:snapToGrid w:val="0"/>
      <w:spacing w:before="50" w:beforeLines="50" w:after="50" w:afterLines="50" w:line="360" w:lineRule="auto"/>
      <w:ind w:left="0"/>
      <w:jc w:val="both"/>
    </w:pPr>
    <w:rPr>
      <w:rFonts w:cs="Times New Roman"/>
      <w:kern w:val="2"/>
      <w:sz w:val="24"/>
    </w:rPr>
  </w:style>
  <w:style w:type="character" w:customStyle="1" w:styleId="1216">
    <w:name w:val="bodyfont1"/>
    <w:qFormat/>
    <w:uiPriority w:val="0"/>
    <w:rPr>
      <w:sz w:val="17"/>
      <w:szCs w:val="17"/>
    </w:rPr>
  </w:style>
  <w:style w:type="paragraph" w:customStyle="1" w:styleId="1217">
    <w:name w:val="Char Char Char1 Char Char Char Char Char Char Char"/>
    <w:basedOn w:val="1"/>
    <w:qFormat/>
    <w:uiPriority w:val="0"/>
    <w:pPr>
      <w:adjustRightInd w:val="0"/>
      <w:spacing w:after="160" w:line="240" w:lineRule="exact"/>
      <w:textAlignment w:val="baseline"/>
    </w:pPr>
    <w:rPr>
      <w:rFonts w:ascii="Cambria Math" w:hAnsi="Cambria Math" w:cs="Times New Roman"/>
      <w:sz w:val="20"/>
      <w:szCs w:val="20"/>
      <w:lang w:eastAsia="en-US"/>
    </w:rPr>
  </w:style>
  <w:style w:type="character" w:customStyle="1" w:styleId="1218">
    <w:name w:val="style171"/>
    <w:qFormat/>
    <w:uiPriority w:val="0"/>
    <w:rPr>
      <w:color w:val="333333"/>
    </w:rPr>
  </w:style>
  <w:style w:type="paragraph" w:customStyle="1" w:styleId="1219">
    <w:name w:val="Char2 Char Char Char Char Char Char Char Char"/>
    <w:basedOn w:val="1"/>
    <w:qFormat/>
    <w:uiPriority w:val="0"/>
    <w:pPr>
      <w:widowControl w:val="0"/>
      <w:spacing w:line="360" w:lineRule="auto"/>
      <w:ind w:firstLine="200" w:firstLineChars="200"/>
      <w:jc w:val="both"/>
    </w:pPr>
    <w:rPr>
      <w:kern w:val="2"/>
    </w:rPr>
  </w:style>
  <w:style w:type="paragraph" w:customStyle="1" w:styleId="1220">
    <w:name w:val="文本正文"/>
    <w:basedOn w:val="1"/>
    <w:link w:val="1221"/>
    <w:qFormat/>
    <w:uiPriority w:val="0"/>
    <w:pPr>
      <w:widowControl w:val="0"/>
      <w:snapToGrid w:val="0"/>
      <w:spacing w:line="360" w:lineRule="auto"/>
      <w:ind w:firstLine="510"/>
    </w:pPr>
    <w:rPr>
      <w:rFonts w:hAnsi="Times New Roman" w:cs="Times New Roman"/>
      <w:spacing w:val="4"/>
      <w:kern w:val="24"/>
      <w:lang w:val="zh-CN"/>
    </w:rPr>
  </w:style>
  <w:style w:type="character" w:customStyle="1" w:styleId="1221">
    <w:name w:val="文本正文 Char"/>
    <w:link w:val="1220"/>
    <w:qFormat/>
    <w:uiPriority w:val="0"/>
    <w:rPr>
      <w:rFonts w:ascii="宋体"/>
      <w:spacing w:val="4"/>
      <w:kern w:val="24"/>
      <w:sz w:val="24"/>
      <w:szCs w:val="24"/>
      <w:lang w:val="zh-CN"/>
    </w:rPr>
  </w:style>
  <w:style w:type="character" w:customStyle="1" w:styleId="1222">
    <w:name w:val="z11"/>
    <w:qFormat/>
    <w:uiPriority w:val="0"/>
    <w:rPr>
      <w:rFonts w:hint="default" w:ascii="minorBidi" w:hAnsi="minorBidi"/>
      <w:b/>
      <w:bCs/>
      <w:color w:val="0000FF"/>
      <w:sz w:val="20"/>
      <w:szCs w:val="20"/>
    </w:rPr>
  </w:style>
  <w:style w:type="paragraph" w:customStyle="1" w:styleId="1223">
    <w:name w:val="0"/>
    <w:basedOn w:val="1"/>
    <w:qFormat/>
    <w:uiPriority w:val="0"/>
    <w:pPr>
      <w:snapToGrid w:val="0"/>
      <w:jc w:val="both"/>
    </w:pPr>
    <w:rPr>
      <w:rFonts w:ascii="Times New Roman" w:hAnsi="Times New Roman" w:cs="Times New Roman"/>
      <w:sz w:val="21"/>
      <w:szCs w:val="21"/>
    </w:rPr>
  </w:style>
  <w:style w:type="paragraph" w:customStyle="1" w:styleId="1224">
    <w:name w:val="样式32"/>
    <w:basedOn w:val="1"/>
    <w:qFormat/>
    <w:uiPriority w:val="0"/>
    <w:pPr>
      <w:keepNext/>
      <w:keepLines/>
      <w:widowControl w:val="0"/>
      <w:tabs>
        <w:tab w:val="left" w:pos="360"/>
        <w:tab w:val="left" w:pos="540"/>
      </w:tabs>
      <w:spacing w:before="156" w:beforeLines="50" w:after="156" w:afterLines="50" w:line="360" w:lineRule="auto"/>
      <w:ind w:left="1107" w:hanging="1107"/>
      <w:jc w:val="both"/>
      <w:outlineLvl w:val="1"/>
    </w:pPr>
    <w:rPr>
      <w:rFonts w:ascii="Times New Roman" w:hAnsi="Times New Roman" w:eastAsia="Symbol" w:cs="Times New Roman"/>
      <w:kern w:val="2"/>
      <w:sz w:val="28"/>
      <w:szCs w:val="28"/>
    </w:rPr>
  </w:style>
  <w:style w:type="paragraph" w:customStyle="1" w:styleId="1225">
    <w:name w:val="样式34"/>
    <w:basedOn w:val="265"/>
    <w:qFormat/>
    <w:uiPriority w:val="0"/>
    <w:pPr>
      <w:keepNext/>
      <w:keepLines/>
      <w:tabs>
        <w:tab w:val="left" w:pos="360"/>
        <w:tab w:val="left" w:pos="540"/>
        <w:tab w:val="left" w:pos="720"/>
        <w:tab w:val="left" w:pos="1440"/>
      </w:tabs>
      <w:overflowPunct/>
      <w:autoSpaceDE/>
      <w:autoSpaceDN/>
      <w:adjustRightInd/>
      <w:spacing w:before="120" w:beforeLines="50" w:after="120" w:afterLines="50"/>
      <w:ind w:left="1287" w:hanging="1287"/>
      <w:textAlignment w:val="auto"/>
      <w:outlineLvl w:val="2"/>
    </w:pPr>
    <w:rPr>
      <w:rFonts w:eastAsia="Symbol"/>
      <w:szCs w:val="32"/>
    </w:rPr>
  </w:style>
  <w:style w:type="paragraph" w:customStyle="1" w:styleId="1226">
    <w:name w:val="湛江沥青正文"/>
    <w:basedOn w:val="1"/>
    <w:qFormat/>
    <w:uiPriority w:val="0"/>
    <w:pPr>
      <w:widowControl w:val="0"/>
      <w:spacing w:line="360" w:lineRule="auto"/>
      <w:ind w:firstLine="480" w:firstLineChars="200"/>
      <w:jc w:val="both"/>
    </w:pPr>
    <w:rPr>
      <w:rFonts w:cs="Times New Roman"/>
      <w:kern w:val="2"/>
    </w:rPr>
  </w:style>
  <w:style w:type="paragraph" w:customStyle="1" w:styleId="1227">
    <w:name w:val="表标题2"/>
    <w:basedOn w:val="1"/>
    <w:next w:val="1"/>
    <w:qFormat/>
    <w:uiPriority w:val="0"/>
    <w:pPr>
      <w:widowControl w:val="0"/>
      <w:spacing w:before="120" w:after="120" w:line="300" w:lineRule="auto"/>
      <w:jc w:val="center"/>
    </w:pPr>
    <w:rPr>
      <w:rFonts w:ascii="Times New Roman" w:hAnsi="Times New Roman" w:cs="Times New Roman"/>
      <w:kern w:val="2"/>
      <w:sz w:val="21"/>
      <w:szCs w:val="20"/>
    </w:rPr>
  </w:style>
  <w:style w:type="paragraph" w:customStyle="1" w:styleId="1228">
    <w:name w:val="03节"/>
    <w:basedOn w:val="1"/>
    <w:next w:val="34"/>
    <w:qFormat/>
    <w:uiPriority w:val="0"/>
    <w:pPr>
      <w:widowControl w:val="0"/>
      <w:tabs>
        <w:tab w:val="left" w:pos="360"/>
        <w:tab w:val="left" w:pos="480"/>
      </w:tabs>
      <w:spacing w:before="240" w:after="240" w:line="560" w:lineRule="atLeast"/>
      <w:ind w:hanging="1320"/>
      <w:outlineLvl w:val="0"/>
    </w:pPr>
    <w:rPr>
      <w:rFonts w:ascii="Arial" w:hAnsi="Times New Roman" w:eastAsia="Arial" w:cs="Times New Roman"/>
      <w:b/>
      <w:kern w:val="2"/>
      <w:szCs w:val="20"/>
    </w:rPr>
  </w:style>
  <w:style w:type="paragraph" w:customStyle="1" w:styleId="1229">
    <w:name w:val="09点"/>
    <w:basedOn w:val="1"/>
    <w:qFormat/>
    <w:uiPriority w:val="0"/>
    <w:pPr>
      <w:widowControl w:val="0"/>
      <w:tabs>
        <w:tab w:val="left" w:pos="870"/>
      </w:tabs>
      <w:autoSpaceDE w:val="0"/>
      <w:autoSpaceDN w:val="0"/>
      <w:adjustRightInd w:val="0"/>
      <w:spacing w:before="60" w:after="60" w:line="288" w:lineRule="auto"/>
      <w:jc w:val="both"/>
    </w:pPr>
    <w:rPr>
      <w:rFonts w:hAnsi="Times New Roman" w:cs="Times New Roman"/>
      <w:kern w:val="2"/>
      <w:szCs w:val="20"/>
    </w:rPr>
  </w:style>
  <w:style w:type="paragraph" w:customStyle="1" w:styleId="1230">
    <w:name w:val="湛江沥青表"/>
    <w:basedOn w:val="1"/>
    <w:qFormat/>
    <w:uiPriority w:val="0"/>
    <w:pPr>
      <w:widowControl w:val="0"/>
      <w:autoSpaceDE w:val="0"/>
      <w:autoSpaceDN w:val="0"/>
      <w:adjustRightInd w:val="0"/>
      <w:snapToGrid w:val="0"/>
      <w:jc w:val="right"/>
    </w:pPr>
    <w:rPr>
      <w:rFonts w:ascii="Times New Roman" w:hAnsi="Times New Roman" w:cs="Times New Roman"/>
      <w:kern w:val="2"/>
      <w:sz w:val="21"/>
      <w:szCs w:val="21"/>
    </w:rPr>
  </w:style>
  <w:style w:type="paragraph" w:customStyle="1" w:styleId="1231">
    <w:name w:val="钢铁表"/>
    <w:basedOn w:val="1"/>
    <w:qFormat/>
    <w:uiPriority w:val="0"/>
    <w:pPr>
      <w:widowControl w:val="0"/>
      <w:adjustRightInd w:val="0"/>
      <w:snapToGrid w:val="0"/>
      <w:jc w:val="both"/>
    </w:pPr>
    <w:rPr>
      <w:rFonts w:ascii="Times New Roman" w:hAnsi="Times New Roman" w:cs="Times New Roman"/>
      <w:snapToGrid w:val="0"/>
      <w:kern w:val="2"/>
      <w:sz w:val="21"/>
    </w:rPr>
  </w:style>
  <w:style w:type="paragraph" w:customStyle="1" w:styleId="1232">
    <w:name w:val="编号正文"/>
    <w:basedOn w:val="21"/>
    <w:qFormat/>
    <w:uiPriority w:val="0"/>
    <w:pPr>
      <w:widowControl w:val="0"/>
      <w:spacing w:line="360" w:lineRule="auto"/>
      <w:ind w:left="0" w:firstLine="480" w:firstLineChars="200"/>
      <w:jc w:val="both"/>
    </w:pPr>
    <w:rPr>
      <w:rFonts w:ascii="Times New Roman" w:hAnsi="Times New Roman" w:cs="Times New Roman"/>
      <w:color w:val="000000"/>
      <w:kern w:val="2"/>
      <w:sz w:val="24"/>
      <w:szCs w:val="24"/>
    </w:rPr>
  </w:style>
  <w:style w:type="character" w:customStyle="1" w:styleId="1233">
    <w:name w:val="标题 3 Char Char Char Char Char Char Char Char Char Char Char Char Char Char Char Char"/>
    <w:qFormat/>
    <w:uiPriority w:val="0"/>
    <w:rPr>
      <w:rFonts w:ascii="宋体" w:hAnsi="宋体" w:eastAsia="宋体"/>
      <w:szCs w:val="32"/>
    </w:rPr>
  </w:style>
  <w:style w:type="paragraph" w:customStyle="1" w:styleId="1234">
    <w:name w:val="样式 四号 居中"/>
    <w:basedOn w:val="1"/>
    <w:qFormat/>
    <w:uiPriority w:val="0"/>
    <w:pPr>
      <w:widowControl w:val="0"/>
      <w:spacing w:line="240" w:lineRule="atLeast"/>
      <w:ind w:firstLine="198"/>
      <w:jc w:val="center"/>
    </w:pPr>
    <w:rPr>
      <w:rFonts w:hAnsi="Times New Roman" w:cs="Times New Roman"/>
      <w:kern w:val="2"/>
      <w:sz w:val="21"/>
    </w:rPr>
  </w:style>
  <w:style w:type="paragraph" w:customStyle="1" w:styleId="1235">
    <w:name w:val="表第一列"/>
    <w:basedOn w:val="86"/>
    <w:qFormat/>
    <w:uiPriority w:val="0"/>
    <w:pPr>
      <w:keepNext/>
      <w:keepLines/>
      <w:widowControl w:val="0"/>
      <w:tabs>
        <w:tab w:val="left" w:pos="1727"/>
        <w:tab w:val="left" w:pos="1884"/>
        <w:tab w:val="left" w:pos="2940"/>
      </w:tabs>
      <w:adjustRightInd w:val="0"/>
      <w:spacing w:line="0" w:lineRule="atLeast"/>
      <w:ind w:firstLine="0" w:firstLineChars="0"/>
      <w:jc w:val="center"/>
    </w:pPr>
    <w:rPr>
      <w:rFonts w:cs="Times New Roman"/>
      <w:color w:val="000000"/>
      <w:spacing w:val="-4"/>
      <w:kern w:val="2"/>
      <w:sz w:val="21"/>
    </w:rPr>
  </w:style>
  <w:style w:type="paragraph" w:customStyle="1" w:styleId="1236">
    <w:name w:val="xl1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int="eastAsia"/>
    </w:rPr>
  </w:style>
  <w:style w:type="paragraph" w:customStyle="1" w:styleId="1237">
    <w:name w:val="xl2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int="eastAsia"/>
    </w:rPr>
  </w:style>
  <w:style w:type="paragraph" w:customStyle="1" w:styleId="1238">
    <w:name w:val="xl21"/>
    <w:basedOn w:val="1"/>
    <w:qFormat/>
    <w:uiPriority w:val="0"/>
    <w:pPr>
      <w:spacing w:before="100" w:beforeAutospacing="1" w:after="100" w:afterAutospacing="1"/>
      <w:jc w:val="center"/>
    </w:pPr>
    <w:rPr>
      <w:rFonts w:hint="eastAsia"/>
    </w:rPr>
  </w:style>
  <w:style w:type="paragraph" w:customStyle="1" w:styleId="1239">
    <w:name w:val="sw_one"/>
    <w:basedOn w:val="1"/>
    <w:qFormat/>
    <w:uiPriority w:val="0"/>
    <w:pPr>
      <w:spacing w:before="100" w:beforeAutospacing="1" w:after="100" w:afterAutospacing="1"/>
      <w:ind w:firstLine="573"/>
    </w:pPr>
    <w:rPr>
      <w:rFonts w:cs="Times New Roman"/>
      <w:color w:val="CE3702"/>
      <w:szCs w:val="28"/>
    </w:rPr>
  </w:style>
  <w:style w:type="paragraph" w:customStyle="1" w:styleId="1240">
    <w:name w:val="油库表"/>
    <w:basedOn w:val="145"/>
    <w:qFormat/>
    <w:uiPriority w:val="0"/>
    <w:pPr>
      <w:widowControl w:val="0"/>
      <w:snapToGrid/>
      <w:spacing w:before="25" w:beforeLines="25" w:after="25" w:afterLines="25" w:line="240" w:lineRule="auto"/>
      <w:textAlignment w:val="baseline"/>
    </w:pPr>
    <w:rPr>
      <w:rFonts w:ascii="Times New Roman" w:hAnsi="Times New Roman" w:cs="Times New Roman"/>
      <w:spacing w:val="10"/>
    </w:rPr>
  </w:style>
  <w:style w:type="paragraph" w:customStyle="1" w:styleId="1241">
    <w:name w:val="段落"/>
    <w:basedOn w:val="1"/>
    <w:link w:val="1242"/>
    <w:qFormat/>
    <w:uiPriority w:val="0"/>
    <w:pPr>
      <w:widowControl w:val="0"/>
      <w:adjustRightInd w:val="0"/>
      <w:spacing w:after="25" w:afterLines="25"/>
      <w:ind w:firstLine="510" w:firstLineChars="200"/>
      <w:textAlignment w:val="baseline"/>
    </w:pPr>
    <w:rPr>
      <w:rFonts w:ascii="Times New Roman" w:hAnsi="Times New Roman" w:eastAsia="Arial" w:cs="Times New Roman"/>
      <w:sz w:val="28"/>
      <w:szCs w:val="20"/>
    </w:rPr>
  </w:style>
  <w:style w:type="character" w:customStyle="1" w:styleId="1242">
    <w:name w:val="段落 Char"/>
    <w:link w:val="1241"/>
    <w:qFormat/>
    <w:uiPriority w:val="0"/>
    <w:rPr>
      <w:rFonts w:eastAsia="Arial"/>
      <w:sz w:val="28"/>
    </w:rPr>
  </w:style>
  <w:style w:type="paragraph" w:customStyle="1" w:styleId="1243">
    <w:name w:val="...... 2"/>
    <w:basedOn w:val="137"/>
    <w:next w:val="137"/>
    <w:qFormat/>
    <w:uiPriority w:val="0"/>
    <w:pPr>
      <w:widowControl w:val="0"/>
    </w:pPr>
    <w:rPr>
      <w:rFonts w:hint="default" w:hAnsi="Times New Roman" w:cs="Times New Roman"/>
      <w:color w:val="auto"/>
      <w:sz w:val="20"/>
      <w:szCs w:val="24"/>
    </w:rPr>
  </w:style>
  <w:style w:type="paragraph" w:customStyle="1" w:styleId="1244">
    <w:name w:val="- 页码 -"/>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45">
    <w:name w:val="自动更正"/>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46">
    <w:name w:val="上次保存者"/>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47">
    <w:name w:val="上次打印时间"/>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48">
    <w:name w:val="临书仓促，不尽欲言。"/>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49">
    <w:name w:val="主题:"/>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0">
    <w:name w:val="久不通函，至以为念。"/>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1">
    <w:name w:val="作者"/>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2">
    <w:name w:val="作者、页码、日期"/>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3">
    <w:name w:val="先生/女士："/>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4">
    <w:name w:val="关于:"/>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5">
    <w:name w:val="分手多日，近况如何？"/>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6">
    <w:name w:val="刘晓腾"/>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7">
    <w:name w:val="创建日期"/>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8">
    <w:name w:val="前上一函，谅达雅鉴，迄今未闻复音。"/>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59">
    <w:name w:val="匆此先复，余容后禀。"/>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0">
    <w:name w:val="参考:"/>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1">
    <w:name w:val="叩请金安！"/>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2">
    <w:name w:val="奉恳之事，乞速复为荷。"/>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3">
    <w:name w:val="奉读大示，心折殊深。"/>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4">
    <w:name w:val="尊意如何，请即示知。"/>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5">
    <w:name w:val="惠书敬悉，迟复为歉。"/>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6">
    <w:name w:val="敬启者："/>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7">
    <w:name w:val="文件名"/>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8">
    <w:name w:val="文件名和路径"/>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69">
    <w:name w:val="机密、页码、日期"/>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0">
    <w:name w:val="知尊恙复发，心甚念之。"/>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1">
    <w:name w:val="第 X 页 共 Y 页"/>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2">
    <w:name w:val="答复:"/>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3">
    <w:name w:val="纸短情长，再祈珍重！"/>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4">
    <w:name w:val="请勿折叠！"/>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5">
    <w:name w:val="近来寒暑不常，希自珍慰。"/>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6">
    <w:name w:val="音问久疏，唯愿一切康适。"/>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7">
    <w:name w:val="顺颂商祺！"/>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278">
    <w:name w:val="input"/>
    <w:basedOn w:val="1"/>
    <w:qFormat/>
    <w:uiPriority w:val="0"/>
    <w:pPr>
      <w:pBdr>
        <w:top w:val="single" w:color="EFEFEF" w:sz="6" w:space="0"/>
        <w:left w:val="single" w:color="EFEFEF" w:sz="6" w:space="0"/>
      </w:pBdr>
      <w:shd w:val="clear" w:color="auto" w:fill="FFFFFF"/>
      <w:spacing w:before="100" w:beforeAutospacing="1" w:after="100" w:afterAutospacing="1"/>
    </w:pPr>
    <w:rPr>
      <w:color w:val="999999"/>
      <w:sz w:val="18"/>
      <w:szCs w:val="18"/>
    </w:rPr>
  </w:style>
  <w:style w:type="paragraph" w:customStyle="1" w:styleId="1279">
    <w:name w:val="inputaa"/>
    <w:basedOn w:val="1"/>
    <w:qFormat/>
    <w:uiPriority w:val="0"/>
    <w:pPr>
      <w:pBdr>
        <w:top w:val="threeDEmboss" w:color="FFFFFF" w:sz="6" w:space="0"/>
        <w:left w:val="threeDEmboss" w:color="FFFFFF" w:sz="6" w:space="0"/>
        <w:bottom w:val="threeDEmboss" w:color="auto" w:sz="6" w:space="0"/>
        <w:right w:val="threeDEmboss" w:color="auto" w:sz="6" w:space="0"/>
      </w:pBdr>
      <w:shd w:val="clear" w:color="auto" w:fill="CCCCCC"/>
      <w:spacing w:before="100" w:beforeAutospacing="1" w:after="100" w:afterAutospacing="1"/>
    </w:pPr>
    <w:rPr>
      <w:rFonts w:ascii="Arial" w:hAnsi="Arial"/>
      <w:sz w:val="18"/>
      <w:szCs w:val="18"/>
    </w:rPr>
  </w:style>
  <w:style w:type="paragraph" w:customStyle="1" w:styleId="1280">
    <w:name w:val="out"/>
    <w:basedOn w:val="1"/>
    <w:qFormat/>
    <w:uiPriority w:val="0"/>
    <w:pPr>
      <w:pBdr>
        <w:top w:val="single" w:color="EFEFEF" w:sz="6" w:space="0"/>
        <w:left w:val="single" w:color="EFEFEF" w:sz="6" w:space="0"/>
      </w:pBdr>
      <w:shd w:val="clear" w:color="auto" w:fill="FFFFFF"/>
      <w:spacing w:before="100" w:beforeAutospacing="1" w:after="100" w:afterAutospacing="1"/>
    </w:pPr>
    <w:rPr>
      <w:color w:val="000000"/>
      <w:sz w:val="18"/>
      <w:szCs w:val="18"/>
    </w:rPr>
  </w:style>
  <w:style w:type="paragraph" w:customStyle="1" w:styleId="1281">
    <w:name w:val="over"/>
    <w:basedOn w:val="1"/>
    <w:qFormat/>
    <w:uiPriority w:val="0"/>
    <w:pPr>
      <w:pBdr>
        <w:top w:val="single" w:color="EFEFEF" w:sz="6" w:space="0"/>
        <w:left w:val="single" w:color="EFEFEF" w:sz="6" w:space="0"/>
      </w:pBdr>
      <w:shd w:val="clear" w:color="auto" w:fill="EFEFEF"/>
      <w:spacing w:before="100" w:beforeAutospacing="1" w:after="100" w:afterAutospacing="1"/>
    </w:pPr>
    <w:rPr>
      <w:color w:val="000000"/>
      <w:sz w:val="18"/>
      <w:szCs w:val="18"/>
    </w:rPr>
  </w:style>
  <w:style w:type="paragraph" w:customStyle="1" w:styleId="1282">
    <w:name w:val="td"/>
    <w:basedOn w:val="1"/>
    <w:qFormat/>
    <w:uiPriority w:val="0"/>
    <w:pPr>
      <w:spacing w:before="100" w:beforeAutospacing="1" w:after="100" w:afterAutospacing="1" w:line="360" w:lineRule="auto"/>
    </w:pPr>
    <w:rPr>
      <w:rFonts w:ascii="Arial" w:hAnsi="Arial"/>
      <w:sz w:val="18"/>
      <w:szCs w:val="18"/>
    </w:rPr>
  </w:style>
  <w:style w:type="paragraph" w:customStyle="1" w:styleId="1283">
    <w:name w:val="tdh"/>
    <w:basedOn w:val="1"/>
    <w:qFormat/>
    <w:uiPriority w:val="0"/>
    <w:pPr>
      <w:spacing w:before="100" w:beforeAutospacing="1" w:after="100" w:afterAutospacing="1" w:line="360" w:lineRule="auto"/>
    </w:pPr>
    <w:rPr>
      <w:rFonts w:ascii="Arial" w:hAnsi="Arial"/>
      <w:spacing w:val="30"/>
      <w:sz w:val="18"/>
      <w:szCs w:val="18"/>
    </w:rPr>
  </w:style>
  <w:style w:type="paragraph" w:customStyle="1" w:styleId="1284">
    <w:name w:val="tnone"/>
    <w:basedOn w:val="1"/>
    <w:qFormat/>
    <w:uiPriority w:val="0"/>
    <w:pPr>
      <w:spacing w:before="100" w:beforeAutospacing="1" w:after="100" w:afterAutospacing="1"/>
    </w:pPr>
  </w:style>
  <w:style w:type="paragraph" w:customStyle="1" w:styleId="1285">
    <w:name w:val="tover"/>
    <w:basedOn w:val="1"/>
    <w:qFormat/>
    <w:uiPriority w:val="0"/>
    <w:pPr>
      <w:shd w:val="clear" w:color="auto" w:fill="EFEFEF"/>
      <w:spacing w:before="100" w:beforeAutospacing="1" w:after="100" w:afterAutospacing="1"/>
    </w:pPr>
  </w:style>
  <w:style w:type="paragraph" w:customStyle="1" w:styleId="1286">
    <w:name w:val="tout"/>
    <w:basedOn w:val="1"/>
    <w:qFormat/>
    <w:uiPriority w:val="0"/>
    <w:pPr>
      <w:shd w:val="clear" w:color="auto" w:fill="FFFFFF"/>
      <w:spacing w:before="100" w:beforeAutospacing="1" w:after="100" w:afterAutospacing="1"/>
    </w:pPr>
  </w:style>
  <w:style w:type="paragraph" w:customStyle="1" w:styleId="1287">
    <w:name w:val="pad"/>
    <w:basedOn w:val="1"/>
    <w:qFormat/>
    <w:uiPriority w:val="0"/>
    <w:pPr>
      <w:spacing w:before="100" w:beforeAutospacing="1" w:after="100" w:afterAutospacing="1"/>
    </w:pPr>
  </w:style>
  <w:style w:type="paragraph" w:customStyle="1" w:styleId="1288">
    <w:name w:val="textfield"/>
    <w:basedOn w:val="1"/>
    <w:qFormat/>
    <w:uiPriority w:val="0"/>
    <w:pPr>
      <w:pBdr>
        <w:top w:val="single" w:color="000000" w:sz="6" w:space="0"/>
        <w:left w:val="single" w:color="000000" w:sz="6" w:space="0"/>
        <w:bottom w:val="single" w:color="000000" w:sz="6" w:space="0"/>
        <w:right w:val="single" w:color="000000" w:sz="6" w:space="0"/>
      </w:pBdr>
      <w:shd w:val="clear" w:color="auto" w:fill="FFFFFF"/>
      <w:spacing w:before="100" w:beforeAutospacing="1" w:after="100" w:afterAutospacing="1"/>
    </w:pPr>
    <w:rPr>
      <w:rFonts w:ascii="Arial" w:hAnsi="Arial"/>
      <w:color w:val="00152B"/>
      <w:sz w:val="18"/>
      <w:szCs w:val="18"/>
    </w:rPr>
  </w:style>
  <w:style w:type="paragraph" w:customStyle="1" w:styleId="1289">
    <w:name w:val="hangju1"/>
    <w:basedOn w:val="1"/>
    <w:qFormat/>
    <w:uiPriority w:val="0"/>
    <w:pPr>
      <w:spacing w:before="100" w:beforeAutospacing="1" w:after="100" w:afterAutospacing="1" w:line="255" w:lineRule="atLeast"/>
    </w:pPr>
  </w:style>
  <w:style w:type="paragraph" w:customStyle="1" w:styleId="1290">
    <w:name w:val="瑞丰表"/>
    <w:basedOn w:val="597"/>
    <w:qFormat/>
    <w:uiPriority w:val="0"/>
  </w:style>
  <w:style w:type="character" w:customStyle="1" w:styleId="1291">
    <w:name w:val="wenzi"/>
    <w:qFormat/>
    <w:uiPriority w:val="0"/>
  </w:style>
  <w:style w:type="paragraph" w:customStyle="1" w:styleId="1292">
    <w:name w:val="广西表"/>
    <w:basedOn w:val="529"/>
    <w:qFormat/>
    <w:uiPriority w:val="0"/>
    <w:pPr>
      <w:tabs>
        <w:tab w:val="left" w:pos="900"/>
      </w:tabs>
      <w:spacing w:line="240" w:lineRule="auto"/>
      <w:ind w:firstLine="0" w:firstLineChars="0"/>
      <w:jc w:val="center"/>
    </w:pPr>
    <w:rPr>
      <w:rFonts w:hAnsi="Times New Roman"/>
      <w:bCs/>
      <w:color w:val="auto"/>
      <w:sz w:val="21"/>
      <w:szCs w:val="24"/>
      <w:lang w:val="sq-AL"/>
    </w:rPr>
  </w:style>
  <w:style w:type="paragraph" w:customStyle="1" w:styleId="1293">
    <w:name w:val="表题注"/>
    <w:basedOn w:val="939"/>
    <w:qFormat/>
    <w:uiPriority w:val="0"/>
    <w:pPr>
      <w:spacing w:before="93" w:beforeLines="30"/>
    </w:pPr>
    <w:rPr>
      <w:rFonts w:cs="宋体"/>
      <w:b/>
      <w:color w:val="FF0000"/>
      <w:sz w:val="24"/>
      <w:szCs w:val="24"/>
    </w:rPr>
  </w:style>
  <w:style w:type="paragraph" w:customStyle="1" w:styleId="1294">
    <w:name w:val="表标头"/>
    <w:basedOn w:val="1"/>
    <w:link w:val="1295"/>
    <w:qFormat/>
    <w:uiPriority w:val="0"/>
    <w:pPr>
      <w:widowControl w:val="0"/>
      <w:spacing w:before="60" w:after="60" w:line="240" w:lineRule="atLeast"/>
      <w:jc w:val="center"/>
    </w:pPr>
    <w:rPr>
      <w:rFonts w:ascii="Times New Roman" w:hAnsi="Times New Roman" w:cs="Times New Roman"/>
      <w:b/>
      <w:bCs/>
      <w:kern w:val="2"/>
    </w:rPr>
  </w:style>
  <w:style w:type="character" w:customStyle="1" w:styleId="1295">
    <w:name w:val="表标头 Char"/>
    <w:link w:val="1294"/>
    <w:qFormat/>
    <w:uiPriority w:val="0"/>
    <w:rPr>
      <w:b/>
      <w:bCs/>
      <w:kern w:val="2"/>
      <w:sz w:val="24"/>
      <w:szCs w:val="24"/>
    </w:rPr>
  </w:style>
  <w:style w:type="paragraph" w:customStyle="1" w:styleId="1296">
    <w:name w:val="样式31"/>
    <w:basedOn w:val="1"/>
    <w:qFormat/>
    <w:uiPriority w:val="0"/>
    <w:pPr>
      <w:widowControl w:val="0"/>
      <w:adjustRightInd w:val="0"/>
      <w:snapToGrid w:val="0"/>
      <w:spacing w:line="360" w:lineRule="auto"/>
      <w:ind w:firstLine="1661" w:firstLineChars="788"/>
      <w:jc w:val="both"/>
    </w:pPr>
    <w:rPr>
      <w:rFonts w:ascii="Times New Roman" w:cs="Times New Roman"/>
      <w:b/>
      <w:kern w:val="2"/>
      <w:sz w:val="21"/>
      <w:szCs w:val="21"/>
    </w:rPr>
  </w:style>
  <w:style w:type="paragraph" w:customStyle="1" w:styleId="1297">
    <w:name w:val="样式30"/>
    <w:basedOn w:val="86"/>
    <w:qFormat/>
    <w:uiPriority w:val="0"/>
    <w:pPr>
      <w:widowControl w:val="0"/>
      <w:adjustRightInd w:val="0"/>
      <w:spacing w:line="360" w:lineRule="auto"/>
      <w:ind w:firstLine="480" w:firstLineChars="200"/>
      <w:jc w:val="both"/>
    </w:pPr>
    <w:rPr>
      <w:rFonts w:ascii="Times New Roman" w:hAnsi="Times New Roman" w:cs="Times New Roman"/>
      <w:snapToGrid w:val="0"/>
    </w:rPr>
  </w:style>
  <w:style w:type="paragraph" w:customStyle="1" w:styleId="1298">
    <w:name w:val="表 头"/>
    <w:basedOn w:val="1"/>
    <w:link w:val="1299"/>
    <w:qFormat/>
    <w:uiPriority w:val="0"/>
    <w:pPr>
      <w:widowControl w:val="0"/>
      <w:tabs>
        <w:tab w:val="left" w:pos="1418"/>
      </w:tabs>
      <w:adjustRightInd w:val="0"/>
      <w:spacing w:line="360" w:lineRule="auto"/>
      <w:jc w:val="center"/>
    </w:pPr>
    <w:rPr>
      <w:rFonts w:cs="Arial"/>
      <w:b/>
      <w:sz w:val="21"/>
      <w:szCs w:val="21"/>
    </w:rPr>
  </w:style>
  <w:style w:type="character" w:customStyle="1" w:styleId="1299">
    <w:name w:val="表 头 Char"/>
    <w:link w:val="1298"/>
    <w:qFormat/>
    <w:uiPriority w:val="0"/>
    <w:rPr>
      <w:rFonts w:ascii="宋体" w:hAnsi="宋体" w:cs="Arial"/>
      <w:b/>
      <w:sz w:val="21"/>
      <w:szCs w:val="21"/>
    </w:rPr>
  </w:style>
  <w:style w:type="character" w:customStyle="1" w:styleId="1300">
    <w:name w:val="纯文本 Char Char Char"/>
    <w:qFormat/>
    <w:uiPriority w:val="0"/>
    <w:rPr>
      <w:rFonts w:ascii="宋体" w:hAnsi="minorBidi" w:eastAsia="宋体" w:cs="minorBidi"/>
      <w:kern w:val="2"/>
      <w:sz w:val="21"/>
      <w:szCs w:val="21"/>
      <w:lang w:val="en-US" w:eastAsia="zh-CN" w:bidi="ar-SA"/>
    </w:rPr>
  </w:style>
  <w:style w:type="paragraph" w:customStyle="1" w:styleId="1301">
    <w:name w:val="样式47"/>
    <w:basedOn w:val="1"/>
    <w:qFormat/>
    <w:uiPriority w:val="0"/>
    <w:pPr>
      <w:keepNext/>
      <w:keepLines/>
      <w:widowControl w:val="0"/>
      <w:tabs>
        <w:tab w:val="left" w:pos="360"/>
        <w:tab w:val="left" w:pos="540"/>
        <w:tab w:val="left" w:pos="1740"/>
      </w:tabs>
      <w:spacing w:before="120" w:beforeLines="50" w:after="120" w:afterLines="50" w:line="360" w:lineRule="auto"/>
      <w:ind w:left="1740" w:hanging="420"/>
      <w:jc w:val="both"/>
      <w:outlineLvl w:val="2"/>
    </w:pPr>
    <w:rPr>
      <w:rFonts w:ascii="Times New Roman" w:hAnsi="Times New Roman" w:eastAsia="Symbol" w:cs="Times New Roman"/>
      <w:snapToGrid w:val="0"/>
      <w:szCs w:val="32"/>
    </w:rPr>
  </w:style>
  <w:style w:type="paragraph" w:customStyle="1" w:styleId="1302">
    <w:name w:val="表格文字（M）"/>
    <w:basedOn w:val="1"/>
    <w:qFormat/>
    <w:uiPriority w:val="0"/>
    <w:pPr>
      <w:widowControl w:val="0"/>
      <w:autoSpaceDE w:val="0"/>
      <w:autoSpaceDN w:val="0"/>
      <w:adjustRightInd w:val="0"/>
      <w:jc w:val="center"/>
      <w:textAlignment w:val="baseline"/>
    </w:pPr>
    <w:rPr>
      <w:rFonts w:ascii="Times New Roman" w:hAnsi="Times New Roman" w:cs="Times New Roman"/>
      <w:bCs/>
      <w:sz w:val="21"/>
      <w:szCs w:val="21"/>
    </w:rPr>
  </w:style>
  <w:style w:type="paragraph" w:customStyle="1" w:styleId="1303">
    <w:name w:val="自动A"/>
    <w:basedOn w:val="1"/>
    <w:link w:val="1304"/>
    <w:qFormat/>
    <w:uiPriority w:val="0"/>
    <w:pPr>
      <w:widowControl w:val="0"/>
      <w:spacing w:before="120" w:after="120" w:line="360" w:lineRule="auto"/>
      <w:ind w:firstLine="480" w:firstLineChars="200"/>
      <w:jc w:val="both"/>
    </w:pPr>
    <w:rPr>
      <w:rFonts w:ascii="Times New Roman" w:hAnsi="Times New Roman" w:cs="Times New Roman"/>
      <w:color w:val="000000"/>
      <w:szCs w:val="20"/>
    </w:rPr>
  </w:style>
  <w:style w:type="character" w:customStyle="1" w:styleId="1304">
    <w:name w:val="自动A Char"/>
    <w:link w:val="1303"/>
    <w:qFormat/>
    <w:uiPriority w:val="0"/>
    <w:rPr>
      <w:color w:val="000000"/>
      <w:sz w:val="24"/>
    </w:rPr>
  </w:style>
  <w:style w:type="paragraph" w:customStyle="1" w:styleId="1305">
    <w:name w:val="样式83"/>
    <w:basedOn w:val="1"/>
    <w:qFormat/>
    <w:uiPriority w:val="0"/>
    <w:pPr>
      <w:keepNext/>
      <w:keepLines/>
      <w:widowControl w:val="0"/>
      <w:tabs>
        <w:tab w:val="left" w:pos="720"/>
        <w:tab w:val="left" w:pos="1080"/>
      </w:tabs>
      <w:spacing w:before="120" w:beforeLines="50" w:after="120" w:afterLines="50" w:line="360" w:lineRule="auto"/>
      <w:ind w:left="708" w:hanging="708"/>
      <w:jc w:val="both"/>
      <w:outlineLvl w:val="3"/>
    </w:pPr>
    <w:rPr>
      <w:rFonts w:ascii="Times New Roman" w:hAnsi="Times New Roman" w:cs="Times New Roman"/>
      <w:kern w:val="2"/>
      <w:szCs w:val="28"/>
    </w:rPr>
  </w:style>
  <w:style w:type="paragraph" w:customStyle="1" w:styleId="1306">
    <w:name w:val="样式82"/>
    <w:basedOn w:val="1"/>
    <w:qFormat/>
    <w:uiPriority w:val="0"/>
    <w:pPr>
      <w:keepNext/>
      <w:keepLines/>
      <w:widowControl w:val="0"/>
      <w:tabs>
        <w:tab w:val="left" w:pos="360"/>
        <w:tab w:val="left" w:pos="540"/>
        <w:tab w:val="left" w:pos="720"/>
      </w:tabs>
      <w:spacing w:before="120" w:beforeLines="50" w:after="120" w:afterLines="50" w:line="360" w:lineRule="auto"/>
      <w:ind w:left="567" w:hanging="567"/>
      <w:jc w:val="both"/>
      <w:outlineLvl w:val="2"/>
    </w:pPr>
    <w:rPr>
      <w:rFonts w:ascii="Times New Roman" w:hAnsi="Times New Roman" w:eastAsia="Symbol" w:cs="Times New Roman"/>
      <w:szCs w:val="32"/>
    </w:rPr>
  </w:style>
  <w:style w:type="paragraph" w:customStyle="1" w:styleId="1307">
    <w:name w:val="样式35"/>
    <w:basedOn w:val="438"/>
    <w:qFormat/>
    <w:uiPriority w:val="0"/>
    <w:pPr>
      <w:tabs>
        <w:tab w:val="clear" w:pos="180"/>
      </w:tabs>
      <w:adjustRightInd w:val="0"/>
      <w:snapToGrid w:val="0"/>
      <w:spacing w:line="360" w:lineRule="auto"/>
      <w:ind w:firstLine="1995" w:firstLineChars="950"/>
      <w:jc w:val="both"/>
    </w:pPr>
    <w:rPr>
      <w:rFonts w:ascii="Symbol" w:eastAsia="Symbol"/>
      <w:b w:val="0"/>
      <w:sz w:val="21"/>
      <w:szCs w:val="21"/>
    </w:rPr>
  </w:style>
  <w:style w:type="paragraph" w:customStyle="1" w:styleId="1308">
    <w:name w:val="正文(黑体)"/>
    <w:basedOn w:val="1"/>
    <w:qFormat/>
    <w:uiPriority w:val="0"/>
    <w:pPr>
      <w:widowControl w:val="0"/>
      <w:autoSpaceDE w:val="0"/>
      <w:autoSpaceDN w:val="0"/>
      <w:adjustRightInd w:val="0"/>
      <w:spacing w:line="288" w:lineRule="auto"/>
      <w:ind w:firstLine="482"/>
      <w:jc w:val="both"/>
      <w:textAlignment w:val="baseline"/>
    </w:pPr>
    <w:rPr>
      <w:rFonts w:ascii="Symbol" w:hAnsi="Times New Roman" w:cs="Times New Roman"/>
      <w:szCs w:val="20"/>
    </w:rPr>
  </w:style>
  <w:style w:type="character" w:customStyle="1" w:styleId="1309">
    <w:name w:val="p18-hei"/>
    <w:qFormat/>
    <w:uiPriority w:val="0"/>
  </w:style>
  <w:style w:type="character" w:customStyle="1" w:styleId="1310">
    <w:name w:val="项标题(1) Char Char"/>
    <w:qFormat/>
    <w:uiPriority w:val="0"/>
    <w:rPr>
      <w:rFonts w:eastAsia="宋体"/>
      <w:b/>
      <w:bCs/>
      <w:kern w:val="2"/>
      <w:sz w:val="24"/>
      <w:szCs w:val="24"/>
      <w:lang w:val="en-US" w:eastAsia="zh-CN" w:bidi="ar-SA"/>
    </w:rPr>
  </w:style>
  <w:style w:type="character" w:customStyle="1" w:styleId="1311">
    <w:name w:val="正文文字缩进 2 Char Char"/>
    <w:qFormat/>
    <w:uiPriority w:val="0"/>
    <w:rPr>
      <w:rFonts w:ascii="宋体" w:hAnsi="宋体"/>
      <w:b/>
      <w:bCs/>
      <w:kern w:val="2"/>
      <w:sz w:val="24"/>
      <w:szCs w:val="24"/>
    </w:rPr>
  </w:style>
  <w:style w:type="paragraph" w:customStyle="1" w:styleId="1312">
    <w:name w:val="正文411"/>
    <w:basedOn w:val="1"/>
    <w:qFormat/>
    <w:uiPriority w:val="0"/>
    <w:pPr>
      <w:widowControl w:val="0"/>
      <w:adjustRightInd w:val="0"/>
      <w:spacing w:line="315" w:lineRule="atLeast"/>
      <w:textAlignment w:val="baseline"/>
    </w:pPr>
    <w:rPr>
      <w:rFonts w:hAnsi="Times New Roman" w:cs="Times New Roman"/>
      <w:szCs w:val="20"/>
    </w:rPr>
  </w:style>
  <w:style w:type="character" w:customStyle="1" w:styleId="1313">
    <w:name w:val="标题 14 Char1"/>
    <w:qFormat/>
    <w:uiPriority w:val="0"/>
    <w:rPr>
      <w:rFonts w:ascii="Arial" w:hAnsi="Arial" w:eastAsia="Symbol"/>
      <w:b/>
      <w:bCs/>
      <w:kern w:val="2"/>
      <w:sz w:val="28"/>
      <w:szCs w:val="28"/>
    </w:rPr>
  </w:style>
  <w:style w:type="character" w:customStyle="1" w:styleId="1314">
    <w:name w:val="目标题 1) Char"/>
    <w:qFormat/>
    <w:uiPriority w:val="0"/>
    <w:rPr>
      <w:rFonts w:ascii="Arial" w:hAnsi="Arial" w:eastAsia="Symbol"/>
      <w:kern w:val="2"/>
      <w:sz w:val="24"/>
      <w:szCs w:val="24"/>
    </w:rPr>
  </w:style>
  <w:style w:type="character" w:customStyle="1" w:styleId="1315">
    <w:name w:val="正文文字 2 Char Char"/>
    <w:qFormat/>
    <w:uiPriority w:val="0"/>
    <w:rPr>
      <w:kern w:val="2"/>
      <w:sz w:val="21"/>
      <w:szCs w:val="24"/>
    </w:rPr>
  </w:style>
  <w:style w:type="character" w:customStyle="1" w:styleId="1316">
    <w:name w:val="even Char1"/>
    <w:qFormat/>
    <w:uiPriority w:val="0"/>
    <w:rPr>
      <w:kern w:val="2"/>
      <w:sz w:val="18"/>
      <w:szCs w:val="18"/>
    </w:rPr>
  </w:style>
  <w:style w:type="character" w:customStyle="1" w:styleId="1317">
    <w:name w:val="123YJ Char1"/>
    <w:qFormat/>
    <w:uiPriority w:val="0"/>
    <w:rPr>
      <w:kern w:val="2"/>
      <w:sz w:val="18"/>
      <w:szCs w:val="18"/>
    </w:rPr>
  </w:style>
  <w:style w:type="character" w:customStyle="1" w:styleId="1318">
    <w:name w:val="正文文字缩进 3 Char Char"/>
    <w:qFormat/>
    <w:uiPriority w:val="0"/>
    <w:rPr>
      <w:rFonts w:eastAsia="宋体"/>
      <w:kern w:val="2"/>
      <w:sz w:val="24"/>
      <w:szCs w:val="24"/>
    </w:rPr>
  </w:style>
  <w:style w:type="character" w:customStyle="1" w:styleId="1319">
    <w:name w:val="Char Char1"/>
    <w:qFormat/>
    <w:uiPriority w:val="0"/>
    <w:rPr>
      <w:rFonts w:eastAsia="宋体"/>
      <w:kern w:val="2"/>
      <w:sz w:val="18"/>
      <w:szCs w:val="18"/>
      <w:lang w:val="en-US" w:eastAsia="zh-CN" w:bidi="ar-SA"/>
    </w:rPr>
  </w:style>
  <w:style w:type="character" w:customStyle="1" w:styleId="1320">
    <w:name w:val="落款 Char Char"/>
    <w:qFormat/>
    <w:uiPriority w:val="0"/>
    <w:rPr>
      <w:kern w:val="2"/>
      <w:sz w:val="24"/>
      <w:szCs w:val="24"/>
    </w:rPr>
  </w:style>
  <w:style w:type="paragraph" w:customStyle="1" w:styleId="1321">
    <w:name w:val="Char2 Char Char Char Char Char Char Char Char Char1"/>
    <w:basedOn w:val="1"/>
    <w:qFormat/>
    <w:uiPriority w:val="0"/>
    <w:pPr>
      <w:widowControl w:val="0"/>
      <w:spacing w:line="360" w:lineRule="auto"/>
      <w:ind w:firstLine="200" w:firstLineChars="200"/>
      <w:jc w:val="both"/>
    </w:pPr>
    <w:rPr>
      <w:kern w:val="2"/>
    </w:rPr>
  </w:style>
  <w:style w:type="paragraph" w:customStyle="1" w:styleId="1322">
    <w:name w:val="Char211"/>
    <w:basedOn w:val="1"/>
    <w:qFormat/>
    <w:uiPriority w:val="0"/>
    <w:pPr>
      <w:widowControl w:val="0"/>
      <w:spacing w:line="360" w:lineRule="auto"/>
      <w:ind w:firstLine="200" w:firstLineChars="200"/>
      <w:jc w:val="both"/>
    </w:pPr>
    <w:rPr>
      <w:kern w:val="2"/>
    </w:rPr>
  </w:style>
  <w:style w:type="character" w:customStyle="1" w:styleId="1323">
    <w:name w:val="Char Char3"/>
    <w:qFormat/>
    <w:uiPriority w:val="0"/>
    <w:rPr>
      <w:rFonts w:eastAsia="宋体"/>
      <w:kern w:val="2"/>
      <w:sz w:val="18"/>
      <w:szCs w:val="18"/>
      <w:lang w:val="en-US" w:eastAsia="zh-CN" w:bidi="ar-SA"/>
    </w:rPr>
  </w:style>
  <w:style w:type="paragraph" w:customStyle="1" w:styleId="1324">
    <w:name w:val="Char Char Char Char Char Char111"/>
    <w:basedOn w:val="1"/>
    <w:qFormat/>
    <w:uiPriority w:val="0"/>
    <w:pPr>
      <w:widowControl w:val="0"/>
      <w:jc w:val="both"/>
    </w:pPr>
    <w:rPr>
      <w:rFonts w:ascii="Times New Roman" w:hAnsi="Times New Roman" w:cs="Times New Roman"/>
      <w:kern w:val="2"/>
    </w:rPr>
  </w:style>
  <w:style w:type="paragraph" w:customStyle="1" w:styleId="1325">
    <w:name w:val="Char Char Char Char Char Char Char Char Char Char Char1 Char11"/>
    <w:basedOn w:val="1"/>
    <w:qFormat/>
    <w:uiPriority w:val="0"/>
    <w:pPr>
      <w:widowControl w:val="0"/>
      <w:jc w:val="both"/>
    </w:pPr>
    <w:rPr>
      <w:rFonts w:ascii="Times New Roman" w:hAnsi="Times New Roman" w:cs="Times New Roman"/>
      <w:kern w:val="2"/>
    </w:rPr>
  </w:style>
  <w:style w:type="paragraph" w:customStyle="1" w:styleId="1326">
    <w:name w:val="Char Char Char Char Char Char1 Char11"/>
    <w:basedOn w:val="1"/>
    <w:qFormat/>
    <w:uiPriority w:val="0"/>
    <w:pPr>
      <w:widowControl w:val="0"/>
      <w:tabs>
        <w:tab w:val="left" w:pos="360"/>
      </w:tabs>
      <w:spacing w:line="360" w:lineRule="auto"/>
      <w:ind w:firstLine="482"/>
      <w:jc w:val="both"/>
    </w:pPr>
    <w:rPr>
      <w:rFonts w:ascii="Cambria Math" w:hAnsi="Cambria Math" w:eastAsia="Symbol" w:cs="Times New Roman"/>
      <w:kern w:val="2"/>
      <w:sz w:val="21"/>
      <w:szCs w:val="21"/>
    </w:rPr>
  </w:style>
  <w:style w:type="paragraph" w:customStyle="1" w:styleId="1327">
    <w:name w:val="日期111"/>
    <w:basedOn w:val="1"/>
    <w:next w:val="1"/>
    <w:qFormat/>
    <w:uiPriority w:val="0"/>
    <w:pPr>
      <w:widowControl w:val="0"/>
      <w:adjustRightInd w:val="0"/>
      <w:spacing w:line="312" w:lineRule="atLeast"/>
      <w:jc w:val="right"/>
      <w:textAlignment w:val="baseline"/>
    </w:pPr>
    <w:rPr>
      <w:rFonts w:ascii="Arial" w:hAnsi="Times New Roman" w:cs="Times New Roman"/>
      <w:szCs w:val="20"/>
    </w:rPr>
  </w:style>
  <w:style w:type="paragraph" w:customStyle="1" w:styleId="1328">
    <w:name w:val="Char Char Char1 Char Char Char Char Char Char Char Char Char Char Char Char Char Char Char Char11"/>
    <w:basedOn w:val="1"/>
    <w:qFormat/>
    <w:uiPriority w:val="0"/>
    <w:pPr>
      <w:widowControl w:val="0"/>
      <w:spacing w:line="360" w:lineRule="auto"/>
      <w:ind w:firstLine="200" w:firstLineChars="200"/>
      <w:jc w:val="both"/>
    </w:pPr>
    <w:rPr>
      <w:kern w:val="2"/>
    </w:rPr>
  </w:style>
  <w:style w:type="paragraph" w:customStyle="1" w:styleId="1329">
    <w:name w:val="正文31"/>
    <w:basedOn w:val="35"/>
    <w:qFormat/>
    <w:uiPriority w:val="0"/>
    <w:pPr>
      <w:widowControl w:val="0"/>
      <w:spacing w:line="324" w:lineRule="auto"/>
      <w:ind w:left="0" w:leftChars="0" w:firstLine="480" w:firstLineChars="200"/>
      <w:jc w:val="both"/>
    </w:pPr>
    <w:rPr>
      <w:rFonts w:ascii="Arial" w:hAnsi="Arial" w:cs="Times New Roman"/>
      <w:bCs/>
      <w:snapToGrid w:val="0"/>
      <w:szCs w:val="24"/>
      <w:lang w:val="eu-ES"/>
    </w:rPr>
  </w:style>
  <w:style w:type="paragraph" w:customStyle="1" w:styleId="1330">
    <w:name w:val="普通(网站)111"/>
    <w:basedOn w:val="1"/>
    <w:qFormat/>
    <w:uiPriority w:val="0"/>
    <w:pPr>
      <w:spacing w:before="100" w:beforeAutospacing="1" w:after="100" w:afterAutospacing="1"/>
    </w:pPr>
    <w:rPr>
      <w:rFonts w:cs="Times New Roman"/>
    </w:rPr>
  </w:style>
  <w:style w:type="paragraph" w:customStyle="1" w:styleId="1331">
    <w:name w:val="Char Char Char Char Char Char Char Char Char11"/>
    <w:basedOn w:val="1"/>
    <w:qFormat/>
    <w:uiPriority w:val="0"/>
    <w:pPr>
      <w:widowControl w:val="0"/>
      <w:snapToGrid w:val="0"/>
      <w:spacing w:line="440" w:lineRule="atLeast"/>
      <w:jc w:val="both"/>
    </w:pPr>
    <w:rPr>
      <w:rFonts w:hAnsi="Times New Roman" w:cs="Times New Roman"/>
      <w:kern w:val="2"/>
    </w:rPr>
  </w:style>
  <w:style w:type="paragraph" w:customStyle="1" w:styleId="1332">
    <w:name w:val="Char1 Char Char Char Char Char Char11"/>
    <w:basedOn w:val="1"/>
    <w:qFormat/>
    <w:uiPriority w:val="0"/>
    <w:pPr>
      <w:widowControl w:val="0"/>
      <w:jc w:val="both"/>
    </w:pPr>
    <w:rPr>
      <w:rFonts w:ascii="Times New Roman" w:hAnsi="Times New Roman" w:cs="Times New Roman"/>
      <w:kern w:val="2"/>
      <w:sz w:val="21"/>
    </w:rPr>
  </w:style>
  <w:style w:type="paragraph" w:customStyle="1" w:styleId="1333">
    <w:name w:val="Char Char Char Char Char Char Char Char Char Char Char Char Char Char Char Char Char Char Char Char Char Char Char Char Char Char Char Char Char Char Char Char Char Char Char Char Char1"/>
    <w:basedOn w:val="1"/>
    <w:qFormat/>
    <w:uiPriority w:val="0"/>
    <w:pPr>
      <w:widowControl w:val="0"/>
      <w:spacing w:line="480" w:lineRule="exact"/>
      <w:jc w:val="both"/>
    </w:pPr>
    <w:rPr>
      <w:rFonts w:ascii="Times New Roman" w:hAnsi="Times New Roman" w:cs="Times New Roman"/>
      <w:kern w:val="2"/>
      <w:sz w:val="21"/>
    </w:rPr>
  </w:style>
  <w:style w:type="paragraph" w:customStyle="1" w:styleId="1334">
    <w:name w:val="Char Char Char Char Char Char Char Char Char Char Char Char Char Char Char Char Char Char Char Char Char Char Char Char Char Char Char Char1"/>
    <w:basedOn w:val="1"/>
    <w:qFormat/>
    <w:uiPriority w:val="0"/>
    <w:pPr>
      <w:widowControl w:val="0"/>
      <w:spacing w:line="480" w:lineRule="exact"/>
      <w:jc w:val="both"/>
    </w:pPr>
    <w:rPr>
      <w:rFonts w:ascii="Times New Roman" w:hAnsi="Times New Roman" w:cs="Times New Roman"/>
      <w:kern w:val="2"/>
      <w:sz w:val="21"/>
    </w:rPr>
  </w:style>
  <w:style w:type="paragraph" w:customStyle="1" w:styleId="1335">
    <w:name w:val="Char Char Char Char Char Char Char Char Char Char Char Char Char Char Char Char Char Char Char Char Char Char Char Char Char Char Char Char Char Char1"/>
    <w:basedOn w:val="1"/>
    <w:qFormat/>
    <w:uiPriority w:val="0"/>
    <w:pPr>
      <w:widowControl w:val="0"/>
      <w:spacing w:line="480" w:lineRule="exact"/>
      <w:jc w:val="both"/>
    </w:pPr>
    <w:rPr>
      <w:rFonts w:ascii="Times New Roman" w:hAnsi="Times New Roman" w:cs="Times New Roman"/>
      <w:kern w:val="2"/>
      <w:sz w:val="21"/>
    </w:rPr>
  </w:style>
  <w:style w:type="paragraph" w:customStyle="1" w:styleId="1336">
    <w:name w:val="Char Char Char Char Char Char Char Char Char Char Char Char Char Char Char11"/>
    <w:basedOn w:val="1"/>
    <w:qFormat/>
    <w:uiPriority w:val="0"/>
    <w:pPr>
      <w:widowControl w:val="0"/>
      <w:spacing w:line="480" w:lineRule="exact"/>
      <w:jc w:val="both"/>
    </w:pPr>
    <w:rPr>
      <w:rFonts w:ascii="Times New Roman" w:hAnsi="Times New Roman" w:cs="Times New Roman"/>
      <w:kern w:val="2"/>
      <w:sz w:val="21"/>
    </w:rPr>
  </w:style>
  <w:style w:type="paragraph" w:customStyle="1" w:styleId="1337">
    <w:name w:val="Char Char Char Char Char Char Char Char Char Char Char Char Char11"/>
    <w:basedOn w:val="1"/>
    <w:qFormat/>
    <w:uiPriority w:val="0"/>
    <w:pPr>
      <w:widowControl w:val="0"/>
      <w:spacing w:line="480" w:lineRule="exact"/>
      <w:jc w:val="both"/>
    </w:pPr>
    <w:rPr>
      <w:rFonts w:ascii="Times New Roman" w:hAnsi="Times New Roman" w:cs="Times New Roman"/>
      <w:kern w:val="2"/>
      <w:sz w:val="21"/>
    </w:rPr>
  </w:style>
  <w:style w:type="paragraph" w:customStyle="1" w:styleId="1338">
    <w:name w:val="Char Char1 Char Char Char Char Char Char Char Char Char Char Char Char Char Char Char Char Char Char Char Char Char Char Char Char Char Char Char Char Char Char1 Char1"/>
    <w:basedOn w:val="1"/>
    <w:qFormat/>
    <w:uiPriority w:val="0"/>
    <w:pPr>
      <w:widowControl w:val="0"/>
      <w:jc w:val="both"/>
    </w:pPr>
    <w:rPr>
      <w:rFonts w:ascii="Times New Roman" w:hAnsi="Times New Roman" w:cs="Times New Roman"/>
      <w:kern w:val="2"/>
      <w:sz w:val="21"/>
    </w:rPr>
  </w:style>
  <w:style w:type="paragraph" w:customStyle="1" w:styleId="1339">
    <w:name w:val="Char Char Char Char Char Char Char Char Char Char Char Char Char Char Char Char Char Char Char Char Char Char Char Char Char Char Char Char Char Char Char1"/>
    <w:basedOn w:val="1"/>
    <w:qFormat/>
    <w:uiPriority w:val="0"/>
    <w:pPr>
      <w:widowControl w:val="0"/>
      <w:spacing w:line="480" w:lineRule="exact"/>
      <w:jc w:val="both"/>
    </w:pPr>
    <w:rPr>
      <w:rFonts w:ascii="Times New Roman" w:hAnsi="Times New Roman" w:cs="Times New Roman"/>
      <w:kern w:val="2"/>
      <w:sz w:val="21"/>
    </w:rPr>
  </w:style>
  <w:style w:type="character" w:customStyle="1" w:styleId="1340">
    <w:name w:val="wz1"/>
    <w:qFormat/>
    <w:uiPriority w:val="0"/>
    <w:rPr>
      <w:rFonts w:hint="default"/>
      <w:spacing w:val="330"/>
      <w:sz w:val="18"/>
      <w:szCs w:val="18"/>
    </w:rPr>
  </w:style>
  <w:style w:type="paragraph" w:customStyle="1" w:styleId="1341">
    <w:name w:val="Char3"/>
    <w:basedOn w:val="1"/>
    <w:qFormat/>
    <w:uiPriority w:val="0"/>
    <w:pPr>
      <w:widowControl w:val="0"/>
      <w:snapToGrid w:val="0"/>
      <w:spacing w:line="440" w:lineRule="atLeast"/>
      <w:jc w:val="both"/>
    </w:pPr>
    <w:rPr>
      <w:rFonts w:ascii="Times New Roman" w:hAnsi="Times New Roman" w:cs="Times New Roman"/>
      <w:kern w:val="2"/>
      <w:sz w:val="21"/>
      <w:szCs w:val="20"/>
    </w:rPr>
  </w:style>
  <w:style w:type="paragraph" w:customStyle="1" w:styleId="1342">
    <w:name w:val="Char Char Char1 Char Char Char Char Char Char Char Char Char Char Char Char Char Char Char Char Char Char Char Char Char Char Char Char Char Char Char Char Char Char Char1"/>
    <w:basedOn w:val="1"/>
    <w:qFormat/>
    <w:uiPriority w:val="0"/>
    <w:pPr>
      <w:widowControl w:val="0"/>
      <w:jc w:val="both"/>
    </w:pPr>
    <w:rPr>
      <w:rFonts w:ascii="Times New Roman" w:hAnsi="Times New Roman" w:cs="Times New Roman"/>
      <w:kern w:val="2"/>
      <w:sz w:val="21"/>
    </w:rPr>
  </w:style>
  <w:style w:type="paragraph" w:customStyle="1" w:styleId="1343">
    <w:name w:val="Char Char Char111"/>
    <w:basedOn w:val="1"/>
    <w:qFormat/>
    <w:uiPriority w:val="0"/>
    <w:pPr>
      <w:keepNext/>
      <w:tabs>
        <w:tab w:val="left" w:pos="425"/>
      </w:tabs>
      <w:autoSpaceDE w:val="0"/>
      <w:autoSpaceDN w:val="0"/>
      <w:adjustRightInd w:val="0"/>
      <w:spacing w:before="80" w:after="80"/>
      <w:ind w:hanging="425"/>
      <w:jc w:val="both"/>
    </w:pPr>
    <w:rPr>
      <w:rFonts w:ascii="Arial" w:hAnsi="Arial" w:cs="Arial"/>
      <w:kern w:val="2"/>
      <w:sz w:val="20"/>
      <w:szCs w:val="20"/>
    </w:rPr>
  </w:style>
  <w:style w:type="paragraph" w:customStyle="1" w:styleId="1344">
    <w:name w:val="Char Char1 Char Char Char Char Char Char Char11"/>
    <w:basedOn w:val="1"/>
    <w:qFormat/>
    <w:uiPriority w:val="0"/>
    <w:pPr>
      <w:widowControl w:val="0"/>
      <w:jc w:val="both"/>
    </w:pPr>
    <w:rPr>
      <w:rFonts w:ascii="Times New Roman" w:hAnsi="Times New Roman" w:cs="Times New Roman"/>
      <w:kern w:val="2"/>
      <w:sz w:val="21"/>
    </w:rPr>
  </w:style>
  <w:style w:type="character" w:customStyle="1" w:styleId="1345">
    <w:name w:val="Char Char Char2"/>
    <w:qFormat/>
    <w:uiPriority w:val="0"/>
    <w:rPr>
      <w:rFonts w:eastAsia="宋体"/>
      <w:kern w:val="2"/>
      <w:sz w:val="18"/>
      <w:szCs w:val="18"/>
      <w:lang w:val="en-US" w:eastAsia="zh-CN" w:bidi="ar-SA"/>
    </w:rPr>
  </w:style>
  <w:style w:type="paragraph" w:customStyle="1" w:styleId="1346">
    <w:name w:val="Char Char Char Char Char Char1 Char Char Char Char1"/>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47">
    <w:name w:val="Char Char4"/>
    <w:basedOn w:val="1"/>
    <w:qFormat/>
    <w:uiPriority w:val="0"/>
    <w:pPr>
      <w:widowControl w:val="0"/>
      <w:jc w:val="both"/>
    </w:pPr>
    <w:rPr>
      <w:rFonts w:ascii="Times New Roman" w:hAnsi="Times New Roman" w:cs="Times New Roman"/>
      <w:kern w:val="2"/>
      <w:sz w:val="21"/>
    </w:rPr>
  </w:style>
  <w:style w:type="paragraph" w:customStyle="1" w:styleId="1348">
    <w:name w:val="Char Char Char Char Char Char Char Char Char Char Char1 Char Char Char Char Char Char Char1"/>
    <w:basedOn w:val="1"/>
    <w:qFormat/>
    <w:uiPriority w:val="0"/>
    <w:pPr>
      <w:widowControl w:val="0"/>
      <w:jc w:val="both"/>
    </w:pPr>
    <w:rPr>
      <w:rFonts w:ascii="Times New Roman" w:hAnsi="Times New Roman" w:cs="Times New Roman"/>
      <w:kern w:val="2"/>
    </w:rPr>
  </w:style>
  <w:style w:type="paragraph" w:customStyle="1" w:styleId="1349">
    <w:name w:val="Char Char Char1 Char Char Char Char Char Char Char Char Char Char Char Char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1350">
    <w:name w:val="Char Char Char Char Char Char1 Char Char Char Char Char Char Char Char Char Char Char Char Char Char Char Char Char Char Char Char Char Char"/>
    <w:basedOn w:val="1"/>
    <w:qFormat/>
    <w:uiPriority w:val="0"/>
    <w:pPr>
      <w:widowControl w:val="0"/>
      <w:jc w:val="both"/>
    </w:pPr>
    <w:rPr>
      <w:rFonts w:ascii="Times New Roman" w:hAnsi="Times New Roman" w:cs="Times New Roman"/>
      <w:b/>
      <w:bCs/>
      <w:kern w:val="2"/>
      <w:sz w:val="36"/>
      <w:szCs w:val="32"/>
    </w:rPr>
  </w:style>
  <w:style w:type="paragraph" w:customStyle="1" w:styleId="1351">
    <w:name w:val="Char1 Char Char Char Char Char Char Char Char1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52">
    <w:name w:val="样式 表格1 + 首行缩进:  2 字符"/>
    <w:basedOn w:val="309"/>
    <w:qFormat/>
    <w:uiPriority w:val="0"/>
    <w:pPr>
      <w:topLinePunct w:val="0"/>
      <w:autoSpaceDE/>
      <w:autoSpaceDN/>
      <w:adjustRightInd/>
      <w:spacing w:beforeLines="50" w:afterLines="50" w:line="240" w:lineRule="atLeast"/>
      <w:textAlignment w:val="auto"/>
    </w:pPr>
    <w:rPr>
      <w:rFonts w:ascii="Times New Roman" w:hAnsi="Times New Roman" w:cs="宋体"/>
      <w:kern w:val="2"/>
      <w:sz w:val="21"/>
    </w:rPr>
  </w:style>
  <w:style w:type="paragraph" w:customStyle="1" w:styleId="1353">
    <w:name w:val="正文报告"/>
    <w:basedOn w:val="1"/>
    <w:qFormat/>
    <w:uiPriority w:val="0"/>
    <w:pPr>
      <w:widowControl w:val="0"/>
      <w:topLinePunct/>
      <w:snapToGrid w:val="0"/>
      <w:spacing w:line="480" w:lineRule="exact"/>
      <w:ind w:firstLine="567"/>
      <w:jc w:val="both"/>
    </w:pPr>
    <w:rPr>
      <w:rFonts w:ascii="Times New Roman" w:hAnsi="Times New Roman" w:cs="Times New Roman"/>
      <w:kern w:val="2"/>
      <w:sz w:val="28"/>
      <w:szCs w:val="28"/>
    </w:rPr>
  </w:style>
  <w:style w:type="character" w:customStyle="1" w:styleId="1354">
    <w:name w:val="正文报告 Char"/>
    <w:qFormat/>
    <w:uiPriority w:val="0"/>
    <w:rPr>
      <w:rFonts w:eastAsia="宋体"/>
      <w:kern w:val="2"/>
      <w:sz w:val="28"/>
      <w:szCs w:val="28"/>
      <w:lang w:val="en-US" w:eastAsia="zh-CN" w:bidi="ar-SA"/>
    </w:rPr>
  </w:style>
  <w:style w:type="paragraph" w:customStyle="1" w:styleId="1355">
    <w:name w:val="font10"/>
    <w:basedOn w:val="1"/>
    <w:qFormat/>
    <w:uiPriority w:val="0"/>
    <w:pPr>
      <w:spacing w:before="100" w:beforeAutospacing="1" w:after="100" w:afterAutospacing="1"/>
    </w:pPr>
    <w:rPr>
      <w:rFonts w:ascii="Times New Roman" w:hAnsi="Times New Roman" w:cs="Times New Roman"/>
      <w:color w:val="000000"/>
      <w:sz w:val="18"/>
      <w:szCs w:val="18"/>
    </w:rPr>
  </w:style>
  <w:style w:type="paragraph" w:customStyle="1" w:styleId="1356">
    <w:name w:val="font12"/>
    <w:basedOn w:val="1"/>
    <w:qFormat/>
    <w:uiPriority w:val="0"/>
    <w:pPr>
      <w:spacing w:before="100" w:beforeAutospacing="1" w:after="100" w:afterAutospacing="1"/>
    </w:pPr>
    <w:rPr>
      <w:rFonts w:ascii="Times New Roman" w:hAnsi="Times New Roman" w:cs="Times New Roman"/>
      <w:b/>
      <w:bCs/>
      <w:color w:val="000000"/>
      <w:sz w:val="18"/>
      <w:szCs w:val="18"/>
    </w:rPr>
  </w:style>
  <w:style w:type="paragraph" w:customStyle="1" w:styleId="1357">
    <w:name w:val="蓝斜体1"/>
    <w:basedOn w:val="1"/>
    <w:qFormat/>
    <w:uiPriority w:val="0"/>
    <w:pPr>
      <w:widowControl w:val="0"/>
      <w:shd w:val="clear" w:color="auto" w:fill="FFFFFF"/>
      <w:ind w:left="538" w:hanging="538" w:hangingChars="192"/>
      <w:jc w:val="distribute"/>
    </w:pPr>
    <w:rPr>
      <w:rFonts w:ascii="Times New Roman" w:hAnsi="Times New Roman" w:eastAsia="Arial" w:cs="Times New Roman"/>
      <w:i/>
      <w:color w:val="0000FF"/>
      <w:kern w:val="2"/>
      <w:sz w:val="28"/>
    </w:rPr>
  </w:style>
  <w:style w:type="character" w:customStyle="1" w:styleId="1358">
    <w:name w:val="Char Char2"/>
    <w:qFormat/>
    <w:uiPriority w:val="0"/>
    <w:rPr>
      <w:rFonts w:ascii="宋体" w:hAnsi="Arial" w:eastAsia="Symbol" w:cs="Arial"/>
      <w:bCs/>
      <w:color w:val="000000"/>
      <w:w w:val="90"/>
      <w:kern w:val="44"/>
      <w:sz w:val="36"/>
      <w:lang w:val="en-US" w:eastAsia="zh-CN" w:bidi="ar-SA"/>
    </w:rPr>
  </w:style>
  <w:style w:type="paragraph" w:customStyle="1" w:styleId="1359">
    <w:name w:val="Char1 Char Char Char"/>
    <w:basedOn w:val="1"/>
    <w:qFormat/>
    <w:uiPriority w:val="0"/>
    <w:pPr>
      <w:widowControl w:val="0"/>
      <w:spacing w:line="360" w:lineRule="auto"/>
      <w:ind w:firstLine="200" w:firstLineChars="200"/>
      <w:jc w:val="both"/>
    </w:pPr>
    <w:rPr>
      <w:rFonts w:cs="Times New Roman"/>
      <w:kern w:val="2"/>
    </w:rPr>
  </w:style>
  <w:style w:type="paragraph" w:customStyle="1" w:styleId="1360">
    <w:name w:val="表格左对齐"/>
    <w:basedOn w:val="35"/>
    <w:qFormat/>
    <w:uiPriority w:val="0"/>
    <w:pPr>
      <w:widowControl w:val="0"/>
      <w:adjustRightInd w:val="0"/>
      <w:snapToGrid w:val="0"/>
      <w:spacing w:after="0"/>
      <w:ind w:left="0" w:leftChars="0"/>
      <w:jc w:val="center"/>
    </w:pPr>
    <w:rPr>
      <w:rFonts w:cs="Times New Roman"/>
      <w:color w:val="000000"/>
    </w:rPr>
  </w:style>
  <w:style w:type="paragraph" w:customStyle="1" w:styleId="1361">
    <w:name w:val="排列部分"/>
    <w:basedOn w:val="1"/>
    <w:qFormat/>
    <w:uiPriority w:val="0"/>
    <w:pPr>
      <w:widowControl w:val="0"/>
      <w:autoSpaceDE w:val="0"/>
      <w:autoSpaceDN w:val="0"/>
      <w:adjustRightInd w:val="0"/>
      <w:spacing w:after="36" w:line="400" w:lineRule="exact"/>
      <w:jc w:val="center"/>
    </w:pPr>
    <w:rPr>
      <w:rFonts w:cs="Times New Roman"/>
      <w:kern w:val="2"/>
      <w:szCs w:val="20"/>
    </w:rPr>
  </w:style>
  <w:style w:type="paragraph" w:customStyle="1" w:styleId="1362">
    <w:name w:val="样式 幼圆 小四 段前: 7.8 磅 段后: 15.6 磅 行距: 固定值 18 磅"/>
    <w:basedOn w:val="1"/>
    <w:qFormat/>
    <w:uiPriority w:val="0"/>
    <w:pPr>
      <w:widowControl w:val="0"/>
      <w:spacing w:before="156" w:after="312" w:line="360" w:lineRule="exact"/>
      <w:ind w:left="1619" w:leftChars="771"/>
      <w:jc w:val="both"/>
    </w:pPr>
    <w:rPr>
      <w:rFonts w:ascii="Arial" w:hAnsi="Times New Roman" w:eastAsia="Arial"/>
      <w:kern w:val="2"/>
      <w:szCs w:val="20"/>
    </w:rPr>
  </w:style>
  <w:style w:type="character" w:customStyle="1" w:styleId="1363">
    <w:name w:val="style4"/>
    <w:qFormat/>
    <w:uiPriority w:val="0"/>
  </w:style>
  <w:style w:type="paragraph" w:customStyle="1" w:styleId="1364">
    <w:name w:val="表字体"/>
    <w:basedOn w:val="1"/>
    <w:qFormat/>
    <w:uiPriority w:val="0"/>
    <w:pPr>
      <w:widowControl w:val="0"/>
      <w:spacing w:line="360" w:lineRule="auto"/>
      <w:jc w:val="center"/>
    </w:pPr>
    <w:rPr>
      <w:kern w:val="2"/>
      <w:sz w:val="21"/>
      <w:szCs w:val="20"/>
    </w:rPr>
  </w:style>
  <w:style w:type="paragraph" w:customStyle="1" w:styleId="1365">
    <w:name w:val="Char1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66">
    <w:name w:val="Char1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67">
    <w:name w:val="Char1 Char Char Char Char Char Char Char Char1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68">
    <w:name w:val="Char Char Char Char Char Char Char Char11"/>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69">
    <w:name w:val="Char Char1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70">
    <w:name w:val="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71">
    <w:name w:val="Char1 Char Char Char Char Char Char Char Char1 Char Char Char Char Char Char Char 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72">
    <w:name w:val="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73">
    <w:name w:val="Char1 Char Char Char Char Char Char Char Char1 Char 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character" w:customStyle="1" w:styleId="1374">
    <w:name w:val="table-xiayou"/>
    <w:qFormat/>
    <w:uiPriority w:val="0"/>
  </w:style>
  <w:style w:type="paragraph" w:customStyle="1" w:styleId="1375">
    <w:name w:val="Char1 Char Char Char Char Char Char Char Char1 Char Char 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76">
    <w:name w:val="Char1 Char Char Char Char Char Char Char Char1 Char Char Char Char Char 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77">
    <w:name w:val="Char Char Char Char 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78">
    <w:name w:val="Char1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79">
    <w:name w:val="Char Char1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80">
    <w:name w:val="Char1 Char Char Char Char Char Char Char Char1 Char Char Char Char Char Char Char Char Char Char Char Char Char Char Char Char 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81">
    <w:name w:val="Char1 Char Char Char Char Char Char Char Char1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82">
    <w:name w:val="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83">
    <w:name w:val="Char 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84">
    <w:name w:val="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85">
    <w:name w:val="Char Char Char Char Char Char Char Char Char Char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86">
    <w:name w:val="样式 样式 文本 + 首行缩进:  2 字符1 + 首行缩进:  2 字符"/>
    <w:basedOn w:val="1387"/>
    <w:qFormat/>
    <w:uiPriority w:val="0"/>
    <w:pPr>
      <w:spacing w:line="360" w:lineRule="auto"/>
      <w:ind w:firstLine="560"/>
    </w:pPr>
  </w:style>
  <w:style w:type="paragraph" w:customStyle="1" w:styleId="1387">
    <w:name w:val="样式 文本 + 首行缩进:  2 字符1"/>
    <w:basedOn w:val="1"/>
    <w:qFormat/>
    <w:uiPriority w:val="0"/>
    <w:pPr>
      <w:widowControl w:val="0"/>
      <w:ind w:firstLine="200" w:firstLineChars="200"/>
      <w:jc w:val="both"/>
    </w:pPr>
    <w:rPr>
      <w:rFonts w:ascii="Times New Roman" w:hAnsi="Times New Roman" w:cs="Times New Roman"/>
      <w:kern w:val="2"/>
      <w:sz w:val="28"/>
      <w:szCs w:val="20"/>
    </w:rPr>
  </w:style>
  <w:style w:type="paragraph" w:customStyle="1" w:styleId="1388">
    <w:name w:val="Char Char Char Char Char Char1"/>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89">
    <w:name w:val="Char1 Char Char Char Char Char Char Char Char1 Char Char Char Char Char Char Char Char Char Char Char Char Char Char Char Char"/>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90">
    <w:name w:val="Char Char Char Char Char Char Char Char Char Char1"/>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391">
    <w:name w:val="页面 3"/>
    <w:basedOn w:val="1"/>
    <w:qFormat/>
    <w:uiPriority w:val="0"/>
    <w:pPr>
      <w:widowControl w:val="0"/>
      <w:adjustRightInd w:val="0"/>
      <w:spacing w:line="360" w:lineRule="auto"/>
      <w:ind w:left="-2" w:leftChars="-1" w:firstLine="456" w:firstLineChars="190"/>
      <w:jc w:val="center"/>
    </w:pPr>
    <w:rPr>
      <w:rFonts w:ascii="Times New Roman" w:hAnsi="Times New Roman" w:eastAsia="Cambria Math" w:cs="Times New Roman"/>
      <w:sz w:val="52"/>
      <w:szCs w:val="20"/>
    </w:rPr>
  </w:style>
  <w:style w:type="paragraph" w:customStyle="1" w:styleId="1392">
    <w:name w:val="第几节"/>
    <w:basedOn w:val="1"/>
    <w:qFormat/>
    <w:uiPriority w:val="0"/>
    <w:pPr>
      <w:adjustRightInd w:val="0"/>
      <w:snapToGrid w:val="0"/>
      <w:spacing w:beforeLines="50" w:line="360" w:lineRule="auto"/>
      <w:ind w:firstLine="480" w:firstLineChars="200"/>
      <w:jc w:val="center"/>
    </w:pPr>
    <w:rPr>
      <w:rFonts w:eastAsia="Symbol"/>
      <w:b/>
      <w:bCs/>
      <w:color w:val="000000"/>
      <w:kern w:val="2"/>
      <w:sz w:val="30"/>
      <w:szCs w:val="30"/>
    </w:rPr>
  </w:style>
  <w:style w:type="paragraph" w:customStyle="1" w:styleId="1393">
    <w:name w:val="第几章"/>
    <w:basedOn w:val="1392"/>
    <w:qFormat/>
    <w:uiPriority w:val="0"/>
    <w:pPr>
      <w:spacing w:beforeLines="0"/>
    </w:pPr>
    <w:rPr>
      <w:sz w:val="32"/>
      <w:szCs w:val="32"/>
    </w:rPr>
  </w:style>
  <w:style w:type="paragraph" w:customStyle="1" w:styleId="1394">
    <w:name w:val="注:"/>
    <w:qFormat/>
    <w:uiPriority w:val="0"/>
    <w:rPr>
      <w:rFonts w:ascii="Times New Roman" w:hAnsi="Times New Roman" w:eastAsia="宋体" w:cs="Times New Roman"/>
      <w:sz w:val="21"/>
      <w:szCs w:val="21"/>
      <w:lang w:val="en-US" w:eastAsia="zh-CN" w:bidi="ar-SA"/>
    </w:rPr>
  </w:style>
  <w:style w:type="paragraph" w:customStyle="1" w:styleId="1395">
    <w:name w:val="封面"/>
    <w:basedOn w:val="1"/>
    <w:qFormat/>
    <w:uiPriority w:val="0"/>
    <w:pPr>
      <w:widowControl w:val="0"/>
      <w:tabs>
        <w:tab w:val="left" w:pos="1080"/>
      </w:tabs>
      <w:spacing w:line="360" w:lineRule="auto"/>
      <w:ind w:firstLine="200" w:firstLineChars="200"/>
    </w:pPr>
    <w:rPr>
      <w:kern w:val="2"/>
    </w:rPr>
  </w:style>
  <w:style w:type="paragraph" w:customStyle="1" w:styleId="1396">
    <w:name w:val="字元 字元 Char Char 字元 字元111"/>
    <w:basedOn w:val="1"/>
    <w:qFormat/>
    <w:uiPriority w:val="0"/>
    <w:pPr>
      <w:widowControl w:val="0"/>
      <w:jc w:val="both"/>
    </w:pPr>
    <w:rPr>
      <w:rFonts w:ascii="Times New Roman" w:hAnsi="Times New Roman" w:cs="Times New Roman"/>
      <w:kern w:val="2"/>
    </w:rPr>
  </w:style>
  <w:style w:type="paragraph" w:customStyle="1" w:styleId="1397">
    <w:name w:val="样式 正文文字缩进 2 + (符号) 宋体 小四 首行缩进:  2 字符"/>
    <w:basedOn w:val="36"/>
    <w:qFormat/>
    <w:uiPriority w:val="0"/>
    <w:pPr>
      <w:widowControl w:val="0"/>
      <w:spacing w:line="360" w:lineRule="auto"/>
      <w:ind w:firstLine="480"/>
      <w:jc w:val="both"/>
    </w:pPr>
    <w:rPr>
      <w:rFonts w:cs="Times New Roman"/>
      <w:kern w:val="2"/>
      <w:sz w:val="24"/>
      <w:szCs w:val="24"/>
    </w:rPr>
  </w:style>
  <w:style w:type="character" w:customStyle="1" w:styleId="1398">
    <w:name w:val="p14_black_1501"/>
    <w:qFormat/>
    <w:uiPriority w:val="0"/>
    <w:rPr>
      <w:sz w:val="22"/>
      <w:szCs w:val="22"/>
    </w:rPr>
  </w:style>
  <w:style w:type="paragraph" w:customStyle="1" w:styleId="1399">
    <w:name w:val="Char Char Char Char Char Char Char Char Char Char Char Char Char Char Char Char Char Char Char11"/>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400">
    <w:name w:val="样式 题注 + 黑色"/>
    <w:basedOn w:val="22"/>
    <w:link w:val="1401"/>
    <w:qFormat/>
    <w:uiPriority w:val="0"/>
    <w:pPr>
      <w:snapToGrid w:val="0"/>
      <w:spacing w:before="152" w:after="160" w:line="360" w:lineRule="auto"/>
      <w:ind w:firstLine="475" w:firstLineChars="198"/>
      <w:jc w:val="both"/>
    </w:pPr>
    <w:rPr>
      <w:rFonts w:ascii="宋体" w:hAnsi="宋体" w:eastAsia="宋体" w:cs="Arial"/>
      <w:color w:val="000000"/>
      <w:szCs w:val="20"/>
    </w:rPr>
  </w:style>
  <w:style w:type="character" w:customStyle="1" w:styleId="1401">
    <w:name w:val="样式 题注 + 黑色 Char"/>
    <w:link w:val="1400"/>
    <w:qFormat/>
    <w:uiPriority w:val="0"/>
    <w:rPr>
      <w:rFonts w:ascii="宋体" w:hAnsi="宋体" w:cs="Arial"/>
      <w:color w:val="000000"/>
      <w:sz w:val="24"/>
    </w:rPr>
  </w:style>
  <w:style w:type="paragraph" w:customStyle="1" w:styleId="1402">
    <w:name w:val="样式 首行缩进:  2 字符3"/>
    <w:basedOn w:val="1"/>
    <w:qFormat/>
    <w:uiPriority w:val="0"/>
    <w:pPr>
      <w:widowControl w:val="0"/>
      <w:snapToGrid w:val="0"/>
      <w:spacing w:line="360" w:lineRule="auto"/>
      <w:ind w:firstLine="480" w:firstLineChars="200"/>
      <w:jc w:val="both"/>
    </w:pPr>
    <w:rPr>
      <w:rFonts w:ascii="Times New Roman" w:hAnsi="Times New Roman"/>
      <w:kern w:val="2"/>
      <w:szCs w:val="20"/>
    </w:rPr>
  </w:style>
  <w:style w:type="character" w:customStyle="1" w:styleId="1403">
    <w:name w:val="Char111"/>
    <w:qFormat/>
    <w:uiPriority w:val="0"/>
    <w:rPr>
      <w:rFonts w:ascii="宋体" w:eastAsia="宋体"/>
      <w:sz w:val="24"/>
      <w:lang w:val="en-US" w:eastAsia="zh-CN" w:bidi="ar-SA"/>
    </w:rPr>
  </w:style>
  <w:style w:type="paragraph" w:customStyle="1" w:styleId="1404">
    <w:name w:val="样式 五号 居中 首行缩进:  0.74 厘米 行距: 单倍行距"/>
    <w:basedOn w:val="1"/>
    <w:qFormat/>
    <w:uiPriority w:val="0"/>
    <w:pPr>
      <w:widowControl w:val="0"/>
      <w:tabs>
        <w:tab w:val="left" w:pos="480"/>
      </w:tabs>
      <w:jc w:val="center"/>
    </w:pPr>
    <w:rPr>
      <w:rFonts w:ascii="Times New Roman" w:hAnsi="Times New Roman"/>
      <w:kern w:val="2"/>
      <w:sz w:val="21"/>
      <w:szCs w:val="20"/>
    </w:rPr>
  </w:style>
  <w:style w:type="character" w:customStyle="1" w:styleId="1405">
    <w:name w:val="样式 首行缩进:  2 字符1 Char Char"/>
    <w:qFormat/>
    <w:uiPriority w:val="0"/>
    <w:rPr>
      <w:snapToGrid w:val="0"/>
      <w:kern w:val="2"/>
      <w:sz w:val="24"/>
      <w:szCs w:val="24"/>
    </w:rPr>
  </w:style>
  <w:style w:type="character" w:customStyle="1" w:styleId="1406">
    <w:name w:val="detail_style11"/>
    <w:qFormat/>
    <w:uiPriority w:val="0"/>
    <w:rPr>
      <w:rFonts w:hint="default" w:ascii="Arial" w:hAnsi="Arial" w:cs="Arial"/>
      <w:color w:val="000000"/>
      <w:sz w:val="21"/>
      <w:szCs w:val="21"/>
    </w:rPr>
  </w:style>
  <w:style w:type="paragraph" w:customStyle="1" w:styleId="1407">
    <w:name w:val="Char Char Char Char Char Char1 Char Char Char Char Char Char Char Char Char Char Char Char Char Char Char Char"/>
    <w:basedOn w:val="1"/>
    <w:qFormat/>
    <w:uiPriority w:val="0"/>
    <w:pPr>
      <w:widowControl w:val="0"/>
      <w:jc w:val="both"/>
    </w:pPr>
    <w:rPr>
      <w:rFonts w:ascii="Times New Roman" w:hAnsi="Times New Roman" w:cs="Times New Roman"/>
      <w:b/>
      <w:bCs/>
      <w:kern w:val="2"/>
      <w:sz w:val="36"/>
      <w:szCs w:val="32"/>
    </w:rPr>
  </w:style>
  <w:style w:type="paragraph" w:customStyle="1" w:styleId="1408">
    <w:name w:val="Char Char Char Char Char Char Char Char Char Char Char Char Char Char Char Char Char Char Char Char Char Char1"/>
    <w:basedOn w:val="1"/>
    <w:next w:val="1"/>
    <w:qFormat/>
    <w:uiPriority w:val="0"/>
    <w:pPr>
      <w:widowControl w:val="0"/>
      <w:spacing w:line="360" w:lineRule="auto"/>
      <w:ind w:firstLine="200" w:firstLineChars="200"/>
      <w:jc w:val="both"/>
    </w:pPr>
    <w:rPr>
      <w:kern w:val="2"/>
    </w:rPr>
  </w:style>
  <w:style w:type="character" w:customStyle="1" w:styleId="1409">
    <w:name w:val="a21"/>
    <w:qFormat/>
    <w:uiPriority w:val="0"/>
    <w:rPr>
      <w:spacing w:val="335"/>
      <w:sz w:val="18"/>
      <w:szCs w:val="18"/>
    </w:rPr>
  </w:style>
  <w:style w:type="paragraph" w:customStyle="1" w:styleId="1410">
    <w:name w:val="环评表头"/>
    <w:link w:val="1411"/>
    <w:qFormat/>
    <w:uiPriority w:val="0"/>
    <w:pPr>
      <w:adjustRightInd w:val="0"/>
      <w:jc w:val="center"/>
    </w:pPr>
    <w:rPr>
      <w:rFonts w:ascii="Times New Roman" w:hAnsi="Times New Roman" w:eastAsia="宋体" w:cs="Times New Roman"/>
      <w:b/>
      <w:bCs/>
      <w:spacing w:val="-18"/>
      <w:kern w:val="44"/>
      <w:sz w:val="24"/>
      <w:szCs w:val="30"/>
      <w:lang w:val="en-US" w:eastAsia="zh-CN" w:bidi="ar-SA"/>
    </w:rPr>
  </w:style>
  <w:style w:type="character" w:customStyle="1" w:styleId="1411">
    <w:name w:val="环评表头 Char"/>
    <w:link w:val="1410"/>
    <w:qFormat/>
    <w:uiPriority w:val="0"/>
    <w:rPr>
      <w:b/>
      <w:bCs/>
      <w:spacing w:val="-18"/>
      <w:kern w:val="44"/>
      <w:sz w:val="24"/>
      <w:szCs w:val="30"/>
    </w:rPr>
  </w:style>
  <w:style w:type="paragraph" w:customStyle="1" w:styleId="1412">
    <w:name w:val="样式19"/>
    <w:basedOn w:val="1146"/>
    <w:link w:val="1413"/>
    <w:qFormat/>
    <w:uiPriority w:val="0"/>
    <w:pPr>
      <w:tabs>
        <w:tab w:val="left" w:pos="720"/>
        <w:tab w:val="left" w:pos="1548"/>
        <w:tab w:val="clear" w:pos="180"/>
      </w:tabs>
      <w:spacing w:before="156" w:after="156"/>
      <w:ind w:left="1548" w:hanging="864"/>
      <w:outlineLvl w:val="3"/>
    </w:pPr>
    <w:rPr>
      <w:rFonts w:eastAsia="宋体"/>
      <w:snapToGrid w:val="0"/>
      <w:kern w:val="2"/>
      <w:sz w:val="24"/>
      <w:szCs w:val="28"/>
    </w:rPr>
  </w:style>
  <w:style w:type="character" w:customStyle="1" w:styleId="1413">
    <w:name w:val="样式19 Char"/>
    <w:link w:val="1412"/>
    <w:qFormat/>
    <w:uiPriority w:val="0"/>
    <w:rPr>
      <w:snapToGrid w:val="0"/>
      <w:kern w:val="2"/>
      <w:sz w:val="24"/>
      <w:szCs w:val="28"/>
    </w:rPr>
  </w:style>
  <w:style w:type="paragraph" w:customStyle="1" w:styleId="1414">
    <w:name w:val="样式67"/>
    <w:basedOn w:val="1"/>
    <w:link w:val="1415"/>
    <w:qFormat/>
    <w:uiPriority w:val="0"/>
    <w:pPr>
      <w:widowControl w:val="0"/>
      <w:spacing w:line="360" w:lineRule="auto"/>
      <w:ind w:firstLine="480" w:firstLineChars="200"/>
      <w:jc w:val="both"/>
    </w:pPr>
    <w:rPr>
      <w:rFonts w:ascii="Times New Roman" w:hAnsi="Times New Roman" w:cs="Times New Roman"/>
      <w:kern w:val="2"/>
    </w:rPr>
  </w:style>
  <w:style w:type="character" w:customStyle="1" w:styleId="1415">
    <w:name w:val="样式67 Char"/>
    <w:link w:val="1414"/>
    <w:qFormat/>
    <w:uiPriority w:val="0"/>
    <w:rPr>
      <w:kern w:val="2"/>
      <w:sz w:val="24"/>
      <w:szCs w:val="24"/>
    </w:rPr>
  </w:style>
  <w:style w:type="paragraph" w:customStyle="1" w:styleId="1416">
    <w:name w:val="样式69"/>
    <w:basedOn w:val="1"/>
    <w:qFormat/>
    <w:uiPriority w:val="0"/>
    <w:pPr>
      <w:keepNext/>
      <w:keepLines/>
      <w:widowControl w:val="0"/>
      <w:tabs>
        <w:tab w:val="left" w:pos="425"/>
      </w:tabs>
      <w:spacing w:before="120" w:beforeLines="50" w:after="120" w:afterLines="50" w:line="360" w:lineRule="auto"/>
      <w:ind w:left="425" w:hanging="425"/>
      <w:jc w:val="both"/>
      <w:outlineLvl w:val="0"/>
    </w:pPr>
    <w:rPr>
      <w:rFonts w:ascii="Times New Roman" w:hAnsi="Times New Roman" w:eastAsia="Symbol" w:cs="Times New Roman"/>
      <w:kern w:val="44"/>
      <w:sz w:val="30"/>
      <w:szCs w:val="44"/>
    </w:rPr>
  </w:style>
  <w:style w:type="paragraph" w:customStyle="1" w:styleId="1417">
    <w:name w:val="样式76"/>
    <w:basedOn w:val="1"/>
    <w:qFormat/>
    <w:uiPriority w:val="0"/>
    <w:pPr>
      <w:keepNext/>
      <w:keepLines/>
      <w:widowControl w:val="0"/>
      <w:tabs>
        <w:tab w:val="left" w:pos="360"/>
        <w:tab w:val="left" w:pos="540"/>
        <w:tab w:val="left" w:pos="720"/>
      </w:tabs>
      <w:spacing w:before="120" w:beforeLines="50" w:after="120" w:afterLines="50" w:line="360" w:lineRule="auto"/>
      <w:ind w:left="567" w:hanging="567"/>
      <w:jc w:val="both"/>
      <w:outlineLvl w:val="2"/>
    </w:pPr>
    <w:rPr>
      <w:rFonts w:ascii="Times New Roman" w:hAnsi="Times New Roman" w:eastAsia="Symbol" w:cs="Times New Roman"/>
      <w:szCs w:val="32"/>
    </w:rPr>
  </w:style>
  <w:style w:type="paragraph" w:customStyle="1" w:styleId="1418">
    <w:name w:val="样式84"/>
    <w:basedOn w:val="1225"/>
    <w:qFormat/>
    <w:uiPriority w:val="0"/>
    <w:pPr>
      <w:tabs>
        <w:tab w:val="clear" w:pos="1440"/>
      </w:tabs>
    </w:pPr>
  </w:style>
  <w:style w:type="paragraph" w:customStyle="1" w:styleId="1419">
    <w:name w:val="样式85"/>
    <w:basedOn w:val="1"/>
    <w:qFormat/>
    <w:uiPriority w:val="0"/>
    <w:pPr>
      <w:keepNext/>
      <w:keepLines/>
      <w:widowControl w:val="0"/>
      <w:tabs>
        <w:tab w:val="left" w:pos="360"/>
        <w:tab w:val="left" w:pos="567"/>
      </w:tabs>
      <w:spacing w:before="120" w:beforeLines="50" w:after="120" w:afterLines="50" w:line="360" w:lineRule="auto"/>
      <w:ind w:left="567" w:hanging="567"/>
      <w:jc w:val="both"/>
      <w:outlineLvl w:val="1"/>
    </w:pPr>
    <w:rPr>
      <w:rFonts w:ascii="Times New Roman" w:hAnsi="Times New Roman" w:eastAsia="Symbol" w:cs="Times New Roman"/>
      <w:kern w:val="2"/>
      <w:sz w:val="28"/>
      <w:szCs w:val="28"/>
    </w:rPr>
  </w:style>
  <w:style w:type="paragraph" w:customStyle="1" w:styleId="1420">
    <w:name w:val="样式94"/>
    <w:basedOn w:val="1"/>
    <w:qFormat/>
    <w:uiPriority w:val="0"/>
    <w:pPr>
      <w:widowControl w:val="0"/>
      <w:spacing w:line="360" w:lineRule="auto"/>
      <w:ind w:firstLine="1041" w:firstLineChars="494"/>
      <w:jc w:val="both"/>
    </w:pPr>
    <w:rPr>
      <w:rFonts w:ascii="Times New Roman" w:hAnsi="Times New Roman" w:cs="Times New Roman"/>
      <w:b/>
      <w:kern w:val="2"/>
      <w:sz w:val="21"/>
      <w:szCs w:val="21"/>
    </w:rPr>
  </w:style>
  <w:style w:type="paragraph" w:customStyle="1" w:styleId="1421">
    <w:name w:val="Normal1"/>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422">
    <w:name w:val="Char Char1 Char Char Char Char"/>
    <w:basedOn w:val="1"/>
    <w:qFormat/>
    <w:uiPriority w:val="0"/>
    <w:pPr>
      <w:widowControl w:val="0"/>
      <w:jc w:val="both"/>
    </w:pPr>
    <w:rPr>
      <w:rFonts w:ascii="Times New Roman" w:hAnsi="Times New Roman" w:cs="Times New Roman"/>
      <w:kern w:val="2"/>
    </w:rPr>
  </w:style>
  <w:style w:type="paragraph" w:customStyle="1" w:styleId="1423">
    <w:name w:val="WPS Plain"/>
    <w:qFormat/>
    <w:uiPriority w:val="0"/>
    <w:rPr>
      <w:rFonts w:ascii="Times New Roman" w:hAnsi="Times New Roman" w:eastAsia="宋体" w:cs="Times New Roman"/>
      <w:lang w:val="en-US" w:eastAsia="zh-CN" w:bidi="ar-SA"/>
    </w:rPr>
  </w:style>
  <w:style w:type="paragraph" w:customStyle="1" w:styleId="1424">
    <w:name w:val="xl63"/>
    <w:basedOn w:val="1"/>
    <w:qFormat/>
    <w:uiPriority w:val="0"/>
    <w:pPr>
      <w:pBdr>
        <w:top w:val="single" w:color="auto" w:sz="4" w:space="0"/>
        <w:left w:val="single" w:color="auto" w:sz="4" w:space="0"/>
        <w:bottom w:val="single" w:color="auto" w:sz="4" w:space="0"/>
      </w:pBdr>
      <w:spacing w:before="100" w:beforeAutospacing="1" w:after="100" w:afterAutospacing="1"/>
      <w:textAlignment w:val="center"/>
    </w:pPr>
    <w:rPr>
      <w:rFonts w:ascii="Times New Roman" w:hAnsi="Times New Roman" w:cs="Times New Roman"/>
      <w:sz w:val="22"/>
      <w:szCs w:val="22"/>
    </w:rPr>
  </w:style>
  <w:style w:type="character" w:customStyle="1" w:styleId="1425">
    <w:name w:val="word3noad"/>
    <w:qFormat/>
    <w:uiPriority w:val="0"/>
  </w:style>
  <w:style w:type="character" w:customStyle="1" w:styleId="1426">
    <w:name w:val="gary101"/>
    <w:qFormat/>
    <w:uiPriority w:val="0"/>
    <w:rPr>
      <w:color w:val="000000"/>
      <w:sz w:val="21"/>
      <w:szCs w:val="21"/>
      <w:u w:val="none"/>
    </w:rPr>
  </w:style>
  <w:style w:type="character" w:customStyle="1" w:styleId="1427">
    <w:name w:val="f241"/>
    <w:qFormat/>
    <w:uiPriority w:val="0"/>
    <w:rPr>
      <w:sz w:val="36"/>
      <w:szCs w:val="36"/>
    </w:rPr>
  </w:style>
  <w:style w:type="paragraph" w:customStyle="1" w:styleId="1428">
    <w:name w:val="标题 21"/>
    <w:basedOn w:val="1"/>
    <w:next w:val="1"/>
    <w:qFormat/>
    <w:uiPriority w:val="0"/>
    <w:pPr>
      <w:keepNext/>
      <w:keepLines/>
      <w:widowControl w:val="0"/>
      <w:tabs>
        <w:tab w:val="left" w:pos="360"/>
        <w:tab w:val="left" w:pos="1380"/>
      </w:tabs>
      <w:spacing w:before="156" w:beforeLines="50" w:after="156" w:afterLines="50" w:line="360" w:lineRule="auto"/>
      <w:ind w:left="360" w:hanging="360" w:hangingChars="200"/>
      <w:textAlignment w:val="baseline"/>
      <w:outlineLvl w:val="1"/>
    </w:pPr>
    <w:rPr>
      <w:rFonts w:ascii="Times New Roman" w:hAnsi="Times New Roman" w:cs="Times New Roman"/>
      <w:kern w:val="2"/>
      <w:sz w:val="30"/>
    </w:rPr>
  </w:style>
  <w:style w:type="paragraph" w:customStyle="1" w:styleId="1429">
    <w:name w:val="标题 61"/>
    <w:basedOn w:val="1"/>
    <w:next w:val="1"/>
    <w:qFormat/>
    <w:uiPriority w:val="0"/>
    <w:pPr>
      <w:keepNext/>
      <w:keepLines/>
      <w:widowControl w:val="0"/>
      <w:tabs>
        <w:tab w:val="left" w:pos="0"/>
        <w:tab w:val="left" w:pos="360"/>
        <w:tab w:val="left" w:pos="2520"/>
      </w:tabs>
      <w:spacing w:before="240" w:after="64" w:line="320" w:lineRule="atLeast"/>
      <w:ind w:left="360" w:hanging="360" w:hangingChars="200"/>
      <w:textAlignment w:val="baseline"/>
      <w:outlineLvl w:val="5"/>
    </w:pPr>
    <w:rPr>
      <w:rFonts w:hint="eastAsia" w:ascii="Arial" w:hAnsi="Arial" w:eastAsia="Symbol" w:cs="Times New Roman"/>
      <w:b/>
      <w:kern w:val="2"/>
    </w:rPr>
  </w:style>
  <w:style w:type="paragraph" w:customStyle="1" w:styleId="1430">
    <w:name w:val="标题 31"/>
    <w:basedOn w:val="1"/>
    <w:next w:val="1"/>
    <w:qFormat/>
    <w:uiPriority w:val="0"/>
    <w:pPr>
      <w:keepNext/>
      <w:keepLines/>
      <w:widowControl w:val="0"/>
      <w:tabs>
        <w:tab w:val="left" w:pos="0"/>
        <w:tab w:val="left" w:pos="567"/>
      </w:tabs>
      <w:spacing w:line="360" w:lineRule="auto"/>
      <w:textAlignment w:val="baseline"/>
      <w:outlineLvl w:val="2"/>
    </w:pPr>
    <w:rPr>
      <w:rFonts w:hint="eastAsia" w:ascii="Times New Roman" w:hAnsi="Times New Roman" w:cs="Times New Roman"/>
      <w:b/>
      <w:color w:val="000000"/>
      <w:kern w:val="2"/>
    </w:rPr>
  </w:style>
  <w:style w:type="paragraph" w:customStyle="1" w:styleId="1431">
    <w:name w:val="样式 标题 2 + 行距: 单倍行距"/>
    <w:basedOn w:val="4"/>
    <w:qFormat/>
    <w:uiPriority w:val="0"/>
    <w:pPr>
      <w:widowControl w:val="0"/>
      <w:numPr>
        <w:ilvl w:val="0"/>
        <w:numId w:val="0"/>
      </w:numPr>
      <w:spacing w:before="0" w:after="0" w:line="480" w:lineRule="auto"/>
      <w:jc w:val="both"/>
    </w:pPr>
    <w:rPr>
      <w:rFonts w:eastAsia="Symbol"/>
      <w:bCs/>
      <w:kern w:val="2"/>
      <w:szCs w:val="20"/>
    </w:rPr>
  </w:style>
  <w:style w:type="paragraph" w:customStyle="1" w:styleId="1432">
    <w:name w:val="标题 41"/>
    <w:basedOn w:val="1"/>
    <w:next w:val="1433"/>
    <w:qFormat/>
    <w:uiPriority w:val="0"/>
    <w:pPr>
      <w:widowControl w:val="0"/>
      <w:tabs>
        <w:tab w:val="left" w:pos="900"/>
        <w:tab w:val="left" w:pos="960"/>
        <w:tab w:val="left" w:pos="1984"/>
      </w:tabs>
      <w:snapToGrid w:val="0"/>
      <w:ind w:left="1984" w:hanging="708"/>
      <w:textAlignment w:val="baseline"/>
      <w:outlineLvl w:val="3"/>
    </w:pPr>
    <w:rPr>
      <w:rFonts w:hint="eastAsia" w:ascii="Times New Roman" w:cs="Times New Roman"/>
      <w:kern w:val="2"/>
      <w:sz w:val="21"/>
    </w:rPr>
  </w:style>
  <w:style w:type="paragraph" w:customStyle="1" w:styleId="1433">
    <w:name w:val="Normal Indent1"/>
    <w:basedOn w:val="1"/>
    <w:qFormat/>
    <w:uiPriority w:val="0"/>
    <w:pPr>
      <w:widowControl w:val="0"/>
      <w:ind w:firstLine="420"/>
      <w:jc w:val="both"/>
    </w:pPr>
    <w:rPr>
      <w:rFonts w:ascii="Times New Roman" w:hAnsi="Times New Roman" w:cs="Times New Roman"/>
      <w:kern w:val="2"/>
    </w:rPr>
  </w:style>
  <w:style w:type="paragraph" w:customStyle="1" w:styleId="1434">
    <w:name w:val="标题 11"/>
    <w:basedOn w:val="1"/>
    <w:next w:val="1"/>
    <w:qFormat/>
    <w:uiPriority w:val="0"/>
    <w:pPr>
      <w:keepNext/>
      <w:keepLines/>
      <w:widowControl w:val="0"/>
      <w:tabs>
        <w:tab w:val="left" w:pos="360"/>
        <w:tab w:val="left" w:pos="630"/>
        <w:tab w:val="left" w:pos="874"/>
      </w:tabs>
      <w:spacing w:before="312" w:beforeLines="100" w:after="312" w:afterLines="100" w:line="360" w:lineRule="auto"/>
      <w:ind w:left="360" w:hanging="360" w:hangingChars="200"/>
      <w:textAlignment w:val="baseline"/>
      <w:outlineLvl w:val="0"/>
    </w:pPr>
    <w:rPr>
      <w:rFonts w:hint="eastAsia" w:ascii="Times New Roman" w:hAnsi="Times New Roman" w:cs="Times New Roman"/>
      <w:b/>
      <w:kern w:val="44"/>
      <w:sz w:val="30"/>
    </w:rPr>
  </w:style>
  <w:style w:type="paragraph" w:customStyle="1" w:styleId="1435">
    <w:name w:val="标题 51"/>
    <w:basedOn w:val="1"/>
    <w:next w:val="1"/>
    <w:qFormat/>
    <w:uiPriority w:val="0"/>
    <w:pPr>
      <w:keepNext/>
      <w:keepLines/>
      <w:widowControl w:val="0"/>
      <w:tabs>
        <w:tab w:val="left" w:pos="0"/>
        <w:tab w:val="left" w:pos="360"/>
        <w:tab w:val="left" w:pos="2100"/>
      </w:tabs>
      <w:spacing w:before="120" w:after="240" w:line="400" w:lineRule="atLeast"/>
      <w:ind w:left="360" w:hanging="360" w:hangingChars="200"/>
      <w:textAlignment w:val="baseline"/>
      <w:outlineLvl w:val="4"/>
    </w:pPr>
    <w:rPr>
      <w:rFonts w:hint="eastAsia" w:ascii="Times New Roman" w:hAnsi="Times New Roman" w:cs="Times New Roman"/>
      <w:b/>
      <w:kern w:val="2"/>
      <w:sz w:val="28"/>
    </w:rPr>
  </w:style>
  <w:style w:type="paragraph" w:customStyle="1" w:styleId="1436">
    <w:name w:val="Body Text Indent1"/>
    <w:basedOn w:val="1"/>
    <w:qFormat/>
    <w:uiPriority w:val="0"/>
    <w:pPr>
      <w:widowControl w:val="0"/>
      <w:ind w:firstLine="480"/>
      <w:jc w:val="both"/>
    </w:pPr>
    <w:rPr>
      <w:rFonts w:ascii="Times New Roman" w:hAnsi="Times New Roman" w:cs="Times New Roman"/>
      <w:kern w:val="2"/>
    </w:rPr>
  </w:style>
  <w:style w:type="paragraph" w:customStyle="1" w:styleId="1437">
    <w:name w:val="自制表格1"/>
    <w:basedOn w:val="1"/>
    <w:next w:val="1"/>
    <w:qFormat/>
    <w:uiPriority w:val="0"/>
    <w:pPr>
      <w:widowControl w:val="0"/>
      <w:adjustRightInd w:val="0"/>
      <w:snapToGrid w:val="0"/>
      <w:jc w:val="center"/>
    </w:pPr>
    <w:rPr>
      <w:rFonts w:ascii="Times New Roman" w:hAnsi="Times New Roman" w:cs="Times New Roman"/>
      <w:kern w:val="2"/>
    </w:rPr>
  </w:style>
  <w:style w:type="paragraph" w:customStyle="1" w:styleId="1438">
    <w:name w:val="样式52"/>
    <w:basedOn w:val="5"/>
    <w:qFormat/>
    <w:uiPriority w:val="0"/>
    <w:pPr>
      <w:widowControl w:val="0"/>
      <w:spacing w:before="120" w:beforeLines="50" w:after="120" w:afterLines="50" w:line="360" w:lineRule="auto"/>
      <w:jc w:val="both"/>
      <w:textAlignment w:val="baseline"/>
    </w:pPr>
    <w:rPr>
      <w:rFonts w:ascii="Times New Roman" w:hAnsi="Times New Roman" w:cs="Times New Roman"/>
      <w:bCs w:val="0"/>
      <w:sz w:val="24"/>
      <w:szCs w:val="20"/>
    </w:rPr>
  </w:style>
  <w:style w:type="paragraph" w:customStyle="1" w:styleId="1439">
    <w:name w:val="目录1"/>
    <w:basedOn w:val="46"/>
    <w:qFormat/>
    <w:uiPriority w:val="0"/>
    <w:pPr>
      <w:widowControl w:val="0"/>
      <w:tabs>
        <w:tab w:val="right" w:leader="dot" w:pos="8715"/>
      </w:tabs>
      <w:adjustRightInd w:val="0"/>
      <w:snapToGrid w:val="0"/>
      <w:spacing w:before="156" w:beforeLines="50" w:line="360" w:lineRule="auto"/>
      <w:jc w:val="both"/>
    </w:pPr>
    <w:rPr>
      <w:rFonts w:hAnsi="宋体" w:cs="Times New Roman"/>
      <w:b/>
      <w:bCs/>
      <w:kern w:val="2"/>
      <w:szCs w:val="20"/>
    </w:rPr>
  </w:style>
  <w:style w:type="paragraph" w:customStyle="1" w:styleId="1440">
    <w:name w:val="pic-info"/>
    <w:basedOn w:val="1"/>
    <w:qFormat/>
    <w:uiPriority w:val="0"/>
    <w:pPr>
      <w:spacing w:before="100" w:beforeAutospacing="1" w:after="100" w:afterAutospacing="1"/>
    </w:pPr>
  </w:style>
  <w:style w:type="paragraph" w:customStyle="1" w:styleId="1441">
    <w:name w:val="样式Q"/>
    <w:basedOn w:val="1"/>
    <w:qFormat/>
    <w:uiPriority w:val="0"/>
    <w:pPr>
      <w:keepNext/>
      <w:keepLines/>
      <w:widowControl w:val="0"/>
      <w:tabs>
        <w:tab w:val="left" w:pos="360"/>
      </w:tabs>
      <w:spacing w:before="156" w:beforeLines="50" w:after="156" w:afterLines="50" w:line="360" w:lineRule="auto"/>
      <w:ind w:left="360" w:hanging="360" w:hangingChars="200"/>
      <w:jc w:val="both"/>
      <w:outlineLvl w:val="0"/>
    </w:pPr>
    <w:rPr>
      <w:rFonts w:ascii="Times New Roman" w:hAnsi="Times New Roman" w:eastAsia="Symbol" w:cs="Times New Roman"/>
      <w:kern w:val="44"/>
      <w:sz w:val="30"/>
      <w:szCs w:val="44"/>
    </w:rPr>
  </w:style>
  <w:style w:type="paragraph" w:customStyle="1" w:styleId="1442">
    <w:name w:val="样式S"/>
    <w:basedOn w:val="1"/>
    <w:qFormat/>
    <w:uiPriority w:val="0"/>
    <w:pPr>
      <w:keepNext/>
      <w:keepLines/>
      <w:widowControl w:val="0"/>
      <w:tabs>
        <w:tab w:val="left" w:pos="720"/>
        <w:tab w:val="left" w:pos="1080"/>
      </w:tabs>
      <w:spacing w:before="156" w:beforeLines="50" w:after="156" w:afterLines="50" w:line="360" w:lineRule="auto"/>
      <w:ind w:left="708" w:hanging="708"/>
      <w:jc w:val="both"/>
      <w:outlineLvl w:val="3"/>
    </w:pPr>
    <w:rPr>
      <w:rFonts w:ascii="Times New Roman" w:hAnsi="Times New Roman" w:cs="Times New Roman"/>
      <w:color w:val="000000"/>
      <w:kern w:val="2"/>
      <w:szCs w:val="28"/>
    </w:rPr>
  </w:style>
  <w:style w:type="paragraph" w:customStyle="1" w:styleId="1443">
    <w:name w:val="正文缩进1"/>
    <w:basedOn w:val="1"/>
    <w:qFormat/>
    <w:uiPriority w:val="0"/>
    <w:pPr>
      <w:widowControl w:val="0"/>
      <w:ind w:firstLine="420"/>
      <w:jc w:val="both"/>
    </w:pPr>
    <w:rPr>
      <w:rFonts w:ascii="Times New Roman" w:hAnsi="Times New Roman" w:cs="Times New Roman"/>
      <w:kern w:val="2"/>
    </w:rPr>
  </w:style>
  <w:style w:type="paragraph" w:customStyle="1" w:styleId="1444">
    <w:name w:val="6表(图)头(治)"/>
    <w:next w:val="1"/>
    <w:qFormat/>
    <w:uiPriority w:val="0"/>
    <w:pPr>
      <w:widowControl w:val="0"/>
      <w:spacing w:line="216" w:lineRule="auto"/>
      <w:jc w:val="center"/>
    </w:pPr>
    <w:rPr>
      <w:rFonts w:ascii="Times New Roman" w:hAnsi="Times New Roman" w:eastAsia="Symbol" w:cs="Times New Roman"/>
      <w:sz w:val="28"/>
      <w:szCs w:val="28"/>
      <w:lang w:val="en-US" w:eastAsia="zh-CN" w:bidi="ar-SA"/>
    </w:rPr>
  </w:style>
  <w:style w:type="paragraph" w:customStyle="1" w:styleId="1445">
    <w:name w:val="7表格(治)"/>
    <w:qFormat/>
    <w:uiPriority w:val="0"/>
    <w:pPr>
      <w:jc w:val="center"/>
    </w:pPr>
    <w:rPr>
      <w:rFonts w:ascii="Times New Roman" w:hAnsi="Times New Roman" w:eastAsia="Arial" w:cs="Times New Roman"/>
      <w:bCs/>
      <w:color w:val="000000"/>
      <w:sz w:val="21"/>
      <w:lang w:val="en-US" w:eastAsia="zh-CN" w:bidi="ar-SA"/>
    </w:rPr>
  </w:style>
  <w:style w:type="character" w:customStyle="1" w:styleId="1446">
    <w:name w:val="cmp_attname"/>
    <w:qFormat/>
    <w:uiPriority w:val="0"/>
  </w:style>
  <w:style w:type="paragraph" w:customStyle="1" w:styleId="1447">
    <w:name w:val="样式 列表 +"/>
    <w:basedOn w:val="66"/>
    <w:link w:val="1448"/>
    <w:qFormat/>
    <w:uiPriority w:val="0"/>
    <w:pPr>
      <w:snapToGrid w:val="0"/>
      <w:ind w:left="0" w:firstLine="0" w:firstLineChars="0"/>
    </w:pPr>
    <w:rPr>
      <w:kern w:val="0"/>
    </w:rPr>
  </w:style>
  <w:style w:type="character" w:customStyle="1" w:styleId="1448">
    <w:name w:val="样式 列表 + Char"/>
    <w:link w:val="1447"/>
    <w:qFormat/>
    <w:uiPriority w:val="0"/>
    <w:rPr>
      <w:sz w:val="21"/>
      <w:szCs w:val="24"/>
    </w:rPr>
  </w:style>
  <w:style w:type="paragraph" w:customStyle="1" w:styleId="1449">
    <w:name w:val="标题 2，节"/>
    <w:basedOn w:val="4"/>
    <w:qFormat/>
    <w:uiPriority w:val="0"/>
    <w:pPr>
      <w:widowControl w:val="0"/>
      <w:numPr>
        <w:ilvl w:val="0"/>
        <w:numId w:val="0"/>
      </w:numPr>
      <w:adjustRightInd w:val="0"/>
      <w:snapToGrid w:val="0"/>
      <w:spacing w:beforeLines="50" w:line="416" w:lineRule="auto"/>
      <w:jc w:val="both"/>
    </w:pPr>
    <w:rPr>
      <w:rFonts w:ascii="宋体" w:hAnsi="宋体" w:eastAsia="宋体" w:cs="Times New Roman"/>
      <w:bCs/>
      <w:kern w:val="2"/>
      <w:sz w:val="24"/>
      <w:szCs w:val="32"/>
    </w:rPr>
  </w:style>
  <w:style w:type="paragraph" w:customStyle="1" w:styleId="1450">
    <w:name w:val="td9-22"/>
    <w:basedOn w:val="1"/>
    <w:qFormat/>
    <w:uiPriority w:val="0"/>
    <w:pPr>
      <w:spacing w:before="100" w:beforeAutospacing="1" w:after="100" w:afterAutospacing="1"/>
    </w:pPr>
    <w:rPr>
      <w:color w:val="000000"/>
    </w:rPr>
  </w:style>
  <w:style w:type="character" w:customStyle="1" w:styleId="1451">
    <w:name w:val="text"/>
    <w:qFormat/>
    <w:uiPriority w:val="0"/>
  </w:style>
  <w:style w:type="character" w:customStyle="1" w:styleId="1452">
    <w:name w:val="question-title"/>
    <w:qFormat/>
    <w:uiPriority w:val="0"/>
  </w:style>
  <w:style w:type="paragraph" w:customStyle="1" w:styleId="1453">
    <w:name w:val="Char Char Char1 Char Char Char Char Char Char Char Char Char Char Char Char Char Char Char Char Char Char Char Char Char Char Char Char Char Char Char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1454">
    <w:name w:val="样式 标题 1 + 首行缩进:  2 字符"/>
    <w:basedOn w:val="3"/>
    <w:qFormat/>
    <w:uiPriority w:val="0"/>
    <w:pPr>
      <w:keepLines/>
      <w:widowControl w:val="0"/>
      <w:overflowPunct/>
      <w:snapToGrid/>
      <w:spacing w:before="340" w:after="330" w:line="578" w:lineRule="auto"/>
      <w:ind w:left="0" w:firstLine="0"/>
      <w:jc w:val="both"/>
    </w:pPr>
    <w:rPr>
      <w:rFonts w:ascii="Times New Roman" w:hAnsi="Times New Roman" w:eastAsia="宋体"/>
      <w:color w:val="auto"/>
      <w:sz w:val="44"/>
      <w:szCs w:val="20"/>
    </w:rPr>
  </w:style>
  <w:style w:type="paragraph" w:customStyle="1" w:styleId="1455">
    <w:name w:val="样式 标题 2H2标题1.1节SeHead wsa2标题 1.1节标题 1.11.1标题2b2标题2 + 首..."/>
    <w:basedOn w:val="4"/>
    <w:qFormat/>
    <w:uiPriority w:val="0"/>
    <w:pPr>
      <w:widowControl w:val="0"/>
      <w:numPr>
        <w:ilvl w:val="0"/>
        <w:numId w:val="0"/>
      </w:numPr>
      <w:spacing w:before="100" w:beforeLines="100" w:after="100" w:line="415" w:lineRule="auto"/>
      <w:jc w:val="both"/>
    </w:pPr>
    <w:rPr>
      <w:rFonts w:eastAsia="Symbol"/>
      <w:b w:val="0"/>
      <w:bCs/>
      <w:kern w:val="2"/>
      <w:szCs w:val="20"/>
    </w:rPr>
  </w:style>
  <w:style w:type="paragraph" w:customStyle="1" w:styleId="1456">
    <w:name w:val="111"/>
    <w:basedOn w:val="3"/>
    <w:qFormat/>
    <w:uiPriority w:val="0"/>
    <w:pPr>
      <w:keepLines/>
      <w:widowControl w:val="0"/>
      <w:overflowPunct/>
      <w:snapToGrid/>
      <w:spacing w:before="0" w:after="0" w:line="360" w:lineRule="auto"/>
      <w:ind w:left="0" w:firstLine="200" w:firstLineChars="200"/>
      <w:jc w:val="both"/>
    </w:pPr>
    <w:rPr>
      <w:rFonts w:ascii="Times New Roman" w:hAnsi="Times New Roman" w:eastAsia="宋体" w:cs="Times New Roman"/>
      <w:b w:val="0"/>
      <w:color w:val="auto"/>
      <w:sz w:val="36"/>
      <w:szCs w:val="44"/>
    </w:rPr>
  </w:style>
  <w:style w:type="character" w:customStyle="1" w:styleId="1457">
    <w:name w:val="t-14"/>
    <w:qFormat/>
    <w:uiPriority w:val="0"/>
  </w:style>
  <w:style w:type="paragraph" w:customStyle="1" w:styleId="1458">
    <w:name w:val="样式 标题 3H3B Head节1一标题 3 Char Char标题 3 Char Char Char Char标..."/>
    <w:basedOn w:val="5"/>
    <w:qFormat/>
    <w:uiPriority w:val="0"/>
    <w:pPr>
      <w:widowControl w:val="0"/>
      <w:spacing w:before="120" w:after="120" w:line="360" w:lineRule="auto"/>
    </w:pPr>
    <w:rPr>
      <w:rFonts w:ascii="Times New Roman" w:hAnsi="Times New Roman"/>
      <w:kern w:val="2"/>
      <w:sz w:val="28"/>
      <w:szCs w:val="20"/>
    </w:rPr>
  </w:style>
  <w:style w:type="paragraph" w:customStyle="1" w:styleId="1459">
    <w:name w:val="Char1 Char Char Char111"/>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460">
    <w:name w:val="样式 样式 标题 2H2标题1.1节SeHead wsa2标题 1.1节标题 1.11.1标题2b2标题2 + 首... +"/>
    <w:basedOn w:val="1455"/>
    <w:qFormat/>
    <w:uiPriority w:val="0"/>
    <w:rPr>
      <w:rFonts w:eastAsia="宋体"/>
      <w:b/>
      <w:bCs w:val="0"/>
      <w:kern w:val="0"/>
    </w:rPr>
  </w:style>
  <w:style w:type="paragraph" w:customStyle="1" w:styleId="1461">
    <w:name w:val="样式 样式 样式 标题 2H2标题1.1节SeHead wsa2标题 1.1节标题 1.11.1标题2b2标题2 + 首... ..."/>
    <w:basedOn w:val="1460"/>
    <w:qFormat/>
    <w:uiPriority w:val="0"/>
    <w:rPr>
      <w:b w:val="0"/>
    </w:rPr>
  </w:style>
  <w:style w:type="paragraph" w:customStyle="1" w:styleId="1462">
    <w:name w:val="样式 样式 标题 2H2标题1.1节SeHead wsa2标题 1.1节标题 1.11.1标题2b2标题2 + 首... + 加粗"/>
    <w:basedOn w:val="1455"/>
    <w:qFormat/>
    <w:uiPriority w:val="0"/>
  </w:style>
  <w:style w:type="character" w:customStyle="1" w:styleId="1463">
    <w:name w:val="正文1 Char"/>
    <w:qFormat/>
    <w:uiPriority w:val="0"/>
    <w:rPr>
      <w:rFonts w:eastAsia="Arial"/>
      <w:kern w:val="2"/>
      <w:sz w:val="24"/>
      <w:lang w:val="en-US" w:eastAsia="zh-CN" w:bidi="ar-SA"/>
    </w:rPr>
  </w:style>
  <w:style w:type="paragraph" w:customStyle="1" w:styleId="1464">
    <w:name w:val="样式 标题 4 + (中文) 宋体 段前: 6 磅 段后: 6 磅"/>
    <w:basedOn w:val="6"/>
    <w:qFormat/>
    <w:uiPriority w:val="0"/>
    <w:pPr>
      <w:keepNext w:val="0"/>
      <w:keepLines w:val="0"/>
      <w:widowControl w:val="0"/>
      <w:topLinePunct/>
      <w:adjustRightInd w:val="0"/>
      <w:spacing w:before="0" w:after="0" w:line="312" w:lineRule="exact"/>
      <w:jc w:val="center"/>
      <w:textAlignment w:val="baseline"/>
      <w:outlineLvl w:val="9"/>
    </w:pPr>
    <w:rPr>
      <w:rFonts w:ascii="Times New Roman" w:hAnsi="Times New Roman" w:eastAsia="宋体" w:cs="Times New Roman"/>
      <w:b w:val="0"/>
      <w:bCs w:val="0"/>
      <w:kern w:val="2"/>
      <w:sz w:val="21"/>
      <w:szCs w:val="24"/>
    </w:rPr>
  </w:style>
  <w:style w:type="paragraph" w:customStyle="1" w:styleId="1465">
    <w:name w:val="样式 正文首行缩进 + 四号 首行缩进:  1 字符 Char"/>
    <w:basedOn w:val="86"/>
    <w:qFormat/>
    <w:uiPriority w:val="0"/>
    <w:pPr>
      <w:widowControl w:val="0"/>
      <w:spacing w:after="120" w:line="500" w:lineRule="atLeast"/>
      <w:ind w:firstLine="538" w:firstLineChars="192"/>
    </w:pPr>
    <w:rPr>
      <w:rFonts w:ascii="Times New Roman" w:hAnsi="Times New Roman" w:cs="Times New Roman"/>
      <w:kern w:val="2"/>
      <w:sz w:val="28"/>
    </w:rPr>
  </w:style>
  <w:style w:type="paragraph" w:customStyle="1" w:styleId="1466">
    <w:name w:val="样式 标题 4 + 宋体 段前: 6 磅 段后: 6 磅"/>
    <w:basedOn w:val="6"/>
    <w:qFormat/>
    <w:uiPriority w:val="0"/>
    <w:pPr>
      <w:keepNext w:val="0"/>
      <w:keepLines w:val="0"/>
      <w:widowControl w:val="0"/>
      <w:adjustRightInd w:val="0"/>
      <w:spacing w:before="120" w:after="120" w:line="490" w:lineRule="exact"/>
      <w:jc w:val="both"/>
      <w:textAlignment w:val="baseline"/>
    </w:pPr>
    <w:rPr>
      <w:rFonts w:ascii="宋体" w:hAnsi="宋体" w:eastAsia="宋体" w:cs="Times New Roman"/>
      <w:b w:val="0"/>
      <w:bCs w:val="0"/>
      <w:sz w:val="24"/>
      <w:szCs w:val="20"/>
    </w:rPr>
  </w:style>
  <w:style w:type="character" w:customStyle="1" w:styleId="1467">
    <w:name w:val="样式2 Char"/>
    <w:qFormat/>
    <w:uiPriority w:val="0"/>
    <w:rPr>
      <w:rFonts w:eastAsia="Symbol"/>
      <w:b/>
      <w:kern w:val="44"/>
      <w:sz w:val="30"/>
      <w:szCs w:val="28"/>
      <w:lang w:val="en-US" w:eastAsia="zh-CN" w:bidi="ar-SA"/>
    </w:rPr>
  </w:style>
  <w:style w:type="paragraph" w:customStyle="1" w:styleId="1468">
    <w:name w:val="xl61"/>
    <w:basedOn w:val="1"/>
    <w:qFormat/>
    <w:uiPriority w:val="0"/>
    <w:pPr>
      <w:pBdr>
        <w:top w:val="single" w:color="auto" w:sz="4" w:space="0"/>
        <w:left w:val="single" w:color="auto" w:sz="8" w:space="0"/>
        <w:right w:val="single" w:color="auto" w:sz="4" w:space="0"/>
      </w:pBdr>
      <w:spacing w:before="100" w:beforeAutospacing="1" w:after="100" w:afterAutospacing="1"/>
      <w:jc w:val="center"/>
      <w:textAlignment w:val="center"/>
    </w:pPr>
    <w:rPr>
      <w:sz w:val="18"/>
      <w:szCs w:val="18"/>
    </w:rPr>
  </w:style>
  <w:style w:type="paragraph" w:customStyle="1" w:styleId="1469">
    <w:name w:val="样式 四号 行距: 固定值 25 磅"/>
    <w:basedOn w:val="6"/>
    <w:qFormat/>
    <w:uiPriority w:val="0"/>
    <w:pPr>
      <w:widowControl w:val="0"/>
      <w:tabs>
        <w:tab w:val="left" w:pos="0"/>
      </w:tabs>
      <w:adjustRightInd w:val="0"/>
      <w:spacing w:before="120" w:after="120" w:line="500" w:lineRule="exact"/>
      <w:ind w:firstLine="980" w:firstLineChars="200"/>
      <w:textAlignment w:val="baseline"/>
    </w:pPr>
    <w:rPr>
      <w:rFonts w:ascii="Times New Roman" w:hAnsi="Times New Roman" w:eastAsia="宋体" w:cs="宋体"/>
      <w:b w:val="0"/>
      <w:bCs w:val="0"/>
      <w:szCs w:val="20"/>
    </w:rPr>
  </w:style>
  <w:style w:type="paragraph" w:customStyle="1" w:styleId="1470">
    <w:name w:val="0表格文字 五号 常规"/>
    <w:basedOn w:val="1"/>
    <w:qFormat/>
    <w:uiPriority w:val="0"/>
    <w:pPr>
      <w:widowControl w:val="0"/>
      <w:tabs>
        <w:tab w:val="left" w:pos="600"/>
      </w:tabs>
      <w:autoSpaceDE w:val="0"/>
      <w:autoSpaceDN w:val="0"/>
      <w:adjustRightInd w:val="0"/>
      <w:spacing w:before="60" w:after="60"/>
      <w:ind w:left="600" w:hanging="600"/>
      <w:jc w:val="center"/>
    </w:pPr>
    <w:rPr>
      <w:rFonts w:ascii="Times New Roman" w:hAnsi="Times New Roman" w:cs="Times New Roman"/>
      <w:kern w:val="2"/>
      <w:sz w:val="21"/>
      <w:szCs w:val="20"/>
    </w:rPr>
  </w:style>
  <w:style w:type="paragraph" w:customStyle="1" w:styleId="1471">
    <w:name w:val="002 章"/>
    <w:basedOn w:val="1"/>
    <w:next w:val="1"/>
    <w:qFormat/>
    <w:uiPriority w:val="0"/>
    <w:pPr>
      <w:keepNext/>
      <w:widowControl w:val="0"/>
      <w:tabs>
        <w:tab w:val="left" w:pos="600"/>
      </w:tabs>
      <w:adjustRightInd w:val="0"/>
      <w:spacing w:before="720" w:after="120" w:line="480" w:lineRule="auto"/>
      <w:ind w:left="600" w:firstLine="400"/>
      <w:jc w:val="center"/>
      <w:textAlignment w:val="baseline"/>
      <w:outlineLvl w:val="1"/>
    </w:pPr>
    <w:rPr>
      <w:rFonts w:ascii="Symbol" w:hAnsi="minorBidi" w:eastAsia="Symbol" w:cs="Times New Roman"/>
      <w:spacing w:val="26"/>
      <w:szCs w:val="32"/>
    </w:rPr>
  </w:style>
  <w:style w:type="paragraph" w:customStyle="1" w:styleId="1472">
    <w:name w:val="003 节"/>
    <w:next w:val="1"/>
    <w:qFormat/>
    <w:uiPriority w:val="0"/>
    <w:pPr>
      <w:keepNext/>
      <w:widowControl w:val="0"/>
      <w:tabs>
        <w:tab w:val="left" w:pos="1740"/>
      </w:tabs>
      <w:spacing w:before="240" w:after="120" w:line="480" w:lineRule="auto"/>
      <w:ind w:left="1740" w:hanging="420"/>
      <w:jc w:val="center"/>
      <w:outlineLvl w:val="2"/>
    </w:pPr>
    <w:rPr>
      <w:rFonts w:ascii="Arial" w:hAnsi="Arial" w:eastAsia="Symbol" w:cs="Times New Roman"/>
      <w:spacing w:val="10"/>
      <w:sz w:val="24"/>
      <w:szCs w:val="24"/>
      <w:lang w:val="en-US" w:eastAsia="zh-CN" w:bidi="ar-SA"/>
    </w:rPr>
  </w:style>
  <w:style w:type="paragraph" w:customStyle="1" w:styleId="1473">
    <w:name w:val="004 条"/>
    <w:basedOn w:val="1"/>
    <w:next w:val="1"/>
    <w:qFormat/>
    <w:uiPriority w:val="0"/>
    <w:pPr>
      <w:keepNext/>
      <w:widowControl w:val="0"/>
      <w:tabs>
        <w:tab w:val="left" w:pos="2160"/>
      </w:tabs>
      <w:adjustRightInd w:val="0"/>
      <w:snapToGrid w:val="0"/>
      <w:spacing w:before="120" w:line="288" w:lineRule="auto"/>
      <w:ind w:left="2160" w:hanging="420"/>
      <w:jc w:val="both"/>
      <w:textAlignment w:val="baseline"/>
      <w:outlineLvl w:val="3"/>
    </w:pPr>
    <w:rPr>
      <w:rFonts w:ascii="Arial" w:hAnsi="Arial" w:eastAsia="Symbol" w:cs="Times New Roman"/>
      <w:sz w:val="21"/>
      <w:szCs w:val="21"/>
    </w:rPr>
  </w:style>
  <w:style w:type="paragraph" w:customStyle="1" w:styleId="1474">
    <w:name w:val="Char Char Char Char Char Char Char Char Char Char Char Char Char Char Char Char"/>
    <w:basedOn w:val="1"/>
    <w:qFormat/>
    <w:uiPriority w:val="0"/>
    <w:pPr>
      <w:widowControl w:val="0"/>
      <w:spacing w:line="360" w:lineRule="auto"/>
      <w:ind w:firstLine="200" w:firstLineChars="200"/>
      <w:jc w:val="both"/>
    </w:pPr>
    <w:rPr>
      <w:kern w:val="2"/>
    </w:rPr>
  </w:style>
  <w:style w:type="paragraph" w:customStyle="1" w:styleId="1475">
    <w:name w:val="Char Char Char Char Char Char1 Char Char Char Char Char Char Char Char Char Char"/>
    <w:basedOn w:val="1"/>
    <w:qFormat/>
    <w:uiPriority w:val="0"/>
    <w:pPr>
      <w:widowControl w:val="0"/>
      <w:spacing w:line="360" w:lineRule="auto"/>
      <w:ind w:firstLine="200" w:firstLineChars="200"/>
      <w:jc w:val="both"/>
    </w:pPr>
    <w:rPr>
      <w:kern w:val="2"/>
    </w:rPr>
  </w:style>
  <w:style w:type="paragraph" w:customStyle="1" w:styleId="1476">
    <w:name w:val="Char Char Char Char Char Char1 Char Char Char Char Char Char Char"/>
    <w:basedOn w:val="1"/>
    <w:qFormat/>
    <w:uiPriority w:val="0"/>
    <w:pPr>
      <w:widowControl w:val="0"/>
      <w:spacing w:line="360" w:lineRule="auto"/>
      <w:ind w:firstLine="200" w:firstLineChars="200"/>
      <w:jc w:val="both"/>
    </w:pPr>
    <w:rPr>
      <w:kern w:val="2"/>
    </w:rPr>
  </w:style>
  <w:style w:type="paragraph" w:customStyle="1" w:styleId="1477">
    <w:name w:val="xl65"/>
    <w:basedOn w:val="1"/>
    <w:qFormat/>
    <w:uiPriority w:val="0"/>
    <w:pPr>
      <w:spacing w:before="100" w:beforeAutospacing="1" w:after="100" w:afterAutospacing="1"/>
    </w:pPr>
    <w:rPr>
      <w:b/>
      <w:bCs/>
    </w:rPr>
  </w:style>
  <w:style w:type="paragraph" w:customStyle="1" w:styleId="1478">
    <w:name w:val="xl66"/>
    <w:basedOn w:val="1"/>
    <w:qFormat/>
    <w:uiPriority w:val="0"/>
    <w:pPr>
      <w:spacing w:before="100" w:beforeAutospacing="1" w:after="100" w:afterAutospacing="1"/>
    </w:pPr>
    <w:rPr>
      <w:rFonts w:ascii="Arial" w:hAnsi="Arial" w:cs="Arial"/>
    </w:rPr>
  </w:style>
  <w:style w:type="paragraph" w:customStyle="1" w:styleId="1479">
    <w:name w:val="xl6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rPr>
  </w:style>
  <w:style w:type="paragraph" w:customStyle="1" w:styleId="1480">
    <w:name w:val="xl6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rPr>
  </w:style>
  <w:style w:type="paragraph" w:customStyle="1" w:styleId="1481">
    <w:name w:val="xl69"/>
    <w:basedOn w:val="1"/>
    <w:qFormat/>
    <w:uiPriority w:val="0"/>
    <w:pPr>
      <w:spacing w:before="100" w:beforeAutospacing="1" w:after="100" w:afterAutospacing="1"/>
    </w:pPr>
    <w:rPr>
      <w:rFonts w:ascii="Arial" w:hAnsi="Arial" w:cs="Arial"/>
      <w:b/>
      <w:bCs/>
    </w:rPr>
  </w:style>
  <w:style w:type="paragraph" w:customStyle="1" w:styleId="1482">
    <w:name w:val="xl70"/>
    <w:basedOn w:val="1"/>
    <w:qFormat/>
    <w:uiPriority w:val="0"/>
    <w:pPr>
      <w:spacing w:before="100" w:beforeAutospacing="1" w:after="100" w:afterAutospacing="1"/>
    </w:pPr>
    <w:rPr>
      <w:rFonts w:ascii="Arial" w:hAnsi="Arial" w:cs="Arial"/>
    </w:rPr>
  </w:style>
  <w:style w:type="paragraph" w:customStyle="1" w:styleId="1483">
    <w:name w:val="xl71"/>
    <w:basedOn w:val="1"/>
    <w:qFormat/>
    <w:uiPriority w:val="0"/>
    <w:pPr>
      <w:spacing w:before="100" w:beforeAutospacing="1" w:after="100" w:afterAutospacing="1"/>
    </w:pPr>
    <w:rPr>
      <w:rFonts w:ascii="Arial" w:hAnsi="Arial" w:cs="Arial"/>
      <w:b/>
      <w:bCs/>
    </w:rPr>
  </w:style>
  <w:style w:type="paragraph" w:customStyle="1" w:styleId="1484">
    <w:name w:val="xl72"/>
    <w:basedOn w:val="1"/>
    <w:qFormat/>
    <w:uiPriority w:val="0"/>
    <w:pPr>
      <w:spacing w:before="100" w:beforeAutospacing="1" w:after="100" w:afterAutospacing="1"/>
    </w:pPr>
    <w:rPr>
      <w:rFonts w:ascii="Arial" w:hAnsi="Arial" w:cs="Arial"/>
      <w:b/>
      <w:bCs/>
    </w:rPr>
  </w:style>
  <w:style w:type="paragraph" w:customStyle="1" w:styleId="1485">
    <w:name w:val="xl73"/>
    <w:basedOn w:val="1"/>
    <w:qFormat/>
    <w:uiPriority w:val="0"/>
    <w:pPr>
      <w:spacing w:before="100" w:beforeAutospacing="1" w:after="100" w:afterAutospacing="1"/>
    </w:pPr>
    <w:rPr>
      <w:rFonts w:ascii="Arial" w:hAnsi="Arial" w:cs="Arial"/>
    </w:rPr>
  </w:style>
  <w:style w:type="paragraph" w:customStyle="1" w:styleId="1486">
    <w:name w:val="xl74"/>
    <w:basedOn w:val="1"/>
    <w:qFormat/>
    <w:uiPriority w:val="0"/>
    <w:pPr>
      <w:spacing w:before="100" w:beforeAutospacing="1" w:after="100" w:afterAutospacing="1"/>
    </w:pPr>
    <w:rPr>
      <w:rFonts w:ascii="Arial" w:hAnsi="Arial" w:cs="Arial"/>
      <w:b/>
      <w:bCs/>
    </w:rPr>
  </w:style>
  <w:style w:type="paragraph" w:customStyle="1" w:styleId="1487">
    <w:name w:val="xl75"/>
    <w:basedOn w:val="1"/>
    <w:qFormat/>
    <w:uiPriority w:val="0"/>
    <w:pPr>
      <w:spacing w:before="100" w:beforeAutospacing="1" w:after="100" w:afterAutospacing="1"/>
    </w:pPr>
    <w:rPr>
      <w:b/>
      <w:bCs/>
    </w:rPr>
  </w:style>
  <w:style w:type="paragraph" w:customStyle="1" w:styleId="1488">
    <w:name w:val="xl76"/>
    <w:basedOn w:val="1"/>
    <w:qFormat/>
    <w:uiPriority w:val="0"/>
    <w:pPr>
      <w:spacing w:before="100" w:beforeAutospacing="1" w:after="100" w:afterAutospacing="1"/>
    </w:pPr>
    <w:rPr>
      <w:rFonts w:ascii="Arial" w:hAnsi="Arial" w:cs="Arial"/>
      <w:b/>
      <w:bCs/>
    </w:rPr>
  </w:style>
  <w:style w:type="paragraph" w:customStyle="1" w:styleId="1489">
    <w:name w:val="xl77"/>
    <w:basedOn w:val="1"/>
    <w:qFormat/>
    <w:uiPriority w:val="0"/>
    <w:pPr>
      <w:spacing w:before="100" w:beforeAutospacing="1" w:after="100" w:afterAutospacing="1"/>
      <w:jc w:val="center"/>
      <w:textAlignment w:val="center"/>
    </w:pPr>
    <w:rPr>
      <w:rFonts w:ascii="Arial" w:hAnsi="Arial" w:cs="Arial"/>
    </w:rPr>
  </w:style>
  <w:style w:type="paragraph" w:customStyle="1" w:styleId="1490">
    <w:name w:val="xl78"/>
    <w:basedOn w:val="1"/>
    <w:qFormat/>
    <w:uiPriority w:val="0"/>
    <w:pPr>
      <w:spacing w:before="100" w:beforeAutospacing="1" w:after="100" w:afterAutospacing="1"/>
      <w:textAlignment w:val="center"/>
    </w:pPr>
    <w:rPr>
      <w:rFonts w:ascii="Arial" w:hAnsi="Arial" w:cs="Arial"/>
    </w:rPr>
  </w:style>
  <w:style w:type="paragraph" w:customStyle="1" w:styleId="1491">
    <w:name w:val="xl80"/>
    <w:basedOn w:val="1"/>
    <w:qFormat/>
    <w:uiPriority w:val="0"/>
    <w:pPr>
      <w:spacing w:before="100" w:beforeAutospacing="1" w:after="100" w:afterAutospacing="1"/>
    </w:pPr>
    <w:rPr>
      <w:rFonts w:ascii="Arial" w:hAnsi="Arial" w:cs="Arial"/>
      <w:b/>
      <w:bCs/>
    </w:rPr>
  </w:style>
  <w:style w:type="paragraph" w:customStyle="1" w:styleId="1492">
    <w:name w:val="xl81"/>
    <w:basedOn w:val="1"/>
    <w:qFormat/>
    <w:uiPriority w:val="0"/>
    <w:pPr>
      <w:spacing w:before="100" w:beforeAutospacing="1" w:after="100" w:afterAutospacing="1"/>
      <w:jc w:val="center"/>
      <w:textAlignment w:val="center"/>
    </w:pPr>
    <w:rPr>
      <w:rFonts w:ascii="Arial" w:hAnsi="Arial" w:cs="Arial"/>
    </w:rPr>
  </w:style>
  <w:style w:type="paragraph" w:customStyle="1" w:styleId="1493">
    <w:name w:val="xl82"/>
    <w:basedOn w:val="1"/>
    <w:qFormat/>
    <w:uiPriority w:val="0"/>
    <w:pPr>
      <w:spacing w:before="100" w:beforeAutospacing="1" w:after="100" w:afterAutospacing="1"/>
    </w:pPr>
    <w:rPr>
      <w:rFonts w:ascii="Arial" w:hAnsi="Arial" w:cs="Arial"/>
      <w:b/>
      <w:bCs/>
    </w:rPr>
  </w:style>
  <w:style w:type="paragraph" w:customStyle="1" w:styleId="1494">
    <w:name w:val="xl8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rPr>
  </w:style>
  <w:style w:type="paragraph" w:customStyle="1" w:styleId="1495">
    <w:name w:val="xl8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rPr>
  </w:style>
  <w:style w:type="paragraph" w:customStyle="1" w:styleId="1496">
    <w:name w:val="xl8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b/>
      <w:bCs/>
    </w:rPr>
  </w:style>
  <w:style w:type="paragraph" w:customStyle="1" w:styleId="1497">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rPr>
  </w:style>
  <w:style w:type="paragraph" w:customStyle="1" w:styleId="1498">
    <w:name w:val="xl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rPr>
  </w:style>
  <w:style w:type="paragraph" w:customStyle="1" w:styleId="1499">
    <w:name w:val="xl8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rPr>
  </w:style>
  <w:style w:type="paragraph" w:customStyle="1" w:styleId="1500">
    <w:name w:val="xl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rPr>
  </w:style>
  <w:style w:type="paragraph" w:customStyle="1" w:styleId="1501">
    <w:name w:val="xl9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w:hAnsi="Arial" w:cs="Arial"/>
    </w:rPr>
  </w:style>
  <w:style w:type="paragraph" w:customStyle="1" w:styleId="1502">
    <w:name w:val="xl9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w:hAnsi="Arial" w:cs="Arial"/>
    </w:rPr>
  </w:style>
  <w:style w:type="paragraph" w:customStyle="1" w:styleId="1503">
    <w:name w:val="xl9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w:hAnsi="Arial" w:cs="Arial"/>
    </w:rPr>
  </w:style>
  <w:style w:type="paragraph" w:customStyle="1" w:styleId="1504">
    <w:name w:val="xl9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rPr>
  </w:style>
  <w:style w:type="paragraph" w:customStyle="1" w:styleId="1505">
    <w:name w:val="xl94"/>
    <w:basedOn w:val="1"/>
    <w:qFormat/>
    <w:uiPriority w:val="0"/>
    <w:pPr>
      <w:spacing w:before="100" w:beforeAutospacing="1" w:after="100" w:afterAutospacing="1"/>
    </w:pPr>
  </w:style>
  <w:style w:type="paragraph" w:customStyle="1" w:styleId="1506">
    <w:name w:val="xl9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customStyle="1" w:styleId="1507">
    <w:name w:val="xl9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rPr>
  </w:style>
  <w:style w:type="paragraph" w:customStyle="1" w:styleId="1508">
    <w:name w:val="xl97"/>
    <w:basedOn w:val="1"/>
    <w:qFormat/>
    <w:uiPriority w:val="0"/>
    <w:pPr>
      <w:pBdr>
        <w:top w:val="single" w:color="auto" w:sz="4" w:space="0"/>
        <w:left w:val="single" w:color="auto" w:sz="4" w:space="20"/>
        <w:bottom w:val="single" w:color="auto" w:sz="4" w:space="0"/>
        <w:right w:val="single" w:color="auto" w:sz="4" w:space="0"/>
      </w:pBdr>
      <w:spacing w:before="100" w:beforeAutospacing="1" w:after="100" w:afterAutospacing="1"/>
      <w:ind w:firstLine="100" w:firstLineChars="100"/>
    </w:pPr>
  </w:style>
  <w:style w:type="paragraph" w:customStyle="1" w:styleId="1509">
    <w:name w:val="xl98"/>
    <w:basedOn w:val="1"/>
    <w:qFormat/>
    <w:uiPriority w:val="0"/>
    <w:pPr>
      <w:pBdr>
        <w:top w:val="single" w:color="auto" w:sz="4" w:space="0"/>
        <w:left w:val="single" w:color="auto" w:sz="4" w:space="20"/>
        <w:bottom w:val="single" w:color="auto" w:sz="4" w:space="0"/>
        <w:right w:val="single" w:color="auto" w:sz="4" w:space="0"/>
      </w:pBdr>
      <w:spacing w:before="100" w:beforeAutospacing="1" w:after="100" w:afterAutospacing="1"/>
      <w:ind w:firstLine="100" w:firstLineChars="100"/>
    </w:pPr>
  </w:style>
  <w:style w:type="paragraph" w:customStyle="1" w:styleId="1510">
    <w:name w:val="xl9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customStyle="1" w:styleId="1511">
    <w:name w:val="xl10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b/>
      <w:bCs/>
    </w:rPr>
  </w:style>
  <w:style w:type="paragraph" w:customStyle="1" w:styleId="1512">
    <w:name w:val="xl10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customStyle="1" w:styleId="1513">
    <w:name w:val="xl10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rPr>
  </w:style>
  <w:style w:type="paragraph" w:customStyle="1" w:styleId="1514">
    <w:name w:val="xl10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style>
  <w:style w:type="paragraph" w:customStyle="1" w:styleId="1515">
    <w:name w:val="xl104"/>
    <w:basedOn w:val="1"/>
    <w:qFormat/>
    <w:uiPriority w:val="0"/>
    <w:pPr>
      <w:spacing w:before="100" w:beforeAutospacing="1" w:after="100" w:afterAutospacing="1"/>
    </w:pPr>
    <w:rPr>
      <w:b/>
      <w:bCs/>
      <w:sz w:val="32"/>
      <w:szCs w:val="32"/>
    </w:rPr>
  </w:style>
  <w:style w:type="paragraph" w:customStyle="1" w:styleId="1516">
    <w:name w:val="xl105"/>
    <w:basedOn w:val="1"/>
    <w:qFormat/>
    <w:uiPriority w:val="0"/>
    <w:pPr>
      <w:spacing w:before="100" w:beforeAutospacing="1" w:after="100" w:afterAutospacing="1"/>
    </w:pPr>
    <w:rPr>
      <w:rFonts w:ascii="Arial" w:hAnsi="Arial" w:cs="Arial"/>
      <w:b/>
      <w:bCs/>
      <w:sz w:val="32"/>
      <w:szCs w:val="32"/>
    </w:rPr>
  </w:style>
  <w:style w:type="paragraph" w:customStyle="1" w:styleId="1517">
    <w:name w:val="xl106"/>
    <w:basedOn w:val="1"/>
    <w:qFormat/>
    <w:uiPriority w:val="0"/>
    <w:pPr>
      <w:spacing w:before="100" w:beforeAutospacing="1" w:after="100" w:afterAutospacing="1"/>
    </w:pPr>
    <w:rPr>
      <w:rFonts w:ascii="Arial" w:hAnsi="Arial" w:cs="Arial"/>
      <w:b/>
      <w:bCs/>
      <w:sz w:val="32"/>
      <w:szCs w:val="32"/>
    </w:rPr>
  </w:style>
  <w:style w:type="paragraph" w:customStyle="1" w:styleId="1518">
    <w:name w:val="xl107"/>
    <w:basedOn w:val="1"/>
    <w:qFormat/>
    <w:uiPriority w:val="0"/>
    <w:pPr>
      <w:spacing w:before="100" w:beforeAutospacing="1" w:after="100" w:afterAutospacing="1"/>
    </w:pPr>
    <w:rPr>
      <w:rFonts w:ascii="Arial" w:hAnsi="Arial" w:cs="Arial"/>
      <w:b/>
      <w:bCs/>
      <w:sz w:val="32"/>
      <w:szCs w:val="32"/>
    </w:rPr>
  </w:style>
  <w:style w:type="paragraph" w:customStyle="1" w:styleId="1519">
    <w:name w:val="xl10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b/>
      <w:bCs/>
    </w:rPr>
  </w:style>
  <w:style w:type="paragraph" w:customStyle="1" w:styleId="1520">
    <w:name w:val="xl10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w:hAnsi="Arial" w:cs="Arial"/>
      <w:b/>
      <w:bCs/>
    </w:rPr>
  </w:style>
  <w:style w:type="character" w:customStyle="1" w:styleId="1521">
    <w:name w:val="txtcontent1"/>
    <w:qFormat/>
    <w:uiPriority w:val="0"/>
  </w:style>
  <w:style w:type="character" w:customStyle="1" w:styleId="1522">
    <w:name w:val="tcnt3"/>
    <w:qFormat/>
    <w:uiPriority w:val="0"/>
  </w:style>
  <w:style w:type="paragraph" w:customStyle="1" w:styleId="1523">
    <w:name w:val="标题3 lcd"/>
    <w:basedOn w:val="5"/>
    <w:qFormat/>
    <w:uiPriority w:val="0"/>
    <w:pPr>
      <w:widowControl w:val="0"/>
      <w:spacing w:before="0" w:after="0" w:line="360" w:lineRule="auto"/>
      <w:jc w:val="both"/>
    </w:pPr>
    <w:rPr>
      <w:kern w:val="2"/>
      <w:sz w:val="24"/>
      <w:szCs w:val="20"/>
      <w:lang w:val="zh-CN"/>
    </w:rPr>
  </w:style>
  <w:style w:type="character" w:customStyle="1" w:styleId="1524">
    <w:name w:val="中气表头 Char"/>
    <w:link w:val="1525"/>
    <w:qFormat/>
    <w:uiPriority w:val="0"/>
    <w:rPr>
      <w:rFonts w:eastAsia="Symbol"/>
      <w:b/>
      <w:kern w:val="2"/>
      <w:sz w:val="21"/>
    </w:rPr>
  </w:style>
  <w:style w:type="paragraph" w:customStyle="1" w:styleId="1525">
    <w:name w:val="中气表头"/>
    <w:basedOn w:val="1"/>
    <w:link w:val="1524"/>
    <w:qFormat/>
    <w:uiPriority w:val="0"/>
    <w:pPr>
      <w:widowControl w:val="0"/>
      <w:jc w:val="center"/>
    </w:pPr>
    <w:rPr>
      <w:rFonts w:ascii="Times New Roman" w:hAnsi="Times New Roman" w:eastAsia="Symbol" w:cs="Times New Roman"/>
      <w:b/>
      <w:kern w:val="2"/>
      <w:sz w:val="21"/>
      <w:szCs w:val="20"/>
    </w:rPr>
  </w:style>
  <w:style w:type="paragraph" w:customStyle="1" w:styleId="1526">
    <w:name w:val="中气正文"/>
    <w:basedOn w:val="1"/>
    <w:qFormat/>
    <w:uiPriority w:val="0"/>
    <w:pPr>
      <w:widowControl w:val="0"/>
      <w:spacing w:line="360" w:lineRule="auto"/>
      <w:ind w:firstLine="480" w:firstLineChars="200"/>
      <w:jc w:val="both"/>
    </w:pPr>
    <w:rPr>
      <w:rFonts w:ascii="Times New Roman" w:hAnsi="Times New Roman" w:cs="Times New Roman"/>
      <w:kern w:val="2"/>
      <w:szCs w:val="20"/>
    </w:rPr>
  </w:style>
  <w:style w:type="paragraph" w:customStyle="1" w:styleId="1527">
    <w:name w:val="Char Char Char Char Char Char1 Char Char Char Char Char Char Char Char Char Char Char Char Char"/>
    <w:basedOn w:val="1"/>
    <w:qFormat/>
    <w:uiPriority w:val="0"/>
    <w:pPr>
      <w:widowControl w:val="0"/>
      <w:jc w:val="both"/>
    </w:pPr>
    <w:rPr>
      <w:rFonts w:ascii="Cambria Math" w:hAnsi="Cambria Math" w:cs="Times New Roman"/>
      <w:kern w:val="2"/>
      <w:szCs w:val="20"/>
    </w:rPr>
  </w:style>
  <w:style w:type="paragraph" w:customStyle="1" w:styleId="1528">
    <w:name w:val="表标题（自定义）"/>
    <w:qFormat/>
    <w:uiPriority w:val="0"/>
    <w:pPr>
      <w:spacing w:line="360" w:lineRule="auto"/>
      <w:ind w:firstLine="482"/>
      <w:jc w:val="center"/>
    </w:pPr>
    <w:rPr>
      <w:rFonts w:ascii="Times New Roman" w:hAnsi="Times New Roman" w:eastAsia="宋体" w:cs="Times New Roman"/>
      <w:b/>
      <w:color w:val="000000"/>
      <w:sz w:val="24"/>
      <w:lang w:val="en-US" w:eastAsia="zh-CN" w:bidi="ar-SA"/>
    </w:rPr>
  </w:style>
  <w:style w:type="character" w:customStyle="1" w:styleId="1529">
    <w:name w:val="style61"/>
    <w:qFormat/>
    <w:uiPriority w:val="0"/>
    <w:rPr>
      <w:sz w:val="24"/>
      <w:szCs w:val="24"/>
    </w:rPr>
  </w:style>
  <w:style w:type="character" w:customStyle="1" w:styleId="1530">
    <w:name w:val="style71"/>
    <w:qFormat/>
    <w:uiPriority w:val="0"/>
    <w:rPr>
      <w:color w:val="FF0000"/>
    </w:rPr>
  </w:style>
  <w:style w:type="paragraph" w:customStyle="1" w:styleId="1531">
    <w:name w:val="样式 列表 Char + 居中"/>
    <w:basedOn w:val="66"/>
    <w:qFormat/>
    <w:uiPriority w:val="0"/>
    <w:pPr>
      <w:snapToGrid w:val="0"/>
      <w:ind w:left="0" w:firstLine="0" w:firstLineChars="0"/>
    </w:pPr>
    <w:rPr>
      <w:rFonts w:cs="宋体"/>
      <w:szCs w:val="20"/>
    </w:rPr>
  </w:style>
  <w:style w:type="paragraph" w:customStyle="1" w:styleId="1532">
    <w:name w:val="环正文"/>
    <w:basedOn w:val="1"/>
    <w:qFormat/>
    <w:uiPriority w:val="0"/>
    <w:pPr>
      <w:suppressAutoHyphens/>
      <w:adjustRightInd w:val="0"/>
      <w:snapToGrid w:val="0"/>
      <w:spacing w:line="460" w:lineRule="atLeast"/>
      <w:ind w:firstLine="549" w:firstLineChars="200"/>
      <w:jc w:val="both"/>
      <w:textAlignment w:val="baseline"/>
    </w:pPr>
    <w:rPr>
      <w:rFonts w:cs="Times New Roman"/>
      <w:bCs/>
    </w:rPr>
  </w:style>
  <w:style w:type="paragraph" w:customStyle="1" w:styleId="1533">
    <w:name w:val="环表头"/>
    <w:basedOn w:val="1"/>
    <w:next w:val="1"/>
    <w:qFormat/>
    <w:uiPriority w:val="0"/>
    <w:pPr>
      <w:suppressAutoHyphens/>
      <w:adjustRightInd w:val="0"/>
      <w:spacing w:before="60" w:after="60" w:line="312" w:lineRule="atLeast"/>
      <w:ind w:right="28"/>
      <w:jc w:val="center"/>
      <w:textAlignment w:val="baseline"/>
    </w:pPr>
    <w:rPr>
      <w:rFonts w:eastAsia="Symbol" w:cs="Times New Roman"/>
      <w:szCs w:val="20"/>
    </w:rPr>
  </w:style>
  <w:style w:type="paragraph" w:customStyle="1" w:styleId="1534">
    <w:name w:val="正缩1"/>
    <w:basedOn w:val="1"/>
    <w:qFormat/>
    <w:uiPriority w:val="0"/>
    <w:pPr>
      <w:widowControl w:val="0"/>
      <w:snapToGrid w:val="0"/>
      <w:spacing w:line="500" w:lineRule="exact"/>
      <w:ind w:firstLine="567"/>
      <w:jc w:val="both"/>
    </w:pPr>
    <w:rPr>
      <w:rFonts w:ascii="Times New Roman" w:hAnsi="Times New Roman" w:cs="Times New Roman"/>
      <w:snapToGrid w:val="0"/>
      <w:color w:val="000000"/>
      <w:sz w:val="28"/>
      <w:szCs w:val="20"/>
    </w:rPr>
  </w:style>
  <w:style w:type="character" w:customStyle="1" w:styleId="1535">
    <w:name w:val="正文（首行缩进两字） Char Char Char Char Char Char Char Char Char Char"/>
    <w:qFormat/>
    <w:uiPriority w:val="0"/>
    <w:rPr>
      <w:rFonts w:eastAsia="宋体"/>
      <w:kern w:val="2"/>
      <w:sz w:val="24"/>
      <w:lang w:val="en-US" w:eastAsia="zh-CN" w:bidi="ar-SA"/>
    </w:rPr>
  </w:style>
  <w:style w:type="paragraph" w:customStyle="1" w:styleId="1536">
    <w:name w:val="样式 标题 2标题 21标题 121标题 2 Char1 CharH2SeHead wsa2标题 1.1 + 行..."/>
    <w:basedOn w:val="4"/>
    <w:qFormat/>
    <w:uiPriority w:val="0"/>
    <w:pPr>
      <w:keepNext w:val="0"/>
      <w:keepLines w:val="0"/>
      <w:numPr>
        <w:ilvl w:val="0"/>
        <w:numId w:val="0"/>
      </w:numPr>
      <w:adjustRightInd w:val="0"/>
      <w:spacing w:before="100" w:after="100" w:line="460" w:lineRule="exact"/>
      <w:textAlignment w:val="baseline"/>
    </w:pPr>
    <w:rPr>
      <w:rFonts w:ascii="Symbol" w:hAnsi="Times New Roman" w:eastAsia="Symbol"/>
      <w:b w:val="0"/>
      <w:bCs/>
      <w:color w:val="000000"/>
      <w:sz w:val="30"/>
      <w:szCs w:val="30"/>
    </w:rPr>
  </w:style>
  <w:style w:type="paragraph" w:customStyle="1" w:styleId="1537">
    <w:name w:val="样式57"/>
    <w:basedOn w:val="1"/>
    <w:qFormat/>
    <w:uiPriority w:val="0"/>
    <w:pPr>
      <w:widowControl w:val="0"/>
      <w:spacing w:line="360" w:lineRule="auto"/>
      <w:ind w:firstLine="1365" w:firstLineChars="650"/>
      <w:jc w:val="both"/>
    </w:pPr>
    <w:rPr>
      <w:rFonts w:ascii="Symbol" w:hAnsi="Times New Roman" w:eastAsia="Symbol" w:cs="Times New Roman"/>
      <w:kern w:val="2"/>
      <w:sz w:val="21"/>
      <w:szCs w:val="21"/>
    </w:rPr>
  </w:style>
  <w:style w:type="paragraph" w:customStyle="1" w:styleId="1538">
    <w:name w:val="样式58"/>
    <w:basedOn w:val="1"/>
    <w:qFormat/>
    <w:uiPriority w:val="0"/>
    <w:pPr>
      <w:widowControl w:val="0"/>
      <w:spacing w:line="360" w:lineRule="auto"/>
      <w:ind w:firstLine="480" w:firstLineChars="200"/>
      <w:jc w:val="both"/>
    </w:pPr>
    <w:rPr>
      <w:rFonts w:ascii="Times New Roman" w:cs="Times New Roman"/>
      <w:snapToGrid w:val="0"/>
      <w:kern w:val="2"/>
      <w:lang w:val="zh-CN"/>
    </w:rPr>
  </w:style>
  <w:style w:type="character" w:customStyle="1" w:styleId="1539">
    <w:name w:val="chinaname1"/>
    <w:qFormat/>
    <w:uiPriority w:val="0"/>
  </w:style>
  <w:style w:type="paragraph" w:customStyle="1" w:styleId="1540">
    <w:name w:val="四号 1.5倍行距 宋体 Timenewrome"/>
    <w:basedOn w:val="1"/>
    <w:next w:val="1"/>
    <w:qFormat/>
    <w:uiPriority w:val="0"/>
    <w:pPr>
      <w:widowControl w:val="0"/>
      <w:jc w:val="both"/>
    </w:pPr>
    <w:rPr>
      <w:rFonts w:ascii="Times New Roman" w:hAnsi="Times New Roman" w:cs="Times New Roman"/>
      <w:kern w:val="2"/>
      <w:sz w:val="21"/>
      <w:szCs w:val="21"/>
    </w:rPr>
  </w:style>
  <w:style w:type="character" w:customStyle="1" w:styleId="1541">
    <w:name w:val="font14"/>
    <w:qFormat/>
    <w:uiPriority w:val="0"/>
  </w:style>
  <w:style w:type="paragraph" w:customStyle="1" w:styleId="1542">
    <w:name w:val="样式26"/>
    <w:basedOn w:val="1"/>
    <w:qFormat/>
    <w:uiPriority w:val="0"/>
    <w:pPr>
      <w:keepNext/>
      <w:keepLines/>
      <w:widowControl w:val="0"/>
      <w:tabs>
        <w:tab w:val="left" w:pos="0"/>
      </w:tabs>
      <w:spacing w:before="120" w:beforeLines="50" w:after="120" w:afterLines="50" w:line="360" w:lineRule="auto"/>
      <w:jc w:val="both"/>
      <w:outlineLvl w:val="0"/>
    </w:pPr>
    <w:rPr>
      <w:rFonts w:ascii="Times New Roman" w:hAnsi="Times New Roman" w:eastAsia="Symbol" w:cs="Times New Roman"/>
      <w:kern w:val="44"/>
      <w:sz w:val="30"/>
      <w:szCs w:val="44"/>
    </w:rPr>
  </w:style>
  <w:style w:type="paragraph" w:customStyle="1" w:styleId="1543">
    <w:name w:val="样式15"/>
    <w:basedOn w:val="35"/>
    <w:link w:val="1544"/>
    <w:qFormat/>
    <w:uiPriority w:val="0"/>
    <w:pPr>
      <w:widowControl w:val="0"/>
      <w:adjustRightInd w:val="0"/>
      <w:snapToGrid w:val="0"/>
      <w:spacing w:after="0" w:line="360" w:lineRule="auto"/>
      <w:ind w:left="0" w:leftChars="0"/>
      <w:jc w:val="center"/>
    </w:pPr>
    <w:rPr>
      <w:rFonts w:ascii="Symbol" w:eastAsia="Symbol" w:cs="Times New Roman"/>
      <w:bCs/>
      <w:kern w:val="2"/>
      <w:sz w:val="21"/>
      <w:szCs w:val="21"/>
    </w:rPr>
  </w:style>
  <w:style w:type="character" w:customStyle="1" w:styleId="1544">
    <w:name w:val="样式15 Char"/>
    <w:link w:val="1543"/>
    <w:qFormat/>
    <w:uiPriority w:val="0"/>
    <w:rPr>
      <w:rFonts w:ascii="Symbol" w:hAnsi="宋体" w:eastAsia="Symbol"/>
      <w:bCs/>
      <w:kern w:val="2"/>
      <w:sz w:val="21"/>
      <w:szCs w:val="21"/>
    </w:rPr>
  </w:style>
  <w:style w:type="paragraph" w:customStyle="1" w:styleId="1545">
    <w:name w:val="样式28"/>
    <w:basedOn w:val="374"/>
    <w:qFormat/>
    <w:uiPriority w:val="0"/>
    <w:pPr>
      <w:tabs>
        <w:tab w:val="clear" w:pos="1260"/>
      </w:tabs>
      <w:ind w:left="720" w:hanging="720"/>
    </w:pPr>
  </w:style>
  <w:style w:type="paragraph" w:customStyle="1" w:styleId="1546">
    <w:name w:val="样式29"/>
    <w:basedOn w:val="436"/>
    <w:qFormat/>
    <w:uiPriority w:val="0"/>
    <w:pPr>
      <w:keepNext/>
      <w:keepLines/>
      <w:tabs>
        <w:tab w:val="left" w:pos="720"/>
        <w:tab w:val="left" w:pos="864"/>
      </w:tabs>
      <w:spacing w:before="156" w:beforeLines="50" w:after="156" w:afterLines="50" w:line="360" w:lineRule="auto"/>
      <w:ind w:left="864" w:hanging="864" w:firstLineChars="0"/>
      <w:outlineLvl w:val="3"/>
    </w:pPr>
    <w:rPr>
      <w:rFonts w:ascii="Times New Roman" w:hAnsi="Times New Roman"/>
      <w:sz w:val="24"/>
    </w:rPr>
  </w:style>
  <w:style w:type="character" w:customStyle="1" w:styleId="1547">
    <w:name w:val="text31"/>
    <w:qFormat/>
    <w:uiPriority w:val="0"/>
  </w:style>
  <w:style w:type="paragraph" w:customStyle="1" w:styleId="1548">
    <w:name w:val="自定表格"/>
    <w:basedOn w:val="1"/>
    <w:link w:val="1549"/>
    <w:qFormat/>
    <w:uiPriority w:val="0"/>
    <w:pPr>
      <w:widowControl w:val="0"/>
      <w:autoSpaceDE w:val="0"/>
      <w:autoSpaceDN w:val="0"/>
      <w:adjustRightInd w:val="0"/>
      <w:jc w:val="center"/>
      <w:textAlignment w:val="baseline"/>
    </w:pPr>
    <w:rPr>
      <w:rFonts w:ascii="Times New Roman" w:hAnsi="Times New Roman" w:cs="Times New Roman"/>
      <w:sz w:val="21"/>
      <w:szCs w:val="20"/>
    </w:rPr>
  </w:style>
  <w:style w:type="character" w:customStyle="1" w:styleId="1549">
    <w:name w:val="自定表格 Char"/>
    <w:link w:val="1548"/>
    <w:qFormat/>
    <w:uiPriority w:val="0"/>
    <w:rPr>
      <w:sz w:val="21"/>
    </w:rPr>
  </w:style>
  <w:style w:type="paragraph" w:customStyle="1" w:styleId="1550">
    <w:name w:val="样式63"/>
    <w:basedOn w:val="784"/>
    <w:qFormat/>
    <w:uiPriority w:val="0"/>
  </w:style>
  <w:style w:type="paragraph" w:customStyle="1" w:styleId="1551">
    <w:name w:val="1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1552">
    <w:name w:val="报告书 标题四"/>
    <w:basedOn w:val="6"/>
    <w:next w:val="46"/>
    <w:qFormat/>
    <w:uiPriority w:val="0"/>
    <w:pPr>
      <w:widowControl w:val="0"/>
      <w:spacing w:before="0" w:after="0" w:line="360" w:lineRule="auto"/>
    </w:pPr>
    <w:rPr>
      <w:rFonts w:ascii="宋体" w:hAnsi="宋体" w:eastAsia="宋体" w:cs="Times New Roman"/>
      <w:bCs w:val="0"/>
      <w:kern w:val="2"/>
      <w:sz w:val="24"/>
    </w:rPr>
  </w:style>
  <w:style w:type="paragraph" w:customStyle="1" w:styleId="1553">
    <w:name w:val="常用正文样式"/>
    <w:qFormat/>
    <w:uiPriority w:val="0"/>
    <w:pPr>
      <w:widowControl w:val="0"/>
      <w:spacing w:line="360" w:lineRule="auto"/>
      <w:ind w:firstLine="454"/>
      <w:jc w:val="both"/>
    </w:pPr>
    <w:rPr>
      <w:rFonts w:ascii="宋体" w:hAnsi="minorBidi" w:eastAsia="宋体" w:cs="Times New Roman"/>
      <w:kern w:val="2"/>
      <w:sz w:val="24"/>
      <w:szCs w:val="24"/>
      <w:lang w:val="en-US" w:eastAsia="zh-CN" w:bidi="ar-SA"/>
    </w:rPr>
  </w:style>
  <w:style w:type="character" w:customStyle="1" w:styleId="1554">
    <w:name w:val="正文+小四+董总 Char"/>
    <w:link w:val="1555"/>
    <w:qFormat/>
    <w:uiPriority w:val="0"/>
    <w:rPr>
      <w:rFonts w:cs="宋体"/>
      <w:bCs/>
      <w:color w:val="000000"/>
      <w:kern w:val="2"/>
      <w:sz w:val="24"/>
    </w:rPr>
  </w:style>
  <w:style w:type="paragraph" w:customStyle="1" w:styleId="1555">
    <w:name w:val="正文+小四+董总"/>
    <w:basedOn w:val="1"/>
    <w:link w:val="1554"/>
    <w:qFormat/>
    <w:uiPriority w:val="0"/>
    <w:pPr>
      <w:widowControl w:val="0"/>
      <w:ind w:firstLine="200" w:firstLineChars="200"/>
      <w:jc w:val="both"/>
    </w:pPr>
    <w:rPr>
      <w:rFonts w:ascii="Times New Roman" w:hAnsi="Times New Roman"/>
      <w:bCs/>
      <w:color w:val="000000"/>
      <w:kern w:val="2"/>
      <w:szCs w:val="20"/>
    </w:rPr>
  </w:style>
  <w:style w:type="paragraph" w:customStyle="1" w:styleId="1556">
    <w:name w:val="lcd标题3"/>
    <w:basedOn w:val="5"/>
    <w:qFormat/>
    <w:uiPriority w:val="0"/>
    <w:pPr>
      <w:widowControl w:val="0"/>
      <w:adjustRightInd w:val="0"/>
      <w:spacing w:before="0" w:after="0" w:line="360" w:lineRule="auto"/>
      <w:textAlignment w:val="baseline"/>
    </w:pPr>
    <w:rPr>
      <w:bCs w:val="0"/>
      <w:sz w:val="28"/>
      <w:szCs w:val="28"/>
    </w:rPr>
  </w:style>
  <w:style w:type="paragraph" w:customStyle="1" w:styleId="1557">
    <w:name w:val="a表头"/>
    <w:basedOn w:val="1"/>
    <w:qFormat/>
    <w:uiPriority w:val="0"/>
    <w:pPr>
      <w:widowControl w:val="0"/>
      <w:spacing w:line="360" w:lineRule="auto"/>
      <w:jc w:val="center"/>
    </w:pPr>
    <w:rPr>
      <w:rFonts w:ascii="Times New Roman" w:cs="Times New Roman"/>
      <w:b/>
      <w:kern w:val="2"/>
    </w:rPr>
  </w:style>
  <w:style w:type="paragraph" w:customStyle="1" w:styleId="1558">
    <w:name w:val="正文-使用"/>
    <w:basedOn w:val="1"/>
    <w:qFormat/>
    <w:uiPriority w:val="0"/>
    <w:pPr>
      <w:widowControl w:val="0"/>
      <w:snapToGrid w:val="0"/>
      <w:spacing w:line="360" w:lineRule="auto"/>
      <w:ind w:firstLine="482"/>
      <w:jc w:val="both"/>
    </w:pPr>
    <w:rPr>
      <w:rFonts w:ascii="Times New Roman" w:hAnsi="Times New Roman" w:cs="Times New Roman"/>
      <w:kern w:val="2"/>
      <w:szCs w:val="20"/>
    </w:rPr>
  </w:style>
  <w:style w:type="character" w:customStyle="1" w:styleId="1559">
    <w:name w:val="中 Char"/>
    <w:link w:val="1560"/>
    <w:qFormat/>
    <w:uiPriority w:val="0"/>
    <w:rPr>
      <w:rFonts w:ascii="宋体" w:hAnsi="宋体"/>
      <w:color w:val="000000"/>
      <w:kern w:val="2"/>
      <w:sz w:val="18"/>
      <w:szCs w:val="18"/>
    </w:rPr>
  </w:style>
  <w:style w:type="paragraph" w:customStyle="1" w:styleId="1560">
    <w:name w:val="中"/>
    <w:basedOn w:val="1"/>
    <w:link w:val="1559"/>
    <w:qFormat/>
    <w:uiPriority w:val="0"/>
    <w:pPr>
      <w:widowControl w:val="0"/>
      <w:spacing w:line="280" w:lineRule="exact"/>
      <w:jc w:val="center"/>
    </w:pPr>
    <w:rPr>
      <w:rFonts w:cs="Times New Roman"/>
      <w:color w:val="000000"/>
      <w:kern w:val="2"/>
      <w:sz w:val="18"/>
      <w:szCs w:val="18"/>
    </w:rPr>
  </w:style>
  <w:style w:type="character" w:customStyle="1" w:styleId="1561">
    <w:name w:val="H5 Char1"/>
    <w:qFormat/>
    <w:uiPriority w:val="0"/>
    <w:rPr>
      <w:rFonts w:eastAsia="宋体"/>
      <w:b/>
      <w:kern w:val="2"/>
      <w:sz w:val="24"/>
      <w:lang w:val="en-US" w:eastAsia="zh-CN" w:bidi="ar-SA"/>
    </w:rPr>
  </w:style>
  <w:style w:type="character" w:customStyle="1" w:styleId="1562">
    <w:name w:val="style51"/>
    <w:qFormat/>
    <w:uiPriority w:val="0"/>
    <w:rPr>
      <w:rFonts w:hint="eastAsia" w:ascii="宋体" w:hAnsi="宋体" w:eastAsia="宋体"/>
      <w:sz w:val="36"/>
      <w:szCs w:val="36"/>
    </w:rPr>
  </w:style>
  <w:style w:type="character" w:customStyle="1" w:styleId="1563">
    <w:name w:val="style21"/>
    <w:qFormat/>
    <w:uiPriority w:val="0"/>
    <w:rPr>
      <w:rFonts w:hint="eastAsia" w:ascii="宋体" w:hAnsi="宋体" w:eastAsia="宋体"/>
    </w:rPr>
  </w:style>
  <w:style w:type="character" w:customStyle="1" w:styleId="1564">
    <w:name w:val="My title 4 Char"/>
    <w:qFormat/>
    <w:uiPriority w:val="0"/>
    <w:rPr>
      <w:rFonts w:ascii="Arial" w:hAnsi="Arial" w:eastAsia="Symbol"/>
      <w:b/>
      <w:bCs/>
      <w:kern w:val="2"/>
      <w:sz w:val="28"/>
      <w:szCs w:val="28"/>
      <w:lang w:val="en-US" w:eastAsia="zh-CN" w:bidi="ar-SA"/>
    </w:rPr>
  </w:style>
  <w:style w:type="paragraph" w:customStyle="1" w:styleId="1565">
    <w:name w:val="正文lly"/>
    <w:basedOn w:val="34"/>
    <w:next w:val="1"/>
    <w:link w:val="1566"/>
    <w:qFormat/>
    <w:uiPriority w:val="0"/>
    <w:pPr>
      <w:widowControl w:val="0"/>
      <w:adjustRightInd w:val="0"/>
      <w:spacing w:before="0" w:after="0" w:line="360" w:lineRule="auto"/>
      <w:ind w:right="0" w:firstLine="480" w:firstLineChars="200"/>
      <w:jc w:val="both"/>
    </w:pPr>
    <w:rPr>
      <w:rFonts w:ascii="Times New Roman" w:cs="Times New Roman"/>
      <w:bCs/>
      <w:kern w:val="2"/>
      <w:sz w:val="24"/>
      <w:szCs w:val="21"/>
    </w:rPr>
  </w:style>
  <w:style w:type="character" w:customStyle="1" w:styleId="1566">
    <w:name w:val="正文lly Char Char"/>
    <w:link w:val="1565"/>
    <w:qFormat/>
    <w:uiPriority w:val="0"/>
    <w:rPr>
      <w:rFonts w:hAnsi="宋体"/>
      <w:bCs/>
      <w:kern w:val="2"/>
      <w:sz w:val="24"/>
      <w:szCs w:val="21"/>
    </w:rPr>
  </w:style>
  <w:style w:type="character" w:customStyle="1" w:styleId="1567">
    <w:name w:val="apple-converted-space"/>
    <w:qFormat/>
    <w:uiPriority w:val="0"/>
  </w:style>
  <w:style w:type="paragraph" w:customStyle="1" w:styleId="1568">
    <w:name w:val="Y1"/>
    <w:basedOn w:val="1"/>
    <w:qFormat/>
    <w:uiPriority w:val="0"/>
    <w:pPr>
      <w:widowControl w:val="0"/>
      <w:spacing w:line="360" w:lineRule="auto"/>
    </w:pPr>
    <w:rPr>
      <w:rFonts w:ascii="Times New Roman" w:hAnsi="Times New Roman"/>
      <w:b/>
      <w:bCs/>
      <w:kern w:val="2"/>
      <w:sz w:val="28"/>
      <w:szCs w:val="20"/>
    </w:rPr>
  </w:style>
  <w:style w:type="paragraph" w:customStyle="1" w:styleId="1569">
    <w:name w:val="d_post_content"/>
    <w:basedOn w:val="1"/>
    <w:qFormat/>
    <w:uiPriority w:val="0"/>
    <w:pPr>
      <w:wordWrap w:val="0"/>
      <w:spacing w:before="100" w:beforeAutospacing="1" w:after="100" w:afterAutospacing="1" w:line="276" w:lineRule="atLeast"/>
    </w:pPr>
    <w:rPr>
      <w:sz w:val="16"/>
      <w:szCs w:val="16"/>
    </w:rPr>
  </w:style>
  <w:style w:type="paragraph" w:customStyle="1" w:styleId="1570">
    <w:name w:val="自定正文"/>
    <w:basedOn w:val="1"/>
    <w:link w:val="1571"/>
    <w:qFormat/>
    <w:uiPriority w:val="0"/>
    <w:pPr>
      <w:widowControl w:val="0"/>
      <w:snapToGrid w:val="0"/>
      <w:spacing w:line="360" w:lineRule="auto"/>
      <w:ind w:firstLine="200" w:firstLineChars="200"/>
      <w:jc w:val="both"/>
      <w:textAlignment w:val="center"/>
    </w:pPr>
    <w:rPr>
      <w:rFonts w:ascii="Arial" w:hAnsi="Arial" w:cs="Times New Roman"/>
      <w:snapToGrid w:val="0"/>
      <w:color w:val="000000"/>
      <w:szCs w:val="20"/>
    </w:rPr>
  </w:style>
  <w:style w:type="character" w:customStyle="1" w:styleId="1571">
    <w:name w:val="自定正文 Char"/>
    <w:link w:val="1570"/>
    <w:qFormat/>
    <w:uiPriority w:val="0"/>
    <w:rPr>
      <w:rFonts w:ascii="Arial" w:hAnsi="Arial"/>
      <w:snapToGrid w:val="0"/>
      <w:color w:val="000000"/>
      <w:sz w:val="24"/>
    </w:rPr>
  </w:style>
  <w:style w:type="paragraph" w:customStyle="1" w:styleId="1572">
    <w:name w:val="公式说明"/>
    <w:basedOn w:val="1"/>
    <w:qFormat/>
    <w:uiPriority w:val="0"/>
    <w:pPr>
      <w:widowControl w:val="0"/>
      <w:tabs>
        <w:tab w:val="left" w:pos="1920"/>
      </w:tabs>
      <w:adjustRightInd w:val="0"/>
      <w:snapToGrid w:val="0"/>
      <w:spacing w:line="620" w:lineRule="exact"/>
      <w:ind w:firstLine="200" w:firstLineChars="200"/>
      <w:jc w:val="both"/>
    </w:pPr>
    <w:rPr>
      <w:rFonts w:ascii="Times New Roman" w:hAnsi="Times New Roman" w:cs="Times New Roman"/>
      <w:kern w:val="2"/>
      <w:sz w:val="32"/>
    </w:rPr>
  </w:style>
  <w:style w:type="character" w:customStyle="1" w:styleId="1573">
    <w:name w:val="M表标题 Char"/>
    <w:link w:val="1574"/>
    <w:qFormat/>
    <w:uiPriority w:val="0"/>
    <w:rPr>
      <w:rFonts w:eastAsia="Symbol"/>
      <w:b/>
      <w:bCs/>
      <w:kern w:val="2"/>
      <w:sz w:val="24"/>
      <w:szCs w:val="24"/>
    </w:rPr>
  </w:style>
  <w:style w:type="paragraph" w:customStyle="1" w:styleId="1574">
    <w:name w:val="M表标题"/>
    <w:next w:val="1"/>
    <w:link w:val="1573"/>
    <w:qFormat/>
    <w:uiPriority w:val="0"/>
    <w:pPr>
      <w:keepNext/>
      <w:spacing w:line="360" w:lineRule="auto"/>
      <w:jc w:val="center"/>
    </w:pPr>
    <w:rPr>
      <w:rFonts w:ascii="Times New Roman" w:hAnsi="Times New Roman" w:eastAsia="Symbol" w:cs="Times New Roman"/>
      <w:b/>
      <w:bCs/>
      <w:kern w:val="2"/>
      <w:sz w:val="24"/>
      <w:szCs w:val="24"/>
      <w:lang w:val="en-US" w:eastAsia="zh-CN" w:bidi="ar-SA"/>
    </w:rPr>
  </w:style>
  <w:style w:type="character" w:customStyle="1" w:styleId="1575">
    <w:name w:val="M表中字体 Char"/>
    <w:link w:val="1576"/>
    <w:qFormat/>
    <w:uiPriority w:val="0"/>
    <w:rPr>
      <w:kern w:val="2"/>
      <w:sz w:val="21"/>
      <w:szCs w:val="21"/>
    </w:rPr>
  </w:style>
  <w:style w:type="paragraph" w:customStyle="1" w:styleId="1576">
    <w:name w:val="M表中字体"/>
    <w:link w:val="1575"/>
    <w:qFormat/>
    <w:uiPriority w:val="0"/>
    <w:pPr>
      <w:adjustRightInd w:val="0"/>
      <w:snapToGrid w:val="0"/>
      <w:jc w:val="center"/>
    </w:pPr>
    <w:rPr>
      <w:rFonts w:ascii="Times New Roman" w:hAnsi="Times New Roman" w:eastAsia="宋体" w:cs="Times New Roman"/>
      <w:kern w:val="2"/>
      <w:sz w:val="21"/>
      <w:szCs w:val="21"/>
      <w:lang w:val="en-US" w:eastAsia="zh-CN" w:bidi="ar-SA"/>
    </w:rPr>
  </w:style>
  <w:style w:type="character" w:customStyle="1" w:styleId="1577">
    <w:name w:val="表格文本 Char"/>
    <w:link w:val="1578"/>
    <w:qFormat/>
    <w:uiPriority w:val="0"/>
    <w:rPr>
      <w:bCs/>
      <w:color w:val="000000"/>
      <w:sz w:val="21"/>
      <w:szCs w:val="21"/>
    </w:rPr>
  </w:style>
  <w:style w:type="paragraph" w:customStyle="1" w:styleId="1578">
    <w:name w:val="表格文本"/>
    <w:basedOn w:val="1"/>
    <w:link w:val="1577"/>
    <w:qFormat/>
    <w:uiPriority w:val="0"/>
    <w:pPr>
      <w:widowControl w:val="0"/>
      <w:adjustRightInd w:val="0"/>
      <w:snapToGrid w:val="0"/>
      <w:jc w:val="center"/>
    </w:pPr>
    <w:rPr>
      <w:rFonts w:ascii="Times New Roman" w:hAnsi="Times New Roman" w:cs="Times New Roman"/>
      <w:bCs/>
      <w:color w:val="000000"/>
      <w:sz w:val="21"/>
      <w:szCs w:val="21"/>
    </w:rPr>
  </w:style>
  <w:style w:type="paragraph" w:customStyle="1" w:styleId="1579">
    <w:name w:val="A-表格文字"/>
    <w:basedOn w:val="1"/>
    <w:next w:val="322"/>
    <w:link w:val="1580"/>
    <w:qFormat/>
    <w:uiPriority w:val="0"/>
    <w:pPr>
      <w:widowControl w:val="0"/>
      <w:autoSpaceDE w:val="0"/>
      <w:autoSpaceDN w:val="0"/>
      <w:adjustRightInd w:val="0"/>
      <w:jc w:val="center"/>
      <w:textAlignment w:val="center"/>
    </w:pPr>
    <w:rPr>
      <w:rFonts w:ascii="Times New Roman" w:hAnsi="Times New Roman" w:cs="Times New Roman"/>
      <w:sz w:val="21"/>
      <w:szCs w:val="21"/>
    </w:rPr>
  </w:style>
  <w:style w:type="character" w:customStyle="1" w:styleId="1580">
    <w:name w:val="A-表格文字 Char"/>
    <w:link w:val="1579"/>
    <w:qFormat/>
    <w:uiPriority w:val="0"/>
    <w:rPr>
      <w:sz w:val="21"/>
      <w:szCs w:val="21"/>
    </w:rPr>
  </w:style>
  <w:style w:type="paragraph" w:customStyle="1" w:styleId="1581">
    <w:name w:val="正文 + 宋体"/>
    <w:basedOn w:val="1"/>
    <w:qFormat/>
    <w:uiPriority w:val="0"/>
    <w:pPr>
      <w:widowControl w:val="0"/>
      <w:snapToGrid w:val="0"/>
      <w:spacing w:line="400" w:lineRule="exact"/>
      <w:ind w:firstLine="480" w:firstLineChars="200"/>
      <w:jc w:val="both"/>
    </w:pPr>
    <w:rPr>
      <w:rFonts w:cs="Times New Roman"/>
      <w:color w:val="000000"/>
      <w:kern w:val="2"/>
    </w:rPr>
  </w:style>
  <w:style w:type="paragraph" w:customStyle="1" w:styleId="1582">
    <w:name w:val="正文文字 21"/>
    <w:basedOn w:val="1"/>
    <w:next w:val="76"/>
    <w:qFormat/>
    <w:uiPriority w:val="0"/>
    <w:pPr>
      <w:widowControl w:val="0"/>
      <w:spacing w:line="160" w:lineRule="exact"/>
      <w:jc w:val="center"/>
    </w:pPr>
    <w:rPr>
      <w:rFonts w:ascii="Times New Roman" w:hAnsi="Times New Roman" w:cs="Times New Roman"/>
      <w:kern w:val="2"/>
      <w:sz w:val="18"/>
    </w:rPr>
  </w:style>
  <w:style w:type="paragraph" w:customStyle="1" w:styleId="1583">
    <w:name w:val="样式 表格 32 + 首行缩进:  2 字符1"/>
    <w:basedOn w:val="252"/>
    <w:qFormat/>
    <w:uiPriority w:val="0"/>
    <w:rPr>
      <w:rFonts w:ascii="Times New Roman" w:hAnsi="Times New Roman" w:cs="宋体"/>
      <w:kern w:val="0"/>
      <w:sz w:val="21"/>
      <w:szCs w:val="21"/>
      <w:lang w:val="zh-CN"/>
    </w:rPr>
  </w:style>
  <w:style w:type="paragraph" w:customStyle="1" w:styleId="1584">
    <w:name w:val="正文首行缩进1"/>
    <w:basedOn w:val="34"/>
    <w:qFormat/>
    <w:uiPriority w:val="0"/>
    <w:pPr>
      <w:widowControl w:val="0"/>
      <w:adjustRightInd w:val="0"/>
      <w:snapToGrid/>
      <w:spacing w:before="0" w:after="156" w:afterLines="50" w:line="312" w:lineRule="auto"/>
      <w:ind w:right="0" w:firstLine="567"/>
      <w:jc w:val="both"/>
      <w:textAlignment w:val="baseline"/>
    </w:pPr>
    <w:rPr>
      <w:rFonts w:ascii="Times New Roman" w:hAnsi="Times New Roman" w:cs="Times New Roman"/>
      <w:kern w:val="2"/>
      <w:sz w:val="21"/>
      <w:szCs w:val="24"/>
    </w:rPr>
  </w:style>
  <w:style w:type="paragraph" w:customStyle="1" w:styleId="1585">
    <w:name w:val="批注框文本1"/>
    <w:basedOn w:val="1"/>
    <w:qFormat/>
    <w:uiPriority w:val="0"/>
    <w:pPr>
      <w:widowControl w:val="0"/>
      <w:jc w:val="both"/>
    </w:pPr>
    <w:rPr>
      <w:rFonts w:ascii="Times New Roman" w:hAnsi="Times New Roman" w:cs="Times New Roman"/>
      <w:kern w:val="2"/>
      <w:sz w:val="18"/>
      <w:szCs w:val="18"/>
    </w:rPr>
  </w:style>
  <w:style w:type="paragraph" w:customStyle="1" w:styleId="1586">
    <w:name w:val="正文首行缩进 21"/>
    <w:basedOn w:val="35"/>
    <w:qFormat/>
    <w:uiPriority w:val="0"/>
    <w:pPr>
      <w:widowControl w:val="0"/>
      <w:ind w:left="0" w:leftChars="0" w:firstLine="210"/>
      <w:jc w:val="both"/>
    </w:pPr>
    <w:rPr>
      <w:rFonts w:hAnsi="Times New Roman" w:cs="Times New Roman"/>
      <w:lang w:val="zh-CN"/>
    </w:rPr>
  </w:style>
  <w:style w:type="paragraph" w:customStyle="1" w:styleId="1587">
    <w:name w:val="Body Text 22"/>
    <w:basedOn w:val="1"/>
    <w:qFormat/>
    <w:uiPriority w:val="0"/>
    <w:pPr>
      <w:widowControl w:val="0"/>
      <w:adjustRightInd w:val="0"/>
      <w:spacing w:line="440" w:lineRule="atLeast"/>
      <w:ind w:firstLine="480"/>
      <w:jc w:val="both"/>
      <w:textAlignment w:val="baseline"/>
    </w:pPr>
    <w:rPr>
      <w:rFonts w:ascii="Times New Roman" w:hAnsi="Times New Roman" w:eastAsia="仿宋_GB2312" w:cs="Times New Roman"/>
      <w:kern w:val="2"/>
      <w:szCs w:val="20"/>
    </w:rPr>
  </w:style>
  <w:style w:type="character" w:customStyle="1" w:styleId="1588">
    <w:name w:val="lh22px1"/>
    <w:qFormat/>
    <w:uiPriority w:val="0"/>
    <w:rPr>
      <w:rFonts w:hint="eastAsia" w:ascii="宋体" w:hAnsi="宋体" w:eastAsia="宋体"/>
      <w:sz w:val="21"/>
      <w:szCs w:val="21"/>
    </w:rPr>
  </w:style>
  <w:style w:type="character" w:customStyle="1" w:styleId="1589">
    <w:name w:val="10p"/>
    <w:qFormat/>
    <w:uiPriority w:val="0"/>
  </w:style>
  <w:style w:type="paragraph" w:customStyle="1" w:styleId="1590">
    <w:name w:val="标题 2 + 首行缩进:  2 字符"/>
    <w:basedOn w:val="4"/>
    <w:qFormat/>
    <w:uiPriority w:val="0"/>
    <w:pPr>
      <w:widowControl w:val="0"/>
      <w:numPr>
        <w:ilvl w:val="0"/>
        <w:numId w:val="0"/>
      </w:numPr>
      <w:tabs>
        <w:tab w:val="left" w:pos="360"/>
        <w:tab w:val="left" w:pos="720"/>
        <w:tab w:val="left" w:pos="4614"/>
        <w:tab w:val="left" w:pos="8092"/>
      </w:tabs>
      <w:snapToGrid w:val="0"/>
      <w:spacing w:before="0" w:after="0" w:line="300" w:lineRule="auto"/>
      <w:ind w:firstLine="200" w:firstLineChars="200"/>
      <w:jc w:val="center"/>
    </w:pPr>
    <w:rPr>
      <w:b w:val="0"/>
      <w:bCs/>
      <w:color w:val="FF0000"/>
      <w:kern w:val="2"/>
      <w:szCs w:val="30"/>
      <w:lang w:val="zh-CN"/>
    </w:rPr>
  </w:style>
  <w:style w:type="paragraph" w:customStyle="1" w:styleId="1591">
    <w:name w:val="样式 标题 3 + 首行缩进:  2 字符"/>
    <w:basedOn w:val="5"/>
    <w:qFormat/>
    <w:uiPriority w:val="0"/>
    <w:pPr>
      <w:widowControl w:val="0"/>
      <w:tabs>
        <w:tab w:val="left" w:pos="360"/>
        <w:tab w:val="left" w:pos="720"/>
        <w:tab w:val="left" w:pos="4614"/>
      </w:tabs>
      <w:snapToGrid w:val="0"/>
      <w:spacing w:before="240" w:beforeLines="100" w:after="120" w:afterLines="50" w:line="300" w:lineRule="auto"/>
      <w:jc w:val="both"/>
    </w:pPr>
    <w:rPr>
      <w:rFonts w:ascii="Times New Roman" w:hAnsi="Times New Roman" w:eastAsia="黑体"/>
      <w:b w:val="0"/>
      <w:kern w:val="2"/>
      <w:lang w:val="zh-CN"/>
    </w:rPr>
  </w:style>
  <w:style w:type="paragraph" w:customStyle="1" w:styleId="1592">
    <w:name w:val="样式 标题 2 + 首行缩进:  2 字符 + 首行缩进:  2 字符"/>
    <w:basedOn w:val="1590"/>
    <w:qFormat/>
    <w:uiPriority w:val="0"/>
    <w:pPr>
      <w:ind w:firstLine="0" w:firstLineChars="0"/>
    </w:pPr>
    <w:rPr>
      <w:bCs w:val="0"/>
    </w:rPr>
  </w:style>
  <w:style w:type="paragraph" w:customStyle="1" w:styleId="1593">
    <w:name w:val="样式 目录 2 + 左侧:  2 字符 首行缩进:  2 字符"/>
    <w:basedOn w:val="74"/>
    <w:qFormat/>
    <w:uiPriority w:val="0"/>
    <w:pPr>
      <w:ind w:left="480" w:leftChars="0" w:firstLine="480" w:firstLineChars="200"/>
    </w:pPr>
    <w:rPr>
      <w:rFonts w:ascii="Calibri" w:hAnsi="Calibri" w:cs="宋体"/>
      <w:szCs w:val="20"/>
    </w:rPr>
  </w:style>
  <w:style w:type="paragraph" w:customStyle="1" w:styleId="1594">
    <w:name w:val="样式 目录 2 + 左侧:  2 字符 首行缩进:  2 字符1"/>
    <w:basedOn w:val="74"/>
    <w:qFormat/>
    <w:uiPriority w:val="0"/>
    <w:pPr>
      <w:ind w:left="480" w:leftChars="0" w:firstLine="480" w:firstLineChars="200"/>
    </w:pPr>
    <w:rPr>
      <w:rFonts w:ascii="Calibri" w:hAnsi="Calibri" w:cs="宋体"/>
      <w:szCs w:val="20"/>
    </w:rPr>
  </w:style>
  <w:style w:type="paragraph" w:customStyle="1" w:styleId="1595">
    <w:name w:val="样式 目录 2 + 左侧:  2 字符 首行缩进:  2 字符2"/>
    <w:basedOn w:val="74"/>
    <w:qFormat/>
    <w:uiPriority w:val="0"/>
    <w:pPr>
      <w:ind w:left="200" w:leftChars="0" w:firstLine="200" w:firstLineChars="200"/>
    </w:pPr>
    <w:rPr>
      <w:rFonts w:ascii="Calibri" w:hAnsi="Calibri" w:cs="宋体"/>
      <w:szCs w:val="20"/>
    </w:rPr>
  </w:style>
  <w:style w:type="paragraph" w:customStyle="1" w:styleId="1596">
    <w:name w:val="样式 目录 2 + 左侧:  2 字符 首行缩进:  2 字符3"/>
    <w:basedOn w:val="74"/>
    <w:qFormat/>
    <w:uiPriority w:val="0"/>
    <w:pPr>
      <w:ind w:left="200" w:leftChars="0"/>
    </w:pPr>
    <w:rPr>
      <w:rFonts w:ascii="Calibri" w:hAnsi="Calibri" w:cs="宋体"/>
      <w:szCs w:val="20"/>
    </w:rPr>
  </w:style>
  <w:style w:type="paragraph" w:customStyle="1" w:styleId="1597">
    <w:name w:val="样式 目录 2 + 左侧:  2 字符 首行缩进:  2 字符4"/>
    <w:basedOn w:val="74"/>
    <w:qFormat/>
    <w:uiPriority w:val="0"/>
    <w:pPr>
      <w:ind w:left="200" w:leftChars="0" w:firstLine="200" w:firstLineChars="200"/>
    </w:pPr>
    <w:rPr>
      <w:rFonts w:ascii="Calibri" w:hAnsi="Calibri" w:cs="宋体"/>
      <w:szCs w:val="20"/>
    </w:rPr>
  </w:style>
  <w:style w:type="paragraph" w:customStyle="1" w:styleId="1598">
    <w:name w:val="样式 目录 2 + 左侧:  2 字符 首行缩进:  2 字符5"/>
    <w:basedOn w:val="74"/>
    <w:qFormat/>
    <w:uiPriority w:val="0"/>
    <w:pPr>
      <w:ind w:left="480" w:leftChars="0" w:firstLine="420" w:firstLineChars="200"/>
    </w:pPr>
    <w:rPr>
      <w:rFonts w:ascii="Calibri" w:hAnsi="Calibri" w:cs="宋体"/>
      <w:szCs w:val="21"/>
    </w:rPr>
  </w:style>
  <w:style w:type="character" w:customStyle="1" w:styleId="1599">
    <w:name w:val="puntext"/>
    <w:qFormat/>
    <w:uiPriority w:val="0"/>
  </w:style>
  <w:style w:type="character" w:customStyle="1" w:styleId="1600">
    <w:name w:val="tpc_content1"/>
    <w:qFormat/>
    <w:uiPriority w:val="0"/>
    <w:rPr>
      <w:sz w:val="36"/>
      <w:szCs w:val="36"/>
    </w:rPr>
  </w:style>
  <w:style w:type="paragraph" w:customStyle="1" w:styleId="1601">
    <w:name w:val="样式 标题 3 + 首行缩进:  0.85 厘米"/>
    <w:basedOn w:val="5"/>
    <w:qFormat/>
    <w:uiPriority w:val="0"/>
    <w:pPr>
      <w:widowControl w:val="0"/>
      <w:tabs>
        <w:tab w:val="left" w:pos="360"/>
        <w:tab w:val="left" w:pos="720"/>
        <w:tab w:val="left" w:pos="4614"/>
      </w:tabs>
      <w:snapToGrid w:val="0"/>
      <w:spacing w:beforeLines="100" w:afterLines="50" w:line="415" w:lineRule="auto"/>
      <w:jc w:val="both"/>
    </w:pPr>
    <w:rPr>
      <w:rFonts w:ascii="Times New Roman" w:hAnsi="Times New Roman" w:eastAsia="仿宋_GB2312" w:cs="Times New Roman"/>
      <w:kern w:val="2"/>
      <w:szCs w:val="24"/>
      <w:lang w:val="zh-CN"/>
    </w:rPr>
  </w:style>
  <w:style w:type="paragraph" w:customStyle="1" w:styleId="1602">
    <w:name w:val="小五居中"/>
    <w:basedOn w:val="1"/>
    <w:qFormat/>
    <w:uiPriority w:val="0"/>
    <w:pPr>
      <w:widowControl w:val="0"/>
      <w:jc w:val="center"/>
    </w:pPr>
    <w:rPr>
      <w:rFonts w:ascii="Times New Roman" w:hAnsi="Times New Roman" w:cs="Times New Roman"/>
      <w:kern w:val="2"/>
      <w:sz w:val="18"/>
    </w:rPr>
  </w:style>
  <w:style w:type="paragraph" w:customStyle="1" w:styleId="1603">
    <w:name w:val="样式 标题 3 + 左侧:  0.5 字符1"/>
    <w:basedOn w:val="5"/>
    <w:qFormat/>
    <w:uiPriority w:val="0"/>
    <w:pPr>
      <w:widowControl w:val="0"/>
      <w:tabs>
        <w:tab w:val="left" w:pos="360"/>
        <w:tab w:val="left" w:pos="720"/>
        <w:tab w:val="left" w:pos="4614"/>
      </w:tabs>
      <w:snapToGrid w:val="0"/>
      <w:spacing w:before="240" w:beforeLines="100" w:after="120" w:afterLines="50" w:line="415" w:lineRule="auto"/>
      <w:ind w:left="50" w:leftChars="50"/>
      <w:jc w:val="both"/>
    </w:pPr>
    <w:rPr>
      <w:rFonts w:ascii="Arial" w:hAnsi="Arial" w:eastAsia="黑体" w:cs="Times New Roman"/>
      <w:b w:val="0"/>
      <w:kern w:val="2"/>
      <w:lang w:val="zh-CN"/>
    </w:rPr>
  </w:style>
  <w:style w:type="paragraph" w:customStyle="1" w:styleId="1604">
    <w:name w:val="正式文本"/>
    <w:basedOn w:val="1"/>
    <w:qFormat/>
    <w:uiPriority w:val="0"/>
    <w:pPr>
      <w:widowControl w:val="0"/>
      <w:ind w:firstLine="199" w:firstLineChars="71"/>
      <w:jc w:val="both"/>
    </w:pPr>
    <w:rPr>
      <w:rFonts w:ascii="仿宋_GB2312" w:hAnsi="Times New Roman" w:eastAsia="仿宋_GB2312" w:cs="Times New Roman"/>
      <w:kern w:val="2"/>
      <w:sz w:val="28"/>
      <w:szCs w:val="21"/>
    </w:rPr>
  </w:style>
  <w:style w:type="paragraph" w:customStyle="1" w:styleId="1605">
    <w:name w:val="批注主题1"/>
    <w:basedOn w:val="28"/>
    <w:next w:val="28"/>
    <w:qFormat/>
    <w:uiPriority w:val="0"/>
    <w:pPr>
      <w:widowControl w:val="0"/>
      <w:spacing w:after="156" w:afterLines="50"/>
    </w:pPr>
    <w:rPr>
      <w:rFonts w:ascii="Times New Roman" w:hAnsi="Times New Roman" w:cs="Times New Roman"/>
      <w:b/>
      <w:bCs/>
      <w:kern w:val="2"/>
      <w:sz w:val="21"/>
      <w:szCs w:val="24"/>
    </w:rPr>
  </w:style>
  <w:style w:type="paragraph" w:customStyle="1" w:styleId="1606">
    <w:name w:val="AFTERTITLE"/>
    <w:basedOn w:val="1"/>
    <w:qFormat/>
    <w:uiPriority w:val="0"/>
    <w:pPr>
      <w:spacing w:line="360" w:lineRule="atLeast"/>
      <w:jc w:val="center"/>
    </w:pPr>
    <w:rPr>
      <w:rFonts w:ascii="Times New Roman" w:hAnsi="Times New Roman" w:cs="Times New Roman"/>
      <w:b/>
      <w:caps/>
      <w:szCs w:val="20"/>
      <w:lang w:eastAsia="en-US"/>
    </w:rPr>
  </w:style>
  <w:style w:type="paragraph" w:customStyle="1" w:styleId="1607">
    <w:name w:val="3 Char"/>
    <w:basedOn w:val="1"/>
    <w:qFormat/>
    <w:uiPriority w:val="0"/>
    <w:pPr>
      <w:widowControl w:val="0"/>
      <w:jc w:val="both"/>
    </w:pPr>
    <w:rPr>
      <w:rFonts w:ascii="Times New Roman" w:hAnsi="Times New Roman" w:cs="Times New Roman"/>
      <w:kern w:val="2"/>
      <w:sz w:val="21"/>
      <w:szCs w:val="21"/>
    </w:rPr>
  </w:style>
  <w:style w:type="paragraph" w:customStyle="1" w:styleId="1608">
    <w:name w:val="基准页眉样式"/>
    <w:basedOn w:val="34"/>
    <w:qFormat/>
    <w:uiPriority w:val="0"/>
    <w:pPr>
      <w:keepLines/>
      <w:tabs>
        <w:tab w:val="center" w:pos="-18551"/>
        <w:tab w:val="right" w:pos="4320"/>
      </w:tabs>
      <w:snapToGrid/>
      <w:spacing w:before="0" w:after="0" w:line="240" w:lineRule="atLeast"/>
      <w:ind w:right="0"/>
      <w:jc w:val="center"/>
    </w:pPr>
    <w:rPr>
      <w:rFonts w:ascii="Garamond" w:hAnsi="Garamond" w:cs="Times New Roman"/>
      <w:smallCaps/>
      <w:spacing w:val="15"/>
      <w:sz w:val="21"/>
      <w:lang w:val="zh-CN"/>
    </w:rPr>
  </w:style>
  <w:style w:type="paragraph" w:customStyle="1" w:styleId="1609">
    <w:name w:val="正文缩"/>
    <w:basedOn w:val="1"/>
    <w:qFormat/>
    <w:uiPriority w:val="0"/>
    <w:pPr>
      <w:widowControl w:val="0"/>
      <w:adjustRightInd w:val="0"/>
      <w:snapToGrid w:val="0"/>
      <w:spacing w:line="480" w:lineRule="atLeast"/>
      <w:ind w:firstLine="671" w:firstLineChars="150"/>
      <w:jc w:val="both"/>
    </w:pPr>
    <w:rPr>
      <w:rFonts w:hAnsi="Times New Roman" w:cs="Times New Roman"/>
      <w:snapToGrid w:val="0"/>
      <w:spacing w:val="6"/>
      <w:sz w:val="28"/>
      <w:szCs w:val="20"/>
    </w:rPr>
  </w:style>
  <w:style w:type="paragraph" w:customStyle="1" w:styleId="1610">
    <w:name w:val="正文样式3"/>
    <w:basedOn w:val="1"/>
    <w:qFormat/>
    <w:uiPriority w:val="0"/>
    <w:pPr>
      <w:widowControl w:val="0"/>
      <w:adjustRightInd w:val="0"/>
      <w:spacing w:line="20" w:lineRule="atLeast"/>
      <w:jc w:val="center"/>
      <w:textAlignment w:val="baseline"/>
    </w:pPr>
    <w:rPr>
      <w:rFonts w:ascii="Times New Roman" w:hAnsi="Times New Roman" w:cs="Times New Roman"/>
      <w:szCs w:val="20"/>
    </w:rPr>
  </w:style>
  <w:style w:type="paragraph" w:customStyle="1" w:styleId="1611">
    <w:name w:val="F正文"/>
    <w:qFormat/>
    <w:uiPriority w:val="0"/>
    <w:pPr>
      <w:widowControl w:val="0"/>
      <w:adjustRightInd w:val="0"/>
      <w:spacing w:line="360" w:lineRule="atLeast"/>
      <w:textAlignment w:val="baseline"/>
    </w:pPr>
    <w:rPr>
      <w:rFonts w:ascii="Times New Roman" w:hAnsi="Times New Roman" w:eastAsia="宋体" w:cs="Times New Roman"/>
      <w:spacing w:val="12"/>
      <w:sz w:val="24"/>
      <w:lang w:val="en-US" w:eastAsia="zh-CN" w:bidi="ar-SA"/>
    </w:rPr>
  </w:style>
  <w:style w:type="paragraph" w:customStyle="1" w:styleId="1612">
    <w:name w:val="Char Char Char Char Char Char1 Char Char Char1 Char Char Char1 Char Char Char Char Char Char Char Char Char Char11"/>
    <w:basedOn w:val="1"/>
    <w:next w:val="1"/>
    <w:qFormat/>
    <w:uiPriority w:val="0"/>
    <w:pPr>
      <w:widowControl w:val="0"/>
      <w:spacing w:line="360" w:lineRule="auto"/>
      <w:ind w:firstLine="200" w:firstLineChars="200"/>
      <w:jc w:val="both"/>
    </w:pPr>
    <w:rPr>
      <w:kern w:val="2"/>
    </w:rPr>
  </w:style>
  <w:style w:type="paragraph" w:customStyle="1" w:styleId="1613">
    <w:name w:val="HTML 预设格式1"/>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6" w:afterLines="50"/>
    </w:pPr>
    <w:rPr>
      <w:rFonts w:ascii="Courier New" w:hAnsi="Courier New" w:cs="Courier New"/>
      <w:kern w:val="2"/>
      <w:sz w:val="20"/>
      <w:szCs w:val="20"/>
    </w:rPr>
  </w:style>
  <w:style w:type="paragraph" w:customStyle="1" w:styleId="1614">
    <w:name w:val="文本框"/>
    <w:basedOn w:val="1"/>
    <w:qFormat/>
    <w:uiPriority w:val="0"/>
    <w:pPr>
      <w:widowControl w:val="0"/>
      <w:adjustRightInd w:val="0"/>
      <w:snapToGrid w:val="0"/>
      <w:spacing w:line="300" w:lineRule="exact"/>
      <w:jc w:val="center"/>
    </w:pPr>
    <w:rPr>
      <w:rFonts w:ascii="Times New Roman" w:hAnsi="Times New Roman" w:cs="Times New Roman"/>
      <w:kern w:val="2"/>
    </w:rPr>
  </w:style>
  <w:style w:type="paragraph" w:customStyle="1" w:styleId="1615">
    <w:name w:val="Char Char Char Char Char Char1 Char Char Char1 Char Char Char1 Char Char Char Char Char Char Char Char Char Char7"/>
    <w:basedOn w:val="1"/>
    <w:next w:val="1"/>
    <w:qFormat/>
    <w:uiPriority w:val="0"/>
    <w:pPr>
      <w:widowControl w:val="0"/>
      <w:spacing w:line="360" w:lineRule="auto"/>
      <w:ind w:firstLine="200" w:firstLineChars="200"/>
      <w:jc w:val="both"/>
    </w:pPr>
    <w:rPr>
      <w:rFonts w:ascii="楷体_GB2312" w:eastAsia="楷体_GB2312"/>
      <w:kern w:val="2"/>
    </w:rPr>
  </w:style>
  <w:style w:type="paragraph" w:customStyle="1" w:styleId="1616">
    <w:name w:val="样式 四号 行距: 1.5 倍行距 首行缩进:  2 字符"/>
    <w:basedOn w:val="1"/>
    <w:qFormat/>
    <w:uiPriority w:val="0"/>
    <w:pPr>
      <w:widowControl w:val="0"/>
      <w:spacing w:line="360" w:lineRule="auto"/>
      <w:ind w:firstLine="560" w:firstLineChars="200"/>
      <w:jc w:val="both"/>
    </w:pPr>
    <w:rPr>
      <w:rFonts w:ascii="Times New Roman" w:hAnsi="Times New Roman"/>
      <w:kern w:val="2"/>
      <w:sz w:val="28"/>
      <w:szCs w:val="20"/>
    </w:rPr>
  </w:style>
  <w:style w:type="character" w:customStyle="1" w:styleId="1617">
    <w:name w:val="p141"/>
    <w:qFormat/>
    <w:uiPriority w:val="0"/>
    <w:rPr>
      <w:color w:val="333333"/>
      <w:sz w:val="18"/>
    </w:rPr>
  </w:style>
  <w:style w:type="character" w:customStyle="1" w:styleId="1618">
    <w:name w:val="表格内容 Char"/>
    <w:qFormat/>
    <w:uiPriority w:val="0"/>
    <w:rPr>
      <w:rFonts w:ascii="Times New Roman" w:hAnsi="Times New Roman" w:eastAsia="宋体" w:cs="Times New Roman"/>
      <w:bCs/>
      <w:sz w:val="18"/>
      <w:szCs w:val="18"/>
    </w:rPr>
  </w:style>
  <w:style w:type="character" w:customStyle="1" w:styleId="1619">
    <w:name w:val="图表标题 Char"/>
    <w:qFormat/>
    <w:uiPriority w:val="0"/>
    <w:rPr>
      <w:rFonts w:ascii="Times New Roman" w:hAnsi="Times New Roman" w:eastAsia="宋体" w:cs="Times New Roman"/>
      <w:b/>
      <w:bCs/>
      <w:szCs w:val="20"/>
      <w:lang w:val="zh-CN" w:eastAsia="zh-CN"/>
    </w:rPr>
  </w:style>
  <w:style w:type="character" w:customStyle="1" w:styleId="1620">
    <w:name w:val="articlebody3"/>
    <w:qFormat/>
    <w:uiPriority w:val="0"/>
    <w:rPr>
      <w:sz w:val="21"/>
      <w:szCs w:val="21"/>
    </w:rPr>
  </w:style>
  <w:style w:type="paragraph" w:customStyle="1" w:styleId="1621">
    <w:name w:val="样式 样式 正文首行缩进 2 + 首行缩进:  2 字符1 + 宋体"/>
    <w:basedOn w:val="1"/>
    <w:link w:val="1622"/>
    <w:qFormat/>
    <w:uiPriority w:val="0"/>
    <w:pPr>
      <w:widowControl w:val="0"/>
      <w:adjustRightInd w:val="0"/>
      <w:spacing w:after="120" w:line="360" w:lineRule="auto"/>
      <w:ind w:firstLine="480" w:firstLineChars="200"/>
      <w:jc w:val="both"/>
      <w:textAlignment w:val="baseline"/>
    </w:pPr>
    <w:rPr>
      <w:rFonts w:cs="Times New Roman"/>
      <w:kern w:val="2"/>
      <w:szCs w:val="20"/>
      <w:lang w:val="zh-CN"/>
    </w:rPr>
  </w:style>
  <w:style w:type="character" w:customStyle="1" w:styleId="1622">
    <w:name w:val="样式 样式 正文首行缩进 2 + 首行缩进:  2 字符1 + 宋体 Char"/>
    <w:link w:val="1621"/>
    <w:qFormat/>
    <w:uiPriority w:val="0"/>
    <w:rPr>
      <w:rFonts w:ascii="宋体" w:hAnsi="宋体"/>
      <w:kern w:val="2"/>
      <w:sz w:val="24"/>
      <w:lang w:val="zh-CN"/>
    </w:rPr>
  </w:style>
  <w:style w:type="character" w:customStyle="1" w:styleId="1623">
    <w:name w:val="正文缩进 Char1"/>
    <w:qFormat/>
    <w:uiPriority w:val="0"/>
    <w:rPr>
      <w:rFonts w:ascii="Times New Roman" w:hAnsi="Times New Roman" w:eastAsia="宋体" w:cs="Times New Roman"/>
      <w:szCs w:val="24"/>
    </w:rPr>
  </w:style>
  <w:style w:type="character" w:customStyle="1" w:styleId="1624">
    <w:name w:val="yiyuan21"/>
    <w:qFormat/>
    <w:uiPriority w:val="0"/>
    <w:rPr>
      <w:rFonts w:hint="default" w:ascii="Hei" w:hAnsi="Hei"/>
      <w:sz w:val="21"/>
    </w:rPr>
  </w:style>
  <w:style w:type="paragraph" w:customStyle="1" w:styleId="1625">
    <w:name w:val="毕一级"/>
    <w:basedOn w:val="1"/>
    <w:link w:val="1626"/>
    <w:qFormat/>
    <w:uiPriority w:val="0"/>
    <w:pPr>
      <w:widowControl w:val="0"/>
      <w:numPr>
        <w:ilvl w:val="0"/>
        <w:numId w:val="2"/>
      </w:numPr>
      <w:spacing w:before="300" w:after="300" w:line="520" w:lineRule="exact"/>
      <w:jc w:val="center"/>
    </w:pPr>
    <w:rPr>
      <w:rFonts w:ascii="Times New Roman" w:hAnsi="Times New Roman" w:eastAsia="黑体" w:cs="Times New Roman"/>
      <w:kern w:val="2"/>
      <w:sz w:val="36"/>
      <w:lang w:val="zh-CN"/>
    </w:rPr>
  </w:style>
  <w:style w:type="character" w:customStyle="1" w:styleId="1626">
    <w:name w:val="毕一级 Char"/>
    <w:link w:val="1625"/>
    <w:qFormat/>
    <w:uiPriority w:val="0"/>
    <w:rPr>
      <w:rFonts w:eastAsia="黑体"/>
      <w:kern w:val="2"/>
      <w:sz w:val="36"/>
      <w:szCs w:val="24"/>
      <w:lang w:val="zh-CN"/>
    </w:rPr>
  </w:style>
  <w:style w:type="paragraph" w:customStyle="1" w:styleId="1627">
    <w:name w:val="中大正文"/>
    <w:basedOn w:val="1"/>
    <w:link w:val="1628"/>
    <w:qFormat/>
    <w:uiPriority w:val="0"/>
    <w:pPr>
      <w:widowControl w:val="0"/>
      <w:autoSpaceDE w:val="0"/>
      <w:autoSpaceDN w:val="0"/>
      <w:adjustRightInd w:val="0"/>
      <w:spacing w:line="360" w:lineRule="auto"/>
      <w:ind w:firstLine="480" w:firstLineChars="200"/>
      <w:jc w:val="both"/>
    </w:pPr>
    <w:rPr>
      <w:rFonts w:cs="Times New Roman"/>
      <w:lang w:val="zh-CN"/>
    </w:rPr>
  </w:style>
  <w:style w:type="character" w:customStyle="1" w:styleId="1628">
    <w:name w:val="中大正文 Char"/>
    <w:link w:val="1627"/>
    <w:qFormat/>
    <w:uiPriority w:val="0"/>
    <w:rPr>
      <w:rFonts w:ascii="宋体" w:hAnsi="宋体"/>
      <w:sz w:val="24"/>
      <w:szCs w:val="24"/>
      <w:lang w:val="zh-CN"/>
    </w:rPr>
  </w:style>
  <w:style w:type="paragraph" w:customStyle="1" w:styleId="1629">
    <w:name w:val="中大表格标题"/>
    <w:basedOn w:val="1"/>
    <w:link w:val="1630"/>
    <w:qFormat/>
    <w:uiPriority w:val="0"/>
    <w:pPr>
      <w:widowControl w:val="0"/>
      <w:spacing w:beforeLines="50"/>
      <w:jc w:val="center"/>
    </w:pPr>
    <w:rPr>
      <w:rFonts w:ascii="Times New Roman" w:hAnsi="Times New Roman" w:cs="Times New Roman"/>
      <w:b/>
      <w:bCs/>
      <w:kern w:val="2"/>
      <w:szCs w:val="20"/>
      <w:lang w:val="zh-CN"/>
    </w:rPr>
  </w:style>
  <w:style w:type="character" w:customStyle="1" w:styleId="1630">
    <w:name w:val="中大表格标题 Char"/>
    <w:link w:val="1629"/>
    <w:qFormat/>
    <w:uiPriority w:val="0"/>
    <w:rPr>
      <w:b/>
      <w:bCs/>
      <w:kern w:val="2"/>
      <w:sz w:val="24"/>
      <w:lang w:val="zh-CN"/>
    </w:rPr>
  </w:style>
  <w:style w:type="paragraph" w:customStyle="1" w:styleId="1631">
    <w:name w:val="中大3级标题"/>
    <w:basedOn w:val="5"/>
    <w:link w:val="1632"/>
    <w:qFormat/>
    <w:uiPriority w:val="0"/>
    <w:pPr>
      <w:widowControl w:val="0"/>
      <w:tabs>
        <w:tab w:val="left" w:pos="360"/>
        <w:tab w:val="left" w:pos="720"/>
        <w:tab w:val="left" w:pos="4614"/>
      </w:tabs>
      <w:snapToGrid w:val="0"/>
      <w:spacing w:beforeLines="100" w:afterLines="50" w:line="360" w:lineRule="auto"/>
      <w:jc w:val="both"/>
    </w:pPr>
    <w:rPr>
      <w:rFonts w:ascii="Times New Roman" w:hAnsi="Times New Roman" w:cs="Times New Roman"/>
      <w:bCs w:val="0"/>
      <w:kern w:val="2"/>
      <w:lang w:val="zh-CN"/>
    </w:rPr>
  </w:style>
  <w:style w:type="character" w:customStyle="1" w:styleId="1632">
    <w:name w:val="中大3级标题 Char"/>
    <w:link w:val="1631"/>
    <w:qFormat/>
    <w:uiPriority w:val="0"/>
    <w:rPr>
      <w:b/>
      <w:kern w:val="2"/>
      <w:sz w:val="32"/>
      <w:szCs w:val="32"/>
      <w:lang w:val="zh-CN"/>
    </w:rPr>
  </w:style>
  <w:style w:type="paragraph" w:customStyle="1" w:styleId="1633">
    <w:name w:val="中大2级标题"/>
    <w:basedOn w:val="4"/>
    <w:link w:val="1634"/>
    <w:qFormat/>
    <w:uiPriority w:val="0"/>
    <w:pPr>
      <w:widowControl w:val="0"/>
      <w:numPr>
        <w:ilvl w:val="0"/>
        <w:numId w:val="0"/>
      </w:numPr>
      <w:tabs>
        <w:tab w:val="left" w:pos="360"/>
        <w:tab w:val="left" w:pos="720"/>
        <w:tab w:val="left" w:pos="4614"/>
        <w:tab w:val="left" w:pos="8092"/>
      </w:tabs>
      <w:snapToGrid w:val="0"/>
      <w:spacing w:beforeLines="100" w:afterLines="50" w:line="360" w:lineRule="auto"/>
    </w:pPr>
    <w:rPr>
      <w:rFonts w:ascii="Times New Roman" w:hAnsi="Times New Roman" w:eastAsia="宋体" w:cs="Times New Roman"/>
      <w:bCs/>
      <w:color w:val="FF0000"/>
      <w:kern w:val="2"/>
      <w:szCs w:val="32"/>
      <w:lang w:val="zh-CN"/>
    </w:rPr>
  </w:style>
  <w:style w:type="character" w:customStyle="1" w:styleId="1634">
    <w:name w:val="中大2级标题 Char"/>
    <w:link w:val="1633"/>
    <w:qFormat/>
    <w:uiPriority w:val="0"/>
    <w:rPr>
      <w:b/>
      <w:bCs/>
      <w:color w:val="FF0000"/>
      <w:kern w:val="2"/>
      <w:sz w:val="32"/>
      <w:szCs w:val="32"/>
      <w:lang w:val="zh-CN"/>
    </w:rPr>
  </w:style>
  <w:style w:type="paragraph" w:customStyle="1" w:styleId="1635">
    <w:name w:val="Char Char Char Char Char Char Char Char Char Char Char Char Char Char Char Char Char Char Char Char Char Char Char Char Char"/>
    <w:basedOn w:val="1"/>
    <w:qFormat/>
    <w:uiPriority w:val="0"/>
    <w:pPr>
      <w:spacing w:after="160" w:line="240" w:lineRule="exact"/>
    </w:pPr>
    <w:rPr>
      <w:rFonts w:ascii="Verdana" w:hAnsi="Verdana" w:cs="Times New Roman"/>
      <w:sz w:val="20"/>
      <w:szCs w:val="20"/>
      <w:lang w:eastAsia="en-US"/>
    </w:rPr>
  </w:style>
  <w:style w:type="paragraph" w:customStyle="1" w:styleId="1636">
    <w:name w:val="h"/>
    <w:basedOn w:val="1"/>
    <w:next w:val="21"/>
    <w:qFormat/>
    <w:uiPriority w:val="0"/>
    <w:pPr>
      <w:keepNext/>
      <w:keepLines/>
      <w:widowControl w:val="0"/>
      <w:adjustRightInd w:val="0"/>
      <w:spacing w:line="360" w:lineRule="auto"/>
      <w:textAlignment w:val="baseline"/>
      <w:outlineLvl w:val="3"/>
    </w:pPr>
    <w:rPr>
      <w:rFonts w:ascii="Times New Roman" w:hAnsi="Times New Roman" w:cs="Times New Roman"/>
    </w:rPr>
  </w:style>
  <w:style w:type="paragraph" w:customStyle="1" w:styleId="1637">
    <w:name w:val="正文12"/>
    <w:basedOn w:val="1"/>
    <w:qFormat/>
    <w:uiPriority w:val="0"/>
    <w:pPr>
      <w:widowControl w:val="0"/>
      <w:adjustRightInd w:val="0"/>
      <w:jc w:val="both"/>
    </w:pPr>
    <w:rPr>
      <w:rFonts w:ascii="Times New Roman" w:hAnsi="Times New Roman" w:eastAsia="楷体_GB2312" w:cs="Times New Roman"/>
      <w:kern w:val="2"/>
    </w:rPr>
  </w:style>
  <w:style w:type="paragraph" w:customStyle="1" w:styleId="1638">
    <w:name w:val="Char Char Char Char Char Char7"/>
    <w:basedOn w:val="1"/>
    <w:qFormat/>
    <w:uiPriority w:val="0"/>
    <w:pPr>
      <w:widowControl w:val="0"/>
      <w:jc w:val="both"/>
    </w:pPr>
    <w:rPr>
      <w:rFonts w:ascii="Times New Roman" w:hAnsi="Times New Roman" w:cs="Times New Roman"/>
      <w:kern w:val="2"/>
      <w:sz w:val="21"/>
      <w:szCs w:val="21"/>
    </w:rPr>
  </w:style>
  <w:style w:type="paragraph" w:customStyle="1" w:styleId="1639">
    <w:name w:val="Char7"/>
    <w:basedOn w:val="1"/>
    <w:qFormat/>
    <w:uiPriority w:val="0"/>
    <w:pPr>
      <w:widowControl w:val="0"/>
      <w:jc w:val="both"/>
    </w:pPr>
    <w:rPr>
      <w:rFonts w:ascii="Times New Roman" w:hAnsi="Times New Roman" w:cs="Times New Roman"/>
      <w:kern w:val="2"/>
      <w:sz w:val="21"/>
      <w:szCs w:val="21"/>
    </w:rPr>
  </w:style>
  <w:style w:type="character" w:customStyle="1" w:styleId="1640">
    <w:name w:val="Char Char"/>
    <w:qFormat/>
    <w:uiPriority w:val="0"/>
    <w:rPr>
      <w:kern w:val="2"/>
      <w:sz w:val="24"/>
      <w:szCs w:val="24"/>
      <w:shd w:val="clear" w:color="auto" w:fill="000080"/>
    </w:rPr>
  </w:style>
  <w:style w:type="character" w:customStyle="1" w:styleId="1641">
    <w:name w:val="title1"/>
    <w:qFormat/>
    <w:uiPriority w:val="0"/>
    <w:rPr>
      <w:b/>
      <w:bCs/>
      <w:color w:val="333333"/>
      <w:sz w:val="18"/>
      <w:szCs w:val="18"/>
      <w:u w:val="none"/>
    </w:rPr>
  </w:style>
  <w:style w:type="character" w:customStyle="1" w:styleId="1642">
    <w:name w:val="3zw"/>
    <w:qFormat/>
    <w:uiPriority w:val="0"/>
  </w:style>
  <w:style w:type="paragraph" w:customStyle="1" w:styleId="1643">
    <w:name w:val="maintext"/>
    <w:basedOn w:val="1"/>
    <w:qFormat/>
    <w:uiPriority w:val="0"/>
    <w:pPr>
      <w:spacing w:before="100" w:beforeAutospacing="1" w:after="100" w:afterAutospacing="1"/>
    </w:pPr>
    <w:rPr>
      <w:rFonts w:ascii="Times New Roman" w:cs="楷体_GB2312"/>
      <w:color w:val="000000"/>
    </w:rPr>
  </w:style>
  <w:style w:type="paragraph" w:customStyle="1" w:styleId="1644">
    <w:name w:val="字元 字元 Char Char 字元 字元17"/>
    <w:basedOn w:val="1"/>
    <w:qFormat/>
    <w:uiPriority w:val="0"/>
    <w:pPr>
      <w:widowControl w:val="0"/>
      <w:jc w:val="both"/>
    </w:pPr>
    <w:rPr>
      <w:rFonts w:ascii="Times New Roman" w:hAnsi="Times New Roman" w:cs="Times New Roman"/>
      <w:kern w:val="2"/>
    </w:rPr>
  </w:style>
  <w:style w:type="paragraph" w:customStyle="1" w:styleId="1645">
    <w:name w:val="样式 样式 标题 3 + 右侧:  0.42 厘米 + 右侧:  1 字符"/>
    <w:basedOn w:val="1"/>
    <w:qFormat/>
    <w:uiPriority w:val="0"/>
    <w:pPr>
      <w:keepNext/>
      <w:keepLines/>
      <w:widowControl w:val="0"/>
      <w:tabs>
        <w:tab w:val="left" w:pos="180"/>
      </w:tabs>
      <w:autoSpaceDE w:val="0"/>
      <w:autoSpaceDN w:val="0"/>
      <w:adjustRightInd w:val="0"/>
      <w:snapToGrid w:val="0"/>
      <w:spacing w:before="240" w:after="120" w:line="300" w:lineRule="auto"/>
      <w:ind w:left="180" w:leftChars="-42" w:right="238" w:hanging="281" w:hangingChars="100"/>
      <w:outlineLvl w:val="2"/>
    </w:pPr>
    <w:rPr>
      <w:rFonts w:ascii="Times New Roman" w:cs="Times New Roman"/>
      <w:b/>
      <w:bCs/>
      <w:kern w:val="2"/>
      <w:sz w:val="28"/>
      <w:szCs w:val="20"/>
    </w:rPr>
  </w:style>
  <w:style w:type="paragraph" w:customStyle="1" w:styleId="1646">
    <w:name w:val="样式 标题 4 + 宋体 小四"/>
    <w:basedOn w:val="6"/>
    <w:qFormat/>
    <w:uiPriority w:val="0"/>
    <w:pPr>
      <w:widowControl w:val="0"/>
      <w:tabs>
        <w:tab w:val="left" w:pos="864"/>
        <w:tab w:val="left" w:pos="945"/>
        <w:tab w:val="left" w:pos="1620"/>
      </w:tabs>
      <w:snapToGrid w:val="0"/>
      <w:spacing w:beforeLines="50"/>
      <w:ind w:left="864" w:hanging="864" w:firstLineChars="200"/>
      <w:jc w:val="both"/>
    </w:pPr>
    <w:rPr>
      <w:rFonts w:ascii="宋体" w:hAnsi="宋体" w:eastAsia="宋体" w:cs="Times New Roman"/>
      <w:b w:val="0"/>
      <w:kern w:val="2"/>
      <w:sz w:val="24"/>
      <w:lang w:val="zh-CN"/>
    </w:rPr>
  </w:style>
  <w:style w:type="paragraph" w:customStyle="1" w:styleId="1647">
    <w:name w:val="样式 标题 4 + 宋体 段前: 6 磅 段后: 6 磅 行距: 1.5 倍行距"/>
    <w:basedOn w:val="6"/>
    <w:qFormat/>
    <w:uiPriority w:val="0"/>
    <w:pPr>
      <w:widowControl w:val="0"/>
      <w:tabs>
        <w:tab w:val="left" w:pos="864"/>
        <w:tab w:val="left" w:pos="945"/>
        <w:tab w:val="left" w:pos="1620"/>
      </w:tabs>
      <w:snapToGrid w:val="0"/>
      <w:spacing w:before="120" w:beforeLines="50" w:after="120" w:line="460" w:lineRule="exact"/>
      <w:ind w:left="864" w:hanging="864" w:firstLineChars="200"/>
      <w:jc w:val="both"/>
    </w:pPr>
    <w:rPr>
      <w:rFonts w:ascii="宋体" w:hAnsi="宋体" w:eastAsia="宋体" w:cs="Century"/>
      <w:bCs w:val="0"/>
      <w:kern w:val="2"/>
      <w:sz w:val="24"/>
      <w:szCs w:val="20"/>
      <w:lang w:val="zh-CN"/>
    </w:rPr>
  </w:style>
  <w:style w:type="paragraph" w:customStyle="1" w:styleId="1648">
    <w:name w:val="样式 标题 3 + 右侧:  0.42 厘米"/>
    <w:basedOn w:val="5"/>
    <w:qFormat/>
    <w:uiPriority w:val="0"/>
    <w:pPr>
      <w:widowControl w:val="0"/>
      <w:tabs>
        <w:tab w:val="left" w:pos="180"/>
        <w:tab w:val="left" w:pos="360"/>
        <w:tab w:val="left" w:pos="720"/>
        <w:tab w:val="left" w:pos="4614"/>
      </w:tabs>
      <w:autoSpaceDE w:val="0"/>
      <w:autoSpaceDN w:val="0"/>
      <w:snapToGrid w:val="0"/>
      <w:spacing w:before="240" w:beforeLines="100" w:after="120" w:afterLines="50" w:line="300" w:lineRule="auto"/>
      <w:ind w:left="180" w:leftChars="-42" w:right="240" w:rightChars="100" w:hanging="281" w:hangingChars="100"/>
      <w:jc w:val="both"/>
    </w:pPr>
    <w:rPr>
      <w:rFonts w:cs="Times New Roman"/>
      <w:spacing w:val="8"/>
      <w:kern w:val="2"/>
      <w:szCs w:val="20"/>
    </w:rPr>
  </w:style>
  <w:style w:type="paragraph" w:customStyle="1" w:styleId="1649">
    <w:name w:val="样式 标题 3 + 段前: 6 磅 段后: 0 磅"/>
    <w:basedOn w:val="5"/>
    <w:qFormat/>
    <w:uiPriority w:val="0"/>
    <w:pPr>
      <w:widowControl w:val="0"/>
      <w:tabs>
        <w:tab w:val="left" w:pos="360"/>
        <w:tab w:val="left" w:pos="720"/>
        <w:tab w:val="left" w:pos="4614"/>
      </w:tabs>
      <w:autoSpaceDE w:val="0"/>
      <w:autoSpaceDN w:val="0"/>
      <w:snapToGrid w:val="0"/>
      <w:spacing w:before="240" w:beforeLines="100" w:after="120" w:afterLines="50" w:line="300" w:lineRule="auto"/>
      <w:ind w:right="240" w:rightChars="100"/>
      <w:jc w:val="both"/>
    </w:pPr>
    <w:rPr>
      <w:rFonts w:cs="Century"/>
      <w:spacing w:val="8"/>
      <w:kern w:val="2"/>
      <w:szCs w:val="20"/>
    </w:rPr>
  </w:style>
  <w:style w:type="paragraph" w:customStyle="1" w:styleId="1650">
    <w:name w:val="样式 标题 3 + 段前: 6 磅 段后: 0 磅1"/>
    <w:basedOn w:val="5"/>
    <w:qFormat/>
    <w:uiPriority w:val="0"/>
    <w:pPr>
      <w:widowControl w:val="0"/>
      <w:tabs>
        <w:tab w:val="left" w:pos="360"/>
        <w:tab w:val="left" w:pos="540"/>
        <w:tab w:val="left" w:pos="720"/>
        <w:tab w:val="left" w:pos="4614"/>
      </w:tabs>
      <w:autoSpaceDE w:val="0"/>
      <w:autoSpaceDN w:val="0"/>
      <w:snapToGrid w:val="0"/>
      <w:spacing w:before="240" w:beforeLines="100" w:after="120" w:afterLines="50" w:line="300" w:lineRule="auto"/>
      <w:ind w:left="539" w:right="240" w:rightChars="100" w:hanging="539"/>
      <w:jc w:val="both"/>
    </w:pPr>
    <w:rPr>
      <w:rFonts w:cs="Century"/>
      <w:spacing w:val="8"/>
      <w:kern w:val="2"/>
      <w:szCs w:val="20"/>
    </w:rPr>
  </w:style>
  <w:style w:type="paragraph" w:customStyle="1" w:styleId="1651">
    <w:name w:val="样式 标题 3 + 段前: 6 磅 段后: 0 磅2"/>
    <w:basedOn w:val="5"/>
    <w:qFormat/>
    <w:uiPriority w:val="0"/>
    <w:pPr>
      <w:widowControl w:val="0"/>
      <w:tabs>
        <w:tab w:val="left" w:pos="180"/>
        <w:tab w:val="left" w:pos="360"/>
        <w:tab w:val="left" w:pos="720"/>
        <w:tab w:val="left" w:pos="4614"/>
      </w:tabs>
      <w:autoSpaceDE w:val="0"/>
      <w:autoSpaceDN w:val="0"/>
      <w:snapToGrid w:val="0"/>
      <w:spacing w:before="240" w:beforeLines="100" w:after="120" w:afterLines="50" w:line="300" w:lineRule="auto"/>
      <w:ind w:left="357" w:right="240" w:rightChars="100" w:hanging="357"/>
      <w:jc w:val="both"/>
    </w:pPr>
    <w:rPr>
      <w:rFonts w:cs="Century"/>
      <w:spacing w:val="8"/>
      <w:kern w:val="2"/>
      <w:szCs w:val="20"/>
    </w:rPr>
  </w:style>
  <w:style w:type="paragraph" w:customStyle="1" w:styleId="1652">
    <w:name w:val="字元 字元111"/>
    <w:basedOn w:val="1"/>
    <w:qFormat/>
    <w:uiPriority w:val="0"/>
    <w:pPr>
      <w:widowControl w:val="0"/>
      <w:adjustRightInd w:val="0"/>
      <w:snapToGrid w:val="0"/>
      <w:ind w:firstLine="200" w:firstLineChars="200"/>
      <w:jc w:val="both"/>
    </w:pPr>
    <w:rPr>
      <w:rFonts w:ascii="Times New Roman" w:hAnsi="Times New Roman" w:cs="Times New Roman"/>
      <w:kern w:val="2"/>
    </w:rPr>
  </w:style>
  <w:style w:type="paragraph" w:customStyle="1" w:styleId="1653">
    <w:name w:val="表注解"/>
    <w:basedOn w:val="476"/>
    <w:next w:val="476"/>
    <w:qFormat/>
    <w:uiPriority w:val="0"/>
    <w:pPr>
      <w:tabs>
        <w:tab w:val="clear" w:pos="630"/>
        <w:tab w:val="clear" w:pos="1260"/>
      </w:tabs>
      <w:spacing w:line="240" w:lineRule="auto"/>
      <w:ind w:firstLine="0" w:firstLineChars="0"/>
    </w:pPr>
    <w:rPr>
      <w:b/>
      <w:sz w:val="18"/>
      <w:szCs w:val="24"/>
    </w:rPr>
  </w:style>
  <w:style w:type="paragraph" w:customStyle="1" w:styleId="1654">
    <w:name w:val="缺省文本"/>
    <w:basedOn w:val="1"/>
    <w:qFormat/>
    <w:uiPriority w:val="0"/>
    <w:pPr>
      <w:widowControl w:val="0"/>
      <w:autoSpaceDE w:val="0"/>
      <w:autoSpaceDN w:val="0"/>
      <w:adjustRightInd w:val="0"/>
    </w:pPr>
    <w:rPr>
      <w:rFonts w:ascii="Times New Roman" w:hAnsi="Times New Roman" w:cs="Times New Roman"/>
    </w:rPr>
  </w:style>
  <w:style w:type="character" w:customStyle="1" w:styleId="1655">
    <w:name w:val="Char Char47"/>
    <w:qFormat/>
    <w:uiPriority w:val="0"/>
    <w:rPr>
      <w:kern w:val="2"/>
      <w:sz w:val="21"/>
      <w:szCs w:val="24"/>
      <w:shd w:val="clear" w:color="auto" w:fill="000080"/>
    </w:rPr>
  </w:style>
  <w:style w:type="paragraph" w:customStyle="1" w:styleId="1656">
    <w:name w:val="填表内容"/>
    <w:basedOn w:val="1"/>
    <w:qFormat/>
    <w:uiPriority w:val="0"/>
    <w:pPr>
      <w:widowControl w:val="0"/>
      <w:adjustRightInd w:val="0"/>
      <w:spacing w:line="480" w:lineRule="exact"/>
      <w:ind w:firstLine="560" w:firstLineChars="200"/>
      <w:textAlignment w:val="baseline"/>
    </w:pPr>
    <w:rPr>
      <w:rFonts w:ascii="楷体_GB2312" w:hAnsi="Times New Roman" w:eastAsia="楷体_GB2312" w:cs="楷体_GB2312"/>
      <w:kern w:val="2"/>
      <w:sz w:val="28"/>
      <w:szCs w:val="28"/>
    </w:rPr>
  </w:style>
  <w:style w:type="character" w:customStyle="1" w:styleId="1657">
    <w:name w:val="t_blue_01"/>
    <w:qFormat/>
    <w:uiPriority w:val="0"/>
  </w:style>
  <w:style w:type="character" w:customStyle="1" w:styleId="1658">
    <w:name w:val="lxm"/>
    <w:qFormat/>
    <w:uiPriority w:val="0"/>
  </w:style>
  <w:style w:type="paragraph" w:customStyle="1" w:styleId="1659">
    <w:name w:val="佛山正文"/>
    <w:basedOn w:val="1"/>
    <w:qFormat/>
    <w:uiPriority w:val="0"/>
    <w:pPr>
      <w:widowControl w:val="0"/>
      <w:snapToGrid w:val="0"/>
      <w:spacing w:line="360" w:lineRule="auto"/>
      <w:ind w:firstLine="200" w:firstLineChars="200"/>
      <w:jc w:val="both"/>
    </w:pPr>
    <w:rPr>
      <w:rFonts w:cs="Times New Roman"/>
      <w:kern w:val="2"/>
    </w:rPr>
  </w:style>
  <w:style w:type="paragraph" w:customStyle="1" w:styleId="1660">
    <w:name w:val="本文标题1"/>
    <w:basedOn w:val="1"/>
    <w:qFormat/>
    <w:uiPriority w:val="0"/>
    <w:pPr>
      <w:keepNext/>
      <w:keepLines/>
      <w:widowControl w:val="0"/>
      <w:tabs>
        <w:tab w:val="left" w:pos="0"/>
      </w:tabs>
      <w:adjustRightInd w:val="0"/>
      <w:spacing w:line="440" w:lineRule="exact"/>
      <w:jc w:val="both"/>
      <w:textAlignment w:val="baseline"/>
      <w:outlineLvl w:val="0"/>
    </w:pPr>
    <w:rPr>
      <w:rFonts w:ascii="方正大标宋简体" w:hAnsi="Times New Roman" w:eastAsia="方正大标宋简体"/>
      <w:b/>
      <w:bCs/>
      <w:kern w:val="44"/>
      <w:sz w:val="30"/>
      <w:szCs w:val="20"/>
    </w:rPr>
  </w:style>
  <w:style w:type="paragraph" w:customStyle="1" w:styleId="1661">
    <w:name w:val="本文标题4"/>
    <w:basedOn w:val="6"/>
    <w:qFormat/>
    <w:uiPriority w:val="0"/>
    <w:pPr>
      <w:widowControl w:val="0"/>
      <w:tabs>
        <w:tab w:val="left" w:pos="0"/>
        <w:tab w:val="left" w:pos="945"/>
        <w:tab w:val="left" w:pos="1620"/>
        <w:tab w:val="left" w:pos="4614"/>
      </w:tabs>
      <w:adjustRightInd w:val="0"/>
      <w:snapToGrid w:val="0"/>
      <w:spacing w:before="120" w:beforeLines="50" w:after="0" w:line="440" w:lineRule="exact"/>
      <w:textAlignment w:val="baseline"/>
    </w:pPr>
    <w:rPr>
      <w:rFonts w:ascii="Times New Roman" w:hAnsi="Times New Roman" w:eastAsia="宋体" w:cs="Times New Roman"/>
      <w:bCs w:val="0"/>
      <w:sz w:val="24"/>
      <w:szCs w:val="24"/>
      <w:lang w:val="zh-CN"/>
    </w:rPr>
  </w:style>
  <w:style w:type="paragraph" w:customStyle="1" w:styleId="1662">
    <w:name w:val="本文标题 2"/>
    <w:basedOn w:val="1"/>
    <w:qFormat/>
    <w:uiPriority w:val="0"/>
    <w:pPr>
      <w:widowControl w:val="0"/>
      <w:tabs>
        <w:tab w:val="left" w:pos="0"/>
      </w:tabs>
      <w:jc w:val="both"/>
    </w:pPr>
    <w:rPr>
      <w:rFonts w:ascii="Times New Roman" w:hAnsi="Times New Roman" w:cs="Times New Roman"/>
      <w:kern w:val="2"/>
      <w:sz w:val="21"/>
    </w:rPr>
  </w:style>
  <w:style w:type="paragraph" w:customStyle="1" w:styleId="1663">
    <w:name w:val="本文标题 3"/>
    <w:basedOn w:val="1"/>
    <w:qFormat/>
    <w:uiPriority w:val="0"/>
    <w:pPr>
      <w:widowControl w:val="0"/>
      <w:tabs>
        <w:tab w:val="left" w:pos="0"/>
      </w:tabs>
      <w:jc w:val="both"/>
    </w:pPr>
    <w:rPr>
      <w:rFonts w:ascii="Times New Roman" w:hAnsi="Times New Roman" w:cs="Times New Roman"/>
      <w:kern w:val="2"/>
      <w:sz w:val="21"/>
    </w:rPr>
  </w:style>
  <w:style w:type="paragraph" w:customStyle="1" w:styleId="1664">
    <w:name w:val="正文格式"/>
    <w:next w:val="1"/>
    <w:qFormat/>
    <w:uiPriority w:val="0"/>
    <w:pPr>
      <w:spacing w:before="50" w:beforeLines="50" w:line="440" w:lineRule="exact"/>
      <w:ind w:firstLine="200" w:firstLineChars="200"/>
    </w:pPr>
    <w:rPr>
      <w:rFonts w:ascii="Times New Roman" w:hAnsi="Times New Roman" w:eastAsia="仿宋_GB2312" w:cs="Times New Roman"/>
      <w:iCs/>
      <w:color w:val="000000"/>
      <w:sz w:val="28"/>
      <w:lang w:val="en-US" w:eastAsia="zh-CN" w:bidi="ar-SA"/>
    </w:rPr>
  </w:style>
  <w:style w:type="paragraph" w:customStyle="1" w:styleId="1665">
    <w:name w:val="样式1."/>
    <w:basedOn w:val="1"/>
    <w:qFormat/>
    <w:uiPriority w:val="0"/>
    <w:pPr>
      <w:widowControl w:val="0"/>
      <w:adjustRightInd w:val="0"/>
      <w:snapToGrid w:val="0"/>
      <w:spacing w:line="460" w:lineRule="exact"/>
      <w:jc w:val="both"/>
    </w:pPr>
    <w:rPr>
      <w:rFonts w:ascii="Times New Roman" w:hAnsi="Times New Roman" w:eastAsia="黑体" w:cs="Times New Roman"/>
      <w:b/>
      <w:kern w:val="2"/>
      <w:sz w:val="32"/>
      <w:szCs w:val="20"/>
    </w:rPr>
  </w:style>
  <w:style w:type="character" w:customStyle="1" w:styleId="1666">
    <w:name w:val="书籍标题1"/>
    <w:qFormat/>
    <w:uiPriority w:val="0"/>
    <w:rPr>
      <w:b/>
      <w:smallCaps/>
      <w:spacing w:val="5"/>
    </w:rPr>
  </w:style>
  <w:style w:type="paragraph" w:customStyle="1" w:styleId="1667">
    <w:name w:val="字元 字元1"/>
    <w:basedOn w:val="1"/>
    <w:qFormat/>
    <w:uiPriority w:val="0"/>
    <w:pPr>
      <w:widowControl w:val="0"/>
      <w:jc w:val="both"/>
    </w:pPr>
    <w:rPr>
      <w:rFonts w:ascii="Times New Roman" w:hAnsi="Times New Roman" w:cs="Times New Roman"/>
      <w:kern w:val="2"/>
    </w:rPr>
  </w:style>
  <w:style w:type="paragraph" w:customStyle="1" w:styleId="1668">
    <w:name w:val="Char Char Char Char9"/>
    <w:basedOn w:val="1"/>
    <w:qFormat/>
    <w:uiPriority w:val="0"/>
    <w:pPr>
      <w:widowControl w:val="0"/>
      <w:jc w:val="both"/>
    </w:pPr>
    <w:rPr>
      <w:rFonts w:ascii="Times New Roman" w:hAnsi="Times New Roman" w:cs="Times New Roman"/>
      <w:kern w:val="2"/>
      <w:sz w:val="21"/>
      <w:szCs w:val="21"/>
    </w:rPr>
  </w:style>
  <w:style w:type="paragraph" w:customStyle="1" w:styleId="1669">
    <w:name w:val="正文缩进111"/>
    <w:basedOn w:val="1"/>
    <w:qFormat/>
    <w:uiPriority w:val="0"/>
    <w:pPr>
      <w:widowControl w:val="0"/>
      <w:adjustRightInd w:val="0"/>
      <w:spacing w:after="156" w:afterLines="50" w:line="360" w:lineRule="atLeast"/>
      <w:ind w:firstLine="420"/>
      <w:textAlignment w:val="baseline"/>
    </w:pPr>
    <w:rPr>
      <w:rFonts w:ascii="Times New Roman" w:hAnsi="Times New Roman" w:cs="Times New Roman"/>
    </w:rPr>
  </w:style>
  <w:style w:type="paragraph" w:customStyle="1" w:styleId="1670">
    <w:name w:val="Char Char Char Char Char Char Char8"/>
    <w:basedOn w:val="1"/>
    <w:qFormat/>
    <w:uiPriority w:val="0"/>
    <w:pPr>
      <w:spacing w:after="160" w:line="240" w:lineRule="exact"/>
    </w:pPr>
    <w:rPr>
      <w:rFonts w:ascii="Verdana" w:hAnsi="Verdana" w:cs="Times New Roman"/>
      <w:sz w:val="20"/>
      <w:szCs w:val="32"/>
      <w:lang w:eastAsia="en-US"/>
    </w:rPr>
  </w:style>
  <w:style w:type="character" w:customStyle="1" w:styleId="1671">
    <w:name w:val="标题 6 Char1"/>
    <w:qFormat/>
    <w:uiPriority w:val="0"/>
    <w:rPr>
      <w:rFonts w:ascii="Arial" w:hAnsi="Arial" w:eastAsia="黑体" w:cs="Times New Roman"/>
      <w:b/>
      <w:kern w:val="0"/>
      <w:sz w:val="24"/>
      <w:szCs w:val="20"/>
      <w:lang w:val="zh-CN" w:eastAsia="zh-CN"/>
    </w:rPr>
  </w:style>
  <w:style w:type="character" w:customStyle="1" w:styleId="1672">
    <w:name w:val="标题 7 Char1"/>
    <w:qFormat/>
    <w:uiPriority w:val="0"/>
    <w:rPr>
      <w:rFonts w:ascii="Times New Roman" w:hAnsi="Times New Roman" w:eastAsia="宋体" w:cs="Times New Roman"/>
      <w:b/>
      <w:kern w:val="0"/>
      <w:sz w:val="24"/>
      <w:szCs w:val="20"/>
      <w:lang w:val="zh-CN" w:eastAsia="zh-CN"/>
    </w:rPr>
  </w:style>
  <w:style w:type="character" w:customStyle="1" w:styleId="1673">
    <w:name w:val="标题 8 Char1"/>
    <w:qFormat/>
    <w:uiPriority w:val="0"/>
    <w:rPr>
      <w:rFonts w:ascii="Arial" w:hAnsi="Arial" w:eastAsia="黑体" w:cs="Times New Roman"/>
      <w:kern w:val="0"/>
      <w:sz w:val="24"/>
      <w:szCs w:val="20"/>
      <w:lang w:val="zh-CN" w:eastAsia="zh-CN"/>
    </w:rPr>
  </w:style>
  <w:style w:type="character" w:customStyle="1" w:styleId="1674">
    <w:name w:val="标题 9 Char1"/>
    <w:qFormat/>
    <w:uiPriority w:val="0"/>
    <w:rPr>
      <w:rFonts w:ascii="Arial" w:hAnsi="Arial" w:eastAsia="黑体" w:cs="Times New Roman"/>
      <w:kern w:val="0"/>
      <w:sz w:val="28"/>
      <w:szCs w:val="20"/>
      <w:lang w:val="zh-CN" w:eastAsia="zh-CN"/>
    </w:rPr>
  </w:style>
  <w:style w:type="paragraph" w:customStyle="1" w:styleId="1675">
    <w:name w:val="myformat_content Char"/>
    <w:basedOn w:val="1"/>
    <w:qFormat/>
    <w:uiPriority w:val="0"/>
    <w:pPr>
      <w:widowControl w:val="0"/>
      <w:spacing w:before="156" w:beforeLines="50" w:after="156" w:afterLines="50" w:line="360" w:lineRule="exact"/>
      <w:ind w:firstLine="480" w:firstLineChars="200"/>
      <w:jc w:val="both"/>
    </w:pPr>
    <w:rPr>
      <w:rFonts w:ascii="Times New Roman" w:hAnsi="Times New Roman" w:cs="Times New Roman"/>
      <w:kern w:val="2"/>
      <w:szCs w:val="20"/>
    </w:rPr>
  </w:style>
  <w:style w:type="paragraph" w:customStyle="1" w:styleId="1676">
    <w:name w:val="样式 标题 3 + 华文中宋 小三 段前: 6 磅 段后: 6 磅 行距: 多倍行距 1.4 字行"/>
    <w:basedOn w:val="5"/>
    <w:link w:val="1677"/>
    <w:qFormat/>
    <w:uiPriority w:val="0"/>
    <w:pPr>
      <w:keepLines w:val="0"/>
      <w:widowControl w:val="0"/>
      <w:tabs>
        <w:tab w:val="left" w:pos="42"/>
        <w:tab w:val="left" w:pos="360"/>
        <w:tab w:val="left" w:pos="720"/>
        <w:tab w:val="left" w:pos="861"/>
        <w:tab w:val="left" w:pos="1260"/>
        <w:tab w:val="left" w:pos="4614"/>
      </w:tabs>
      <w:snapToGrid w:val="0"/>
      <w:spacing w:before="50" w:beforeLines="100" w:after="50" w:afterLines="50" w:line="360" w:lineRule="auto"/>
      <w:ind w:left="693" w:hanging="720"/>
      <w:jc w:val="both"/>
    </w:pPr>
    <w:rPr>
      <w:rFonts w:ascii="华文中宋" w:hAnsi="华文中宋" w:eastAsia="华文中宋" w:cs="Times New Roman"/>
      <w:bCs w:val="0"/>
      <w:kern w:val="2"/>
      <w:sz w:val="30"/>
      <w:szCs w:val="30"/>
      <w:lang w:val="zh-CN"/>
    </w:rPr>
  </w:style>
  <w:style w:type="character" w:customStyle="1" w:styleId="1677">
    <w:name w:val="样式 标题 3 + 华文中宋 小三 段前: 6 磅 段后: 6 磅 行距: 多倍行距 1.4 字行 Char1"/>
    <w:link w:val="1676"/>
    <w:qFormat/>
    <w:uiPriority w:val="0"/>
    <w:rPr>
      <w:rFonts w:ascii="华文中宋" w:hAnsi="华文中宋" w:eastAsia="华文中宋"/>
      <w:b/>
      <w:kern w:val="2"/>
      <w:sz w:val="30"/>
      <w:szCs w:val="30"/>
      <w:lang w:val="zh-CN"/>
    </w:rPr>
  </w:style>
  <w:style w:type="paragraph" w:customStyle="1" w:styleId="1678">
    <w:name w:val="zi1"/>
    <w:basedOn w:val="1"/>
    <w:qFormat/>
    <w:uiPriority w:val="0"/>
    <w:pPr>
      <w:spacing w:before="100" w:beforeAutospacing="1" w:after="100" w:afterAutospacing="1"/>
    </w:pPr>
    <w:rPr>
      <w:rFonts w:cs="Times New Roman"/>
    </w:rPr>
  </w:style>
  <w:style w:type="paragraph" w:customStyle="1" w:styleId="1679">
    <w:name w:val="附录标题"/>
    <w:basedOn w:val="1"/>
    <w:qFormat/>
    <w:uiPriority w:val="0"/>
    <w:pPr>
      <w:widowControl w:val="0"/>
      <w:autoSpaceDE w:val="0"/>
      <w:autoSpaceDN w:val="0"/>
      <w:adjustRightInd w:val="0"/>
      <w:spacing w:before="50" w:beforeLines="50" w:after="156" w:afterLines="50" w:line="400" w:lineRule="exact"/>
      <w:ind w:firstLine="643" w:firstLineChars="200"/>
      <w:jc w:val="center"/>
    </w:pPr>
    <w:rPr>
      <w:rFonts w:ascii="仿宋_GB2312" w:hAnsi="Times New Roman" w:eastAsia="仿宋_GB2312" w:cs="Times New Roman"/>
      <w:b/>
      <w:kern w:val="2"/>
      <w:sz w:val="32"/>
    </w:rPr>
  </w:style>
  <w:style w:type="paragraph" w:customStyle="1" w:styleId="1680">
    <w:name w:val="附录1级"/>
    <w:basedOn w:val="1"/>
    <w:qFormat/>
    <w:uiPriority w:val="0"/>
    <w:pPr>
      <w:widowControl w:val="0"/>
      <w:spacing w:before="50" w:beforeLines="50" w:line="400" w:lineRule="exact"/>
      <w:jc w:val="both"/>
    </w:pPr>
    <w:rPr>
      <w:rFonts w:ascii="Times New Roman" w:hAnsi="Times New Roman" w:eastAsia="仿宋_GB2312" w:cs="Times New Roman"/>
      <w:b/>
      <w:kern w:val="2"/>
      <w:sz w:val="30"/>
    </w:rPr>
  </w:style>
  <w:style w:type="paragraph" w:customStyle="1" w:styleId="1681">
    <w:name w:val="附录标题2级"/>
    <w:basedOn w:val="1"/>
    <w:qFormat/>
    <w:uiPriority w:val="0"/>
    <w:pPr>
      <w:widowControl w:val="0"/>
      <w:spacing w:before="50" w:beforeLines="50" w:line="400" w:lineRule="exact"/>
      <w:jc w:val="both"/>
    </w:pPr>
    <w:rPr>
      <w:rFonts w:ascii="Times New Roman" w:hAnsi="Times New Roman" w:eastAsia="仿宋_GB2312" w:cs="Times New Roman"/>
      <w:b/>
      <w:kern w:val="2"/>
      <w:sz w:val="28"/>
    </w:rPr>
  </w:style>
  <w:style w:type="paragraph" w:customStyle="1" w:styleId="1682">
    <w:name w:val="表题 2"/>
    <w:basedOn w:val="1"/>
    <w:qFormat/>
    <w:uiPriority w:val="0"/>
    <w:pPr>
      <w:widowControl w:val="0"/>
      <w:adjustRightInd w:val="0"/>
      <w:spacing w:before="120" w:after="120"/>
      <w:jc w:val="center"/>
      <w:textAlignment w:val="baseline"/>
    </w:pPr>
    <w:rPr>
      <w:rFonts w:ascii="Times New Roman" w:hAnsi="Times New Roman" w:cs="Times New Roman"/>
      <w:sz w:val="28"/>
      <w:szCs w:val="20"/>
    </w:rPr>
  </w:style>
  <w:style w:type="paragraph" w:customStyle="1" w:styleId="1683">
    <w:name w:val="表格 2"/>
    <w:basedOn w:val="145"/>
    <w:qFormat/>
    <w:uiPriority w:val="0"/>
    <w:pPr>
      <w:widowControl w:val="0"/>
      <w:autoSpaceDE w:val="0"/>
      <w:autoSpaceDN w:val="0"/>
      <w:snapToGrid/>
      <w:spacing w:beforeLines="0" w:afterLines="0" w:line="240" w:lineRule="auto"/>
      <w:textAlignment w:val="baseline"/>
    </w:pPr>
    <w:rPr>
      <w:rFonts w:ascii="Times New Roman" w:hAnsi="Times New Roman" w:cs="Times New Roman"/>
      <w:sz w:val="24"/>
    </w:rPr>
  </w:style>
  <w:style w:type="character" w:customStyle="1" w:styleId="1684">
    <w:name w:val="javascript"/>
    <w:qFormat/>
    <w:uiPriority w:val="0"/>
  </w:style>
  <w:style w:type="paragraph" w:customStyle="1" w:styleId="1685">
    <w:name w:val="9"/>
    <w:basedOn w:val="1"/>
    <w:next w:val="76"/>
    <w:qFormat/>
    <w:uiPriority w:val="0"/>
    <w:pPr>
      <w:widowControl w:val="0"/>
      <w:adjustRightInd w:val="0"/>
      <w:snapToGrid w:val="0"/>
      <w:jc w:val="center"/>
    </w:pPr>
    <w:rPr>
      <w:rFonts w:ascii="Times New Roman" w:hAnsi="Times New Roman" w:cs="Times New Roman"/>
      <w:color w:val="000000"/>
      <w:kern w:val="2"/>
      <w:sz w:val="21"/>
    </w:rPr>
  </w:style>
  <w:style w:type="paragraph" w:customStyle="1" w:styleId="1686">
    <w:name w:val="t_text"/>
    <w:basedOn w:val="1"/>
    <w:qFormat/>
    <w:uiPriority w:val="0"/>
    <w:pPr>
      <w:spacing w:before="100" w:after="100" w:line="300" w:lineRule="atLeast"/>
    </w:pPr>
    <w:rPr>
      <w:rFonts w:cs="Times New Roman"/>
      <w:szCs w:val="20"/>
    </w:rPr>
  </w:style>
  <w:style w:type="paragraph" w:customStyle="1" w:styleId="1687">
    <w:name w:val="样式 标题 2SeHead wsa2ChapterChapter Title + 黑体 段前: 6 磅"/>
    <w:basedOn w:val="4"/>
    <w:qFormat/>
    <w:uiPriority w:val="0"/>
    <w:pPr>
      <w:numPr>
        <w:ilvl w:val="0"/>
        <w:numId w:val="0"/>
      </w:numPr>
      <w:tabs>
        <w:tab w:val="left" w:pos="360"/>
        <w:tab w:val="left" w:pos="720"/>
        <w:tab w:val="left" w:pos="4614"/>
        <w:tab w:val="left" w:pos="8092"/>
      </w:tabs>
      <w:snapToGrid w:val="0"/>
      <w:spacing w:before="50" w:after="50" w:line="360" w:lineRule="auto"/>
    </w:pPr>
    <w:rPr>
      <w:rFonts w:ascii="Times New Roman" w:eastAsia="宋体" w:cs="Times New Roman"/>
      <w:b w:val="0"/>
      <w:color w:val="FF0000"/>
      <w:szCs w:val="30"/>
      <w:lang w:val="zh-CN"/>
    </w:rPr>
  </w:style>
  <w:style w:type="paragraph" w:customStyle="1" w:styleId="1688">
    <w:name w:val="样式 标题 2SeHead wsa2ChapterChapter Title + 宋体"/>
    <w:basedOn w:val="4"/>
    <w:qFormat/>
    <w:uiPriority w:val="0"/>
    <w:pPr>
      <w:numPr>
        <w:ilvl w:val="0"/>
        <w:numId w:val="0"/>
      </w:numPr>
      <w:tabs>
        <w:tab w:val="left" w:pos="360"/>
        <w:tab w:val="left" w:pos="720"/>
        <w:tab w:val="left" w:pos="4614"/>
        <w:tab w:val="left" w:pos="8092"/>
      </w:tabs>
      <w:snapToGrid w:val="0"/>
      <w:spacing w:before="0" w:after="50" w:line="360" w:lineRule="auto"/>
    </w:pPr>
    <w:rPr>
      <w:rFonts w:ascii="Times New Roman" w:hAnsi="宋体" w:eastAsia="宋体" w:cs="Times New Roman"/>
      <w:b w:val="0"/>
      <w:color w:val="FF0000"/>
      <w:szCs w:val="30"/>
      <w:lang w:val="zh-CN"/>
    </w:rPr>
  </w:style>
  <w:style w:type="paragraph" w:customStyle="1" w:styleId="1689">
    <w:name w:val="样式 表格1 + 行距: 单倍行距1"/>
    <w:basedOn w:val="1"/>
    <w:qFormat/>
    <w:uiPriority w:val="0"/>
    <w:pPr>
      <w:widowControl w:val="0"/>
      <w:adjustRightInd w:val="0"/>
      <w:snapToGrid w:val="0"/>
      <w:jc w:val="center"/>
      <w:textAlignment w:val="baseline"/>
    </w:pPr>
    <w:rPr>
      <w:rFonts w:cs="Times New Roman"/>
      <w:sz w:val="21"/>
      <w:szCs w:val="20"/>
    </w:rPr>
  </w:style>
  <w:style w:type="paragraph" w:customStyle="1" w:styleId="1690">
    <w:name w:val="样式 标题 3h3H3sect1.2.3 + 仿宋_GB2312 四号"/>
    <w:basedOn w:val="5"/>
    <w:next w:val="1"/>
    <w:qFormat/>
    <w:uiPriority w:val="0"/>
    <w:pPr>
      <w:keepNext w:val="0"/>
      <w:widowControl w:val="0"/>
      <w:tabs>
        <w:tab w:val="left" w:pos="0"/>
        <w:tab w:val="left" w:pos="360"/>
        <w:tab w:val="left" w:pos="720"/>
        <w:tab w:val="left" w:pos="4614"/>
      </w:tabs>
      <w:snapToGrid w:val="0"/>
      <w:spacing w:beforeLines="100" w:afterLines="50" w:line="360" w:lineRule="auto"/>
      <w:jc w:val="both"/>
    </w:pPr>
    <w:rPr>
      <w:rFonts w:ascii="仿宋_GB2312" w:hAnsi="仿宋_GB2312" w:eastAsia="仿宋_GB2312" w:cs="Times New Roman"/>
      <w:spacing w:val="20"/>
      <w:kern w:val="11"/>
      <w:lang w:val="zh-CN"/>
    </w:rPr>
  </w:style>
  <w:style w:type="paragraph" w:customStyle="1" w:styleId="1691">
    <w:name w:val="样式 标题 2 + 仿宋_GB2312 小三 行距: 1.5 倍行距"/>
    <w:basedOn w:val="4"/>
    <w:qFormat/>
    <w:uiPriority w:val="0"/>
    <w:pPr>
      <w:widowControl w:val="0"/>
      <w:numPr>
        <w:ilvl w:val="0"/>
        <w:numId w:val="0"/>
      </w:numPr>
      <w:tabs>
        <w:tab w:val="left" w:pos="360"/>
        <w:tab w:val="left" w:pos="720"/>
        <w:tab w:val="left" w:pos="4614"/>
        <w:tab w:val="left" w:pos="8092"/>
      </w:tabs>
      <w:snapToGrid w:val="0"/>
      <w:spacing w:line="416" w:lineRule="auto"/>
      <w:jc w:val="both"/>
    </w:pPr>
    <w:rPr>
      <w:rFonts w:ascii="仿宋_GB2312" w:hAnsi="宋体" w:eastAsia="仿宋_GB2312" w:cs="Times New Roman"/>
      <w:bCs/>
      <w:color w:val="FF0000"/>
      <w:kern w:val="2"/>
      <w:szCs w:val="20"/>
      <w:lang w:val="zh-CN"/>
    </w:rPr>
  </w:style>
  <w:style w:type="character" w:customStyle="1" w:styleId="1692">
    <w:name w:val="zi11"/>
    <w:qFormat/>
    <w:uiPriority w:val="0"/>
    <w:rPr>
      <w:color w:val="FFFFFF"/>
      <w:sz w:val="21"/>
      <w:szCs w:val="21"/>
      <w:u w:val="none"/>
    </w:rPr>
  </w:style>
  <w:style w:type="character" w:customStyle="1" w:styleId="1693">
    <w:name w:val="yellow1"/>
    <w:qFormat/>
    <w:uiPriority w:val="0"/>
    <w:rPr>
      <w:color w:val="FFFF00"/>
      <w:u w:val="none"/>
    </w:rPr>
  </w:style>
  <w:style w:type="paragraph" w:customStyle="1" w:styleId="1694">
    <w:name w:val="tt1"/>
    <w:basedOn w:val="1"/>
    <w:qFormat/>
    <w:uiPriority w:val="0"/>
    <w:pPr>
      <w:spacing w:before="100" w:beforeAutospacing="1" w:after="100" w:afterAutospacing="1"/>
    </w:pPr>
    <w:rPr>
      <w:rFonts w:ascii="Arial Unicode MS" w:hAnsi="Arial Unicode MS" w:cs="Times New Roman"/>
    </w:rPr>
  </w:style>
  <w:style w:type="paragraph" w:customStyle="1" w:styleId="1695">
    <w:name w:val="biao1"/>
    <w:basedOn w:val="1"/>
    <w:qFormat/>
    <w:uiPriority w:val="0"/>
    <w:pPr>
      <w:spacing w:before="100" w:beforeAutospacing="1" w:after="100" w:afterAutospacing="1"/>
    </w:pPr>
    <w:rPr>
      <w:rFonts w:ascii="Arial Unicode MS" w:hAnsi="Arial Unicode MS" w:cs="Times New Roman"/>
    </w:rPr>
  </w:style>
  <w:style w:type="paragraph" w:customStyle="1" w:styleId="1696">
    <w:name w:val="biao2"/>
    <w:basedOn w:val="1"/>
    <w:qFormat/>
    <w:uiPriority w:val="0"/>
    <w:pPr>
      <w:spacing w:before="100" w:beforeAutospacing="1" w:after="100" w:afterAutospacing="1"/>
    </w:pPr>
    <w:rPr>
      <w:rFonts w:ascii="Arial Unicode MS" w:hAnsi="Arial Unicode MS" w:cs="Times New Roman"/>
    </w:rPr>
  </w:style>
  <w:style w:type="paragraph" w:customStyle="1" w:styleId="1697">
    <w:name w:val="z-窗体顶端1"/>
    <w:basedOn w:val="1"/>
    <w:next w:val="1"/>
    <w:link w:val="1698"/>
    <w:qFormat/>
    <w:uiPriority w:val="0"/>
    <w:pPr>
      <w:pBdr>
        <w:bottom w:val="single" w:color="auto" w:sz="6" w:space="1"/>
      </w:pBdr>
      <w:jc w:val="center"/>
    </w:pPr>
    <w:rPr>
      <w:rFonts w:ascii="Arial" w:hAnsi="Arial" w:cs="Times New Roman"/>
      <w:vanish/>
      <w:sz w:val="16"/>
      <w:szCs w:val="16"/>
      <w:lang w:val="zh-CN"/>
    </w:rPr>
  </w:style>
  <w:style w:type="character" w:customStyle="1" w:styleId="1698">
    <w:name w:val="z-窗体顶端 Char"/>
    <w:link w:val="1697"/>
    <w:qFormat/>
    <w:uiPriority w:val="0"/>
    <w:rPr>
      <w:rFonts w:ascii="Arial" w:hAnsi="Arial"/>
      <w:vanish/>
      <w:sz w:val="16"/>
      <w:szCs w:val="16"/>
      <w:lang w:val="zh-CN"/>
    </w:rPr>
  </w:style>
  <w:style w:type="paragraph" w:customStyle="1" w:styleId="1699">
    <w:name w:val="z-窗体底端1"/>
    <w:basedOn w:val="1"/>
    <w:next w:val="1"/>
    <w:link w:val="1700"/>
    <w:qFormat/>
    <w:uiPriority w:val="0"/>
    <w:pPr>
      <w:pBdr>
        <w:top w:val="single" w:color="auto" w:sz="6" w:space="1"/>
      </w:pBdr>
      <w:jc w:val="center"/>
    </w:pPr>
    <w:rPr>
      <w:rFonts w:ascii="Arial" w:hAnsi="Arial" w:cs="Times New Roman"/>
      <w:vanish/>
      <w:sz w:val="16"/>
      <w:szCs w:val="16"/>
      <w:lang w:val="zh-CN"/>
    </w:rPr>
  </w:style>
  <w:style w:type="character" w:customStyle="1" w:styleId="1700">
    <w:name w:val="z-窗体底端 Char"/>
    <w:link w:val="1699"/>
    <w:qFormat/>
    <w:uiPriority w:val="0"/>
    <w:rPr>
      <w:rFonts w:ascii="Arial" w:hAnsi="Arial"/>
      <w:vanish/>
      <w:sz w:val="16"/>
      <w:szCs w:val="16"/>
      <w:lang w:val="zh-CN"/>
    </w:rPr>
  </w:style>
  <w:style w:type="paragraph" w:customStyle="1" w:styleId="1701">
    <w:name w:val="正文首行缩进2字符"/>
    <w:basedOn w:val="1"/>
    <w:qFormat/>
    <w:uiPriority w:val="0"/>
    <w:pPr>
      <w:widowControl w:val="0"/>
      <w:spacing w:line="360" w:lineRule="auto"/>
      <w:ind w:firstLine="420" w:firstLineChars="200"/>
      <w:jc w:val="both"/>
    </w:pPr>
    <w:rPr>
      <w:rFonts w:ascii="Times New Roman" w:hAnsi="Times New Roman"/>
      <w:kern w:val="2"/>
      <w:sz w:val="21"/>
      <w:szCs w:val="20"/>
    </w:rPr>
  </w:style>
  <w:style w:type="paragraph" w:customStyle="1" w:styleId="1702">
    <w:name w:val="标题3首行缩进2字符"/>
    <w:basedOn w:val="5"/>
    <w:next w:val="1701"/>
    <w:qFormat/>
    <w:uiPriority w:val="0"/>
    <w:pPr>
      <w:widowControl w:val="0"/>
      <w:tabs>
        <w:tab w:val="left" w:pos="360"/>
        <w:tab w:val="left" w:pos="720"/>
        <w:tab w:val="left" w:pos="4614"/>
      </w:tabs>
      <w:snapToGrid w:val="0"/>
      <w:spacing w:before="156" w:beforeLines="100" w:after="50" w:afterLines="50" w:line="360" w:lineRule="auto"/>
      <w:ind w:firstLine="422" w:firstLineChars="200"/>
      <w:jc w:val="both"/>
    </w:pPr>
    <w:rPr>
      <w:rFonts w:ascii="Times New Roman" w:hAnsi="Times New Roman"/>
      <w:bCs w:val="0"/>
      <w:kern w:val="2"/>
      <w:sz w:val="21"/>
      <w:szCs w:val="24"/>
    </w:rPr>
  </w:style>
  <w:style w:type="paragraph" w:customStyle="1" w:styleId="1703">
    <w:name w:val="标题 1实例1"/>
    <w:basedOn w:val="3"/>
    <w:next w:val="1701"/>
    <w:qFormat/>
    <w:uiPriority w:val="0"/>
    <w:pPr>
      <w:keepNext w:val="0"/>
      <w:keepLines/>
      <w:tabs>
        <w:tab w:val="left" w:pos="4614"/>
      </w:tabs>
      <w:overflowPunct/>
      <w:spacing w:before="156" w:beforeLines="50" w:after="156" w:afterLines="100" w:line="360" w:lineRule="auto"/>
      <w:ind w:left="0" w:firstLine="0"/>
      <w:jc w:val="center"/>
    </w:pPr>
    <w:rPr>
      <w:rFonts w:ascii="Arial" w:hAnsi="Arial" w:eastAsia="宋体"/>
      <w:color w:val="auto"/>
      <w:kern w:val="0"/>
      <w:sz w:val="28"/>
      <w:szCs w:val="20"/>
      <w:lang w:val="zh-CN"/>
    </w:rPr>
  </w:style>
  <w:style w:type="paragraph" w:customStyle="1" w:styleId="1704">
    <w:name w:val="标题 2实例1"/>
    <w:basedOn w:val="4"/>
    <w:next w:val="1701"/>
    <w:qFormat/>
    <w:uiPriority w:val="0"/>
    <w:pPr>
      <w:widowControl w:val="0"/>
      <w:numPr>
        <w:ilvl w:val="0"/>
        <w:numId w:val="0"/>
      </w:numPr>
      <w:tabs>
        <w:tab w:val="left" w:pos="360"/>
        <w:tab w:val="left" w:pos="720"/>
        <w:tab w:val="left" w:pos="4614"/>
        <w:tab w:val="left" w:pos="8092"/>
      </w:tabs>
      <w:snapToGrid w:val="0"/>
      <w:spacing w:before="156" w:beforeLines="100" w:after="156" w:afterLines="50" w:line="360" w:lineRule="auto"/>
      <w:ind w:firstLine="482" w:firstLineChars="200"/>
      <w:jc w:val="both"/>
    </w:pPr>
    <w:rPr>
      <w:rFonts w:ascii="Times New Roman" w:hAnsi="Times New Roman" w:eastAsia="宋体"/>
      <w:bCs/>
      <w:color w:val="FF0000"/>
      <w:kern w:val="2"/>
      <w:sz w:val="24"/>
      <w:szCs w:val="20"/>
      <w:lang w:val="zh-CN"/>
    </w:rPr>
  </w:style>
  <w:style w:type="character" w:customStyle="1" w:styleId="1705">
    <w:name w:val="font3"/>
    <w:qFormat/>
    <w:uiPriority w:val="0"/>
  </w:style>
  <w:style w:type="paragraph" w:customStyle="1" w:styleId="1706">
    <w:name w:val="样式 标题 2Chapter Heading2nd levelh22Titre2l2H2Header 2UND...2"/>
    <w:basedOn w:val="4"/>
    <w:qFormat/>
    <w:uiPriority w:val="0"/>
    <w:pPr>
      <w:widowControl w:val="0"/>
      <w:numPr>
        <w:ilvl w:val="0"/>
        <w:numId w:val="0"/>
      </w:numPr>
      <w:tabs>
        <w:tab w:val="left" w:pos="360"/>
        <w:tab w:val="left" w:pos="720"/>
        <w:tab w:val="left" w:pos="4614"/>
        <w:tab w:val="left" w:pos="8092"/>
      </w:tabs>
      <w:snapToGrid w:val="0"/>
      <w:spacing w:before="50" w:after="50" w:line="360" w:lineRule="auto"/>
      <w:jc w:val="both"/>
    </w:pPr>
    <w:rPr>
      <w:rFonts w:ascii="Times New Roman" w:hAnsi="Times New Roman" w:eastAsia="宋体" w:cs="Times New Roman"/>
      <w:b w:val="0"/>
      <w:bCs/>
      <w:color w:val="FF0000"/>
      <w:kern w:val="2"/>
      <w:sz w:val="24"/>
      <w:szCs w:val="32"/>
      <w:lang w:val="zh-CN"/>
    </w:rPr>
  </w:style>
  <w:style w:type="character" w:customStyle="1" w:styleId="1707">
    <w:name w:val="样式 标题 2Chapter Heading2nd levelh22Titre2l2H2Header 2UND...2 Char"/>
    <w:qFormat/>
    <w:uiPriority w:val="0"/>
    <w:rPr>
      <w:rFonts w:eastAsia="黑体"/>
      <w:bCs/>
      <w:kern w:val="2"/>
      <w:sz w:val="24"/>
      <w:szCs w:val="32"/>
      <w:lang w:val="en-US" w:eastAsia="zh-CN" w:bidi="ar-SA"/>
    </w:rPr>
  </w:style>
  <w:style w:type="character" w:customStyle="1" w:styleId="1708">
    <w:name w:val="孙普文字 Char Char"/>
    <w:qFormat/>
    <w:uiPriority w:val="0"/>
    <w:rPr>
      <w:rFonts w:ascii="宋体" w:hAnsi="Courier New" w:eastAsia="宋体"/>
      <w:kern w:val="2"/>
      <w:sz w:val="24"/>
      <w:szCs w:val="24"/>
      <w:lang w:val="en-US" w:eastAsia="zh-CN" w:bidi="ar-SA"/>
    </w:rPr>
  </w:style>
  <w:style w:type="paragraph" w:customStyle="1" w:styleId="1709">
    <w:name w:val="样式 标题 2Chapter Heading2nd levelh22Titre2l2H2Header 2UND..."/>
    <w:basedOn w:val="4"/>
    <w:qFormat/>
    <w:uiPriority w:val="0"/>
    <w:pPr>
      <w:widowControl w:val="0"/>
      <w:numPr>
        <w:ilvl w:val="0"/>
        <w:numId w:val="0"/>
      </w:numPr>
      <w:tabs>
        <w:tab w:val="left" w:pos="360"/>
        <w:tab w:val="left" w:pos="720"/>
        <w:tab w:val="left" w:pos="4614"/>
        <w:tab w:val="left" w:pos="8092"/>
      </w:tabs>
      <w:snapToGrid w:val="0"/>
      <w:spacing w:before="50" w:after="50" w:line="360" w:lineRule="auto"/>
      <w:jc w:val="both"/>
    </w:pPr>
    <w:rPr>
      <w:rFonts w:ascii="Times New Roman" w:hAnsi="Times New Roman" w:eastAsia="宋体"/>
      <w:b w:val="0"/>
      <w:bCs/>
      <w:color w:val="FF0000"/>
      <w:kern w:val="2"/>
      <w:sz w:val="24"/>
      <w:szCs w:val="20"/>
      <w:lang w:val="zh-CN"/>
    </w:rPr>
  </w:style>
  <w:style w:type="paragraph" w:customStyle="1" w:styleId="1710">
    <w:name w:val="样式 标题 2Chapter Heading2nd levelh22Titre2l2H2Header 2UND...1"/>
    <w:basedOn w:val="4"/>
    <w:qFormat/>
    <w:uiPriority w:val="0"/>
    <w:pPr>
      <w:widowControl w:val="0"/>
      <w:numPr>
        <w:ilvl w:val="0"/>
        <w:numId w:val="0"/>
      </w:numPr>
      <w:tabs>
        <w:tab w:val="left" w:pos="360"/>
        <w:tab w:val="left" w:pos="720"/>
        <w:tab w:val="left" w:pos="4614"/>
        <w:tab w:val="left" w:pos="8092"/>
      </w:tabs>
      <w:snapToGrid w:val="0"/>
      <w:spacing w:before="50" w:after="50" w:line="360" w:lineRule="auto"/>
      <w:jc w:val="both"/>
    </w:pPr>
    <w:rPr>
      <w:rFonts w:ascii="Times New Roman" w:hAnsi="Times New Roman" w:eastAsia="宋体"/>
      <w:b w:val="0"/>
      <w:bCs/>
      <w:color w:val="FF0000"/>
      <w:sz w:val="24"/>
      <w:szCs w:val="20"/>
      <w:lang w:val="zh-CN"/>
    </w:rPr>
  </w:style>
  <w:style w:type="paragraph" w:customStyle="1" w:styleId="1711">
    <w:name w:val="样式 标题4 + 首行缩进:  2 字符"/>
    <w:basedOn w:val="21"/>
    <w:qFormat/>
    <w:uiPriority w:val="0"/>
    <w:pPr>
      <w:keepNext/>
      <w:keepLines/>
      <w:widowControl w:val="0"/>
      <w:spacing w:before="50" w:beforeLines="50" w:after="50" w:afterLines="50" w:line="360" w:lineRule="auto"/>
      <w:ind w:left="0"/>
      <w:jc w:val="both"/>
      <w:outlineLvl w:val="2"/>
    </w:pPr>
    <w:rPr>
      <w:rFonts w:ascii="楷体_GB2312" w:hAnsi="Times New Roman"/>
      <w:kern w:val="2"/>
    </w:rPr>
  </w:style>
  <w:style w:type="paragraph" w:customStyle="1" w:styleId="1712">
    <w:name w:val="样式 标题 1章节标题章标题 1-*+h11st levelSection Headl1b1本标题不使用篇标...1"/>
    <w:basedOn w:val="3"/>
    <w:qFormat/>
    <w:uiPriority w:val="0"/>
    <w:pPr>
      <w:keepNext w:val="0"/>
      <w:keepLines/>
      <w:tabs>
        <w:tab w:val="left" w:pos="4614"/>
      </w:tabs>
      <w:overflowPunct/>
      <w:spacing w:before="240" w:beforeLines="100" w:after="240" w:afterLines="100" w:line="360" w:lineRule="auto"/>
      <w:ind w:left="0" w:firstLine="0"/>
    </w:pPr>
    <w:rPr>
      <w:rFonts w:ascii="Times New Roman" w:eastAsia="宋体" w:cs="Times New Roman"/>
      <w:color w:val="auto"/>
      <w:sz w:val="28"/>
      <w:szCs w:val="20"/>
    </w:rPr>
  </w:style>
  <w:style w:type="paragraph" w:customStyle="1" w:styleId="1713">
    <w:name w:val="000 正文 首行缩进2字符"/>
    <w:basedOn w:val="1"/>
    <w:qFormat/>
    <w:uiPriority w:val="0"/>
    <w:pPr>
      <w:widowControl w:val="0"/>
      <w:adjustRightInd w:val="0"/>
      <w:spacing w:line="288" w:lineRule="auto"/>
      <w:ind w:firstLine="360" w:firstLineChars="200"/>
      <w:jc w:val="both"/>
      <w:textAlignment w:val="baseline"/>
    </w:pPr>
    <w:rPr>
      <w:rFonts w:ascii="Times New Roman" w:hAnsi="Times New Roman"/>
      <w:sz w:val="18"/>
      <w:szCs w:val="20"/>
    </w:rPr>
  </w:style>
  <w:style w:type="paragraph" w:customStyle="1" w:styleId="1714">
    <w:name w:val="样式 标题 1章节标题章标题 1-*+h11st levelSection Headl1b1本标题不使用篇标..."/>
    <w:basedOn w:val="3"/>
    <w:qFormat/>
    <w:uiPriority w:val="0"/>
    <w:pPr>
      <w:keepNext w:val="0"/>
      <w:keepLines/>
      <w:tabs>
        <w:tab w:val="left" w:pos="4614"/>
      </w:tabs>
      <w:overflowPunct/>
      <w:spacing w:before="240" w:beforeLines="100" w:after="240" w:afterLines="100" w:line="360" w:lineRule="auto"/>
      <w:ind w:left="0" w:firstLine="0"/>
    </w:pPr>
    <w:rPr>
      <w:rFonts w:ascii="Times New Roman" w:hAnsi="Times New Roman" w:eastAsia="宋体" w:cs="Times New Roman"/>
      <w:bCs w:val="0"/>
      <w:color w:val="auto"/>
      <w:sz w:val="28"/>
      <w:szCs w:val="20"/>
    </w:rPr>
  </w:style>
  <w:style w:type="character" w:customStyle="1" w:styleId="1715">
    <w:name w:val="text21"/>
    <w:qFormat/>
    <w:uiPriority w:val="0"/>
    <w:rPr>
      <w:color w:val="000000"/>
      <w:sz w:val="21"/>
      <w:u w:val="none"/>
    </w:rPr>
  </w:style>
  <w:style w:type="paragraph" w:customStyle="1" w:styleId="1716">
    <w:name w:val="CM46"/>
    <w:basedOn w:val="137"/>
    <w:next w:val="137"/>
    <w:qFormat/>
    <w:uiPriority w:val="0"/>
    <w:pPr>
      <w:widowControl w:val="0"/>
      <w:spacing w:line="500" w:lineRule="atLeast"/>
    </w:pPr>
    <w:rPr>
      <w:rFonts w:hint="default" w:ascii="仿宋_GB2312" w:hAnsi="Times New Roman" w:eastAsia="仿宋_GB2312" w:cs="Times New Roman"/>
      <w:color w:val="auto"/>
    </w:rPr>
  </w:style>
  <w:style w:type="paragraph" w:customStyle="1" w:styleId="1717">
    <w:name w:val="CM126"/>
    <w:basedOn w:val="1"/>
    <w:next w:val="1"/>
    <w:qFormat/>
    <w:uiPriority w:val="0"/>
    <w:pPr>
      <w:widowControl w:val="0"/>
      <w:autoSpaceDE w:val="0"/>
      <w:autoSpaceDN w:val="0"/>
      <w:adjustRightInd w:val="0"/>
      <w:spacing w:after="285"/>
    </w:pPr>
    <w:rPr>
      <w:rFonts w:ascii="仿宋_GB2312" w:hAnsi="Times New Roman" w:eastAsia="仿宋_GB2312" w:cs="Times New Roman"/>
      <w:szCs w:val="20"/>
    </w:rPr>
  </w:style>
  <w:style w:type="paragraph" w:customStyle="1" w:styleId="1718">
    <w:name w:val="CM45"/>
    <w:basedOn w:val="137"/>
    <w:next w:val="137"/>
    <w:qFormat/>
    <w:uiPriority w:val="0"/>
    <w:pPr>
      <w:widowControl w:val="0"/>
      <w:spacing w:line="500" w:lineRule="atLeast"/>
    </w:pPr>
    <w:rPr>
      <w:rFonts w:hint="default" w:ascii="仿宋_GB2312" w:hAnsi="Times New Roman" w:eastAsia="仿宋_GB2312" w:cs="Times New Roman"/>
      <w:color w:val="auto"/>
    </w:rPr>
  </w:style>
  <w:style w:type="paragraph" w:customStyle="1" w:styleId="1719">
    <w:name w:val="Char Char Char1 Char"/>
    <w:basedOn w:val="1"/>
    <w:qFormat/>
    <w:uiPriority w:val="0"/>
    <w:pPr>
      <w:widowControl w:val="0"/>
      <w:snapToGrid w:val="0"/>
      <w:spacing w:line="360" w:lineRule="auto"/>
      <w:ind w:firstLine="200" w:firstLineChars="200"/>
      <w:jc w:val="both"/>
    </w:pPr>
    <w:rPr>
      <w:rFonts w:ascii="Times New Roman" w:hAnsi="Times New Roman" w:eastAsia="仿宋_GB2312" w:cs="Times New Roman"/>
      <w:kern w:val="2"/>
    </w:rPr>
  </w:style>
  <w:style w:type="paragraph" w:customStyle="1" w:styleId="1720">
    <w:name w:val="Char Char Char1 Char Char Char"/>
    <w:basedOn w:val="1"/>
    <w:qFormat/>
    <w:uiPriority w:val="0"/>
    <w:pPr>
      <w:widowControl w:val="0"/>
      <w:spacing w:line="360" w:lineRule="auto"/>
      <w:ind w:firstLine="200" w:firstLineChars="200"/>
      <w:jc w:val="both"/>
    </w:pPr>
    <w:rPr>
      <w:kern w:val="2"/>
    </w:rPr>
  </w:style>
  <w:style w:type="paragraph" w:customStyle="1" w:styleId="1721">
    <w:name w:val="3级标题"/>
    <w:basedOn w:val="1"/>
    <w:qFormat/>
    <w:uiPriority w:val="0"/>
    <w:pPr>
      <w:widowControl w:val="0"/>
      <w:spacing w:before="300" w:line="460" w:lineRule="exact"/>
      <w:jc w:val="both"/>
      <w:outlineLvl w:val="2"/>
    </w:pPr>
    <w:rPr>
      <w:rFonts w:ascii="Arial" w:hAnsi="Arial" w:cs="Times New Roman"/>
      <w:b/>
      <w:kern w:val="2"/>
      <w:szCs w:val="20"/>
    </w:rPr>
  </w:style>
  <w:style w:type="paragraph" w:customStyle="1" w:styleId="1722">
    <w:name w:val="正文001"/>
    <w:basedOn w:val="1"/>
    <w:qFormat/>
    <w:uiPriority w:val="0"/>
    <w:pPr>
      <w:widowControl w:val="0"/>
      <w:spacing w:before="60" w:line="460" w:lineRule="exact"/>
      <w:ind w:firstLine="200" w:firstLineChars="200"/>
      <w:jc w:val="both"/>
    </w:pPr>
    <w:rPr>
      <w:rFonts w:ascii="Arial" w:hAnsi="Arial" w:cs="Times New Roman"/>
      <w:kern w:val="2"/>
      <w:szCs w:val="20"/>
    </w:rPr>
  </w:style>
  <w:style w:type="paragraph" w:customStyle="1" w:styleId="1723">
    <w:name w:val="Char Char Char1 Char Char Char Char Char Char Char11"/>
    <w:basedOn w:val="1"/>
    <w:qFormat/>
    <w:uiPriority w:val="0"/>
    <w:pPr>
      <w:widowControl w:val="0"/>
      <w:spacing w:line="360" w:lineRule="auto"/>
      <w:ind w:firstLine="200" w:firstLineChars="200"/>
      <w:jc w:val="both"/>
    </w:pPr>
    <w:rPr>
      <w:kern w:val="2"/>
    </w:rPr>
  </w:style>
  <w:style w:type="paragraph" w:customStyle="1" w:styleId="1724">
    <w:name w:val="册除格式 Char Char"/>
    <w:qFormat/>
    <w:uiPriority w:val="0"/>
    <w:pPr>
      <w:spacing w:line="360" w:lineRule="auto"/>
      <w:ind w:firstLine="482"/>
    </w:pPr>
    <w:rPr>
      <w:rFonts w:ascii="黑体" w:hAnsi="Arial" w:eastAsia="宋体" w:cs="Arial"/>
      <w:snapToGrid w:val="0"/>
      <w:spacing w:val="4"/>
      <w:kern w:val="18"/>
      <w:sz w:val="24"/>
      <w:szCs w:val="28"/>
      <w:lang w:val="en-US" w:eastAsia="zh-CN" w:bidi="ar-SA"/>
    </w:rPr>
  </w:style>
  <w:style w:type="paragraph" w:customStyle="1" w:styleId="1725">
    <w:name w:val="标题三"/>
    <w:basedOn w:val="5"/>
    <w:next w:val="1"/>
    <w:qFormat/>
    <w:uiPriority w:val="0"/>
    <w:pPr>
      <w:keepLines w:val="0"/>
      <w:widowControl w:val="0"/>
      <w:tabs>
        <w:tab w:val="left" w:pos="360"/>
        <w:tab w:val="left" w:pos="720"/>
        <w:tab w:val="left" w:pos="4614"/>
      </w:tabs>
      <w:autoSpaceDE w:val="0"/>
      <w:autoSpaceDN w:val="0"/>
      <w:snapToGrid w:val="0"/>
      <w:spacing w:before="240" w:beforeLines="100" w:after="120" w:afterLines="50" w:line="360" w:lineRule="auto"/>
      <w:ind w:firstLine="482"/>
      <w:jc w:val="both"/>
    </w:pPr>
    <w:rPr>
      <w:rFonts w:ascii="黑体" w:hAnsi="Times New Roman" w:eastAsia="黑体" w:cs="Times New Roman"/>
      <w:kern w:val="2"/>
      <w:szCs w:val="24"/>
    </w:rPr>
  </w:style>
  <w:style w:type="character" w:customStyle="1" w:styleId="1726">
    <w:name w:val="newsbody1"/>
    <w:qFormat/>
    <w:uiPriority w:val="0"/>
    <w:rPr>
      <w:color w:val="363636"/>
      <w:sz w:val="21"/>
      <w:szCs w:val="21"/>
    </w:rPr>
  </w:style>
  <w:style w:type="paragraph" w:customStyle="1" w:styleId="1727">
    <w:name w:val="表格文字（韶关规划）"/>
    <w:basedOn w:val="1"/>
    <w:qFormat/>
    <w:uiPriority w:val="0"/>
    <w:pPr>
      <w:widowControl w:val="0"/>
      <w:tabs>
        <w:tab w:val="left" w:pos="7996"/>
      </w:tabs>
      <w:autoSpaceDE w:val="0"/>
      <w:autoSpaceDN w:val="0"/>
      <w:adjustRightInd w:val="0"/>
      <w:snapToGrid w:val="0"/>
      <w:spacing w:line="264" w:lineRule="auto"/>
      <w:jc w:val="center"/>
    </w:pPr>
    <w:rPr>
      <w:rFonts w:ascii="Times New Roman" w:hAnsi="Times New Roman" w:cs="Times New Roman"/>
      <w:sz w:val="21"/>
      <w:szCs w:val="21"/>
      <w:lang w:val="zh-CN"/>
    </w:rPr>
  </w:style>
  <w:style w:type="paragraph" w:customStyle="1" w:styleId="1728">
    <w:name w:val="HTML 预先格式化"/>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hAnsi="Arial Unicode MS" w:eastAsia="Arial Unicode MS" w:cs="Times New Roman"/>
      <w:sz w:val="20"/>
      <w:szCs w:val="20"/>
    </w:rPr>
  </w:style>
  <w:style w:type="paragraph" w:customStyle="1" w:styleId="1729">
    <w:name w:val="CM13"/>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30">
    <w:name w:val="CM6"/>
    <w:basedOn w:val="137"/>
    <w:next w:val="137"/>
    <w:qFormat/>
    <w:uiPriority w:val="0"/>
    <w:pPr>
      <w:widowControl w:val="0"/>
      <w:spacing w:line="471" w:lineRule="atLeast"/>
    </w:pPr>
    <w:rPr>
      <w:rFonts w:hint="default" w:ascii="仿宋_GB2312" w:hAnsi="Times New Roman" w:eastAsia="仿宋_GB2312" w:cs="仿宋_GB2312"/>
      <w:color w:val="auto"/>
      <w:szCs w:val="24"/>
    </w:rPr>
  </w:style>
  <w:style w:type="paragraph" w:customStyle="1" w:styleId="1731">
    <w:name w:val="CM7"/>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32">
    <w:name w:val="CM8"/>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33">
    <w:name w:val="CM9"/>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34">
    <w:name w:val="CM129"/>
    <w:basedOn w:val="137"/>
    <w:next w:val="137"/>
    <w:qFormat/>
    <w:uiPriority w:val="0"/>
    <w:pPr>
      <w:widowControl w:val="0"/>
      <w:spacing w:after="365"/>
    </w:pPr>
    <w:rPr>
      <w:rFonts w:hint="default" w:ascii="仿宋_GB2312" w:hAnsi="Times New Roman" w:eastAsia="仿宋_GB2312" w:cs="仿宋_GB2312"/>
      <w:color w:val="auto"/>
      <w:szCs w:val="24"/>
    </w:rPr>
  </w:style>
  <w:style w:type="paragraph" w:customStyle="1" w:styleId="1735">
    <w:name w:val="CM22"/>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36">
    <w:name w:val="CM87"/>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37">
    <w:name w:val="CM25"/>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38">
    <w:name w:val="CM26"/>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39">
    <w:name w:val="CM21"/>
    <w:basedOn w:val="137"/>
    <w:next w:val="137"/>
    <w:qFormat/>
    <w:uiPriority w:val="0"/>
    <w:pPr>
      <w:widowControl w:val="0"/>
      <w:spacing w:line="468" w:lineRule="atLeast"/>
    </w:pPr>
    <w:rPr>
      <w:rFonts w:hint="default" w:ascii="仿宋_GB2312" w:hAnsi="Times New Roman" w:eastAsia="仿宋_GB2312" w:cs="仿宋_GB2312"/>
      <w:color w:val="auto"/>
      <w:szCs w:val="24"/>
    </w:rPr>
  </w:style>
  <w:style w:type="paragraph" w:customStyle="1" w:styleId="1740">
    <w:name w:val="样式 样式 标题 1章节标题章标题 1-*+h11st levelSection Headl1b1本标题不使用篇标...1 + ..."/>
    <w:basedOn w:val="1"/>
    <w:qFormat/>
    <w:uiPriority w:val="0"/>
    <w:pPr>
      <w:keepNext/>
      <w:keepLines/>
      <w:widowControl w:val="0"/>
      <w:spacing w:before="240" w:after="120" w:line="360" w:lineRule="auto"/>
      <w:outlineLvl w:val="0"/>
    </w:pPr>
    <w:rPr>
      <w:rFonts w:ascii="Times New Roman" w:hAnsi="Times New Roman" w:eastAsia="黑体"/>
      <w:b/>
      <w:bCs/>
      <w:kern w:val="44"/>
      <w:sz w:val="28"/>
      <w:szCs w:val="28"/>
    </w:rPr>
  </w:style>
  <w:style w:type="paragraph" w:customStyle="1" w:styleId="1741">
    <w:name w:val="Char Char Char Char Char Char1 Char5"/>
    <w:basedOn w:val="1"/>
    <w:qFormat/>
    <w:uiPriority w:val="0"/>
    <w:pPr>
      <w:widowControl w:val="0"/>
      <w:spacing w:line="360" w:lineRule="auto"/>
      <w:ind w:firstLine="200" w:firstLineChars="200"/>
      <w:jc w:val="both"/>
    </w:pPr>
    <w:rPr>
      <w:kern w:val="2"/>
    </w:rPr>
  </w:style>
  <w:style w:type="character" w:customStyle="1" w:styleId="1742">
    <w:name w:val="tit2"/>
    <w:qFormat/>
    <w:uiPriority w:val="0"/>
    <w:rPr>
      <w:b/>
      <w:bCs/>
      <w:sz w:val="48"/>
      <w:szCs w:val="48"/>
    </w:rPr>
  </w:style>
  <w:style w:type="paragraph" w:customStyle="1" w:styleId="1743">
    <w:name w:val="标题四"/>
    <w:basedOn w:val="1"/>
    <w:qFormat/>
    <w:uiPriority w:val="0"/>
    <w:pPr>
      <w:widowControl w:val="0"/>
      <w:spacing w:line="360" w:lineRule="auto"/>
      <w:ind w:firstLine="480" w:firstLineChars="200"/>
      <w:jc w:val="both"/>
    </w:pPr>
    <w:rPr>
      <w:rFonts w:ascii="Times New Roman" w:hAnsi="Times New Roman" w:cs="Times New Roman"/>
      <w:bCs/>
      <w:kern w:val="2"/>
      <w:szCs w:val="20"/>
    </w:rPr>
  </w:style>
  <w:style w:type="paragraph" w:customStyle="1" w:styleId="1744">
    <w:name w:val="表头样式"/>
    <w:basedOn w:val="1"/>
    <w:qFormat/>
    <w:uiPriority w:val="0"/>
    <w:pPr>
      <w:widowControl w:val="0"/>
      <w:tabs>
        <w:tab w:val="left" w:pos="3060"/>
      </w:tabs>
      <w:spacing w:before="120" w:beforeLines="50" w:line="360" w:lineRule="auto"/>
      <w:jc w:val="center"/>
    </w:pPr>
    <w:rPr>
      <w:rFonts w:ascii="Times New Roman" w:cs="Times New Roman"/>
      <w:b/>
      <w:bCs/>
      <w:kern w:val="2"/>
    </w:rPr>
  </w:style>
  <w:style w:type="character" w:customStyle="1" w:styleId="1745">
    <w:name w:val="表格五号字"/>
    <w:qFormat/>
    <w:uiPriority w:val="0"/>
    <w:rPr>
      <w:sz w:val="21"/>
    </w:rPr>
  </w:style>
  <w:style w:type="paragraph" w:customStyle="1" w:styleId="1746">
    <w:name w:val="样式 宋体 三号 首行缩进:  2 字符 段后: 3.9 磅 行距: 1.5 倍行距"/>
    <w:basedOn w:val="1"/>
    <w:qFormat/>
    <w:uiPriority w:val="0"/>
    <w:pPr>
      <w:widowControl w:val="0"/>
      <w:spacing w:after="78" w:line="360" w:lineRule="auto"/>
      <w:ind w:firstLine="640" w:firstLineChars="200"/>
      <w:jc w:val="both"/>
    </w:pPr>
    <w:rPr>
      <w:kern w:val="2"/>
      <w:sz w:val="28"/>
      <w:szCs w:val="20"/>
    </w:rPr>
  </w:style>
  <w:style w:type="character" w:customStyle="1" w:styleId="1747">
    <w:name w:val="size13"/>
    <w:qFormat/>
    <w:uiPriority w:val="0"/>
  </w:style>
  <w:style w:type="character" w:customStyle="1" w:styleId="1748">
    <w:name w:val="p10"/>
    <w:qFormat/>
    <w:uiPriority w:val="0"/>
  </w:style>
  <w:style w:type="paragraph" w:customStyle="1" w:styleId="1749">
    <w:name w:val="a3"/>
    <w:basedOn w:val="1"/>
    <w:qFormat/>
    <w:uiPriority w:val="0"/>
    <w:pPr>
      <w:spacing w:before="100" w:beforeAutospacing="1" w:after="100" w:afterAutospacing="1"/>
    </w:pPr>
    <w:rPr>
      <w:rFonts w:cs="Times New Roman"/>
      <w:color w:val="000000"/>
    </w:rPr>
  </w:style>
  <w:style w:type="paragraph" w:customStyle="1" w:styleId="1750">
    <w:name w:val="样式 电镀正文 + 首行缩进:  2 字符"/>
    <w:basedOn w:val="671"/>
    <w:qFormat/>
    <w:uiPriority w:val="0"/>
    <w:pPr>
      <w:spacing w:line="324" w:lineRule="auto"/>
    </w:pPr>
    <w:rPr>
      <w:lang w:val="zh-CN"/>
    </w:rPr>
  </w:style>
  <w:style w:type="paragraph" w:customStyle="1" w:styleId="1751">
    <w:name w:val="02章"/>
    <w:basedOn w:val="1"/>
    <w:qFormat/>
    <w:uiPriority w:val="0"/>
    <w:pPr>
      <w:widowControl w:val="0"/>
      <w:spacing w:before="120" w:after="120" w:line="480" w:lineRule="auto"/>
      <w:jc w:val="center"/>
      <w:outlineLvl w:val="1"/>
    </w:pPr>
    <w:rPr>
      <w:rFonts w:ascii="Times New Roman" w:hAnsi="Times New Roman" w:eastAsia="黑体" w:cs="Times New Roman"/>
      <w:spacing w:val="20"/>
      <w:kern w:val="2"/>
      <w:sz w:val="28"/>
      <w:szCs w:val="20"/>
    </w:rPr>
  </w:style>
  <w:style w:type="paragraph" w:customStyle="1" w:styleId="1752">
    <w:name w:val="04条"/>
    <w:basedOn w:val="1"/>
    <w:qFormat/>
    <w:uiPriority w:val="0"/>
    <w:pPr>
      <w:widowControl w:val="0"/>
      <w:spacing w:before="60" w:after="60" w:line="360" w:lineRule="auto"/>
      <w:jc w:val="both"/>
      <w:outlineLvl w:val="3"/>
    </w:pPr>
    <w:rPr>
      <w:rFonts w:ascii="Times New Roman" w:hAnsi="Times New Roman" w:cs="Times New Roman"/>
      <w:kern w:val="2"/>
      <w:szCs w:val="20"/>
    </w:rPr>
  </w:style>
  <w:style w:type="paragraph" w:customStyle="1" w:styleId="1753">
    <w:name w:val="05子条"/>
    <w:basedOn w:val="1"/>
    <w:qFormat/>
    <w:uiPriority w:val="0"/>
    <w:pPr>
      <w:widowControl w:val="0"/>
      <w:spacing w:before="60" w:after="60" w:line="360" w:lineRule="auto"/>
      <w:ind w:left="851" w:hanging="426"/>
      <w:jc w:val="both"/>
      <w:outlineLvl w:val="4"/>
    </w:pPr>
    <w:rPr>
      <w:rFonts w:ascii="Times New Roman" w:hAnsi="Times New Roman" w:cs="Times New Roman"/>
      <w:kern w:val="2"/>
      <w:szCs w:val="20"/>
    </w:rPr>
  </w:style>
  <w:style w:type="paragraph" w:customStyle="1" w:styleId="1754">
    <w:name w:val="07子目"/>
    <w:basedOn w:val="1"/>
    <w:qFormat/>
    <w:uiPriority w:val="0"/>
    <w:pPr>
      <w:widowControl w:val="0"/>
      <w:tabs>
        <w:tab w:val="left" w:pos="360"/>
      </w:tabs>
      <w:spacing w:before="60" w:after="60" w:line="360" w:lineRule="auto"/>
      <w:jc w:val="both"/>
    </w:pPr>
    <w:rPr>
      <w:rFonts w:ascii="Times New Roman" w:hAnsi="Times New Roman" w:cs="Times New Roman"/>
      <w:kern w:val="2"/>
      <w:szCs w:val="20"/>
    </w:rPr>
  </w:style>
  <w:style w:type="character" w:customStyle="1" w:styleId="1755">
    <w:name w:val="news"/>
    <w:qFormat/>
    <w:uiPriority w:val="0"/>
  </w:style>
  <w:style w:type="character" w:customStyle="1" w:styleId="1756">
    <w:name w:val="沥青正文 Char"/>
    <w:qFormat/>
    <w:uiPriority w:val="0"/>
    <w:rPr>
      <w:rFonts w:eastAsia="宋体"/>
      <w:kern w:val="2"/>
      <w:sz w:val="24"/>
      <w:lang w:val="en-US" w:eastAsia="zh-CN"/>
    </w:rPr>
  </w:style>
  <w:style w:type="character" w:customStyle="1" w:styleId="1757">
    <w:name w:val="subtitle_disp"/>
    <w:qFormat/>
    <w:uiPriority w:val="0"/>
  </w:style>
  <w:style w:type="character" w:customStyle="1" w:styleId="1758">
    <w:name w:val="px20"/>
    <w:qFormat/>
    <w:uiPriority w:val="0"/>
  </w:style>
  <w:style w:type="character" w:customStyle="1" w:styleId="1759">
    <w:name w:val="样式 沥青表 + 宋体 小四 Char"/>
    <w:qFormat/>
    <w:uiPriority w:val="0"/>
    <w:rPr>
      <w:rFonts w:ascii="宋体" w:hAnsi="宋体" w:eastAsia="宋体"/>
      <w:spacing w:val="10"/>
      <w:sz w:val="24"/>
      <w:lang w:val="en-US" w:eastAsia="zh-CN"/>
    </w:rPr>
  </w:style>
  <w:style w:type="character" w:customStyle="1" w:styleId="1760">
    <w:name w:val="沥青表 Char"/>
    <w:qFormat/>
    <w:uiPriority w:val="0"/>
    <w:rPr>
      <w:rFonts w:eastAsia="宋体"/>
      <w:spacing w:val="10"/>
      <w:sz w:val="21"/>
      <w:lang w:val="en-US" w:eastAsia="zh-CN"/>
    </w:rPr>
  </w:style>
  <w:style w:type="character" w:customStyle="1" w:styleId="1761">
    <w:name w:val="maintitle_disp"/>
    <w:qFormat/>
    <w:uiPriority w:val="0"/>
  </w:style>
  <w:style w:type="paragraph" w:customStyle="1" w:styleId="1762">
    <w:name w:val="样式 标题 3H3H31H32H33H311H321H34H35H36H37H38H39H310H3..."/>
    <w:basedOn w:val="5"/>
    <w:qFormat/>
    <w:uiPriority w:val="0"/>
    <w:pPr>
      <w:widowControl w:val="0"/>
      <w:tabs>
        <w:tab w:val="left" w:pos="0"/>
        <w:tab w:val="left" w:pos="360"/>
        <w:tab w:val="left" w:pos="720"/>
        <w:tab w:val="left" w:pos="900"/>
        <w:tab w:val="left" w:pos="1080"/>
        <w:tab w:val="left" w:pos="1191"/>
      </w:tabs>
      <w:snapToGrid w:val="0"/>
      <w:spacing w:before="240" w:beforeLines="100" w:after="120" w:afterLines="50" w:line="336" w:lineRule="auto"/>
      <w:ind w:left="1191" w:hanging="709" w:firstLineChars="200"/>
      <w:jc w:val="both"/>
    </w:pPr>
    <w:rPr>
      <w:rFonts w:ascii="Times New Roman" w:hAnsi="Times New Roman" w:cs="Times New Roman"/>
      <w:kern w:val="2"/>
      <w:szCs w:val="20"/>
    </w:rPr>
  </w:style>
  <w:style w:type="paragraph" w:customStyle="1" w:styleId="1763">
    <w:name w:val="样式 正文首行缩进 + 段后: 0 磅 行距: 固定值 24 磅"/>
    <w:basedOn w:val="86"/>
    <w:qFormat/>
    <w:uiPriority w:val="0"/>
    <w:pPr>
      <w:widowControl w:val="0"/>
      <w:spacing w:line="324" w:lineRule="auto"/>
      <w:ind w:firstLine="194" w:firstLineChars="194"/>
      <w:jc w:val="both"/>
    </w:pPr>
    <w:rPr>
      <w:rFonts w:cs="Times New Roman"/>
      <w:spacing w:val="8"/>
      <w:kern w:val="2"/>
      <w:lang w:val="zh-CN"/>
    </w:rPr>
  </w:style>
  <w:style w:type="paragraph" w:customStyle="1" w:styleId="1764">
    <w:name w:val="附录二级条标题"/>
    <w:basedOn w:val="1765"/>
    <w:next w:val="660"/>
    <w:qFormat/>
    <w:uiPriority w:val="0"/>
    <w:pPr>
      <w:tabs>
        <w:tab w:val="left" w:pos="360"/>
        <w:tab w:val="left" w:pos="828"/>
      </w:tabs>
      <w:ind w:left="360" w:hanging="360"/>
      <w:outlineLvl w:val="3"/>
    </w:pPr>
  </w:style>
  <w:style w:type="paragraph" w:customStyle="1" w:styleId="1765">
    <w:name w:val="附录一级条标题"/>
    <w:basedOn w:val="1766"/>
    <w:next w:val="660"/>
    <w:qFormat/>
    <w:uiPriority w:val="0"/>
    <w:pPr>
      <w:tabs>
        <w:tab w:val="left" w:pos="828"/>
      </w:tabs>
      <w:autoSpaceDN w:val="0"/>
      <w:spacing w:before="0" w:beforeLines="0" w:after="0" w:afterLines="0"/>
      <w:ind w:left="828" w:hanging="240"/>
      <w:outlineLvl w:val="2"/>
    </w:pPr>
  </w:style>
  <w:style w:type="paragraph" w:customStyle="1" w:styleId="1766">
    <w:name w:val="附录章标题"/>
    <w:next w:val="660"/>
    <w:qFormat/>
    <w:uiPriority w:val="0"/>
    <w:pPr>
      <w:wordWrap w:val="0"/>
      <w:overflowPunct w:val="0"/>
      <w:autoSpaceDE w:val="0"/>
      <w:spacing w:before="156" w:beforeLines="50" w:after="156" w:afterLines="50"/>
      <w:jc w:val="both"/>
      <w:textAlignment w:val="baseline"/>
      <w:outlineLvl w:val="1"/>
    </w:pPr>
    <w:rPr>
      <w:rFonts w:ascii="黑体" w:hAnsi="Times New Roman" w:eastAsia="黑体" w:cs="Times New Roman"/>
      <w:kern w:val="21"/>
      <w:sz w:val="21"/>
      <w:lang w:val="en-US" w:eastAsia="zh-CN" w:bidi="ar-SA"/>
    </w:rPr>
  </w:style>
  <w:style w:type="paragraph" w:customStyle="1" w:styleId="1767">
    <w:name w:val="目次、标准名称标题"/>
    <w:basedOn w:val="639"/>
    <w:next w:val="660"/>
    <w:qFormat/>
    <w:uiPriority w:val="0"/>
    <w:pPr>
      <w:spacing w:line="460" w:lineRule="exact"/>
      <w:ind w:left="0" w:firstLine="0"/>
    </w:pPr>
    <w:rPr>
      <w:rFonts w:ascii="黑体" w:eastAsia="黑体"/>
    </w:rPr>
  </w:style>
  <w:style w:type="paragraph" w:customStyle="1" w:styleId="1768">
    <w:name w:val="列项·"/>
    <w:qFormat/>
    <w:uiPriority w:val="0"/>
    <w:pPr>
      <w:tabs>
        <w:tab w:val="left" w:pos="840"/>
      </w:tabs>
      <w:ind w:left="840" w:leftChars="200" w:hanging="420" w:hangingChars="200"/>
      <w:jc w:val="both"/>
    </w:pPr>
    <w:rPr>
      <w:rFonts w:ascii="宋体" w:hAnsi="Times New Roman" w:eastAsia="宋体" w:cs="Times New Roman"/>
      <w:sz w:val="21"/>
      <w:lang w:val="en-US" w:eastAsia="zh-CN" w:bidi="ar-SA"/>
    </w:rPr>
  </w:style>
  <w:style w:type="paragraph" w:customStyle="1" w:styleId="1769">
    <w:name w:val="样式 沥青表 + 宋体 小四"/>
    <w:basedOn w:val="939"/>
    <w:qFormat/>
    <w:uiPriority w:val="0"/>
    <w:rPr>
      <w:rFonts w:ascii="宋体" w:hAnsi="宋体"/>
      <w:bCs w:val="0"/>
      <w:kern w:val="2"/>
      <w:sz w:val="24"/>
      <w:szCs w:val="20"/>
    </w:rPr>
  </w:style>
  <w:style w:type="paragraph" w:customStyle="1" w:styleId="1770">
    <w:name w:val="样式 表格2 + 首行缩进:  2 字符"/>
    <w:basedOn w:val="301"/>
    <w:qFormat/>
    <w:uiPriority w:val="0"/>
    <w:pPr>
      <w:topLinePunct w:val="0"/>
      <w:ind w:firstLine="200" w:firstLineChars="200"/>
    </w:pPr>
    <w:rPr>
      <w:rFonts w:hAnsi="Impact"/>
      <w:sz w:val="24"/>
    </w:rPr>
  </w:style>
  <w:style w:type="paragraph" w:customStyle="1" w:styleId="1771">
    <w:name w:val="三级无标题条"/>
    <w:basedOn w:val="1"/>
    <w:qFormat/>
    <w:uiPriority w:val="0"/>
    <w:pPr>
      <w:widowControl w:val="0"/>
      <w:jc w:val="both"/>
    </w:pPr>
    <w:rPr>
      <w:rFonts w:ascii="Times New Roman" w:hAnsi="Times New Roman" w:cs="Times New Roman"/>
      <w:kern w:val="2"/>
      <w:sz w:val="21"/>
      <w:szCs w:val="20"/>
    </w:rPr>
  </w:style>
  <w:style w:type="paragraph" w:customStyle="1" w:styleId="1772">
    <w:name w:val="风险评价正文"/>
    <w:basedOn w:val="1"/>
    <w:qFormat/>
    <w:uiPriority w:val="0"/>
    <w:pPr>
      <w:widowControl w:val="0"/>
      <w:spacing w:line="324" w:lineRule="auto"/>
      <w:ind w:firstLine="512" w:firstLineChars="200"/>
      <w:jc w:val="both"/>
    </w:pPr>
    <w:rPr>
      <w:rFonts w:ascii="Times New Roman" w:hAnsi="Times New Roman" w:cs="Times New Roman"/>
      <w:color w:val="000000"/>
      <w:spacing w:val="8"/>
      <w:kern w:val="2"/>
      <w:szCs w:val="20"/>
    </w:rPr>
  </w:style>
  <w:style w:type="paragraph" w:customStyle="1" w:styleId="1773">
    <w:name w:val="样式 样式 表格2 + 首行缩进:  2 字符 + 首行缩进:  2 字符"/>
    <w:basedOn w:val="1770"/>
    <w:qFormat/>
    <w:uiPriority w:val="0"/>
    <w:pPr>
      <w:ind w:firstLine="0" w:firstLineChars="0"/>
    </w:pPr>
  </w:style>
  <w:style w:type="paragraph" w:customStyle="1" w:styleId="1774">
    <w:name w:val="样式 表格2 + Times New Roman"/>
    <w:basedOn w:val="301"/>
    <w:qFormat/>
    <w:uiPriority w:val="0"/>
    <w:pPr>
      <w:topLinePunct w:val="0"/>
      <w:autoSpaceDE/>
      <w:autoSpaceDN/>
      <w:adjustRightInd/>
      <w:spacing w:before="15" w:beforeLines="5"/>
      <w:textAlignment w:val="auto"/>
    </w:pPr>
    <w:rPr>
      <w:rFonts w:ascii="Times New Roman" w:hAnsi="Times New Roman" w:eastAsia="Times New Roman"/>
      <w:kern w:val="2"/>
      <w:position w:val="0"/>
      <w:lang w:val="zh-CN"/>
    </w:rPr>
  </w:style>
  <w:style w:type="paragraph" w:customStyle="1" w:styleId="1775">
    <w:name w:val="一级无标题条"/>
    <w:basedOn w:val="1"/>
    <w:qFormat/>
    <w:uiPriority w:val="0"/>
    <w:pPr>
      <w:widowControl w:val="0"/>
      <w:jc w:val="both"/>
    </w:pPr>
    <w:rPr>
      <w:rFonts w:ascii="Times New Roman" w:hAnsi="Times New Roman" w:cs="Times New Roman"/>
      <w:kern w:val="2"/>
      <w:sz w:val="21"/>
      <w:szCs w:val="20"/>
    </w:rPr>
  </w:style>
  <w:style w:type="paragraph" w:customStyle="1" w:styleId="1776">
    <w:name w:val="附录三级条标题"/>
    <w:basedOn w:val="1764"/>
    <w:next w:val="660"/>
    <w:qFormat/>
    <w:uiPriority w:val="0"/>
    <w:pPr>
      <w:tabs>
        <w:tab w:val="left" w:pos="1068"/>
      </w:tabs>
      <w:ind w:left="1068"/>
      <w:outlineLvl w:val="4"/>
    </w:pPr>
  </w:style>
  <w:style w:type="paragraph" w:customStyle="1" w:styleId="1777">
    <w:name w:val="注×："/>
    <w:qFormat/>
    <w:uiPriority w:val="0"/>
    <w:pPr>
      <w:widowControl w:val="0"/>
      <w:tabs>
        <w:tab w:val="left" w:pos="630"/>
        <w:tab w:val="left" w:pos="840"/>
      </w:tabs>
      <w:autoSpaceDE w:val="0"/>
      <w:autoSpaceDN w:val="0"/>
      <w:ind w:left="840" w:hanging="840"/>
      <w:jc w:val="both"/>
    </w:pPr>
    <w:rPr>
      <w:rFonts w:ascii="宋体" w:hAnsi="Times New Roman" w:eastAsia="宋体" w:cs="Times New Roman"/>
      <w:sz w:val="18"/>
      <w:lang w:val="en-US" w:eastAsia="zh-CN" w:bidi="ar-SA"/>
    </w:rPr>
  </w:style>
  <w:style w:type="paragraph" w:customStyle="1" w:styleId="1778">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1779">
    <w:name w:val="封面正文"/>
    <w:qFormat/>
    <w:uiPriority w:val="0"/>
    <w:pPr>
      <w:jc w:val="both"/>
    </w:pPr>
    <w:rPr>
      <w:rFonts w:ascii="Times New Roman" w:hAnsi="Times New Roman" w:eastAsia="宋体" w:cs="Times New Roman"/>
      <w:lang w:val="en-US" w:eastAsia="zh-CN" w:bidi="ar-SA"/>
    </w:rPr>
  </w:style>
  <w:style w:type="paragraph" w:customStyle="1" w:styleId="1780">
    <w:name w:val="样式 表题注 + 五号 左 段前: 3.6 磅2"/>
    <w:basedOn w:val="1"/>
    <w:qFormat/>
    <w:uiPriority w:val="0"/>
    <w:pPr>
      <w:keepNext/>
      <w:widowControl w:val="0"/>
      <w:spacing w:before="72" w:after="160" w:line="0" w:lineRule="atLeast"/>
      <w:jc w:val="center"/>
    </w:pPr>
    <w:rPr>
      <w:rFonts w:cs="Times New Roman"/>
      <w:b/>
      <w:color w:val="000000"/>
      <w:kern w:val="2"/>
      <w:szCs w:val="20"/>
    </w:rPr>
  </w:style>
  <w:style w:type="paragraph" w:customStyle="1" w:styleId="1781">
    <w:name w:val="列项——"/>
    <w:qFormat/>
    <w:uiPriority w:val="0"/>
    <w:pPr>
      <w:widowControl w:val="0"/>
      <w:tabs>
        <w:tab w:val="left" w:pos="854"/>
      </w:tabs>
      <w:ind w:left="840" w:leftChars="200" w:hanging="420" w:hangingChars="200"/>
      <w:jc w:val="both"/>
    </w:pPr>
    <w:rPr>
      <w:rFonts w:ascii="宋体" w:hAnsi="Times New Roman" w:eastAsia="宋体" w:cs="Times New Roman"/>
      <w:sz w:val="21"/>
      <w:lang w:val="en-US" w:eastAsia="zh-CN" w:bidi="ar-SA"/>
    </w:rPr>
  </w:style>
  <w:style w:type="paragraph" w:customStyle="1" w:styleId="1782">
    <w:name w:val="样式qqq"/>
    <w:basedOn w:val="1"/>
    <w:qFormat/>
    <w:uiPriority w:val="0"/>
    <w:pPr>
      <w:widowControl w:val="0"/>
      <w:spacing w:line="360" w:lineRule="auto"/>
      <w:jc w:val="both"/>
    </w:pPr>
    <w:rPr>
      <w:rFonts w:ascii="Times New Roman" w:hAnsi="Times New Roman" w:cs="Times New Roman"/>
      <w:kern w:val="2"/>
      <w:sz w:val="21"/>
      <w:szCs w:val="20"/>
    </w:rPr>
  </w:style>
  <w:style w:type="paragraph" w:customStyle="1" w:styleId="1783">
    <w:name w:val="横页眉"/>
    <w:basedOn w:val="1"/>
    <w:next w:val="57"/>
    <w:qFormat/>
    <w:uiPriority w:val="0"/>
    <w:pPr>
      <w:widowControl w:val="0"/>
      <w:pBdr>
        <w:bottom w:val="double" w:color="auto" w:sz="6" w:space="1"/>
      </w:pBdr>
      <w:tabs>
        <w:tab w:val="center" w:pos="6623"/>
        <w:tab w:val="right" w:pos="13245"/>
      </w:tabs>
      <w:adjustRightInd w:val="0"/>
      <w:spacing w:line="324" w:lineRule="auto"/>
      <w:ind w:firstLine="510"/>
      <w:jc w:val="both"/>
      <w:textAlignment w:val="baseline"/>
    </w:pPr>
    <w:rPr>
      <w:rFonts w:ascii="Times New Roman" w:hAnsi="Times New Roman" w:cs="Times New Roman"/>
      <w:szCs w:val="20"/>
    </w:rPr>
  </w:style>
  <w:style w:type="paragraph" w:customStyle="1" w:styleId="1784">
    <w:name w:val="注："/>
    <w:next w:val="1"/>
    <w:qFormat/>
    <w:uiPriority w:val="0"/>
    <w:pPr>
      <w:widowControl w:val="0"/>
      <w:tabs>
        <w:tab w:val="left" w:pos="360"/>
      </w:tabs>
      <w:autoSpaceDE w:val="0"/>
      <w:autoSpaceDN w:val="0"/>
      <w:jc w:val="both"/>
    </w:pPr>
    <w:rPr>
      <w:rFonts w:ascii="宋体" w:hAnsi="Times New Roman" w:eastAsia="宋体" w:cs="Times New Roman"/>
      <w:sz w:val="18"/>
      <w:lang w:val="en-US" w:eastAsia="zh-CN" w:bidi="ar-SA"/>
    </w:rPr>
  </w:style>
  <w:style w:type="paragraph" w:customStyle="1" w:styleId="1785">
    <w:name w:val="标准书眉_偶数页"/>
    <w:basedOn w:val="1"/>
    <w:next w:val="1"/>
    <w:qFormat/>
    <w:uiPriority w:val="0"/>
    <w:pPr>
      <w:tabs>
        <w:tab w:val="center" w:pos="4154"/>
        <w:tab w:val="right" w:pos="8306"/>
      </w:tabs>
      <w:spacing w:after="120"/>
    </w:pPr>
    <w:rPr>
      <w:rFonts w:ascii="Times New Roman" w:hAnsi="Times New Roman" w:cs="Times New Roman"/>
      <w:sz w:val="21"/>
      <w:szCs w:val="20"/>
    </w:rPr>
  </w:style>
  <w:style w:type="paragraph" w:customStyle="1" w:styleId="1786">
    <w:name w:val="样式 报告书正文 + 首行缩进:  2 字符"/>
    <w:basedOn w:val="1"/>
    <w:qFormat/>
    <w:uiPriority w:val="0"/>
    <w:pPr>
      <w:widowControl w:val="0"/>
      <w:spacing w:line="360" w:lineRule="auto"/>
      <w:ind w:firstLine="504" w:firstLineChars="200"/>
      <w:jc w:val="both"/>
    </w:pPr>
    <w:rPr>
      <w:rFonts w:cs="Times New Roman"/>
      <w:color w:val="000000"/>
      <w:spacing w:val="6"/>
      <w:kern w:val="2"/>
      <w:szCs w:val="20"/>
    </w:rPr>
  </w:style>
  <w:style w:type="paragraph" w:customStyle="1" w:styleId="1787">
    <w:name w:val="报告样式 Char Char"/>
    <w:basedOn w:val="1"/>
    <w:next w:val="175"/>
    <w:qFormat/>
    <w:uiPriority w:val="0"/>
    <w:pPr>
      <w:widowControl w:val="0"/>
      <w:jc w:val="both"/>
    </w:pPr>
    <w:rPr>
      <w:rFonts w:ascii="Times New Roman" w:hAnsi="Times New Roman" w:cs="Times New Roman"/>
      <w:kern w:val="2"/>
      <w:szCs w:val="20"/>
    </w:rPr>
  </w:style>
  <w:style w:type="paragraph" w:customStyle="1" w:styleId="1788">
    <w:name w:val="附录标识"/>
    <w:basedOn w:val="639"/>
    <w:qFormat/>
    <w:uiPriority w:val="0"/>
    <w:pPr>
      <w:tabs>
        <w:tab w:val="left" w:pos="6405"/>
      </w:tabs>
      <w:spacing w:after="200"/>
      <w:ind w:left="0" w:firstLine="0"/>
    </w:pPr>
    <w:rPr>
      <w:rFonts w:ascii="黑体" w:eastAsia="黑体"/>
      <w:sz w:val="21"/>
    </w:rPr>
  </w:style>
  <w:style w:type="paragraph" w:customStyle="1" w:styleId="1789">
    <w:name w:val="cs10 additive Default Pa"/>
    <w:qFormat/>
    <w:uiPriority w:val="0"/>
    <w:pPr>
      <w:widowControl w:val="0"/>
      <w:autoSpaceDE w:val="0"/>
      <w:autoSpaceDN w:val="0"/>
      <w:adjustRightInd w:val="0"/>
    </w:pPr>
    <w:rPr>
      <w:rFonts w:ascii="Times New Roman" w:hAnsi="Times New Roman" w:eastAsia="宋体" w:cs="Times New Roman"/>
      <w:lang w:val="en-US" w:eastAsia="zh-CN" w:bidi="ar-SA"/>
    </w:rPr>
  </w:style>
  <w:style w:type="paragraph" w:customStyle="1" w:styleId="1790">
    <w:name w:val="样式 列表 + 左侧:  0 厘米 悬挂缩进: 2 字符"/>
    <w:basedOn w:val="66"/>
    <w:qFormat/>
    <w:uiPriority w:val="0"/>
    <w:pPr>
      <w:ind w:left="420"/>
    </w:pPr>
    <w:rPr>
      <w:b/>
      <w:sz w:val="28"/>
      <w:szCs w:val="20"/>
      <w:lang w:val="zh-CN"/>
    </w:rPr>
  </w:style>
  <w:style w:type="paragraph" w:customStyle="1" w:styleId="1791">
    <w:name w:val="样式 表题注 + 五号 左 段前: 3.6 磅3"/>
    <w:basedOn w:val="1293"/>
    <w:qFormat/>
    <w:uiPriority w:val="0"/>
    <w:pPr>
      <w:keepNext/>
      <w:adjustRightInd/>
      <w:spacing w:before="72" w:beforeLines="0" w:line="240" w:lineRule="exact"/>
      <w:textAlignment w:val="auto"/>
    </w:pPr>
    <w:rPr>
      <w:rFonts w:ascii="Arial" w:hAnsi="Arial" w:eastAsia="黑体" w:cs="Times New Roman"/>
      <w:b w:val="0"/>
      <w:bCs w:val="0"/>
      <w:color w:val="auto"/>
      <w:spacing w:val="0"/>
      <w:kern w:val="2"/>
      <w:szCs w:val="20"/>
      <w:lang w:val="zh-CN"/>
    </w:rPr>
  </w:style>
  <w:style w:type="paragraph" w:customStyle="1" w:styleId="1792">
    <w:name w:val="正文图标题"/>
    <w:next w:val="660"/>
    <w:qFormat/>
    <w:uiPriority w:val="0"/>
    <w:pPr>
      <w:tabs>
        <w:tab w:val="left" w:pos="1922"/>
      </w:tabs>
      <w:ind w:left="907" w:hanging="425"/>
      <w:jc w:val="center"/>
    </w:pPr>
    <w:rPr>
      <w:rFonts w:ascii="黑体" w:hAnsi="Times New Roman" w:eastAsia="黑体" w:cs="Times New Roman"/>
      <w:sz w:val="21"/>
      <w:lang w:val="en-US" w:eastAsia="zh-CN" w:bidi="ar-SA"/>
    </w:rPr>
  </w:style>
  <w:style w:type="paragraph" w:customStyle="1" w:styleId="1793">
    <w:name w:val="样式 标题 4H4H41H42u4H43H411H421u41H44H412H422u42H45H4..."/>
    <w:basedOn w:val="6"/>
    <w:qFormat/>
    <w:uiPriority w:val="0"/>
    <w:pPr>
      <w:widowControl w:val="0"/>
      <w:tabs>
        <w:tab w:val="left" w:pos="954"/>
        <w:tab w:val="left" w:pos="1620"/>
        <w:tab w:val="left" w:pos="4614"/>
      </w:tabs>
      <w:snapToGrid w:val="0"/>
      <w:spacing w:before="156" w:beforeLines="50" w:line="400" w:lineRule="exact"/>
      <w:ind w:left="954" w:hanging="851"/>
      <w:jc w:val="both"/>
    </w:pPr>
    <w:rPr>
      <w:rFonts w:ascii="宋体" w:hAnsi="宋体" w:eastAsia="宋体" w:cs="Times New Roman"/>
      <w:bCs w:val="0"/>
      <w:color w:val="000000"/>
      <w:kern w:val="2"/>
      <w:sz w:val="24"/>
      <w:szCs w:val="20"/>
      <w:lang w:val="zh-CN"/>
    </w:rPr>
  </w:style>
  <w:style w:type="paragraph" w:customStyle="1" w:styleId="1794">
    <w:name w:val="正文表标题"/>
    <w:next w:val="660"/>
    <w:qFormat/>
    <w:uiPriority w:val="0"/>
    <w:pPr>
      <w:tabs>
        <w:tab w:val="left" w:pos="425"/>
      </w:tabs>
      <w:ind w:left="425" w:hanging="425"/>
      <w:jc w:val="center"/>
    </w:pPr>
    <w:rPr>
      <w:rFonts w:ascii="黑体" w:hAnsi="Times New Roman" w:eastAsia="黑体" w:cs="Times New Roman"/>
      <w:sz w:val="21"/>
      <w:lang w:val="en-US" w:eastAsia="zh-CN" w:bidi="ar-SA"/>
    </w:rPr>
  </w:style>
  <w:style w:type="paragraph" w:customStyle="1" w:styleId="1795">
    <w:name w:val="示例"/>
    <w:next w:val="660"/>
    <w:qFormat/>
    <w:uiPriority w:val="0"/>
    <w:pPr>
      <w:tabs>
        <w:tab w:val="left" w:pos="816"/>
      </w:tabs>
      <w:ind w:firstLine="419" w:firstLineChars="233"/>
      <w:jc w:val="both"/>
    </w:pPr>
    <w:rPr>
      <w:rFonts w:ascii="宋体" w:hAnsi="Times New Roman" w:eastAsia="宋体" w:cs="Times New Roman"/>
      <w:sz w:val="18"/>
      <w:lang w:val="en-US" w:eastAsia="zh-CN" w:bidi="ar-SA"/>
    </w:rPr>
  </w:style>
  <w:style w:type="paragraph" w:customStyle="1" w:styleId="1796">
    <w:name w:val="目录"/>
    <w:basedOn w:val="1"/>
    <w:qFormat/>
    <w:uiPriority w:val="0"/>
    <w:pPr>
      <w:widowControl w:val="0"/>
      <w:spacing w:line="324" w:lineRule="auto"/>
      <w:ind w:firstLine="600" w:firstLineChars="200"/>
      <w:jc w:val="center"/>
    </w:pPr>
    <w:rPr>
      <w:rFonts w:ascii="Times New Roman" w:hAnsi="Times New Roman" w:cs="Times New Roman"/>
      <w:kern w:val="2"/>
      <w:sz w:val="32"/>
      <w:szCs w:val="20"/>
    </w:rPr>
  </w:style>
  <w:style w:type="paragraph" w:customStyle="1" w:styleId="1797">
    <w:name w:val="Char16"/>
    <w:basedOn w:val="1"/>
    <w:qFormat/>
    <w:uiPriority w:val="0"/>
    <w:pPr>
      <w:widowControl w:val="0"/>
      <w:snapToGrid w:val="0"/>
      <w:spacing w:line="360" w:lineRule="auto"/>
      <w:ind w:firstLine="529" w:firstLineChars="200"/>
      <w:jc w:val="both"/>
    </w:pPr>
    <w:rPr>
      <w:rFonts w:cs="Times New Roman"/>
      <w:b/>
      <w:kern w:val="2"/>
      <w:sz w:val="21"/>
    </w:rPr>
  </w:style>
  <w:style w:type="paragraph" w:customStyle="1" w:styleId="1798">
    <w:name w:val="Char Char Char2 Char"/>
    <w:basedOn w:val="1"/>
    <w:qFormat/>
    <w:uiPriority w:val="0"/>
    <w:pPr>
      <w:widowControl w:val="0"/>
      <w:jc w:val="both"/>
    </w:pPr>
    <w:rPr>
      <w:rFonts w:ascii="Times New Roman" w:hAnsi="Times New Roman" w:cs="Times New Roman"/>
      <w:kern w:val="2"/>
      <w:sz w:val="21"/>
    </w:rPr>
  </w:style>
  <w:style w:type="paragraph" w:customStyle="1" w:styleId="1799">
    <w:name w:val="环调标题"/>
    <w:basedOn w:val="3"/>
    <w:link w:val="1800"/>
    <w:qFormat/>
    <w:uiPriority w:val="0"/>
    <w:pPr>
      <w:keepNext w:val="0"/>
      <w:keepLines/>
      <w:tabs>
        <w:tab w:val="left" w:pos="4614"/>
      </w:tabs>
      <w:overflowPunct/>
      <w:spacing w:before="0" w:beforeLines="100" w:after="0" w:afterLines="100" w:line="360" w:lineRule="auto"/>
      <w:ind w:left="0" w:firstLine="200" w:firstLineChars="200"/>
      <w:jc w:val="center"/>
    </w:pPr>
    <w:rPr>
      <w:rFonts w:ascii="Times New Roman" w:eastAsia="宋体" w:cs="Times New Roman"/>
      <w:color w:val="auto"/>
      <w:sz w:val="36"/>
      <w:szCs w:val="36"/>
      <w:lang w:val="zh-CN"/>
    </w:rPr>
  </w:style>
  <w:style w:type="character" w:customStyle="1" w:styleId="1800">
    <w:name w:val="环调标题 Char1"/>
    <w:link w:val="1799"/>
    <w:qFormat/>
    <w:uiPriority w:val="0"/>
    <w:rPr>
      <w:rFonts w:hAnsi="宋体"/>
      <w:b/>
      <w:bCs/>
      <w:kern w:val="44"/>
      <w:sz w:val="36"/>
      <w:szCs w:val="36"/>
      <w:lang w:val="zh-CN"/>
    </w:rPr>
  </w:style>
  <w:style w:type="paragraph" w:customStyle="1" w:styleId="1801">
    <w:name w:val="环调标题1"/>
    <w:basedOn w:val="3"/>
    <w:link w:val="1802"/>
    <w:qFormat/>
    <w:uiPriority w:val="0"/>
    <w:pPr>
      <w:keepNext w:val="0"/>
      <w:keepLines/>
      <w:tabs>
        <w:tab w:val="left" w:pos="4614"/>
      </w:tabs>
      <w:overflowPunct/>
      <w:spacing w:before="0" w:beforeLines="100" w:after="0" w:afterLines="100" w:line="360" w:lineRule="auto"/>
      <w:ind w:left="0" w:firstLine="200" w:firstLineChars="200"/>
      <w:jc w:val="both"/>
    </w:pPr>
    <w:rPr>
      <w:rFonts w:ascii="Times New Roman" w:eastAsia="宋体" w:cs="Times New Roman"/>
      <w:color w:val="auto"/>
      <w:sz w:val="32"/>
      <w:szCs w:val="32"/>
      <w:lang w:val="zh-CN"/>
    </w:rPr>
  </w:style>
  <w:style w:type="character" w:customStyle="1" w:styleId="1802">
    <w:name w:val="环调标题1 Char"/>
    <w:link w:val="1801"/>
    <w:qFormat/>
    <w:uiPriority w:val="0"/>
    <w:rPr>
      <w:rFonts w:hAnsi="宋体"/>
      <w:b/>
      <w:bCs/>
      <w:kern w:val="44"/>
      <w:sz w:val="32"/>
      <w:szCs w:val="32"/>
      <w:lang w:val="zh-CN"/>
    </w:rPr>
  </w:style>
  <w:style w:type="paragraph" w:customStyle="1" w:styleId="1803">
    <w:name w:val="环调标题2"/>
    <w:basedOn w:val="4"/>
    <w:link w:val="1804"/>
    <w:qFormat/>
    <w:uiPriority w:val="0"/>
    <w:pPr>
      <w:widowControl w:val="0"/>
      <w:numPr>
        <w:ilvl w:val="0"/>
        <w:numId w:val="0"/>
      </w:numPr>
      <w:tabs>
        <w:tab w:val="left" w:pos="360"/>
        <w:tab w:val="left" w:pos="720"/>
        <w:tab w:val="left" w:pos="4614"/>
        <w:tab w:val="left" w:pos="8092"/>
      </w:tabs>
      <w:snapToGrid w:val="0"/>
      <w:spacing w:before="50" w:beforeLines="100" w:after="50" w:afterLines="50" w:line="360" w:lineRule="auto"/>
      <w:ind w:left="100" w:leftChars="100" w:right="100" w:rightChars="100"/>
    </w:pPr>
    <w:rPr>
      <w:rFonts w:ascii="Times New Roman" w:hAnsi="Times New Roman" w:eastAsia="宋体" w:cs="Times New Roman"/>
      <w:bCs/>
      <w:color w:val="FF0000"/>
      <w:kern w:val="2"/>
      <w:szCs w:val="32"/>
      <w:lang w:val="zh-CN"/>
    </w:rPr>
  </w:style>
  <w:style w:type="character" w:customStyle="1" w:styleId="1804">
    <w:name w:val="环调标题2 Char1"/>
    <w:link w:val="1803"/>
    <w:qFormat/>
    <w:uiPriority w:val="0"/>
    <w:rPr>
      <w:b/>
      <w:bCs/>
      <w:color w:val="FF0000"/>
      <w:kern w:val="2"/>
      <w:sz w:val="32"/>
      <w:szCs w:val="32"/>
      <w:lang w:val="zh-CN"/>
    </w:rPr>
  </w:style>
  <w:style w:type="paragraph" w:customStyle="1" w:styleId="1805">
    <w:name w:val="环调标题3"/>
    <w:basedOn w:val="5"/>
    <w:link w:val="1806"/>
    <w:qFormat/>
    <w:uiPriority w:val="0"/>
    <w:pPr>
      <w:widowControl w:val="0"/>
      <w:tabs>
        <w:tab w:val="left" w:pos="0"/>
        <w:tab w:val="left" w:pos="360"/>
        <w:tab w:val="left" w:pos="720"/>
      </w:tabs>
      <w:snapToGrid w:val="0"/>
      <w:spacing w:before="50" w:beforeLines="100" w:after="50" w:afterLines="50" w:line="360" w:lineRule="auto"/>
      <w:ind w:firstLine="980" w:firstLineChars="200"/>
      <w:jc w:val="both"/>
    </w:pPr>
    <w:rPr>
      <w:rFonts w:ascii="Times New Roman" w:hAnsi="Times New Roman" w:cs="Times New Roman"/>
      <w:bCs w:val="0"/>
      <w:kern w:val="2"/>
      <w:lang w:val="zh-CN"/>
    </w:rPr>
  </w:style>
  <w:style w:type="character" w:customStyle="1" w:styleId="1806">
    <w:name w:val="环调标题3 Char1"/>
    <w:link w:val="1805"/>
    <w:qFormat/>
    <w:uiPriority w:val="0"/>
    <w:rPr>
      <w:b/>
      <w:kern w:val="2"/>
      <w:sz w:val="32"/>
      <w:szCs w:val="32"/>
      <w:lang w:val="zh-CN"/>
    </w:rPr>
  </w:style>
  <w:style w:type="character" w:customStyle="1" w:styleId="1807">
    <w:name w:val="标题 Char1"/>
    <w:qFormat/>
    <w:uiPriority w:val="0"/>
    <w:rPr>
      <w:rFonts w:ascii="Arial" w:hAnsi="Arial" w:eastAsia="宋体" w:cs="Times New Roman"/>
      <w:b/>
      <w:sz w:val="32"/>
      <w:szCs w:val="20"/>
      <w:lang w:val="zh-CN" w:eastAsia="zh-CN"/>
    </w:rPr>
  </w:style>
  <w:style w:type="character" w:customStyle="1" w:styleId="1808">
    <w:name w:val="副标题 Char1"/>
    <w:qFormat/>
    <w:uiPriority w:val="0"/>
    <w:rPr>
      <w:rFonts w:ascii="Arial" w:hAnsi="Arial" w:eastAsia="宋体" w:cs="Times New Roman"/>
      <w:b/>
      <w:bCs/>
      <w:kern w:val="28"/>
      <w:sz w:val="32"/>
      <w:szCs w:val="32"/>
      <w:lang w:val="zh-CN" w:eastAsia="zh-CN"/>
    </w:rPr>
  </w:style>
  <w:style w:type="paragraph" w:customStyle="1" w:styleId="1809">
    <w:name w:val="中等深浅底纹 1 - 强调文字颜色 11"/>
    <w:link w:val="1810"/>
    <w:qFormat/>
    <w:uiPriority w:val="1"/>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character" w:customStyle="1" w:styleId="1810">
    <w:name w:val="中等深浅底纹 1 - 强调文字颜色 1 Char"/>
    <w:link w:val="1809"/>
    <w:qFormat/>
    <w:uiPriority w:val="1"/>
    <w:rPr>
      <w:kern w:val="2"/>
      <w:sz w:val="21"/>
      <w:szCs w:val="24"/>
    </w:rPr>
  </w:style>
  <w:style w:type="character" w:customStyle="1" w:styleId="1811">
    <w:name w:val="中等深浅底纹 1 - 强调文字颜色 3 Char"/>
    <w:qFormat/>
    <w:uiPriority w:val="0"/>
    <w:rPr>
      <w:i/>
      <w:iCs/>
      <w:color w:val="000000"/>
      <w:kern w:val="2"/>
      <w:sz w:val="21"/>
      <w:szCs w:val="24"/>
    </w:rPr>
  </w:style>
  <w:style w:type="character" w:customStyle="1" w:styleId="1812">
    <w:name w:val="中等深浅底纹 2 - 强调文字颜色 3 Char"/>
    <w:qFormat/>
    <w:uiPriority w:val="0"/>
    <w:rPr>
      <w:b/>
      <w:bCs/>
      <w:i/>
      <w:iCs/>
      <w:color w:val="4F81BD"/>
      <w:kern w:val="2"/>
      <w:sz w:val="21"/>
      <w:szCs w:val="24"/>
    </w:rPr>
  </w:style>
  <w:style w:type="character" w:customStyle="1" w:styleId="1813">
    <w:name w:val="不明显强调1"/>
    <w:qFormat/>
    <w:uiPriority w:val="0"/>
    <w:rPr>
      <w:i/>
      <w:iCs/>
      <w:color w:val="808080"/>
    </w:rPr>
  </w:style>
  <w:style w:type="character" w:customStyle="1" w:styleId="1814">
    <w:name w:val="明显强调1"/>
    <w:qFormat/>
    <w:uiPriority w:val="0"/>
    <w:rPr>
      <w:b/>
      <w:bCs/>
      <w:i/>
      <w:iCs/>
      <w:color w:val="4F81BD"/>
    </w:rPr>
  </w:style>
  <w:style w:type="character" w:customStyle="1" w:styleId="1815">
    <w:name w:val="不明显参考1"/>
    <w:qFormat/>
    <w:uiPriority w:val="0"/>
    <w:rPr>
      <w:smallCaps/>
      <w:color w:val="C0504D"/>
      <w:u w:val="single"/>
    </w:rPr>
  </w:style>
  <w:style w:type="character" w:customStyle="1" w:styleId="1816">
    <w:name w:val="明显参考1"/>
    <w:qFormat/>
    <w:uiPriority w:val="0"/>
    <w:rPr>
      <w:b/>
      <w:bCs/>
      <w:smallCaps/>
      <w:color w:val="C0504D"/>
      <w:spacing w:val="5"/>
      <w:u w:val="single"/>
    </w:rPr>
  </w:style>
  <w:style w:type="paragraph" w:customStyle="1" w:styleId="1817">
    <w:name w:val="样式 标题 3 + 段前: 0.5 行 段后: 0.5 行"/>
    <w:basedOn w:val="5"/>
    <w:qFormat/>
    <w:uiPriority w:val="0"/>
    <w:pPr>
      <w:widowControl w:val="0"/>
      <w:tabs>
        <w:tab w:val="left" w:pos="0"/>
        <w:tab w:val="left" w:pos="360"/>
        <w:tab w:val="left" w:pos="720"/>
      </w:tabs>
      <w:snapToGrid w:val="0"/>
      <w:spacing w:before="156" w:beforeLines="100" w:after="156" w:afterLines="50" w:line="360" w:lineRule="auto"/>
      <w:ind w:firstLine="980" w:firstLineChars="200"/>
      <w:jc w:val="both"/>
    </w:pPr>
    <w:rPr>
      <w:rFonts w:ascii="Times New Roman" w:hAnsi="Times New Roman"/>
      <w:bCs w:val="0"/>
      <w:kern w:val="2"/>
      <w:szCs w:val="20"/>
    </w:rPr>
  </w:style>
  <w:style w:type="character" w:customStyle="1" w:styleId="1818">
    <w:name w:val="章题名 Char Char"/>
    <w:qFormat/>
    <w:uiPriority w:val="0"/>
    <w:rPr>
      <w:rFonts w:eastAsia="宋体"/>
      <w:b/>
      <w:bCs/>
      <w:kern w:val="44"/>
      <w:sz w:val="44"/>
      <w:szCs w:val="44"/>
      <w:lang w:val="en-US" w:eastAsia="zh-CN" w:bidi="ar-SA"/>
    </w:rPr>
  </w:style>
  <w:style w:type="character" w:customStyle="1" w:styleId="1819">
    <w:name w:val="表标题 Char1"/>
    <w:qFormat/>
    <w:uiPriority w:val="0"/>
    <w:rPr>
      <w:rFonts w:eastAsia="宋体"/>
      <w:b/>
      <w:bCs/>
      <w:kern w:val="2"/>
      <w:sz w:val="24"/>
      <w:szCs w:val="24"/>
      <w:lang w:val="en-US" w:eastAsia="zh-CN" w:bidi="ar-SA"/>
    </w:rPr>
  </w:style>
  <w:style w:type="character" w:customStyle="1" w:styleId="1820">
    <w:name w:val="Char Char17"/>
    <w:qFormat/>
    <w:uiPriority w:val="0"/>
    <w:rPr>
      <w:rFonts w:cs="Times New Roman"/>
      <w:b/>
      <w:bCs/>
      <w:kern w:val="44"/>
      <w:sz w:val="32"/>
      <w:szCs w:val="44"/>
    </w:rPr>
  </w:style>
  <w:style w:type="character" w:customStyle="1" w:styleId="1821">
    <w:name w:val="表头文字 Char"/>
    <w:qFormat/>
    <w:uiPriority w:val="0"/>
    <w:rPr>
      <w:rFonts w:cs="Times New Roman"/>
      <w:b/>
      <w:bCs/>
      <w:kern w:val="2"/>
      <w:sz w:val="28"/>
      <w:szCs w:val="28"/>
    </w:rPr>
  </w:style>
  <w:style w:type="character" w:customStyle="1" w:styleId="1822">
    <w:name w:val="Char Char18"/>
    <w:qFormat/>
    <w:uiPriority w:val="0"/>
    <w:rPr>
      <w:rFonts w:ascii="Cambria" w:hAnsi="Cambria" w:cs="Times New Roman"/>
      <w:kern w:val="2"/>
      <w:sz w:val="24"/>
      <w:szCs w:val="24"/>
    </w:rPr>
  </w:style>
  <w:style w:type="character" w:customStyle="1" w:styleId="1823">
    <w:name w:val="H4 Char Char"/>
    <w:qFormat/>
    <w:uiPriority w:val="0"/>
    <w:rPr>
      <w:rFonts w:ascii="Arial" w:hAnsi="Arial" w:eastAsia="黑体"/>
      <w:b/>
      <w:bCs/>
      <w:kern w:val="2"/>
      <w:sz w:val="28"/>
      <w:szCs w:val="28"/>
    </w:rPr>
  </w:style>
  <w:style w:type="paragraph" w:customStyle="1" w:styleId="1824">
    <w:name w:val="Char Char Char Char Char Char Char Char Char Char8"/>
    <w:basedOn w:val="1"/>
    <w:qFormat/>
    <w:uiPriority w:val="0"/>
    <w:pPr>
      <w:widowControl w:val="0"/>
      <w:adjustRightInd w:val="0"/>
      <w:spacing w:line="360" w:lineRule="auto"/>
      <w:ind w:firstLine="540" w:firstLineChars="225"/>
    </w:pPr>
    <w:rPr>
      <w:kern w:val="2"/>
    </w:rPr>
  </w:style>
  <w:style w:type="paragraph" w:customStyle="1" w:styleId="1825">
    <w:name w:val="样式 正文首行缩进 2 + 首行缩进:  2 字符"/>
    <w:basedOn w:val="87"/>
    <w:qFormat/>
    <w:uiPriority w:val="0"/>
    <w:pPr>
      <w:widowControl w:val="0"/>
      <w:spacing w:line="360" w:lineRule="auto"/>
      <w:ind w:left="0" w:leftChars="0" w:firstLine="480"/>
      <w:jc w:val="both"/>
    </w:pPr>
    <w:rPr>
      <w:rFonts w:hAnsi="Times New Roman"/>
      <w:kern w:val="2"/>
      <w:szCs w:val="20"/>
    </w:rPr>
  </w:style>
  <w:style w:type="character" w:customStyle="1" w:styleId="1826">
    <w:name w:val="rcjs_jswm_font1"/>
    <w:qFormat/>
    <w:uiPriority w:val="0"/>
    <w:rPr>
      <w:sz w:val="20"/>
      <w:szCs w:val="20"/>
    </w:rPr>
  </w:style>
  <w:style w:type="paragraph" w:customStyle="1" w:styleId="1827">
    <w:name w:val="样式 正文文本 + 四号 段后: 0 磅 行距: 固定值 24 磅"/>
    <w:basedOn w:val="34"/>
    <w:qFormat/>
    <w:uiPriority w:val="0"/>
    <w:pPr>
      <w:widowControl w:val="0"/>
      <w:snapToGrid/>
      <w:spacing w:before="0" w:after="0" w:line="480" w:lineRule="exact"/>
      <w:ind w:right="0" w:firstLine="630" w:firstLineChars="225"/>
      <w:jc w:val="both"/>
    </w:pPr>
    <w:rPr>
      <w:rFonts w:ascii="Times New Roman" w:hAnsi="Times New Roman" w:cs="Times New Roman"/>
      <w:kern w:val="2"/>
      <w:sz w:val="28"/>
      <w:lang w:val="zh-CN"/>
    </w:rPr>
  </w:style>
  <w:style w:type="paragraph" w:customStyle="1" w:styleId="1828">
    <w:name w:val="样式 四号 首行缩进:  1.92 字符"/>
    <w:basedOn w:val="1"/>
    <w:qFormat/>
    <w:uiPriority w:val="0"/>
    <w:pPr>
      <w:widowControl w:val="0"/>
      <w:ind w:firstLine="200" w:firstLineChars="200"/>
      <w:jc w:val="both"/>
    </w:pPr>
    <w:rPr>
      <w:rFonts w:ascii="Times New Roman" w:hAnsi="Times New Roman" w:cs="黑体"/>
      <w:kern w:val="2"/>
      <w:sz w:val="28"/>
      <w:szCs w:val="20"/>
    </w:rPr>
  </w:style>
  <w:style w:type="character" w:customStyle="1" w:styleId="1829">
    <w:name w:val="zt1"/>
    <w:qFormat/>
    <w:uiPriority w:val="0"/>
    <w:rPr>
      <w:sz w:val="18"/>
      <w:szCs w:val="18"/>
    </w:rPr>
  </w:style>
  <w:style w:type="paragraph" w:customStyle="1" w:styleId="1830">
    <w:name w:val="样式 文字 + 段前: 7.8 磅"/>
    <w:basedOn w:val="1"/>
    <w:qFormat/>
    <w:uiPriority w:val="0"/>
    <w:pPr>
      <w:widowControl w:val="0"/>
      <w:adjustRightInd w:val="0"/>
      <w:snapToGrid w:val="0"/>
      <w:spacing w:line="360" w:lineRule="auto"/>
      <w:ind w:firstLine="480" w:firstLineChars="200"/>
      <w:jc w:val="both"/>
    </w:pPr>
    <w:rPr>
      <w:rFonts w:ascii="Times New Roman" w:hAnsi="Times New Roman" w:cs="Times New Roman"/>
      <w:kern w:val="2"/>
      <w:szCs w:val="20"/>
    </w:rPr>
  </w:style>
  <w:style w:type="paragraph" w:customStyle="1" w:styleId="1831">
    <w:name w:val="表格小4号字"/>
    <w:basedOn w:val="1"/>
    <w:next w:val="46"/>
    <w:qFormat/>
    <w:uiPriority w:val="0"/>
    <w:pPr>
      <w:widowControl w:val="0"/>
      <w:jc w:val="both"/>
    </w:pPr>
    <w:rPr>
      <w:rFonts w:hAnsi="Courier New" w:cs="Courier New"/>
      <w:kern w:val="2"/>
      <w:sz w:val="21"/>
      <w:szCs w:val="21"/>
    </w:rPr>
  </w:style>
  <w:style w:type="paragraph" w:customStyle="1" w:styleId="1832">
    <w:name w:val="样式 正文（首行缩进两字） + 首行缩进:  2 字符"/>
    <w:basedOn w:val="21"/>
    <w:qFormat/>
    <w:uiPriority w:val="0"/>
    <w:pPr>
      <w:widowControl w:val="0"/>
      <w:adjustRightInd w:val="0"/>
      <w:spacing w:line="360" w:lineRule="auto"/>
      <w:ind w:left="0" w:firstLine="480" w:firstLineChars="200"/>
      <w:jc w:val="both"/>
      <w:textAlignment w:val="baseline"/>
    </w:pPr>
    <w:rPr>
      <w:rFonts w:ascii="Times New Roman" w:hAnsi="Times New Roman"/>
      <w:kern w:val="2"/>
      <w:sz w:val="24"/>
    </w:rPr>
  </w:style>
  <w:style w:type="paragraph" w:customStyle="1" w:styleId="1833">
    <w:name w:val="文字"/>
    <w:basedOn w:val="1"/>
    <w:qFormat/>
    <w:uiPriority w:val="0"/>
    <w:pPr>
      <w:widowControl w:val="0"/>
      <w:adjustRightInd w:val="0"/>
      <w:snapToGrid w:val="0"/>
      <w:spacing w:line="360" w:lineRule="auto"/>
      <w:ind w:firstLine="480" w:firstLineChars="200"/>
      <w:jc w:val="both"/>
    </w:pPr>
    <w:rPr>
      <w:rFonts w:ascii="Times New Roman" w:hAnsi="Times New Roman" w:cs="Times New Roman"/>
      <w:kern w:val="2"/>
    </w:rPr>
  </w:style>
  <w:style w:type="paragraph" w:customStyle="1" w:styleId="1834">
    <w:name w:val="样式 标题 3条标题1.1.13h33rd levelH3l3CTReHead 3 WSA + 小三 首行缩..."/>
    <w:basedOn w:val="5"/>
    <w:qFormat/>
    <w:uiPriority w:val="0"/>
    <w:pPr>
      <w:widowControl w:val="0"/>
      <w:tabs>
        <w:tab w:val="left" w:pos="0"/>
        <w:tab w:val="left" w:pos="360"/>
        <w:tab w:val="left" w:pos="720"/>
      </w:tabs>
      <w:snapToGrid w:val="0"/>
      <w:spacing w:beforeLines="100" w:after="62" w:afterLines="50" w:line="360" w:lineRule="auto"/>
      <w:ind w:firstLine="980" w:firstLineChars="200"/>
      <w:jc w:val="both"/>
    </w:pPr>
    <w:rPr>
      <w:rFonts w:ascii="Times New Roman" w:hAnsi="Times New Roman" w:cs="Times New Roman"/>
      <w:snapToGrid w:val="0"/>
      <w:kern w:val="2"/>
      <w:szCs w:val="30"/>
    </w:rPr>
  </w:style>
  <w:style w:type="paragraph" w:customStyle="1" w:styleId="1835">
    <w:name w:val="Title.2"/>
    <w:qFormat/>
    <w:uiPriority w:val="0"/>
    <w:pPr>
      <w:keepNext/>
      <w:keepLines/>
      <w:spacing w:beforeLines="50" w:afterLines="50"/>
      <w:outlineLvl w:val="1"/>
    </w:pPr>
    <w:rPr>
      <w:rFonts w:ascii="Times New Roman" w:hAnsi="Times New Roman" w:eastAsia="黑体" w:cs="Times New Roman"/>
      <w:sz w:val="28"/>
      <w:lang w:val="en-US" w:eastAsia="zh-CN" w:bidi="ar-SA"/>
    </w:rPr>
  </w:style>
  <w:style w:type="paragraph" w:customStyle="1" w:styleId="1836">
    <w:name w:val="样式 标题 4H4 + (中文) 楷体_GB2312"/>
    <w:basedOn w:val="6"/>
    <w:qFormat/>
    <w:uiPriority w:val="0"/>
    <w:pPr>
      <w:keepNext w:val="0"/>
      <w:keepLines w:val="0"/>
      <w:widowControl w:val="0"/>
      <w:tabs>
        <w:tab w:val="left" w:pos="945"/>
        <w:tab w:val="left" w:pos="1620"/>
        <w:tab w:val="left" w:pos="4614"/>
      </w:tabs>
      <w:autoSpaceDE w:val="0"/>
      <w:autoSpaceDN w:val="0"/>
      <w:adjustRightInd w:val="0"/>
      <w:snapToGrid w:val="0"/>
      <w:spacing w:before="120" w:beforeLines="50" w:after="120" w:line="360" w:lineRule="auto"/>
      <w:jc w:val="both"/>
    </w:pPr>
    <w:rPr>
      <w:rFonts w:ascii="Times New Roman" w:hAnsi="Times New Roman" w:eastAsia="黑体" w:cs="Times New Roman"/>
      <w:b w:val="0"/>
      <w:kern w:val="2"/>
      <w:lang w:val="zh-CN"/>
    </w:rPr>
  </w:style>
  <w:style w:type="paragraph" w:customStyle="1" w:styleId="1837">
    <w:name w:val="正文-G Char Char"/>
    <w:basedOn w:val="1"/>
    <w:qFormat/>
    <w:uiPriority w:val="0"/>
    <w:pPr>
      <w:widowControl w:val="0"/>
      <w:spacing w:line="400" w:lineRule="exact"/>
      <w:ind w:firstLine="480" w:firstLineChars="200"/>
      <w:jc w:val="both"/>
    </w:pPr>
    <w:rPr>
      <w:rFonts w:ascii="Times New Roman" w:hAnsi="Times New Roman" w:eastAsia="仿宋_GB2312" w:cs="Times New Roman"/>
      <w:szCs w:val="20"/>
    </w:rPr>
  </w:style>
  <w:style w:type="paragraph" w:customStyle="1" w:styleId="1838">
    <w:name w:val="样式 标题 1Head 1wsah1一、标题 1 Char Char标题0标题 1（报告）(小2黑)标题 1 Ch..."/>
    <w:basedOn w:val="3"/>
    <w:qFormat/>
    <w:uiPriority w:val="0"/>
    <w:pPr>
      <w:keepNext w:val="0"/>
      <w:keepLines/>
      <w:pageBreakBefore/>
      <w:tabs>
        <w:tab w:val="left" w:pos="4614"/>
      </w:tabs>
      <w:overflowPunct/>
      <w:spacing w:before="240" w:after="240" w:line="360" w:lineRule="auto"/>
      <w:ind w:left="0" w:firstLine="0"/>
      <w:jc w:val="center"/>
    </w:pPr>
    <w:rPr>
      <w:rFonts w:ascii="Times New Roman" w:hAnsi="Times New Roman" w:eastAsia="宋体"/>
      <w:color w:val="auto"/>
      <w:sz w:val="44"/>
      <w:szCs w:val="20"/>
    </w:rPr>
  </w:style>
  <w:style w:type="paragraph" w:customStyle="1" w:styleId="1839">
    <w:name w:val="样式 标题 2标题 2 Char标题 2 Char Char节标题 1.11.1标题2b2SeHead wsa2..."/>
    <w:basedOn w:val="4"/>
    <w:qFormat/>
    <w:uiPriority w:val="0"/>
    <w:pPr>
      <w:widowControl w:val="0"/>
      <w:numPr>
        <w:ilvl w:val="0"/>
        <w:numId w:val="0"/>
      </w:numPr>
      <w:tabs>
        <w:tab w:val="left" w:pos="360"/>
        <w:tab w:val="left" w:pos="576"/>
        <w:tab w:val="left" w:pos="720"/>
        <w:tab w:val="left" w:pos="8092"/>
      </w:tabs>
      <w:snapToGrid w:val="0"/>
      <w:spacing w:before="240" w:after="120" w:line="360" w:lineRule="auto"/>
      <w:ind w:left="576" w:hanging="576" w:firstLineChars="200"/>
      <w:jc w:val="both"/>
    </w:pPr>
    <w:rPr>
      <w:rFonts w:cs="Times New Roman"/>
      <w:bCs/>
      <w:color w:val="FF0000"/>
      <w:kern w:val="2"/>
      <w:szCs w:val="32"/>
      <w:lang w:val="zh-CN"/>
    </w:rPr>
  </w:style>
  <w:style w:type="character" w:customStyle="1" w:styleId="1840">
    <w:name w:val="样式 标题 2标题 2 Char标题 2 Char Char节标题 1.11.1标题2b2SeHead wsa2... Char"/>
    <w:qFormat/>
    <w:uiPriority w:val="0"/>
    <w:rPr>
      <w:rFonts w:ascii="Arial" w:hAnsi="Arial" w:eastAsia="黑体"/>
      <w:b/>
      <w:bCs/>
      <w:color w:val="000000"/>
      <w:kern w:val="2"/>
      <w:sz w:val="32"/>
      <w:szCs w:val="32"/>
      <w:lang w:val="en-US" w:eastAsia="zh-CN" w:bidi="ar-SA"/>
    </w:rPr>
  </w:style>
  <w:style w:type="paragraph" w:customStyle="1" w:styleId="1841">
    <w:name w:val="样式 标题 3条标题1.1.13h33rd levelH3l3CTReHead 3 WSA标题 3 Char..."/>
    <w:basedOn w:val="5"/>
    <w:qFormat/>
    <w:uiPriority w:val="0"/>
    <w:pPr>
      <w:widowControl w:val="0"/>
      <w:tabs>
        <w:tab w:val="left" w:pos="0"/>
        <w:tab w:val="left" w:pos="360"/>
        <w:tab w:val="left" w:pos="720"/>
      </w:tabs>
      <w:snapToGrid w:val="0"/>
      <w:spacing w:before="240" w:beforeLines="100" w:after="120" w:afterLines="50" w:line="360" w:lineRule="auto"/>
      <w:ind w:left="1797" w:hanging="720" w:firstLineChars="200"/>
      <w:jc w:val="both"/>
    </w:pPr>
    <w:rPr>
      <w:rFonts w:ascii="Times New Roman" w:hAnsi="Times New Roman" w:cs="Times New Roman"/>
      <w:bCs w:val="0"/>
      <w:kern w:val="2"/>
      <w:sz w:val="30"/>
    </w:rPr>
  </w:style>
  <w:style w:type="paragraph" w:customStyle="1" w:styleId="1842">
    <w:name w:val="样式 标题 2 + 小三 加粗"/>
    <w:basedOn w:val="4"/>
    <w:qFormat/>
    <w:uiPriority w:val="0"/>
    <w:pPr>
      <w:widowControl w:val="0"/>
      <w:numPr>
        <w:ilvl w:val="0"/>
        <w:numId w:val="0"/>
      </w:numPr>
      <w:tabs>
        <w:tab w:val="left" w:pos="360"/>
        <w:tab w:val="left" w:pos="720"/>
        <w:tab w:val="left" w:pos="4614"/>
        <w:tab w:val="left" w:pos="8092"/>
      </w:tabs>
      <w:snapToGrid w:val="0"/>
      <w:spacing w:before="240" w:beforeLines="100" w:afterLines="50" w:line="360" w:lineRule="auto"/>
    </w:pPr>
    <w:rPr>
      <w:rFonts w:cs="Times New Roman"/>
      <w:bCs/>
      <w:color w:val="FF0000"/>
      <w:kern w:val="2"/>
      <w:szCs w:val="32"/>
      <w:lang w:val="zh-CN"/>
    </w:rPr>
  </w:style>
  <w:style w:type="paragraph" w:customStyle="1" w:styleId="1843">
    <w:name w:val="+标题2"/>
    <w:basedOn w:val="4"/>
    <w:qFormat/>
    <w:uiPriority w:val="0"/>
    <w:pPr>
      <w:widowControl w:val="0"/>
      <w:numPr>
        <w:ilvl w:val="0"/>
        <w:numId w:val="0"/>
      </w:numPr>
      <w:tabs>
        <w:tab w:val="left" w:pos="360"/>
        <w:tab w:val="left" w:pos="720"/>
        <w:tab w:val="left" w:pos="992"/>
        <w:tab w:val="left" w:pos="4614"/>
        <w:tab w:val="left" w:pos="8092"/>
      </w:tabs>
      <w:snapToGrid w:val="0"/>
      <w:spacing w:before="0" w:after="0" w:line="360" w:lineRule="auto"/>
      <w:ind w:left="992" w:hanging="567"/>
      <w:jc w:val="both"/>
    </w:pPr>
    <w:rPr>
      <w:rFonts w:ascii="宋体" w:hAnsi="宋体" w:eastAsia="宋体" w:cs="Times New Roman"/>
      <w:bCs/>
      <w:color w:val="FF0000"/>
      <w:kern w:val="2"/>
      <w:sz w:val="28"/>
      <w:szCs w:val="28"/>
      <w:lang w:val="zh-CN"/>
    </w:rPr>
  </w:style>
  <w:style w:type="paragraph" w:customStyle="1" w:styleId="1844">
    <w:name w:val="样式 正文缩进 +"/>
    <w:basedOn w:val="21"/>
    <w:qFormat/>
    <w:uiPriority w:val="0"/>
    <w:pPr>
      <w:widowControl w:val="0"/>
      <w:adjustRightInd w:val="0"/>
      <w:spacing w:after="120" w:line="360" w:lineRule="auto"/>
      <w:ind w:left="0" w:firstLine="567"/>
      <w:jc w:val="both"/>
      <w:textAlignment w:val="baseline"/>
    </w:pPr>
    <w:rPr>
      <w:rFonts w:ascii="Times New Roman" w:hAnsi="Times New Roman" w:cs="Times New Roman"/>
      <w:kern w:val="2"/>
      <w:sz w:val="24"/>
      <w:szCs w:val="24"/>
    </w:rPr>
  </w:style>
  <w:style w:type="paragraph" w:customStyle="1" w:styleId="1845">
    <w:name w:val="样式 标题 3 + (中文) 黑体 四号 段前: 6 磅 段后: 6 磅 行距: 多倍行距 1.73 字行"/>
    <w:basedOn w:val="5"/>
    <w:qFormat/>
    <w:uiPriority w:val="0"/>
    <w:pPr>
      <w:widowControl w:val="0"/>
      <w:tabs>
        <w:tab w:val="left" w:pos="0"/>
        <w:tab w:val="left" w:pos="360"/>
        <w:tab w:val="left" w:pos="720"/>
      </w:tabs>
      <w:snapToGrid w:val="0"/>
      <w:spacing w:before="240" w:beforeLines="100" w:after="120" w:afterLines="50" w:line="560" w:lineRule="exact"/>
      <w:ind w:firstLine="980" w:firstLineChars="200"/>
      <w:jc w:val="both"/>
    </w:pPr>
    <w:rPr>
      <w:rFonts w:ascii="黑体" w:hAnsi="Times New Roman" w:eastAsia="黑体"/>
      <w:b w:val="0"/>
      <w:bCs w:val="0"/>
      <w:kern w:val="2"/>
      <w:sz w:val="30"/>
      <w:szCs w:val="20"/>
    </w:rPr>
  </w:style>
  <w:style w:type="paragraph" w:customStyle="1" w:styleId="1846">
    <w:name w:val="样式 四号 首行缩进:  0.85 厘米 段前: 6 磅 行距: 1.5 倍行距"/>
    <w:basedOn w:val="1"/>
    <w:qFormat/>
    <w:uiPriority w:val="0"/>
    <w:pPr>
      <w:widowControl w:val="0"/>
      <w:spacing w:before="120" w:line="360" w:lineRule="auto"/>
      <w:ind w:firstLine="567"/>
      <w:jc w:val="both"/>
    </w:pPr>
    <w:rPr>
      <w:rFonts w:ascii="Times New Roman" w:hAnsi="Times New Roman"/>
      <w:kern w:val="2"/>
      <w:sz w:val="28"/>
      <w:szCs w:val="20"/>
    </w:rPr>
  </w:style>
  <w:style w:type="paragraph" w:customStyle="1" w:styleId="1847">
    <w:name w:val="CY－正文"/>
    <w:basedOn w:val="1"/>
    <w:qFormat/>
    <w:uiPriority w:val="0"/>
    <w:pPr>
      <w:widowControl w:val="0"/>
      <w:spacing w:line="360" w:lineRule="auto"/>
      <w:ind w:firstLine="560" w:firstLineChars="200"/>
      <w:jc w:val="both"/>
    </w:pPr>
    <w:rPr>
      <w:rFonts w:ascii="Times New Roman" w:hAnsi="Times New Roman" w:cs="Times New Roman"/>
      <w:kern w:val="2"/>
      <w:sz w:val="28"/>
    </w:rPr>
  </w:style>
  <w:style w:type="paragraph" w:customStyle="1" w:styleId="1848">
    <w:name w:val="样式 正文文本 + 首行缩进:  2 字符"/>
    <w:basedOn w:val="34"/>
    <w:qFormat/>
    <w:uiPriority w:val="0"/>
    <w:pPr>
      <w:adjustRightInd w:val="0"/>
      <w:snapToGrid/>
      <w:spacing w:before="0" w:after="0" w:line="520" w:lineRule="exact"/>
      <w:ind w:right="0" w:firstLine="560" w:firstLineChars="200"/>
    </w:pPr>
    <w:rPr>
      <w:rFonts w:ascii="Times New Roman" w:hAnsi="Times New Roman"/>
      <w:color w:val="000000"/>
      <w:sz w:val="28"/>
      <w:szCs w:val="28"/>
      <w:lang w:val="zh-CN"/>
    </w:rPr>
  </w:style>
  <w:style w:type="paragraph" w:customStyle="1" w:styleId="1849">
    <w:name w:val="样式 首行缩进:  2 字符 行距: 固定值 26 磅"/>
    <w:basedOn w:val="1"/>
    <w:qFormat/>
    <w:uiPriority w:val="0"/>
    <w:pPr>
      <w:widowControl w:val="0"/>
      <w:spacing w:line="520" w:lineRule="exact"/>
      <w:jc w:val="both"/>
    </w:pPr>
    <w:rPr>
      <w:rFonts w:ascii="Times New Roman" w:hAnsi="Times New Roman" w:cs="Times New Roman"/>
      <w:kern w:val="2"/>
      <w:sz w:val="21"/>
      <w:szCs w:val="20"/>
    </w:rPr>
  </w:style>
  <w:style w:type="paragraph" w:customStyle="1" w:styleId="1850">
    <w:name w:val="样式 标题 4 + 黑色 段前: 12 磅 段后: 6 磅 行距: 1.5 倍行距"/>
    <w:basedOn w:val="6"/>
    <w:qFormat/>
    <w:uiPriority w:val="0"/>
    <w:pPr>
      <w:keepNext w:val="0"/>
      <w:keepLines w:val="0"/>
      <w:widowControl w:val="0"/>
      <w:tabs>
        <w:tab w:val="left" w:pos="945"/>
        <w:tab w:val="left" w:pos="1620"/>
        <w:tab w:val="left" w:pos="4614"/>
      </w:tabs>
      <w:adjustRightInd w:val="0"/>
      <w:snapToGrid w:val="0"/>
      <w:spacing w:before="120" w:beforeLines="50" w:after="120" w:line="500" w:lineRule="exact"/>
      <w:jc w:val="both"/>
    </w:pPr>
    <w:rPr>
      <w:rFonts w:ascii="Times New Roman" w:hAnsi="Times New Roman" w:eastAsia="宋体" w:cs="宋体"/>
      <w:color w:val="000000"/>
      <w:szCs w:val="20"/>
      <w:lang w:val="zh-CN"/>
    </w:rPr>
  </w:style>
  <w:style w:type="paragraph" w:customStyle="1" w:styleId="1851">
    <w:name w:val="样式 标题 3 + 小三 黑色 左 段前: 6 磅 段后: 0 磅 行距: 固定值 25 磅"/>
    <w:basedOn w:val="5"/>
    <w:qFormat/>
    <w:uiPriority w:val="0"/>
    <w:pPr>
      <w:widowControl w:val="0"/>
      <w:tabs>
        <w:tab w:val="left" w:pos="0"/>
        <w:tab w:val="left" w:pos="360"/>
        <w:tab w:val="left" w:pos="720"/>
      </w:tabs>
      <w:snapToGrid w:val="0"/>
      <w:spacing w:before="240" w:beforeLines="100" w:after="120" w:afterLines="50" w:line="500" w:lineRule="exact"/>
      <w:ind w:firstLine="980" w:firstLineChars="200"/>
      <w:jc w:val="both"/>
    </w:pPr>
    <w:rPr>
      <w:rFonts w:ascii="Times New Roman" w:hAnsi="Times New Roman"/>
      <w:bCs w:val="0"/>
      <w:kern w:val="2"/>
      <w:sz w:val="30"/>
      <w:szCs w:val="20"/>
    </w:rPr>
  </w:style>
  <w:style w:type="paragraph" w:customStyle="1" w:styleId="1852">
    <w:name w:val="样式 标题 2第几节 + 首行缩进:  1.05 厘米 段前: 0.5 行"/>
    <w:basedOn w:val="4"/>
    <w:qFormat/>
    <w:uiPriority w:val="0"/>
    <w:pPr>
      <w:widowControl w:val="0"/>
      <w:numPr>
        <w:ilvl w:val="0"/>
        <w:numId w:val="0"/>
      </w:numPr>
      <w:tabs>
        <w:tab w:val="left" w:pos="360"/>
        <w:tab w:val="left" w:pos="720"/>
        <w:tab w:val="left" w:pos="4614"/>
        <w:tab w:val="left" w:pos="8092"/>
      </w:tabs>
      <w:snapToGrid w:val="0"/>
      <w:spacing w:before="50" w:afterLines="50" w:line="560" w:lineRule="exact"/>
    </w:pPr>
    <w:rPr>
      <w:rFonts w:ascii="Times New Roman" w:hAnsi="Times New Roman" w:eastAsia="宋体"/>
      <w:bCs/>
      <w:color w:val="FF0000"/>
      <w:w w:val="99"/>
      <w:kern w:val="28"/>
      <w:szCs w:val="20"/>
      <w:lang w:val="zh-CN"/>
    </w:rPr>
  </w:style>
  <w:style w:type="character" w:customStyle="1" w:styleId="1853">
    <w:name w:val="浅色网格 - 强调文字颜色 11"/>
    <w:qFormat/>
    <w:uiPriority w:val="0"/>
    <w:rPr>
      <w:color w:val="808080"/>
    </w:rPr>
  </w:style>
  <w:style w:type="paragraph" w:customStyle="1" w:styleId="1854">
    <w:name w:val="Char Char Char Char12"/>
    <w:basedOn w:val="1"/>
    <w:qFormat/>
    <w:uiPriority w:val="0"/>
    <w:pPr>
      <w:widowControl w:val="0"/>
      <w:spacing w:line="360" w:lineRule="auto"/>
      <w:ind w:firstLine="200" w:firstLineChars="200"/>
      <w:jc w:val="both"/>
    </w:pPr>
    <w:rPr>
      <w:kern w:val="2"/>
      <w:szCs w:val="26"/>
    </w:rPr>
  </w:style>
  <w:style w:type="paragraph" w:customStyle="1" w:styleId="1855">
    <w:name w:val="Char Char Char Char Char Char Char Char Char Char2"/>
    <w:basedOn w:val="1"/>
    <w:qFormat/>
    <w:uiPriority w:val="0"/>
    <w:pPr>
      <w:widowControl w:val="0"/>
      <w:snapToGrid w:val="0"/>
      <w:spacing w:line="440" w:lineRule="atLeast"/>
      <w:jc w:val="both"/>
    </w:pPr>
    <w:rPr>
      <w:rFonts w:hAnsi="Times New Roman" w:cs="Times New Roman"/>
      <w:kern w:val="2"/>
    </w:rPr>
  </w:style>
  <w:style w:type="paragraph" w:customStyle="1" w:styleId="1856">
    <w:name w:val="图"/>
    <w:basedOn w:val="1"/>
    <w:qFormat/>
    <w:uiPriority w:val="0"/>
    <w:pPr>
      <w:widowControl w:val="0"/>
      <w:spacing w:before="50" w:beforeLines="50" w:after="50" w:afterLines="50"/>
      <w:jc w:val="center"/>
    </w:pPr>
    <w:rPr>
      <w:rFonts w:ascii="Times New Roman" w:hAnsi="Times New Roman" w:eastAsia="楷体_GB2312" w:cs="Times New Roman"/>
      <w:kern w:val="2"/>
      <w:sz w:val="28"/>
      <w:szCs w:val="28"/>
    </w:rPr>
  </w:style>
  <w:style w:type="paragraph" w:customStyle="1" w:styleId="1857">
    <w:name w:val="文"/>
    <w:basedOn w:val="5"/>
    <w:qFormat/>
    <w:uiPriority w:val="0"/>
    <w:pPr>
      <w:keepNext w:val="0"/>
      <w:keepLines w:val="0"/>
      <w:widowControl w:val="0"/>
      <w:tabs>
        <w:tab w:val="left" w:pos="360"/>
        <w:tab w:val="left" w:pos="720"/>
        <w:tab w:val="left" w:pos="4614"/>
      </w:tabs>
      <w:snapToGrid w:val="0"/>
      <w:spacing w:before="240" w:beforeLines="100" w:after="120" w:afterLines="50" w:line="360" w:lineRule="auto"/>
      <w:ind w:firstLine="480" w:firstLineChars="200"/>
      <w:jc w:val="both"/>
      <w:outlineLvl w:val="9"/>
    </w:pPr>
    <w:rPr>
      <w:rFonts w:ascii="Times New Roman" w:hAnsi="Times New Roman" w:cs="Times New Roman"/>
      <w:b w:val="0"/>
      <w:kern w:val="2"/>
      <w:sz w:val="24"/>
      <w:szCs w:val="24"/>
    </w:rPr>
  </w:style>
  <w:style w:type="character" w:customStyle="1" w:styleId="1858">
    <w:name w:val="ft41"/>
    <w:qFormat/>
    <w:uiPriority w:val="0"/>
    <w:rPr>
      <w:rFonts w:hint="default" w:ascii="Times-Roman" w:hAnsi="Times-Roman"/>
      <w:color w:val="000000"/>
      <w:sz w:val="29"/>
      <w:szCs w:val="29"/>
    </w:rPr>
  </w:style>
  <w:style w:type="character" w:customStyle="1" w:styleId="1859">
    <w:name w:val="ft51"/>
    <w:qFormat/>
    <w:uiPriority w:val="0"/>
    <w:rPr>
      <w:rFonts w:hint="eastAsia" w:ascii="黑体" w:eastAsia="黑体"/>
      <w:color w:val="000000"/>
      <w:sz w:val="54"/>
      <w:szCs w:val="54"/>
    </w:rPr>
  </w:style>
  <w:style w:type="paragraph" w:customStyle="1" w:styleId="1860">
    <w:name w:val="5级标题"/>
    <w:basedOn w:val="1"/>
    <w:qFormat/>
    <w:uiPriority w:val="0"/>
    <w:pPr>
      <w:widowControl w:val="0"/>
      <w:numPr>
        <w:ilvl w:val="0"/>
        <w:numId w:val="3"/>
      </w:numPr>
      <w:spacing w:line="360" w:lineRule="auto"/>
    </w:pPr>
    <w:rPr>
      <w:rFonts w:ascii="Times New Roman" w:hAnsi="Times New Roman" w:cs="Times New Roman"/>
      <w:kern w:val="2"/>
      <w:szCs w:val="22"/>
    </w:rPr>
  </w:style>
  <w:style w:type="paragraph" w:customStyle="1" w:styleId="1861">
    <w:name w:val="Char Char Char1 Char Char Char Char Char Char"/>
    <w:basedOn w:val="1"/>
    <w:qFormat/>
    <w:uiPriority w:val="0"/>
    <w:pPr>
      <w:widowControl w:val="0"/>
      <w:spacing w:line="360" w:lineRule="auto"/>
      <w:ind w:firstLine="200" w:firstLineChars="200"/>
      <w:jc w:val="both"/>
    </w:pPr>
    <w:rPr>
      <w:kern w:val="2"/>
    </w:rPr>
  </w:style>
  <w:style w:type="paragraph" w:customStyle="1" w:styleId="1862">
    <w:name w:val="报告书表格"/>
    <w:basedOn w:val="1"/>
    <w:qFormat/>
    <w:uiPriority w:val="0"/>
    <w:pPr>
      <w:widowControl w:val="0"/>
      <w:adjustRightInd w:val="0"/>
      <w:spacing w:before="60" w:after="60" w:line="240" w:lineRule="atLeast"/>
      <w:jc w:val="center"/>
      <w:textAlignment w:val="baseline"/>
    </w:pPr>
    <w:rPr>
      <w:rFonts w:ascii="Times New Roman" w:hAnsi="Times New Roman" w:cs="Times New Roman"/>
      <w:sz w:val="21"/>
      <w:szCs w:val="20"/>
    </w:rPr>
  </w:style>
  <w:style w:type="paragraph" w:customStyle="1" w:styleId="1863">
    <w:name w:val="Char Char1 Char11"/>
    <w:basedOn w:val="1"/>
    <w:qFormat/>
    <w:uiPriority w:val="0"/>
    <w:pPr>
      <w:widowControl w:val="0"/>
      <w:jc w:val="both"/>
    </w:pPr>
    <w:rPr>
      <w:rFonts w:ascii="Times New Roman" w:hAnsi="Times New Roman" w:cs="Times New Roman"/>
      <w:kern w:val="2"/>
      <w:sz w:val="21"/>
    </w:rPr>
  </w:style>
  <w:style w:type="paragraph" w:customStyle="1" w:styleId="1864">
    <w:name w:val="表尾"/>
    <w:basedOn w:val="1"/>
    <w:qFormat/>
    <w:uiPriority w:val="0"/>
    <w:pPr>
      <w:widowControl w:val="0"/>
      <w:tabs>
        <w:tab w:val="left" w:pos="1021"/>
      </w:tabs>
      <w:spacing w:line="160" w:lineRule="atLeast"/>
      <w:jc w:val="both"/>
    </w:pPr>
    <w:rPr>
      <w:rFonts w:ascii="Times New Roman" w:hAnsi="Times New Roman" w:cs="Times New Roman"/>
      <w:kern w:val="2"/>
      <w:sz w:val="10"/>
    </w:rPr>
  </w:style>
  <w:style w:type="paragraph" w:customStyle="1" w:styleId="1865">
    <w:name w:val="Char Char1 Char Char Char Char Char Char Char6"/>
    <w:basedOn w:val="1"/>
    <w:qFormat/>
    <w:uiPriority w:val="0"/>
    <w:pPr>
      <w:widowControl w:val="0"/>
      <w:jc w:val="both"/>
    </w:pPr>
    <w:rPr>
      <w:rFonts w:ascii="Times New Roman" w:hAnsi="Times New Roman" w:cs="Times New Roman"/>
      <w:kern w:val="2"/>
      <w:sz w:val="21"/>
    </w:rPr>
  </w:style>
  <w:style w:type="paragraph" w:customStyle="1" w:styleId="1866">
    <w:name w:val="Char Char Char7"/>
    <w:basedOn w:val="1"/>
    <w:qFormat/>
    <w:uiPriority w:val="0"/>
    <w:pPr>
      <w:widowControl w:val="0"/>
      <w:jc w:val="both"/>
    </w:pPr>
    <w:rPr>
      <w:rFonts w:ascii="Times New Roman" w:hAnsi="Times New Roman" w:cs="Times New Roman"/>
      <w:kern w:val="2"/>
      <w:sz w:val="21"/>
    </w:rPr>
  </w:style>
  <w:style w:type="paragraph" w:customStyle="1" w:styleId="1867">
    <w:name w:val="Char Char Char Char Char Char Char1"/>
    <w:basedOn w:val="1"/>
    <w:qFormat/>
    <w:uiPriority w:val="0"/>
    <w:pPr>
      <w:spacing w:after="160" w:line="240" w:lineRule="exact"/>
    </w:pPr>
    <w:rPr>
      <w:rFonts w:ascii="Verdana" w:hAnsi="Verdana" w:cs="Times New Roman"/>
      <w:sz w:val="20"/>
      <w:szCs w:val="32"/>
      <w:lang w:eastAsia="en-US"/>
    </w:rPr>
  </w:style>
  <w:style w:type="paragraph" w:customStyle="1" w:styleId="1868">
    <w:name w:val="Char Char Char1 Char4"/>
    <w:basedOn w:val="1"/>
    <w:qFormat/>
    <w:uiPriority w:val="0"/>
    <w:pPr>
      <w:widowControl w:val="0"/>
      <w:snapToGrid w:val="0"/>
      <w:spacing w:line="360" w:lineRule="auto"/>
      <w:ind w:firstLine="200" w:firstLineChars="200"/>
      <w:jc w:val="both"/>
    </w:pPr>
    <w:rPr>
      <w:rFonts w:ascii="Times New Roman" w:hAnsi="Times New Roman" w:eastAsia="仿宋_GB2312" w:cs="Times New Roman"/>
      <w:kern w:val="2"/>
    </w:rPr>
  </w:style>
  <w:style w:type="paragraph" w:customStyle="1" w:styleId="1869">
    <w:name w:val="Char Char Char1 Char Char Char4"/>
    <w:basedOn w:val="1"/>
    <w:qFormat/>
    <w:uiPriority w:val="0"/>
    <w:pPr>
      <w:widowControl w:val="0"/>
      <w:spacing w:line="360" w:lineRule="auto"/>
      <w:ind w:firstLine="200" w:firstLineChars="200"/>
      <w:jc w:val="both"/>
    </w:pPr>
    <w:rPr>
      <w:kern w:val="2"/>
    </w:rPr>
  </w:style>
  <w:style w:type="paragraph" w:customStyle="1" w:styleId="1870">
    <w:name w:val="Char Char Char1 Char Char Char Char Char Char Char4"/>
    <w:basedOn w:val="1"/>
    <w:qFormat/>
    <w:uiPriority w:val="0"/>
    <w:pPr>
      <w:widowControl w:val="0"/>
      <w:spacing w:line="360" w:lineRule="auto"/>
      <w:ind w:firstLine="200" w:firstLineChars="200"/>
      <w:jc w:val="both"/>
    </w:pPr>
    <w:rPr>
      <w:kern w:val="2"/>
    </w:rPr>
  </w:style>
  <w:style w:type="paragraph" w:customStyle="1" w:styleId="1871">
    <w:name w:val="Char24"/>
    <w:basedOn w:val="1"/>
    <w:qFormat/>
    <w:uiPriority w:val="0"/>
    <w:pPr>
      <w:widowControl w:val="0"/>
      <w:snapToGrid w:val="0"/>
      <w:spacing w:line="360" w:lineRule="auto"/>
      <w:ind w:firstLine="200" w:firstLineChars="200"/>
      <w:jc w:val="both"/>
    </w:pPr>
    <w:rPr>
      <w:rFonts w:ascii="Times New Roman" w:hAnsi="Times New Roman" w:eastAsia="仿宋_GB2312" w:cs="Times New Roman"/>
      <w:kern w:val="2"/>
    </w:rPr>
  </w:style>
  <w:style w:type="paragraph" w:customStyle="1" w:styleId="1872">
    <w:name w:val="纯文本16"/>
    <w:basedOn w:val="1"/>
    <w:qFormat/>
    <w:uiPriority w:val="0"/>
    <w:pPr>
      <w:widowControl w:val="0"/>
      <w:adjustRightInd w:val="0"/>
      <w:jc w:val="both"/>
      <w:textAlignment w:val="baseline"/>
    </w:pPr>
    <w:rPr>
      <w:rFonts w:hAnsi="Courier New" w:cs="Times New Roman"/>
      <w:kern w:val="2"/>
      <w:sz w:val="21"/>
      <w:szCs w:val="20"/>
    </w:rPr>
  </w:style>
  <w:style w:type="paragraph" w:customStyle="1" w:styleId="1873">
    <w:name w:val="正文37"/>
    <w:basedOn w:val="1"/>
    <w:qFormat/>
    <w:uiPriority w:val="0"/>
    <w:pPr>
      <w:widowControl w:val="0"/>
      <w:adjustRightInd w:val="0"/>
      <w:spacing w:line="480" w:lineRule="exact"/>
      <w:jc w:val="both"/>
      <w:textAlignment w:val="baseline"/>
    </w:pPr>
    <w:rPr>
      <w:rFonts w:ascii="Times New Roman" w:hAnsi="Times New Roman" w:cs="Times New Roman"/>
      <w:spacing w:val="-2"/>
      <w:sz w:val="28"/>
      <w:szCs w:val="20"/>
    </w:rPr>
  </w:style>
  <w:style w:type="paragraph" w:customStyle="1" w:styleId="1874">
    <w:name w:val="Char Char Char16"/>
    <w:basedOn w:val="1"/>
    <w:qFormat/>
    <w:uiPriority w:val="0"/>
    <w:pPr>
      <w:widowControl w:val="0"/>
      <w:spacing w:line="360" w:lineRule="auto"/>
      <w:ind w:firstLine="200" w:firstLineChars="200"/>
      <w:jc w:val="both"/>
    </w:pPr>
    <w:rPr>
      <w:kern w:val="2"/>
    </w:rPr>
  </w:style>
  <w:style w:type="paragraph" w:customStyle="1" w:styleId="1875">
    <w:name w:val="Char Char Char Char Char Char1 Char1"/>
    <w:basedOn w:val="1"/>
    <w:qFormat/>
    <w:uiPriority w:val="0"/>
    <w:pPr>
      <w:widowControl w:val="0"/>
      <w:spacing w:line="360" w:lineRule="auto"/>
      <w:ind w:firstLine="200" w:firstLineChars="200"/>
      <w:jc w:val="both"/>
    </w:pPr>
    <w:rPr>
      <w:kern w:val="2"/>
    </w:rPr>
  </w:style>
  <w:style w:type="character" w:customStyle="1" w:styleId="1876">
    <w:name w:val="Char33"/>
    <w:qFormat/>
    <w:uiPriority w:val="0"/>
    <w:rPr>
      <w:rFonts w:ascii="Arial" w:hAnsi="Arial" w:eastAsia="黑体"/>
      <w:kern w:val="2"/>
      <w:lang w:val="en-US" w:eastAsia="zh-CN"/>
    </w:rPr>
  </w:style>
  <w:style w:type="paragraph" w:customStyle="1" w:styleId="1877">
    <w:name w:val="Char Char Char2 Char3"/>
    <w:basedOn w:val="1"/>
    <w:qFormat/>
    <w:uiPriority w:val="0"/>
    <w:pPr>
      <w:widowControl w:val="0"/>
      <w:jc w:val="both"/>
    </w:pPr>
    <w:rPr>
      <w:rFonts w:ascii="Times New Roman" w:hAnsi="Times New Roman" w:cs="Times New Roman"/>
      <w:kern w:val="2"/>
      <w:sz w:val="21"/>
    </w:rPr>
  </w:style>
  <w:style w:type="character" w:customStyle="1" w:styleId="1878">
    <w:name w:val="Char Char174"/>
    <w:qFormat/>
    <w:uiPriority w:val="0"/>
    <w:rPr>
      <w:rFonts w:cs="Times New Roman"/>
      <w:b/>
      <w:bCs/>
      <w:kern w:val="44"/>
      <w:sz w:val="32"/>
      <w:szCs w:val="44"/>
    </w:rPr>
  </w:style>
  <w:style w:type="character" w:customStyle="1" w:styleId="1879">
    <w:name w:val="Char Char183"/>
    <w:qFormat/>
    <w:uiPriority w:val="0"/>
    <w:rPr>
      <w:rFonts w:ascii="Cambria" w:hAnsi="Cambria" w:cs="Times New Roman"/>
      <w:kern w:val="2"/>
      <w:sz w:val="24"/>
      <w:szCs w:val="24"/>
    </w:rPr>
  </w:style>
  <w:style w:type="paragraph" w:customStyle="1" w:styleId="1880">
    <w:name w:val="Char Char Char Char Char Char Char Char Char Char3"/>
    <w:basedOn w:val="1"/>
    <w:qFormat/>
    <w:uiPriority w:val="0"/>
    <w:pPr>
      <w:widowControl w:val="0"/>
      <w:adjustRightInd w:val="0"/>
      <w:spacing w:line="360" w:lineRule="auto"/>
      <w:ind w:firstLine="540" w:firstLineChars="225"/>
    </w:pPr>
    <w:rPr>
      <w:kern w:val="2"/>
    </w:rPr>
  </w:style>
  <w:style w:type="paragraph" w:customStyle="1" w:styleId="1881">
    <w:name w:val="Char Char Char Char2"/>
    <w:basedOn w:val="1"/>
    <w:qFormat/>
    <w:uiPriority w:val="0"/>
    <w:pPr>
      <w:widowControl w:val="0"/>
      <w:jc w:val="both"/>
    </w:pPr>
    <w:rPr>
      <w:rFonts w:ascii="Times New Roman" w:hAnsi="Times New Roman" w:cs="Times New Roman"/>
      <w:kern w:val="2"/>
    </w:rPr>
  </w:style>
  <w:style w:type="paragraph" w:customStyle="1" w:styleId="1882">
    <w:name w:val="Char Char Char Char Char Char Char Char Char Char Char Char Char Char Char4"/>
    <w:next w:val="1"/>
    <w:qFormat/>
    <w:uiPriority w:val="0"/>
    <w:pPr>
      <w:tabs>
        <w:tab w:val="left" w:pos="700"/>
      </w:tabs>
      <w:snapToGrid w:val="0"/>
      <w:spacing w:line="300" w:lineRule="auto"/>
    </w:pPr>
    <w:rPr>
      <w:rFonts w:ascii="仿宋_GB2312" w:hAnsi="Verdana" w:eastAsia="仿宋_GB2312" w:cs="Times New Roman"/>
      <w:b/>
      <w:bCs/>
      <w:snapToGrid w:val="0"/>
      <w:sz w:val="28"/>
      <w:szCs w:val="28"/>
      <w:lang w:val="en-US" w:eastAsia="en-US" w:bidi="ar-SA"/>
    </w:rPr>
  </w:style>
  <w:style w:type="paragraph" w:customStyle="1" w:styleId="1883">
    <w:name w:val="批注框文本16"/>
    <w:basedOn w:val="1"/>
    <w:qFormat/>
    <w:uiPriority w:val="0"/>
    <w:pPr>
      <w:widowControl w:val="0"/>
      <w:jc w:val="both"/>
    </w:pPr>
    <w:rPr>
      <w:rFonts w:ascii="Times New Roman" w:hAnsi="Times New Roman" w:cs="Times New Roman"/>
      <w:kern w:val="2"/>
      <w:sz w:val="18"/>
      <w:szCs w:val="18"/>
    </w:rPr>
  </w:style>
  <w:style w:type="paragraph" w:customStyle="1" w:styleId="1884">
    <w:name w:val="日期16"/>
    <w:basedOn w:val="1"/>
    <w:next w:val="1"/>
    <w:qFormat/>
    <w:uiPriority w:val="0"/>
    <w:pPr>
      <w:widowControl w:val="0"/>
      <w:adjustRightInd w:val="0"/>
      <w:jc w:val="both"/>
      <w:textAlignment w:val="baseline"/>
    </w:pPr>
    <w:rPr>
      <w:rFonts w:ascii="Times New Roman" w:hAnsi="Times New Roman" w:cs="Times New Roman"/>
      <w:kern w:val="2"/>
      <w:szCs w:val="20"/>
    </w:rPr>
  </w:style>
  <w:style w:type="paragraph" w:customStyle="1" w:styleId="1885">
    <w:name w:val="Char Char Char1 Char Char Char Char Char Char3"/>
    <w:basedOn w:val="1"/>
    <w:qFormat/>
    <w:uiPriority w:val="0"/>
    <w:pPr>
      <w:widowControl w:val="0"/>
      <w:spacing w:line="360" w:lineRule="auto"/>
      <w:ind w:firstLine="200" w:firstLineChars="200"/>
      <w:jc w:val="both"/>
    </w:pPr>
    <w:rPr>
      <w:kern w:val="2"/>
    </w:rPr>
  </w:style>
  <w:style w:type="paragraph" w:customStyle="1" w:styleId="1886">
    <w:name w:val="Char Char Char Char Char Char Char Char3"/>
    <w:basedOn w:val="1"/>
    <w:qFormat/>
    <w:uiPriority w:val="0"/>
    <w:pPr>
      <w:widowControl w:val="0"/>
      <w:jc w:val="both"/>
    </w:pPr>
    <w:rPr>
      <w:rFonts w:ascii="Times New Roman" w:hAnsi="Times New Roman" w:cs="Times New Roman"/>
      <w:kern w:val="2"/>
    </w:rPr>
  </w:style>
  <w:style w:type="paragraph" w:customStyle="1" w:styleId="1887">
    <w:name w:val="Char Char Char Char Char Char Char Char Char4"/>
    <w:basedOn w:val="1"/>
    <w:qFormat/>
    <w:uiPriority w:val="0"/>
    <w:pPr>
      <w:widowControl w:val="0"/>
      <w:jc w:val="both"/>
    </w:pPr>
    <w:rPr>
      <w:rFonts w:ascii="Times New Roman" w:hAnsi="Times New Roman" w:cs="Times New Roman"/>
      <w:kern w:val="2"/>
    </w:rPr>
  </w:style>
  <w:style w:type="paragraph" w:customStyle="1" w:styleId="1888">
    <w:name w:val="Char Char Char Char Char Char Char Char Char Char Char1 Char3"/>
    <w:basedOn w:val="1"/>
    <w:qFormat/>
    <w:uiPriority w:val="0"/>
    <w:pPr>
      <w:widowControl w:val="0"/>
      <w:jc w:val="both"/>
    </w:pPr>
    <w:rPr>
      <w:rFonts w:ascii="Times New Roman" w:hAnsi="Times New Roman" w:cs="Times New Roman"/>
      <w:kern w:val="2"/>
    </w:rPr>
  </w:style>
  <w:style w:type="paragraph" w:customStyle="1" w:styleId="1889">
    <w:name w:val="Char Char1 Char3"/>
    <w:basedOn w:val="1"/>
    <w:qFormat/>
    <w:uiPriority w:val="0"/>
    <w:pPr>
      <w:widowControl w:val="0"/>
      <w:jc w:val="both"/>
    </w:pPr>
    <w:rPr>
      <w:rFonts w:ascii="Times New Roman" w:hAnsi="Times New Roman" w:cs="Times New Roman"/>
      <w:kern w:val="2"/>
      <w:sz w:val="21"/>
    </w:rPr>
  </w:style>
  <w:style w:type="paragraph" w:customStyle="1" w:styleId="1890">
    <w:name w:val="Char Char1 Char Char Char Char Char Char Char1"/>
    <w:basedOn w:val="1"/>
    <w:qFormat/>
    <w:uiPriority w:val="0"/>
    <w:pPr>
      <w:widowControl w:val="0"/>
      <w:jc w:val="both"/>
    </w:pPr>
    <w:rPr>
      <w:rFonts w:ascii="Times New Roman" w:hAnsi="Times New Roman" w:cs="Times New Roman"/>
      <w:kern w:val="2"/>
      <w:sz w:val="21"/>
    </w:rPr>
  </w:style>
  <w:style w:type="paragraph" w:customStyle="1" w:styleId="1891">
    <w:name w:val="Char Char Char Char Char Char1 Char Char Char1 Char Char Char1 Char Char Char Char Char Char Char Char Char Char1"/>
    <w:basedOn w:val="1"/>
    <w:next w:val="1"/>
    <w:qFormat/>
    <w:uiPriority w:val="0"/>
    <w:pPr>
      <w:widowControl w:val="0"/>
      <w:spacing w:line="360" w:lineRule="auto"/>
      <w:ind w:firstLine="200" w:firstLineChars="200"/>
      <w:jc w:val="both"/>
    </w:pPr>
    <w:rPr>
      <w:rFonts w:ascii="Times New Roman" w:cs="Tms Rmn"/>
      <w:kern w:val="2"/>
    </w:rPr>
  </w:style>
  <w:style w:type="paragraph" w:customStyle="1" w:styleId="1892">
    <w:name w:val="字元 字元 Char Char 字元 字元11"/>
    <w:basedOn w:val="1"/>
    <w:qFormat/>
    <w:uiPriority w:val="0"/>
    <w:pPr>
      <w:widowControl w:val="0"/>
      <w:jc w:val="both"/>
    </w:pPr>
    <w:rPr>
      <w:rFonts w:ascii="Times New Roman" w:hAnsi="Times New Roman" w:cs="Times New Roman"/>
      <w:kern w:val="2"/>
    </w:rPr>
  </w:style>
  <w:style w:type="paragraph" w:customStyle="1" w:styleId="1893">
    <w:name w:val="批注框文本2"/>
    <w:basedOn w:val="1"/>
    <w:qFormat/>
    <w:uiPriority w:val="0"/>
    <w:pPr>
      <w:widowControl w:val="0"/>
      <w:jc w:val="both"/>
    </w:pPr>
    <w:rPr>
      <w:rFonts w:ascii="Times New Roman" w:hAnsi="Times New Roman" w:cs="Times New Roman"/>
      <w:kern w:val="2"/>
      <w:sz w:val="18"/>
      <w:szCs w:val="18"/>
    </w:rPr>
  </w:style>
  <w:style w:type="paragraph" w:customStyle="1" w:styleId="1894">
    <w:name w:val="日期2"/>
    <w:basedOn w:val="1"/>
    <w:next w:val="1"/>
    <w:qFormat/>
    <w:uiPriority w:val="0"/>
    <w:pPr>
      <w:widowControl w:val="0"/>
      <w:adjustRightInd w:val="0"/>
      <w:jc w:val="both"/>
      <w:textAlignment w:val="baseline"/>
    </w:pPr>
    <w:rPr>
      <w:rFonts w:ascii="Times New Roman" w:hAnsi="Times New Roman" w:cs="Times New Roman"/>
      <w:kern w:val="2"/>
      <w:szCs w:val="20"/>
    </w:rPr>
  </w:style>
  <w:style w:type="paragraph" w:customStyle="1" w:styleId="1895">
    <w:name w:val="Char Char Char Char Char Char2"/>
    <w:basedOn w:val="1"/>
    <w:qFormat/>
    <w:uiPriority w:val="0"/>
    <w:pPr>
      <w:widowControl w:val="0"/>
      <w:jc w:val="both"/>
    </w:pPr>
    <w:rPr>
      <w:rFonts w:ascii="Times New Roman" w:hAnsi="Times New Roman" w:cs="Times New Roman"/>
      <w:kern w:val="2"/>
      <w:sz w:val="21"/>
    </w:rPr>
  </w:style>
  <w:style w:type="paragraph" w:customStyle="1" w:styleId="1896">
    <w:name w:val="正文5"/>
    <w:basedOn w:val="1"/>
    <w:qFormat/>
    <w:uiPriority w:val="0"/>
    <w:pPr>
      <w:widowControl w:val="0"/>
      <w:adjustRightInd w:val="0"/>
      <w:spacing w:afterLines="50" w:line="315" w:lineRule="atLeast"/>
      <w:textAlignment w:val="baseline"/>
    </w:pPr>
    <w:rPr>
      <w:rFonts w:ascii="Times New Roman" w:hAnsi="Times New Roman" w:cs="Times New Roman"/>
      <w:sz w:val="21"/>
      <w:szCs w:val="20"/>
    </w:rPr>
  </w:style>
  <w:style w:type="paragraph" w:customStyle="1" w:styleId="1897">
    <w:name w:val="字元 字元6"/>
    <w:basedOn w:val="1"/>
    <w:qFormat/>
    <w:uiPriority w:val="0"/>
    <w:pPr>
      <w:widowControl w:val="0"/>
      <w:adjustRightInd w:val="0"/>
      <w:snapToGrid w:val="0"/>
      <w:ind w:firstLine="200" w:firstLineChars="200"/>
      <w:jc w:val="both"/>
    </w:pPr>
    <w:rPr>
      <w:rFonts w:ascii="Times New Roman" w:hAnsi="Times New Roman" w:cs="Times New Roman"/>
      <w:kern w:val="2"/>
    </w:rPr>
  </w:style>
  <w:style w:type="paragraph" w:customStyle="1" w:styleId="1898">
    <w:name w:val="Char Char1 Char Char Char Char Char Char Char2"/>
    <w:basedOn w:val="1"/>
    <w:qFormat/>
    <w:uiPriority w:val="0"/>
    <w:pPr>
      <w:widowControl w:val="0"/>
      <w:jc w:val="both"/>
    </w:pPr>
    <w:rPr>
      <w:rFonts w:ascii="Times New Roman" w:hAnsi="Times New Roman" w:cs="Times New Roman"/>
      <w:kern w:val="2"/>
      <w:sz w:val="21"/>
    </w:rPr>
  </w:style>
  <w:style w:type="paragraph" w:customStyle="1" w:styleId="1899">
    <w:name w:val="Char12"/>
    <w:basedOn w:val="1"/>
    <w:qFormat/>
    <w:uiPriority w:val="0"/>
    <w:pPr>
      <w:widowControl w:val="0"/>
      <w:spacing w:line="360" w:lineRule="auto"/>
      <w:ind w:firstLine="200" w:firstLineChars="200"/>
      <w:jc w:val="both"/>
    </w:pPr>
    <w:rPr>
      <w:kern w:val="2"/>
    </w:rPr>
  </w:style>
  <w:style w:type="paragraph" w:customStyle="1" w:styleId="1900">
    <w:name w:val="Char Char Char Char Char Char Char Char Char Char4"/>
    <w:basedOn w:val="1"/>
    <w:qFormat/>
    <w:uiPriority w:val="0"/>
    <w:pPr>
      <w:widowControl w:val="0"/>
      <w:adjustRightInd w:val="0"/>
      <w:spacing w:line="360" w:lineRule="auto"/>
      <w:jc w:val="both"/>
    </w:pPr>
    <w:rPr>
      <w:rFonts w:ascii="Times New Roman" w:hAnsi="Times New Roman" w:cs="Times New Roman"/>
      <w:szCs w:val="20"/>
    </w:rPr>
  </w:style>
  <w:style w:type="character" w:customStyle="1" w:styleId="1901">
    <w:name w:val="表格文字 Char1"/>
    <w:qFormat/>
    <w:uiPriority w:val="0"/>
    <w:rPr>
      <w:rFonts w:ascii="Times New Roman" w:hAnsi="Times New Roman" w:eastAsia="宋体" w:cs="Times New Roman"/>
      <w:kern w:val="44"/>
      <w:szCs w:val="20"/>
      <w:lang w:val="zh-CN" w:eastAsia="zh-CN"/>
    </w:rPr>
  </w:style>
  <w:style w:type="paragraph" w:customStyle="1" w:styleId="1902">
    <w:name w:val="批注框文本3"/>
    <w:basedOn w:val="1"/>
    <w:qFormat/>
    <w:uiPriority w:val="0"/>
    <w:pPr>
      <w:widowControl w:val="0"/>
      <w:jc w:val="both"/>
    </w:pPr>
    <w:rPr>
      <w:rFonts w:ascii="Times New Roman" w:hAnsi="Times New Roman" w:cs="Times New Roman"/>
      <w:kern w:val="2"/>
      <w:sz w:val="18"/>
      <w:szCs w:val="18"/>
    </w:rPr>
  </w:style>
  <w:style w:type="paragraph" w:customStyle="1" w:styleId="1903">
    <w:name w:val="日期3"/>
    <w:basedOn w:val="1"/>
    <w:next w:val="1"/>
    <w:qFormat/>
    <w:uiPriority w:val="0"/>
    <w:pPr>
      <w:widowControl w:val="0"/>
      <w:adjustRightInd w:val="0"/>
      <w:jc w:val="both"/>
      <w:textAlignment w:val="baseline"/>
    </w:pPr>
    <w:rPr>
      <w:rFonts w:ascii="Times New Roman" w:hAnsi="Times New Roman" w:cs="Times New Roman"/>
      <w:kern w:val="2"/>
      <w:szCs w:val="20"/>
    </w:rPr>
  </w:style>
  <w:style w:type="paragraph" w:customStyle="1" w:styleId="1904">
    <w:name w:val="纯文本31"/>
    <w:basedOn w:val="1"/>
    <w:qFormat/>
    <w:uiPriority w:val="0"/>
    <w:pPr>
      <w:widowControl w:val="0"/>
      <w:adjustRightInd w:val="0"/>
      <w:jc w:val="both"/>
    </w:pPr>
    <w:rPr>
      <w:rFonts w:hAnsi="Courier New" w:cs="Times New Roman"/>
      <w:kern w:val="2"/>
      <w:sz w:val="21"/>
      <w:szCs w:val="20"/>
    </w:rPr>
  </w:style>
  <w:style w:type="paragraph" w:customStyle="1" w:styleId="1905">
    <w:name w:val="正文6"/>
    <w:basedOn w:val="1"/>
    <w:qFormat/>
    <w:uiPriority w:val="0"/>
    <w:pPr>
      <w:widowControl w:val="0"/>
      <w:adjustRightInd w:val="0"/>
      <w:spacing w:afterLines="50" w:line="315" w:lineRule="atLeast"/>
      <w:textAlignment w:val="baseline"/>
    </w:pPr>
    <w:rPr>
      <w:rFonts w:hAnsi="Times New Roman" w:cs="Times New Roman"/>
      <w:sz w:val="21"/>
      <w:szCs w:val="20"/>
    </w:rPr>
  </w:style>
  <w:style w:type="paragraph" w:customStyle="1" w:styleId="1906">
    <w:name w:val="中气一级"/>
    <w:basedOn w:val="3"/>
    <w:next w:val="1907"/>
    <w:qFormat/>
    <w:uiPriority w:val="0"/>
    <w:pPr>
      <w:keepNext w:val="0"/>
      <w:keepLines/>
      <w:tabs>
        <w:tab w:val="left" w:pos="4614"/>
      </w:tabs>
      <w:overflowPunct/>
      <w:spacing w:before="0" w:after="0" w:line="520" w:lineRule="exact"/>
      <w:ind w:left="142" w:firstLine="0"/>
    </w:pPr>
    <w:rPr>
      <w:rFonts w:ascii="Times New Roman" w:hAnsi="Times New Roman" w:cs="Times New Roman"/>
      <w:b w:val="0"/>
      <w:color w:val="auto"/>
      <w:sz w:val="36"/>
      <w:szCs w:val="44"/>
    </w:rPr>
  </w:style>
  <w:style w:type="paragraph" w:customStyle="1" w:styleId="1907">
    <w:name w:val="中气二级"/>
    <w:basedOn w:val="1"/>
    <w:next w:val="1"/>
    <w:qFormat/>
    <w:uiPriority w:val="0"/>
    <w:pPr>
      <w:keepNext/>
      <w:keepLines/>
      <w:widowControl w:val="0"/>
      <w:spacing w:beforeLines="50" w:afterLines="50" w:line="360" w:lineRule="auto"/>
      <w:ind w:left="540"/>
      <w:outlineLvl w:val="1"/>
    </w:pPr>
    <w:rPr>
      <w:rFonts w:ascii="Arial" w:hAnsi="Arial" w:eastAsia="黑体"/>
      <w:bCs/>
      <w:kern w:val="2"/>
      <w:sz w:val="30"/>
      <w:szCs w:val="20"/>
    </w:rPr>
  </w:style>
  <w:style w:type="paragraph" w:customStyle="1" w:styleId="1908">
    <w:name w:val="中气三级"/>
    <w:basedOn w:val="5"/>
    <w:next w:val="1"/>
    <w:qFormat/>
    <w:uiPriority w:val="0"/>
    <w:pPr>
      <w:widowControl w:val="0"/>
      <w:tabs>
        <w:tab w:val="left" w:pos="360"/>
        <w:tab w:val="left" w:pos="720"/>
        <w:tab w:val="left" w:pos="2760"/>
      </w:tabs>
      <w:snapToGrid w:val="0"/>
      <w:spacing w:before="50" w:beforeLines="100" w:after="50" w:afterLines="50" w:line="360" w:lineRule="auto"/>
      <w:ind w:left="142" w:firstLine="980" w:firstLineChars="200"/>
      <w:jc w:val="both"/>
    </w:pPr>
    <w:rPr>
      <w:rFonts w:ascii="Times New Roman" w:hAnsi="Times New Roman" w:eastAsia="黑体" w:cs="Times New Roman"/>
      <w:b w:val="0"/>
      <w:snapToGrid w:val="0"/>
      <w:kern w:val="2"/>
      <w:sz w:val="24"/>
      <w:szCs w:val="20"/>
    </w:rPr>
  </w:style>
  <w:style w:type="paragraph" w:customStyle="1" w:styleId="1909">
    <w:name w:val="小节标题"/>
    <w:basedOn w:val="1"/>
    <w:next w:val="1"/>
    <w:qFormat/>
    <w:uiPriority w:val="0"/>
    <w:pPr>
      <w:widowControl w:val="0"/>
      <w:tabs>
        <w:tab w:val="left" w:pos="1199"/>
      </w:tabs>
      <w:adjustRightInd w:val="0"/>
      <w:spacing w:before="120" w:line="300" w:lineRule="auto"/>
      <w:ind w:left="1199" w:hanging="360"/>
      <w:jc w:val="both"/>
    </w:pPr>
    <w:rPr>
      <w:rFonts w:ascii="Times New Roman" w:hAnsi="Times New Roman" w:cs="Times New Roman"/>
      <w:kern w:val="2"/>
      <w:sz w:val="28"/>
      <w:szCs w:val="20"/>
    </w:rPr>
  </w:style>
  <w:style w:type="paragraph" w:customStyle="1" w:styleId="1910">
    <w:name w:val="正文7"/>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1911">
    <w:name w:val="cactus"/>
    <w:qFormat/>
    <w:uiPriority w:val="0"/>
    <w:pPr>
      <w:tabs>
        <w:tab w:val="left" w:pos="870"/>
        <w:tab w:val="left" w:pos="900"/>
      </w:tabs>
      <w:snapToGrid w:val="0"/>
      <w:spacing w:line="360" w:lineRule="auto"/>
      <w:ind w:left="900" w:hanging="180"/>
    </w:pPr>
    <w:rPr>
      <w:rFonts w:ascii="Times New Roman" w:hAnsi="Times New Roman" w:eastAsia="宋体" w:cs="Times New Roman"/>
      <w:sz w:val="24"/>
      <w:lang w:val="en-US" w:eastAsia="zh-CN" w:bidi="ar-SA"/>
    </w:rPr>
  </w:style>
  <w:style w:type="paragraph" w:customStyle="1" w:styleId="1912">
    <w:name w:val="样式 毕二级 + 段前: 0.5 行 段后: 0.5 行"/>
    <w:basedOn w:val="1"/>
    <w:qFormat/>
    <w:uiPriority w:val="0"/>
    <w:pPr>
      <w:widowControl w:val="0"/>
      <w:numPr>
        <w:ilvl w:val="0"/>
        <w:numId w:val="4"/>
      </w:numPr>
      <w:spacing w:before="120" w:after="120" w:line="360" w:lineRule="auto"/>
      <w:jc w:val="both"/>
    </w:pPr>
    <w:rPr>
      <w:rFonts w:ascii="Times New Roman" w:hAnsi="Times New Roman"/>
      <w:bCs/>
      <w:kern w:val="2"/>
      <w:szCs w:val="20"/>
    </w:rPr>
  </w:style>
  <w:style w:type="paragraph" w:customStyle="1" w:styleId="1913">
    <w:name w:val="样式 毕二级 + 段前: 0.5 行 段后: 0.5 行1"/>
    <w:basedOn w:val="1914"/>
    <w:qFormat/>
    <w:uiPriority w:val="0"/>
    <w:pPr>
      <w:tabs>
        <w:tab w:val="left" w:pos="426"/>
      </w:tabs>
      <w:spacing w:before="120" w:after="120"/>
      <w:ind w:left="426"/>
    </w:pPr>
    <w:rPr>
      <w:rFonts w:cs="宋体"/>
      <w:szCs w:val="20"/>
    </w:rPr>
  </w:style>
  <w:style w:type="paragraph" w:customStyle="1" w:styleId="1914">
    <w:name w:val="毕二级"/>
    <w:basedOn w:val="1"/>
    <w:qFormat/>
    <w:uiPriority w:val="0"/>
    <w:pPr>
      <w:widowControl w:val="0"/>
      <w:spacing w:beforeLines="50" w:afterLines="50" w:line="360" w:lineRule="auto"/>
    </w:pPr>
    <w:rPr>
      <w:rFonts w:ascii="Times New Roman" w:hAnsi="Times New Roman" w:eastAsia="黑体" w:cs="Times New Roman"/>
      <w:kern w:val="2"/>
      <w:sz w:val="30"/>
    </w:rPr>
  </w:style>
  <w:style w:type="paragraph" w:customStyle="1" w:styleId="1915">
    <w:name w:val="中气附图"/>
    <w:basedOn w:val="84"/>
    <w:qFormat/>
    <w:uiPriority w:val="0"/>
    <w:pPr>
      <w:widowControl w:val="0"/>
      <w:tabs>
        <w:tab w:val="left" w:pos="426"/>
        <w:tab w:val="left" w:pos="1188"/>
      </w:tabs>
      <w:spacing w:before="0" w:after="0" w:line="360" w:lineRule="auto"/>
      <w:ind w:left="1188" w:hanging="720"/>
    </w:pPr>
    <w:rPr>
      <w:rFonts w:ascii="Arial" w:hAnsi="Arial" w:eastAsia="黑体" w:cs="Arial"/>
      <w:b w:val="0"/>
      <w:kern w:val="2"/>
      <w:lang w:val="zh-CN"/>
    </w:rPr>
  </w:style>
  <w:style w:type="paragraph" w:customStyle="1" w:styleId="1916">
    <w:name w:val="中气附件"/>
    <w:basedOn w:val="3"/>
    <w:link w:val="1917"/>
    <w:qFormat/>
    <w:uiPriority w:val="0"/>
    <w:pPr>
      <w:keepNext w:val="0"/>
      <w:keepLines/>
      <w:tabs>
        <w:tab w:val="left" w:pos="4614"/>
      </w:tabs>
      <w:overflowPunct/>
      <w:spacing w:before="0" w:after="0" w:line="360" w:lineRule="auto"/>
      <w:ind w:left="0" w:firstLine="200" w:firstLineChars="200"/>
      <w:jc w:val="right"/>
    </w:pPr>
    <w:rPr>
      <w:rFonts w:ascii="Arial" w:hAnsi="Arial" w:cs="Times New Roman"/>
      <w:b w:val="0"/>
      <w:color w:val="auto"/>
      <w:sz w:val="32"/>
      <w:szCs w:val="44"/>
      <w:lang w:val="zh-CN"/>
    </w:rPr>
  </w:style>
  <w:style w:type="character" w:customStyle="1" w:styleId="1917">
    <w:name w:val="中气附件 Char"/>
    <w:link w:val="1916"/>
    <w:qFormat/>
    <w:uiPriority w:val="0"/>
    <w:rPr>
      <w:rFonts w:ascii="Arial" w:hAnsi="Arial" w:eastAsia="黑体"/>
      <w:bCs/>
      <w:kern w:val="44"/>
      <w:sz w:val="32"/>
      <w:szCs w:val="44"/>
      <w:lang w:val="zh-CN"/>
    </w:rPr>
  </w:style>
  <w:style w:type="paragraph" w:customStyle="1" w:styleId="1918">
    <w:name w:val="wpsplain"/>
    <w:basedOn w:val="1"/>
    <w:qFormat/>
    <w:uiPriority w:val="0"/>
    <w:pPr>
      <w:spacing w:before="100" w:beforeAutospacing="1" w:after="100" w:afterAutospacing="1"/>
    </w:pPr>
  </w:style>
  <w:style w:type="paragraph" w:customStyle="1" w:styleId="1919">
    <w:name w:val="仿宋体"/>
    <w:basedOn w:val="1"/>
    <w:qFormat/>
    <w:uiPriority w:val="0"/>
    <w:pPr>
      <w:spacing w:line="844" w:lineRule="atLeast"/>
      <w:ind w:firstLine="419"/>
      <w:jc w:val="both"/>
      <w:textAlignment w:val="baseline"/>
    </w:pPr>
    <w:rPr>
      <w:rFonts w:ascii="Times New Roman" w:hAnsi="Times New Roman" w:eastAsia="仿宋_GB2312" w:cs="Times New Roman"/>
      <w:color w:val="000000"/>
      <w:sz w:val="31"/>
      <w:szCs w:val="20"/>
      <w:u w:color="000000"/>
    </w:rPr>
  </w:style>
  <w:style w:type="paragraph" w:customStyle="1" w:styleId="1920">
    <w:name w:val="样式 正文缩进正文（首行缩进两字）正文（首行缩进两字） Char Char Char Char Char Char Char..."/>
    <w:basedOn w:val="21"/>
    <w:qFormat/>
    <w:uiPriority w:val="0"/>
    <w:pPr>
      <w:widowControl w:val="0"/>
      <w:tabs>
        <w:tab w:val="left" w:pos="3360"/>
      </w:tabs>
      <w:adjustRightInd w:val="0"/>
      <w:snapToGrid w:val="0"/>
      <w:spacing w:line="360" w:lineRule="auto"/>
      <w:ind w:left="0" w:firstLine="480" w:firstLineChars="200"/>
      <w:jc w:val="both"/>
      <w:textAlignment w:val="baseline"/>
    </w:pPr>
    <w:rPr>
      <w:snapToGrid w:val="0"/>
      <w:sz w:val="24"/>
      <w:szCs w:val="24"/>
    </w:rPr>
  </w:style>
  <w:style w:type="paragraph" w:customStyle="1" w:styleId="1921">
    <w:name w:val="样式 五号 左侧:  0.99 厘米"/>
    <w:basedOn w:val="1"/>
    <w:qFormat/>
    <w:uiPriority w:val="0"/>
    <w:pPr>
      <w:widowControl w:val="0"/>
      <w:tabs>
        <w:tab w:val="left" w:pos="378"/>
      </w:tabs>
      <w:adjustRightInd w:val="0"/>
      <w:snapToGrid w:val="0"/>
      <w:jc w:val="center"/>
    </w:pPr>
    <w:rPr>
      <w:rFonts w:ascii="Times New Roman" w:hAnsi="Times New Roman"/>
      <w:kern w:val="2"/>
      <w:sz w:val="21"/>
      <w:szCs w:val="20"/>
    </w:rPr>
  </w:style>
  <w:style w:type="character" w:customStyle="1" w:styleId="1922">
    <w:name w:val="style111"/>
    <w:qFormat/>
    <w:uiPriority w:val="0"/>
    <w:rPr>
      <w:color w:val="333333"/>
      <w:sz w:val="21"/>
      <w:szCs w:val="21"/>
    </w:rPr>
  </w:style>
  <w:style w:type="paragraph" w:customStyle="1" w:styleId="1923">
    <w:name w:val="xl110"/>
    <w:basedOn w:val="1"/>
    <w:qFormat/>
    <w:uiPriority w:val="0"/>
    <w:pPr>
      <w:pBdr>
        <w:top w:val="single" w:color="auto" w:sz="8" w:space="0"/>
      </w:pBdr>
      <w:spacing w:before="100" w:beforeAutospacing="1" w:after="100" w:afterAutospacing="1"/>
      <w:jc w:val="center"/>
    </w:pPr>
    <w:rPr>
      <w:rFonts w:ascii="Times New Roman" w:hAnsi="Times New Roman" w:cs="Times New Roman"/>
      <w:sz w:val="21"/>
      <w:szCs w:val="21"/>
    </w:rPr>
  </w:style>
  <w:style w:type="paragraph" w:customStyle="1" w:styleId="1924">
    <w:name w:val="xl111"/>
    <w:basedOn w:val="1"/>
    <w:qFormat/>
    <w:uiPriority w:val="0"/>
    <w:pPr>
      <w:spacing w:before="100" w:beforeAutospacing="1" w:after="100" w:afterAutospacing="1"/>
      <w:jc w:val="center"/>
    </w:pPr>
    <w:rPr>
      <w:rFonts w:ascii="Times New Roman" w:hAnsi="Times New Roman" w:cs="Times New Roman"/>
      <w:sz w:val="21"/>
      <w:szCs w:val="21"/>
    </w:rPr>
  </w:style>
  <w:style w:type="paragraph" w:customStyle="1" w:styleId="1925">
    <w:name w:val="xl112"/>
    <w:basedOn w:val="1"/>
    <w:qFormat/>
    <w:uiPriority w:val="0"/>
    <w:pPr>
      <w:pBdr>
        <w:left w:val="single" w:color="auto" w:sz="8" w:space="0"/>
        <w:bottom w:val="single" w:color="auto" w:sz="8" w:space="0"/>
        <w:right w:val="single" w:color="auto" w:sz="8" w:space="0"/>
      </w:pBdr>
      <w:spacing w:before="100" w:beforeAutospacing="1" w:after="100" w:afterAutospacing="1"/>
      <w:jc w:val="center"/>
    </w:pPr>
    <w:rPr>
      <w:rFonts w:ascii="Times New Roman" w:hAnsi="Times New Roman" w:cs="Times New Roman"/>
      <w:sz w:val="21"/>
      <w:szCs w:val="21"/>
    </w:rPr>
  </w:style>
  <w:style w:type="paragraph" w:customStyle="1" w:styleId="1926">
    <w:name w:val="xl113"/>
    <w:basedOn w:val="1"/>
    <w:qFormat/>
    <w:uiPriority w:val="0"/>
    <w:pPr>
      <w:pBdr>
        <w:left w:val="single" w:color="auto" w:sz="8" w:space="0"/>
      </w:pBdr>
      <w:spacing w:before="100" w:beforeAutospacing="1" w:after="100" w:afterAutospacing="1"/>
      <w:jc w:val="center"/>
    </w:pPr>
    <w:rPr>
      <w:sz w:val="21"/>
      <w:szCs w:val="21"/>
    </w:rPr>
  </w:style>
  <w:style w:type="paragraph" w:customStyle="1" w:styleId="1927">
    <w:name w:val="xl114"/>
    <w:basedOn w:val="1"/>
    <w:qFormat/>
    <w:uiPriority w:val="0"/>
    <w:pPr>
      <w:pBdr>
        <w:top w:val="single" w:color="auto" w:sz="8" w:space="0"/>
        <w:left w:val="single" w:color="auto" w:sz="8" w:space="0"/>
        <w:right w:val="single" w:color="auto" w:sz="8" w:space="0"/>
      </w:pBdr>
      <w:spacing w:before="100" w:beforeAutospacing="1" w:after="100" w:afterAutospacing="1"/>
      <w:jc w:val="center"/>
    </w:pPr>
  </w:style>
  <w:style w:type="paragraph" w:customStyle="1" w:styleId="1928">
    <w:name w:val="xl115"/>
    <w:basedOn w:val="1"/>
    <w:qFormat/>
    <w:uiPriority w:val="0"/>
    <w:pPr>
      <w:pBdr>
        <w:left w:val="single" w:color="auto" w:sz="8" w:space="0"/>
        <w:right w:val="single" w:color="auto" w:sz="8" w:space="0"/>
      </w:pBdr>
      <w:spacing w:before="100" w:beforeAutospacing="1" w:after="100" w:afterAutospacing="1"/>
      <w:jc w:val="center"/>
    </w:pPr>
  </w:style>
  <w:style w:type="paragraph" w:customStyle="1" w:styleId="1929">
    <w:name w:val="xl116"/>
    <w:basedOn w:val="1"/>
    <w:qFormat/>
    <w:uiPriority w:val="0"/>
    <w:pPr>
      <w:pBdr>
        <w:top w:val="single" w:color="auto" w:sz="8" w:space="0"/>
        <w:left w:val="single" w:color="auto" w:sz="8" w:space="0"/>
        <w:right w:val="single" w:color="auto" w:sz="8" w:space="0"/>
      </w:pBdr>
      <w:spacing w:before="100" w:beforeAutospacing="1" w:after="100" w:afterAutospacing="1"/>
      <w:jc w:val="center"/>
    </w:pPr>
    <w:rPr>
      <w:sz w:val="21"/>
      <w:szCs w:val="21"/>
    </w:rPr>
  </w:style>
  <w:style w:type="paragraph" w:customStyle="1" w:styleId="1930">
    <w:name w:val="xl117"/>
    <w:basedOn w:val="1"/>
    <w:qFormat/>
    <w:uiPriority w:val="0"/>
    <w:pPr>
      <w:pBdr>
        <w:top w:val="single" w:color="auto" w:sz="8" w:space="0"/>
        <w:left w:val="single" w:color="auto" w:sz="8" w:space="0"/>
      </w:pBdr>
      <w:spacing w:before="100" w:beforeAutospacing="1" w:after="100" w:afterAutospacing="1"/>
      <w:jc w:val="center"/>
    </w:pPr>
    <w:rPr>
      <w:sz w:val="21"/>
      <w:szCs w:val="21"/>
    </w:rPr>
  </w:style>
  <w:style w:type="paragraph" w:customStyle="1" w:styleId="1931">
    <w:name w:val="xl118"/>
    <w:basedOn w:val="1"/>
    <w:qFormat/>
    <w:uiPriority w:val="0"/>
    <w:pPr>
      <w:pBdr>
        <w:left w:val="single" w:color="auto" w:sz="8" w:space="0"/>
        <w:bottom w:val="single" w:color="auto" w:sz="8" w:space="0"/>
      </w:pBdr>
      <w:spacing w:before="100" w:beforeAutospacing="1" w:after="100" w:afterAutospacing="1"/>
      <w:jc w:val="center"/>
    </w:pPr>
    <w:rPr>
      <w:sz w:val="21"/>
      <w:szCs w:val="21"/>
    </w:rPr>
  </w:style>
  <w:style w:type="paragraph" w:customStyle="1" w:styleId="1932">
    <w:name w:val="xl119"/>
    <w:basedOn w:val="1"/>
    <w:qFormat/>
    <w:uiPriority w:val="0"/>
    <w:pPr>
      <w:pBdr>
        <w:bottom w:val="single" w:color="auto" w:sz="8" w:space="0"/>
      </w:pBdr>
      <w:spacing w:before="100" w:beforeAutospacing="1" w:after="100" w:afterAutospacing="1"/>
      <w:jc w:val="center"/>
    </w:pPr>
    <w:rPr>
      <w:rFonts w:ascii="Times New Roman" w:hAnsi="Times New Roman" w:cs="Times New Roman"/>
      <w:sz w:val="21"/>
      <w:szCs w:val="21"/>
    </w:rPr>
  </w:style>
  <w:style w:type="paragraph" w:customStyle="1" w:styleId="1933">
    <w:name w:val="xl120"/>
    <w:basedOn w:val="1"/>
    <w:qFormat/>
    <w:uiPriority w:val="0"/>
    <w:pPr>
      <w:pBdr>
        <w:top w:val="single" w:color="auto" w:sz="8" w:space="0"/>
        <w:left w:val="single" w:color="auto" w:sz="8" w:space="0"/>
        <w:right w:val="single" w:color="auto" w:sz="8" w:space="0"/>
      </w:pBdr>
      <w:spacing w:before="100" w:beforeAutospacing="1" w:after="100" w:afterAutospacing="1"/>
      <w:jc w:val="center"/>
    </w:pPr>
    <w:rPr>
      <w:sz w:val="21"/>
      <w:szCs w:val="21"/>
    </w:rPr>
  </w:style>
  <w:style w:type="paragraph" w:customStyle="1" w:styleId="1934">
    <w:name w:val="xl121"/>
    <w:basedOn w:val="1"/>
    <w:qFormat/>
    <w:uiPriority w:val="0"/>
    <w:pPr>
      <w:pBdr>
        <w:left w:val="single" w:color="auto" w:sz="8" w:space="0"/>
        <w:right w:val="single" w:color="auto" w:sz="8" w:space="0"/>
      </w:pBdr>
      <w:spacing w:before="100" w:beforeAutospacing="1" w:after="100" w:afterAutospacing="1"/>
      <w:jc w:val="center"/>
    </w:pPr>
    <w:rPr>
      <w:sz w:val="21"/>
      <w:szCs w:val="21"/>
    </w:rPr>
  </w:style>
  <w:style w:type="paragraph" w:customStyle="1" w:styleId="1935">
    <w:name w:val="xl123"/>
    <w:basedOn w:val="1"/>
    <w:qFormat/>
    <w:uiPriority w:val="0"/>
    <w:pPr>
      <w:pBdr>
        <w:left w:val="single" w:color="auto" w:sz="8" w:space="0"/>
        <w:bottom w:val="single" w:color="auto" w:sz="8" w:space="0"/>
      </w:pBdr>
      <w:spacing w:before="100" w:beforeAutospacing="1" w:after="100" w:afterAutospacing="1"/>
      <w:jc w:val="center"/>
    </w:pPr>
    <w:rPr>
      <w:sz w:val="21"/>
      <w:szCs w:val="21"/>
    </w:rPr>
  </w:style>
  <w:style w:type="paragraph" w:customStyle="1" w:styleId="1936">
    <w:name w:val="xl124"/>
    <w:basedOn w:val="1"/>
    <w:qFormat/>
    <w:uiPriority w:val="0"/>
    <w:pPr>
      <w:pBdr>
        <w:top w:val="single" w:color="auto" w:sz="8" w:space="0"/>
        <w:left w:val="single" w:color="auto" w:sz="8" w:space="0"/>
        <w:right w:val="single" w:color="auto" w:sz="8" w:space="0"/>
      </w:pBdr>
      <w:spacing w:before="100" w:beforeAutospacing="1" w:after="100" w:afterAutospacing="1"/>
      <w:jc w:val="center"/>
    </w:pPr>
    <w:rPr>
      <w:sz w:val="21"/>
      <w:szCs w:val="21"/>
    </w:rPr>
  </w:style>
  <w:style w:type="paragraph" w:customStyle="1" w:styleId="1937">
    <w:name w:val="xl125"/>
    <w:basedOn w:val="1"/>
    <w:qFormat/>
    <w:uiPriority w:val="0"/>
    <w:pPr>
      <w:pBdr>
        <w:top w:val="single" w:color="auto" w:sz="8" w:space="0"/>
        <w:left w:val="single" w:color="auto" w:sz="8" w:space="0"/>
        <w:right w:val="single" w:color="auto" w:sz="8" w:space="0"/>
      </w:pBdr>
      <w:spacing w:before="100" w:beforeAutospacing="1" w:after="100" w:afterAutospacing="1"/>
      <w:jc w:val="center"/>
    </w:pPr>
    <w:rPr>
      <w:sz w:val="21"/>
      <w:szCs w:val="21"/>
    </w:rPr>
  </w:style>
  <w:style w:type="paragraph" w:customStyle="1" w:styleId="1938">
    <w:name w:val="xl126"/>
    <w:basedOn w:val="1"/>
    <w:qFormat/>
    <w:uiPriority w:val="0"/>
    <w:pPr>
      <w:pBdr>
        <w:left w:val="single" w:color="auto" w:sz="8" w:space="0"/>
        <w:right w:val="single" w:color="auto" w:sz="8" w:space="0"/>
      </w:pBdr>
      <w:spacing w:before="100" w:beforeAutospacing="1" w:after="100" w:afterAutospacing="1"/>
      <w:jc w:val="center"/>
    </w:pPr>
    <w:rPr>
      <w:sz w:val="21"/>
      <w:szCs w:val="21"/>
    </w:rPr>
  </w:style>
  <w:style w:type="paragraph" w:customStyle="1" w:styleId="1939">
    <w:name w:val="xl127"/>
    <w:basedOn w:val="1"/>
    <w:qFormat/>
    <w:uiPriority w:val="0"/>
    <w:pPr>
      <w:pBdr>
        <w:bottom w:val="single" w:color="auto" w:sz="8" w:space="0"/>
      </w:pBdr>
      <w:spacing w:before="100" w:beforeAutospacing="1" w:after="100" w:afterAutospacing="1"/>
      <w:jc w:val="center"/>
    </w:pPr>
    <w:rPr>
      <w:rFonts w:ascii="Times New Roman" w:hAnsi="Times New Roman" w:cs="Times New Roman"/>
    </w:rPr>
  </w:style>
  <w:style w:type="paragraph" w:customStyle="1" w:styleId="1940">
    <w:name w:val="xl128"/>
    <w:basedOn w:val="1"/>
    <w:qFormat/>
    <w:uiPriority w:val="0"/>
    <w:pPr>
      <w:pBdr>
        <w:left w:val="single" w:color="auto" w:sz="8" w:space="0"/>
      </w:pBdr>
      <w:spacing w:before="100" w:beforeAutospacing="1" w:after="100" w:afterAutospacing="1"/>
      <w:jc w:val="center"/>
    </w:pPr>
  </w:style>
  <w:style w:type="paragraph" w:customStyle="1" w:styleId="1941">
    <w:name w:val="xl129"/>
    <w:basedOn w:val="1"/>
    <w:qFormat/>
    <w:uiPriority w:val="0"/>
    <w:pPr>
      <w:pBdr>
        <w:top w:val="single" w:color="auto" w:sz="8" w:space="0"/>
        <w:left w:val="single" w:color="auto" w:sz="8" w:space="0"/>
      </w:pBdr>
      <w:spacing w:before="100" w:beforeAutospacing="1" w:after="100" w:afterAutospacing="1"/>
      <w:jc w:val="center"/>
    </w:pPr>
    <w:rPr>
      <w:sz w:val="21"/>
      <w:szCs w:val="21"/>
    </w:rPr>
  </w:style>
  <w:style w:type="paragraph" w:customStyle="1" w:styleId="1942">
    <w:name w:val="xl130"/>
    <w:basedOn w:val="1"/>
    <w:qFormat/>
    <w:uiPriority w:val="0"/>
    <w:pPr>
      <w:pBdr>
        <w:top w:val="single" w:color="auto" w:sz="8" w:space="0"/>
        <w:left w:val="single" w:color="auto" w:sz="8" w:space="0"/>
      </w:pBdr>
      <w:spacing w:before="100" w:beforeAutospacing="1" w:after="100" w:afterAutospacing="1"/>
      <w:jc w:val="center"/>
    </w:pPr>
    <w:rPr>
      <w:rFonts w:ascii="Times New Roman" w:hAnsi="Times New Roman" w:cs="Times New Roman"/>
      <w:sz w:val="21"/>
      <w:szCs w:val="21"/>
    </w:rPr>
  </w:style>
  <w:style w:type="paragraph" w:customStyle="1" w:styleId="1943">
    <w:name w:val="xl131"/>
    <w:basedOn w:val="1"/>
    <w:qFormat/>
    <w:uiPriority w:val="0"/>
    <w:pPr>
      <w:pBdr>
        <w:left w:val="single" w:color="auto" w:sz="8" w:space="0"/>
        <w:bottom w:val="single" w:color="auto" w:sz="8" w:space="0"/>
      </w:pBdr>
      <w:spacing w:before="100" w:beforeAutospacing="1" w:after="100" w:afterAutospacing="1"/>
      <w:jc w:val="center"/>
    </w:pPr>
    <w:rPr>
      <w:rFonts w:ascii="Times New Roman" w:hAnsi="Times New Roman" w:cs="Times New Roman"/>
      <w:sz w:val="21"/>
      <w:szCs w:val="21"/>
    </w:rPr>
  </w:style>
  <w:style w:type="paragraph" w:customStyle="1" w:styleId="1944">
    <w:name w:val="正文缩进2字符"/>
    <w:basedOn w:val="1"/>
    <w:qFormat/>
    <w:uiPriority w:val="0"/>
    <w:pPr>
      <w:widowControl w:val="0"/>
      <w:autoSpaceDE w:val="0"/>
      <w:autoSpaceDN w:val="0"/>
      <w:adjustRightInd w:val="0"/>
      <w:spacing w:line="360" w:lineRule="auto"/>
      <w:ind w:left="-2" w:leftChars="-1" w:firstLine="456" w:firstLineChars="190"/>
      <w:jc w:val="both"/>
      <w:textAlignment w:val="baseline"/>
    </w:pPr>
    <w:rPr>
      <w:rFonts w:ascii="Times New Roman" w:hAnsi="Times New Roman" w:cs="Times New Roman"/>
      <w:szCs w:val="20"/>
      <w:lang w:val="zh-CN"/>
    </w:rPr>
  </w:style>
  <w:style w:type="paragraph" w:customStyle="1" w:styleId="1945">
    <w:name w:val="中大表格内容"/>
    <w:basedOn w:val="1627"/>
    <w:link w:val="1946"/>
    <w:qFormat/>
    <w:uiPriority w:val="0"/>
    <w:pPr>
      <w:snapToGrid w:val="0"/>
      <w:spacing w:line="240" w:lineRule="auto"/>
      <w:ind w:firstLine="0" w:firstLineChars="0"/>
      <w:jc w:val="center"/>
    </w:pPr>
    <w:rPr>
      <w:sz w:val="21"/>
      <w:szCs w:val="21"/>
    </w:rPr>
  </w:style>
  <w:style w:type="character" w:customStyle="1" w:styleId="1946">
    <w:name w:val="中大表格内容 Char"/>
    <w:link w:val="1945"/>
    <w:qFormat/>
    <w:uiPriority w:val="0"/>
    <w:rPr>
      <w:rFonts w:ascii="宋体" w:hAnsi="宋体"/>
      <w:sz w:val="21"/>
      <w:szCs w:val="21"/>
      <w:lang w:val="zh-CN"/>
    </w:rPr>
  </w:style>
  <w:style w:type="character" w:customStyle="1" w:styleId="1947">
    <w:name w:val="text_edit editable-title"/>
    <w:qFormat/>
    <w:uiPriority w:val="0"/>
  </w:style>
  <w:style w:type="paragraph" w:customStyle="1" w:styleId="1948">
    <w:name w:val="tgt1"/>
    <w:basedOn w:val="1"/>
    <w:qFormat/>
    <w:uiPriority w:val="0"/>
    <w:pPr>
      <w:spacing w:after="150"/>
    </w:pPr>
  </w:style>
  <w:style w:type="paragraph" w:customStyle="1" w:styleId="1949">
    <w:name w:val="Char1 Char Char1 Char11"/>
    <w:basedOn w:val="1"/>
    <w:qFormat/>
    <w:uiPriority w:val="0"/>
    <w:pPr>
      <w:widowControl w:val="0"/>
      <w:adjustRightInd w:val="0"/>
      <w:snapToGrid w:val="0"/>
      <w:spacing w:line="400" w:lineRule="exact"/>
      <w:ind w:firstLine="200" w:firstLineChars="200"/>
      <w:jc w:val="both"/>
    </w:pPr>
    <w:rPr>
      <w:rFonts w:ascii="Times New Roman" w:hAnsi="Times New Roman" w:cs="Times New Roman"/>
      <w:kern w:val="2"/>
      <w:szCs w:val="20"/>
    </w:rPr>
  </w:style>
  <w:style w:type="character" w:customStyle="1" w:styleId="1950">
    <w:name w:val="Char Char22"/>
    <w:qFormat/>
    <w:uiPriority w:val="0"/>
    <w:rPr>
      <w:rFonts w:ascii="Arial" w:hAnsi="Arial" w:eastAsia="黑体"/>
      <w:kern w:val="2"/>
      <w:sz w:val="24"/>
      <w:szCs w:val="24"/>
    </w:rPr>
  </w:style>
  <w:style w:type="character" w:customStyle="1" w:styleId="1951">
    <w:name w:val="Char Char21"/>
    <w:qFormat/>
    <w:uiPriority w:val="0"/>
    <w:rPr>
      <w:rFonts w:ascii="Arial" w:hAnsi="Arial" w:eastAsia="黑体"/>
      <w:kern w:val="2"/>
      <w:sz w:val="24"/>
      <w:szCs w:val="21"/>
    </w:rPr>
  </w:style>
  <w:style w:type="character" w:customStyle="1" w:styleId="1952">
    <w:name w:val="Char Char20"/>
    <w:qFormat/>
    <w:uiPriority w:val="0"/>
    <w:rPr>
      <w:rFonts w:eastAsia="宋体"/>
      <w:kern w:val="2"/>
      <w:sz w:val="24"/>
      <w:szCs w:val="24"/>
      <w:lang w:val="en-US" w:eastAsia="zh-CN" w:bidi="ar-SA"/>
    </w:rPr>
  </w:style>
  <w:style w:type="character" w:customStyle="1" w:styleId="1953">
    <w:name w:val="Char Char19"/>
    <w:qFormat/>
    <w:uiPriority w:val="0"/>
    <w:rPr>
      <w:rFonts w:eastAsia="宋体"/>
      <w:sz w:val="24"/>
      <w:lang w:val="en-US" w:eastAsia="zh-CN" w:bidi="ar-SA"/>
    </w:rPr>
  </w:style>
  <w:style w:type="paragraph" w:customStyle="1" w:styleId="1954">
    <w:name w:val="Char Char Char Char Char Char Char2"/>
    <w:basedOn w:val="1"/>
    <w:qFormat/>
    <w:uiPriority w:val="0"/>
    <w:pPr>
      <w:spacing w:after="160" w:line="240" w:lineRule="exact"/>
    </w:pPr>
    <w:rPr>
      <w:rFonts w:ascii="Verdana" w:hAnsi="Verdana" w:cs="Times New Roman"/>
      <w:sz w:val="20"/>
      <w:szCs w:val="32"/>
      <w:lang w:eastAsia="en-US"/>
    </w:rPr>
  </w:style>
  <w:style w:type="paragraph" w:customStyle="1" w:styleId="1955">
    <w:name w:val="Char Char Char Char Char Char3"/>
    <w:basedOn w:val="1"/>
    <w:qFormat/>
    <w:uiPriority w:val="0"/>
    <w:pPr>
      <w:widowControl w:val="0"/>
      <w:jc w:val="both"/>
    </w:pPr>
    <w:rPr>
      <w:rFonts w:ascii="Times New Roman" w:hAnsi="Times New Roman" w:cs="Times New Roman"/>
      <w:kern w:val="2"/>
      <w:sz w:val="21"/>
    </w:rPr>
  </w:style>
  <w:style w:type="paragraph" w:customStyle="1" w:styleId="1956">
    <w:name w:val="字元 字元 Char Char 字元 字元12"/>
    <w:basedOn w:val="1"/>
    <w:qFormat/>
    <w:uiPriority w:val="0"/>
    <w:pPr>
      <w:widowControl w:val="0"/>
      <w:jc w:val="both"/>
    </w:pPr>
    <w:rPr>
      <w:rFonts w:ascii="Times New Roman" w:hAnsi="Times New Roman" w:cs="Times New Roman"/>
      <w:kern w:val="2"/>
    </w:rPr>
  </w:style>
  <w:style w:type="paragraph" w:customStyle="1" w:styleId="1957">
    <w:name w:val="Char Char Char Char Char Char1 Char Char Char1 Char Char Char1 Char Char Char Char Char Char Char Char Char Char2"/>
    <w:basedOn w:val="1"/>
    <w:next w:val="1"/>
    <w:qFormat/>
    <w:uiPriority w:val="0"/>
    <w:pPr>
      <w:widowControl w:val="0"/>
      <w:spacing w:line="360" w:lineRule="auto"/>
      <w:ind w:firstLine="200" w:firstLineChars="200"/>
      <w:jc w:val="both"/>
    </w:pPr>
    <w:rPr>
      <w:kern w:val="2"/>
    </w:rPr>
  </w:style>
  <w:style w:type="paragraph" w:customStyle="1" w:styleId="1958">
    <w:name w:val="Char Char Char1 Char1"/>
    <w:basedOn w:val="1"/>
    <w:qFormat/>
    <w:uiPriority w:val="0"/>
    <w:pPr>
      <w:widowControl w:val="0"/>
      <w:snapToGrid w:val="0"/>
      <w:spacing w:line="360" w:lineRule="auto"/>
      <w:ind w:firstLine="200" w:firstLineChars="200"/>
      <w:jc w:val="both"/>
    </w:pPr>
    <w:rPr>
      <w:rFonts w:ascii="Times New Roman" w:hAnsi="Times New Roman" w:eastAsia="仿宋_GB2312" w:cs="Times New Roman"/>
      <w:kern w:val="2"/>
    </w:rPr>
  </w:style>
  <w:style w:type="paragraph" w:customStyle="1" w:styleId="1959">
    <w:name w:val="Char Char Char1 Char Char Char1"/>
    <w:basedOn w:val="1"/>
    <w:qFormat/>
    <w:uiPriority w:val="0"/>
    <w:pPr>
      <w:widowControl w:val="0"/>
      <w:spacing w:line="360" w:lineRule="auto"/>
      <w:ind w:firstLine="200" w:firstLineChars="200"/>
      <w:jc w:val="both"/>
    </w:pPr>
    <w:rPr>
      <w:kern w:val="2"/>
    </w:rPr>
  </w:style>
  <w:style w:type="paragraph" w:customStyle="1" w:styleId="1960">
    <w:name w:val="Char Char Char1 Char Char Char Char Char Char Char1"/>
    <w:basedOn w:val="1"/>
    <w:qFormat/>
    <w:uiPriority w:val="0"/>
    <w:pPr>
      <w:widowControl w:val="0"/>
      <w:spacing w:line="360" w:lineRule="auto"/>
      <w:ind w:firstLine="200" w:firstLineChars="200"/>
      <w:jc w:val="both"/>
    </w:pPr>
    <w:rPr>
      <w:kern w:val="2"/>
    </w:rPr>
  </w:style>
  <w:style w:type="paragraph" w:customStyle="1" w:styleId="1961">
    <w:name w:val="Char21"/>
    <w:basedOn w:val="1"/>
    <w:qFormat/>
    <w:uiPriority w:val="0"/>
    <w:pPr>
      <w:widowControl w:val="0"/>
      <w:snapToGrid w:val="0"/>
      <w:spacing w:line="360" w:lineRule="auto"/>
      <w:ind w:firstLine="200" w:firstLineChars="200"/>
      <w:jc w:val="both"/>
    </w:pPr>
    <w:rPr>
      <w:rFonts w:ascii="Times New Roman" w:hAnsi="Times New Roman" w:eastAsia="仿宋_GB2312" w:cs="Times New Roman"/>
      <w:kern w:val="2"/>
    </w:rPr>
  </w:style>
  <w:style w:type="paragraph" w:customStyle="1" w:styleId="1962">
    <w:name w:val="纯文本4"/>
    <w:basedOn w:val="1"/>
    <w:qFormat/>
    <w:uiPriority w:val="0"/>
    <w:pPr>
      <w:widowControl w:val="0"/>
      <w:adjustRightInd w:val="0"/>
      <w:jc w:val="both"/>
      <w:textAlignment w:val="baseline"/>
    </w:pPr>
    <w:rPr>
      <w:rFonts w:hAnsi="Courier New" w:cs="Times New Roman"/>
      <w:kern w:val="2"/>
      <w:sz w:val="21"/>
      <w:szCs w:val="20"/>
    </w:rPr>
  </w:style>
  <w:style w:type="paragraph" w:customStyle="1" w:styleId="1963">
    <w:name w:val="正文8"/>
    <w:basedOn w:val="1"/>
    <w:qFormat/>
    <w:uiPriority w:val="0"/>
    <w:pPr>
      <w:widowControl w:val="0"/>
      <w:adjustRightInd w:val="0"/>
      <w:spacing w:line="480" w:lineRule="exact"/>
      <w:jc w:val="both"/>
      <w:textAlignment w:val="baseline"/>
    </w:pPr>
    <w:rPr>
      <w:rFonts w:ascii="Times New Roman" w:hAnsi="Times New Roman" w:cs="Times New Roman"/>
      <w:spacing w:val="-2"/>
      <w:sz w:val="28"/>
      <w:szCs w:val="20"/>
    </w:rPr>
  </w:style>
  <w:style w:type="paragraph" w:customStyle="1" w:styleId="1964">
    <w:name w:val="Char Char Char Char3"/>
    <w:basedOn w:val="1"/>
    <w:qFormat/>
    <w:uiPriority w:val="0"/>
    <w:pPr>
      <w:widowControl w:val="0"/>
      <w:spacing w:line="360" w:lineRule="auto"/>
      <w:ind w:firstLine="200" w:firstLineChars="200"/>
      <w:jc w:val="both"/>
    </w:pPr>
    <w:rPr>
      <w:kern w:val="2"/>
    </w:rPr>
  </w:style>
  <w:style w:type="paragraph" w:customStyle="1" w:styleId="1965">
    <w:name w:val="Char Char Char Char Char Char1 Char2"/>
    <w:basedOn w:val="1"/>
    <w:qFormat/>
    <w:uiPriority w:val="0"/>
    <w:pPr>
      <w:widowControl w:val="0"/>
      <w:spacing w:line="360" w:lineRule="auto"/>
      <w:ind w:firstLine="200" w:firstLineChars="200"/>
      <w:jc w:val="both"/>
    </w:pPr>
    <w:rPr>
      <w:kern w:val="2"/>
    </w:rPr>
  </w:style>
  <w:style w:type="paragraph" w:customStyle="1" w:styleId="1966">
    <w:name w:val="Char Char Char Char Char Char Char Char Char Char5"/>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1967">
    <w:name w:val="r1.1.1y小分项"/>
    <w:next w:val="1"/>
    <w:qFormat/>
    <w:uiPriority w:val="0"/>
    <w:pPr>
      <w:spacing w:beforeLines="100" w:afterLines="50"/>
    </w:pPr>
    <w:rPr>
      <w:rFonts w:ascii="SansSerif" w:hAnsi="SansSerif" w:eastAsia="宋体" w:cs="Times New Roman"/>
      <w:b/>
      <w:color w:val="666699"/>
      <w:kern w:val="2"/>
      <w:sz w:val="18"/>
      <w:lang w:val="en-US" w:eastAsia="zh-CN" w:bidi="ar-SA"/>
    </w:rPr>
  </w:style>
  <w:style w:type="paragraph" w:customStyle="1" w:styleId="1968">
    <w:name w:val="样式 左侧:  0.98 厘米"/>
    <w:basedOn w:val="1"/>
    <w:qFormat/>
    <w:uiPriority w:val="0"/>
    <w:pPr>
      <w:widowControl w:val="0"/>
      <w:adjustRightInd w:val="0"/>
      <w:snapToGrid w:val="0"/>
      <w:spacing w:line="490" w:lineRule="exact"/>
      <w:ind w:firstLine="560" w:firstLineChars="200"/>
      <w:jc w:val="both"/>
    </w:pPr>
    <w:rPr>
      <w:rFonts w:ascii="Times New Roman" w:hAnsi="Times New Roman" w:eastAsia="仿宋_GB2312" w:cs="Times New Roman"/>
      <w:kern w:val="2"/>
      <w:sz w:val="28"/>
      <w:szCs w:val="20"/>
    </w:rPr>
  </w:style>
  <w:style w:type="paragraph" w:customStyle="1" w:styleId="1969">
    <w:name w:val="样式 样式 正文缩进s4 + 首行缩进:  2 字符 + 首行缩进:  2 字符"/>
    <w:basedOn w:val="1"/>
    <w:qFormat/>
    <w:uiPriority w:val="0"/>
    <w:pPr>
      <w:widowControl w:val="0"/>
      <w:adjustRightInd w:val="0"/>
      <w:snapToGrid w:val="0"/>
      <w:spacing w:line="560" w:lineRule="exact"/>
      <w:ind w:firstLine="560" w:firstLineChars="200"/>
      <w:jc w:val="both"/>
    </w:pPr>
    <w:rPr>
      <w:rFonts w:ascii="Times New Roman" w:hAnsi="Times New Roman" w:cs="Times New Roman"/>
      <w:color w:val="000000"/>
      <w:kern w:val="2"/>
      <w:sz w:val="28"/>
      <w:szCs w:val="20"/>
    </w:rPr>
  </w:style>
  <w:style w:type="paragraph" w:customStyle="1" w:styleId="1970">
    <w:name w:val="Char Char Char Char Char Char Char Char Char Char Char Char Char Char Char1"/>
    <w:next w:val="1"/>
    <w:qFormat/>
    <w:uiPriority w:val="0"/>
    <w:pPr>
      <w:tabs>
        <w:tab w:val="left" w:pos="700"/>
      </w:tabs>
      <w:snapToGrid w:val="0"/>
      <w:spacing w:line="300" w:lineRule="auto"/>
    </w:pPr>
    <w:rPr>
      <w:rFonts w:ascii="仿宋_GB2312" w:hAnsi="Verdana" w:eastAsia="仿宋_GB2312" w:cs="Times New Roman"/>
      <w:b/>
      <w:bCs/>
      <w:snapToGrid w:val="0"/>
      <w:sz w:val="28"/>
      <w:szCs w:val="28"/>
      <w:lang w:val="en-US" w:eastAsia="en-US" w:bidi="ar-SA"/>
    </w:rPr>
  </w:style>
  <w:style w:type="paragraph" w:customStyle="1" w:styleId="1971">
    <w:name w:val="Char Char Char Char4"/>
    <w:basedOn w:val="1"/>
    <w:qFormat/>
    <w:uiPriority w:val="0"/>
    <w:pPr>
      <w:widowControl w:val="0"/>
      <w:spacing w:line="360" w:lineRule="auto"/>
      <w:ind w:firstLine="200" w:firstLineChars="200"/>
      <w:jc w:val="both"/>
    </w:pPr>
    <w:rPr>
      <w:kern w:val="2"/>
    </w:rPr>
  </w:style>
  <w:style w:type="paragraph" w:customStyle="1" w:styleId="1972">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widowControl w:val="0"/>
      <w:pBdr>
        <w:right w:val="single" w:color="auto" w:sz="12" w:space="4"/>
      </w:pBdr>
      <w:spacing w:line="360" w:lineRule="auto"/>
      <w:jc w:val="both"/>
    </w:pPr>
    <w:rPr>
      <w:rFonts w:ascii="Times New Roman" w:cs="Times New Roman"/>
      <w:kern w:val="2"/>
    </w:rPr>
  </w:style>
  <w:style w:type="paragraph" w:customStyle="1" w:styleId="1973">
    <w:name w:val="bk-dialog-main"/>
    <w:basedOn w:val="1"/>
    <w:qFormat/>
    <w:uiPriority w:val="0"/>
    <w:pPr>
      <w:pBdr>
        <w:top w:val="single" w:color="104A88" w:sz="6" w:space="0"/>
        <w:left w:val="single" w:color="104A88" w:sz="6" w:space="0"/>
        <w:bottom w:val="single" w:color="104A88" w:sz="6" w:space="0"/>
        <w:right w:val="single" w:color="104A88" w:sz="6" w:space="0"/>
      </w:pBdr>
      <w:spacing w:before="100" w:beforeAutospacing="1" w:after="100" w:afterAutospacing="1"/>
    </w:pPr>
  </w:style>
  <w:style w:type="paragraph" w:customStyle="1" w:styleId="1974">
    <w:name w:val="bk-dialog"/>
    <w:basedOn w:val="1"/>
    <w:qFormat/>
    <w:uiPriority w:val="0"/>
    <w:pPr>
      <w:pBdr>
        <w:top w:val="single" w:color="3874AC" w:sz="6" w:space="0"/>
        <w:left w:val="single" w:color="1169B1" w:sz="12" w:space="0"/>
        <w:bottom w:val="single" w:color="1169B1" w:sz="12" w:space="0"/>
        <w:right w:val="single" w:color="1169B1" w:sz="12" w:space="0"/>
      </w:pBdr>
      <w:shd w:val="clear" w:color="auto" w:fill="FFFFFF"/>
      <w:spacing w:before="100" w:beforeAutospacing="1" w:after="100" w:afterAutospacing="1"/>
    </w:pPr>
  </w:style>
  <w:style w:type="paragraph" w:customStyle="1" w:styleId="1975">
    <w:name w:val="bk-dialog-title"/>
    <w:basedOn w:val="1"/>
    <w:qFormat/>
    <w:uiPriority w:val="0"/>
    <w:pPr>
      <w:spacing w:before="100" w:beforeAutospacing="1" w:after="100" w:afterAutospacing="1"/>
      <w:textAlignment w:val="top"/>
    </w:pPr>
    <w:rPr>
      <w:b/>
      <w:bCs/>
      <w:sz w:val="21"/>
      <w:szCs w:val="21"/>
    </w:rPr>
  </w:style>
  <w:style w:type="paragraph" w:customStyle="1" w:styleId="1976">
    <w:name w:val="bk-dialog-title-inner"/>
    <w:basedOn w:val="1"/>
    <w:qFormat/>
    <w:uiPriority w:val="0"/>
    <w:pPr>
      <w:spacing w:before="100" w:beforeAutospacing="1" w:after="100" w:afterAutospacing="1"/>
    </w:pPr>
    <w:rPr>
      <w:b/>
      <w:bCs/>
      <w:color w:val="FFFFFF"/>
      <w:sz w:val="21"/>
      <w:szCs w:val="21"/>
    </w:rPr>
  </w:style>
  <w:style w:type="paragraph" w:customStyle="1" w:styleId="1977">
    <w:name w:val="bk-dialog-content-shade"/>
    <w:basedOn w:val="1"/>
    <w:qFormat/>
    <w:uiPriority w:val="0"/>
    <w:pPr>
      <w:pBdr>
        <w:top w:val="single" w:color="FFFFFF" w:sz="2" w:space="0"/>
        <w:left w:val="single" w:color="FFFFFF" w:sz="6" w:space="0"/>
        <w:bottom w:val="single" w:color="FFFFFF" w:sz="6" w:space="0"/>
        <w:right w:val="single" w:color="FFFFFF" w:sz="6" w:space="0"/>
      </w:pBdr>
      <w:shd w:val="clear" w:color="auto" w:fill="FFFFFF"/>
    </w:pPr>
  </w:style>
  <w:style w:type="paragraph" w:customStyle="1" w:styleId="1978">
    <w:name w:val="dialog-content-inner-wrap"/>
    <w:basedOn w:val="1"/>
    <w:qFormat/>
    <w:uiPriority w:val="0"/>
    <w:pPr>
      <w:spacing w:line="480" w:lineRule="atLeast"/>
      <w:textAlignment w:val="top"/>
    </w:pPr>
  </w:style>
  <w:style w:type="paragraph" w:customStyle="1" w:styleId="1979">
    <w:name w:val="dialog-confirm"/>
    <w:basedOn w:val="1"/>
    <w:qFormat/>
    <w:uiPriority w:val="0"/>
    <w:pPr>
      <w:spacing w:before="100" w:beforeAutospacing="1" w:after="100" w:afterAutospacing="1"/>
    </w:pPr>
  </w:style>
  <w:style w:type="paragraph" w:customStyle="1" w:styleId="1980">
    <w:name w:val="dialog-alert"/>
    <w:basedOn w:val="1"/>
    <w:qFormat/>
    <w:uiPriority w:val="0"/>
    <w:pPr>
      <w:spacing w:before="100" w:beforeAutospacing="1" w:after="100" w:afterAutospacing="1"/>
    </w:pPr>
  </w:style>
  <w:style w:type="paragraph" w:customStyle="1" w:styleId="1981">
    <w:name w:val="bk-dialog-close"/>
    <w:basedOn w:val="1"/>
    <w:qFormat/>
    <w:uiPriority w:val="0"/>
    <w:pPr>
      <w:pBdr>
        <w:top w:val="single" w:color="FFFFFF" w:sz="48" w:space="0"/>
        <w:left w:val="single" w:color="FFFFFF" w:sz="48" w:space="0"/>
        <w:bottom w:val="single" w:color="FFFFFF" w:sz="48" w:space="0"/>
        <w:right w:val="single" w:color="FFFFFF" w:sz="48" w:space="0"/>
      </w:pBdr>
      <w:spacing w:before="100" w:beforeAutospacing="1" w:after="100" w:afterAutospacing="1"/>
    </w:pPr>
  </w:style>
  <w:style w:type="paragraph" w:customStyle="1" w:styleId="1982">
    <w:name w:val="bk-dialog-content"/>
    <w:basedOn w:val="1"/>
    <w:qFormat/>
    <w:uiPriority w:val="0"/>
    <w:pPr>
      <w:spacing w:before="100" w:beforeAutospacing="1" w:after="100" w:afterAutospacing="1"/>
    </w:pPr>
  </w:style>
  <w:style w:type="paragraph" w:customStyle="1" w:styleId="1983">
    <w:name w:val="bk-dialog-content-scroll"/>
    <w:basedOn w:val="1"/>
    <w:qFormat/>
    <w:uiPriority w:val="0"/>
    <w:pPr>
      <w:spacing w:before="100" w:beforeAutospacing="1" w:after="100" w:afterAutospacing="1"/>
    </w:pPr>
  </w:style>
  <w:style w:type="paragraph" w:customStyle="1" w:styleId="1984">
    <w:name w:val="bk-dialog-footer"/>
    <w:basedOn w:val="1"/>
    <w:qFormat/>
    <w:uiPriority w:val="0"/>
    <w:pPr>
      <w:shd w:val="clear" w:color="auto" w:fill="FFFFFF"/>
      <w:spacing w:after="15"/>
      <w:ind w:left="15" w:right="15"/>
      <w:jc w:val="center"/>
    </w:pPr>
  </w:style>
  <w:style w:type="paragraph" w:customStyle="1" w:styleId="1985">
    <w:name w:val="bk-dialog-accept"/>
    <w:basedOn w:val="1"/>
    <w:qFormat/>
    <w:uiPriority w:val="0"/>
    <w:pPr>
      <w:spacing w:before="100" w:beforeAutospacing="1" w:after="100" w:afterAutospacing="1"/>
      <w:ind w:right="150"/>
    </w:pPr>
    <w:rPr>
      <w:sz w:val="21"/>
      <w:szCs w:val="21"/>
    </w:rPr>
  </w:style>
  <w:style w:type="paragraph" w:customStyle="1" w:styleId="1986">
    <w:name w:val="bk-dialog-cancel"/>
    <w:basedOn w:val="1"/>
    <w:qFormat/>
    <w:uiPriority w:val="0"/>
    <w:pPr>
      <w:spacing w:before="100" w:beforeAutospacing="1" w:after="100" w:afterAutospacing="1"/>
      <w:ind w:right="150"/>
    </w:pPr>
    <w:rPr>
      <w:sz w:val="21"/>
      <w:szCs w:val="21"/>
    </w:rPr>
  </w:style>
  <w:style w:type="paragraph" w:customStyle="1" w:styleId="1987">
    <w:name w:val="bk-dialog-button-label"/>
    <w:basedOn w:val="1"/>
    <w:qFormat/>
    <w:uiPriority w:val="0"/>
    <w:pPr>
      <w:spacing w:before="100" w:beforeAutospacing="1" w:after="100" w:afterAutospacing="1"/>
    </w:pPr>
    <w:rPr>
      <w:b/>
      <w:bCs/>
      <w:color w:val="0163AF"/>
      <w:sz w:val="21"/>
      <w:szCs w:val="21"/>
    </w:rPr>
  </w:style>
  <w:style w:type="paragraph" w:customStyle="1" w:styleId="1988">
    <w:name w:val="w950"/>
    <w:basedOn w:val="1"/>
    <w:qFormat/>
    <w:uiPriority w:val="0"/>
    <w:pPr>
      <w:spacing w:before="100" w:beforeAutospacing="1" w:after="100" w:afterAutospacing="1"/>
    </w:pPr>
  </w:style>
  <w:style w:type="paragraph" w:customStyle="1" w:styleId="1989">
    <w:name w:val="w1000"/>
    <w:basedOn w:val="1"/>
    <w:qFormat/>
    <w:uiPriority w:val="0"/>
    <w:pPr>
      <w:spacing w:before="100" w:beforeAutospacing="1" w:after="100" w:afterAutospacing="1"/>
    </w:pPr>
  </w:style>
  <w:style w:type="paragraph" w:customStyle="1" w:styleId="1990">
    <w:name w:val="col-main"/>
    <w:basedOn w:val="1"/>
    <w:qFormat/>
    <w:uiPriority w:val="0"/>
    <w:pPr>
      <w:spacing w:before="100" w:beforeAutospacing="1" w:after="100" w:afterAutospacing="1"/>
    </w:pPr>
  </w:style>
  <w:style w:type="paragraph" w:customStyle="1" w:styleId="1991">
    <w:name w:val="w745"/>
    <w:basedOn w:val="1"/>
    <w:qFormat/>
    <w:uiPriority w:val="0"/>
    <w:pPr>
      <w:spacing w:before="100" w:beforeAutospacing="1" w:after="100" w:afterAutospacing="1"/>
    </w:pPr>
  </w:style>
  <w:style w:type="paragraph" w:customStyle="1" w:styleId="1992">
    <w:name w:val="hidden"/>
    <w:basedOn w:val="1"/>
    <w:qFormat/>
    <w:uiPriority w:val="0"/>
    <w:pPr>
      <w:spacing w:before="100" w:beforeAutospacing="1" w:after="100" w:afterAutospacing="1"/>
    </w:pPr>
    <w:rPr>
      <w:vanish/>
    </w:rPr>
  </w:style>
  <w:style w:type="paragraph" w:customStyle="1" w:styleId="1993">
    <w:name w:val="clear"/>
    <w:basedOn w:val="1"/>
    <w:qFormat/>
    <w:uiPriority w:val="0"/>
    <w:pPr>
      <w:spacing w:before="100" w:beforeAutospacing="1" w:after="100" w:afterAutospacing="1" w:line="0" w:lineRule="auto"/>
    </w:pPr>
    <w:rPr>
      <w:sz w:val="2"/>
      <w:szCs w:val="2"/>
    </w:rPr>
  </w:style>
  <w:style w:type="paragraph" w:customStyle="1" w:styleId="1994">
    <w:name w:val="text-wrap"/>
    <w:basedOn w:val="1"/>
    <w:qFormat/>
    <w:uiPriority w:val="0"/>
    <w:pPr>
      <w:wordWrap w:val="0"/>
      <w:spacing w:before="100" w:beforeAutospacing="1" w:after="100" w:afterAutospacing="1"/>
    </w:pPr>
  </w:style>
  <w:style w:type="paragraph" w:customStyle="1" w:styleId="1995">
    <w:name w:val="text-nowrap"/>
    <w:basedOn w:val="1"/>
    <w:qFormat/>
    <w:uiPriority w:val="0"/>
    <w:pPr>
      <w:spacing w:before="100" w:beforeAutospacing="1" w:after="100" w:afterAutospacing="1"/>
    </w:pPr>
  </w:style>
  <w:style w:type="paragraph" w:customStyle="1" w:styleId="1996">
    <w:name w:val="red"/>
    <w:basedOn w:val="1"/>
    <w:qFormat/>
    <w:uiPriority w:val="0"/>
    <w:pPr>
      <w:spacing w:before="100" w:beforeAutospacing="1" w:after="100" w:afterAutospacing="1"/>
    </w:pPr>
    <w:rPr>
      <w:color w:val="FF0000"/>
    </w:rPr>
  </w:style>
  <w:style w:type="paragraph" w:customStyle="1" w:styleId="1997">
    <w:name w:val="slide"/>
    <w:basedOn w:val="1"/>
    <w:qFormat/>
    <w:uiPriority w:val="0"/>
    <w:pPr>
      <w:spacing w:before="100" w:beforeAutospacing="1" w:after="100" w:afterAutospacing="1" w:line="0" w:lineRule="auto"/>
    </w:pPr>
    <w:rPr>
      <w:sz w:val="2"/>
      <w:szCs w:val="2"/>
    </w:rPr>
  </w:style>
  <w:style w:type="paragraph" w:customStyle="1" w:styleId="1998">
    <w:name w:val="s-left"/>
    <w:basedOn w:val="1"/>
    <w:qFormat/>
    <w:uiPriority w:val="0"/>
    <w:pPr>
      <w:pBdr>
        <w:top w:val="dashed" w:color="auto" w:sz="24" w:space="0"/>
        <w:left w:val="dashed" w:color="auto" w:sz="24" w:space="0"/>
        <w:bottom w:val="dashed" w:color="auto" w:sz="24" w:space="0"/>
        <w:right w:val="single" w:color="auto" w:sz="24" w:space="0"/>
      </w:pBdr>
      <w:spacing w:before="100" w:beforeAutospacing="1" w:after="100" w:afterAutospacing="1"/>
    </w:pPr>
  </w:style>
  <w:style w:type="paragraph" w:customStyle="1" w:styleId="1999">
    <w:name w:val="s-right"/>
    <w:basedOn w:val="1"/>
    <w:qFormat/>
    <w:uiPriority w:val="0"/>
    <w:pPr>
      <w:pBdr>
        <w:top w:val="dashed" w:color="auto" w:sz="24" w:space="0"/>
        <w:left w:val="single" w:color="auto" w:sz="24" w:space="0"/>
        <w:bottom w:val="dashed" w:color="auto" w:sz="24" w:space="0"/>
        <w:right w:val="dashed" w:color="auto" w:sz="24" w:space="0"/>
      </w:pBdr>
      <w:spacing w:before="100" w:beforeAutospacing="1" w:after="100" w:afterAutospacing="1"/>
    </w:pPr>
  </w:style>
  <w:style w:type="paragraph" w:customStyle="1" w:styleId="2000">
    <w:name w:val="p-bg"/>
    <w:basedOn w:val="1"/>
    <w:qFormat/>
    <w:uiPriority w:val="0"/>
    <w:pPr>
      <w:pBdr>
        <w:top w:val="single" w:color="709CD2" w:sz="6" w:space="0"/>
        <w:left w:val="single" w:color="709CD2" w:sz="6" w:space="0"/>
        <w:bottom w:val="single" w:color="709CD2" w:sz="6" w:space="0"/>
        <w:right w:val="single" w:color="709CD2" w:sz="6" w:space="0"/>
      </w:pBdr>
      <w:spacing w:before="100" w:beforeAutospacing="1" w:after="100" w:afterAutospacing="1"/>
    </w:pPr>
  </w:style>
  <w:style w:type="paragraph" w:customStyle="1" w:styleId="2001">
    <w:name w:val="p-top"/>
    <w:basedOn w:val="1"/>
    <w:qFormat/>
    <w:uiPriority w:val="0"/>
    <w:pPr>
      <w:shd w:val="clear" w:color="auto" w:fill="709CD2"/>
      <w:spacing w:before="100" w:beforeAutospacing="1" w:after="100" w:afterAutospacing="1"/>
    </w:pPr>
  </w:style>
  <w:style w:type="paragraph" w:customStyle="1" w:styleId="2002">
    <w:name w:val="p-title"/>
    <w:basedOn w:val="1"/>
    <w:qFormat/>
    <w:uiPriority w:val="0"/>
    <w:pPr>
      <w:spacing w:before="100" w:beforeAutospacing="1" w:after="100" w:afterAutospacing="1" w:line="360" w:lineRule="atLeast"/>
    </w:pPr>
    <w:rPr>
      <w:b/>
      <w:bCs/>
      <w:color w:val="FFFFFF"/>
      <w:sz w:val="21"/>
      <w:szCs w:val="21"/>
    </w:rPr>
  </w:style>
  <w:style w:type="paragraph" w:customStyle="1" w:styleId="2003">
    <w:name w:val="p-body"/>
    <w:basedOn w:val="1"/>
    <w:qFormat/>
    <w:uiPriority w:val="0"/>
    <w:pPr>
      <w:shd w:val="clear" w:color="auto" w:fill="FFFFFF"/>
      <w:spacing w:before="100" w:beforeAutospacing="1" w:after="100" w:afterAutospacing="1"/>
    </w:pPr>
    <w:rPr>
      <w:sz w:val="21"/>
      <w:szCs w:val="21"/>
    </w:rPr>
  </w:style>
  <w:style w:type="paragraph" w:customStyle="1" w:styleId="2004">
    <w:name w:val="p-body-inner"/>
    <w:basedOn w:val="1"/>
    <w:qFormat/>
    <w:uiPriority w:val="0"/>
    <w:pPr>
      <w:spacing w:before="100" w:beforeAutospacing="1" w:after="100" w:afterAutospacing="1"/>
    </w:pPr>
  </w:style>
  <w:style w:type="paragraph" w:customStyle="1" w:styleId="2005">
    <w:name w:val="p-r1"/>
    <w:basedOn w:val="1"/>
    <w:qFormat/>
    <w:uiPriority w:val="0"/>
    <w:pPr>
      <w:spacing w:before="100" w:beforeAutospacing="1" w:after="100" w:afterAutospacing="1"/>
    </w:pPr>
  </w:style>
  <w:style w:type="paragraph" w:customStyle="1" w:styleId="2006">
    <w:name w:val="p-r2"/>
    <w:basedOn w:val="1"/>
    <w:qFormat/>
    <w:uiPriority w:val="0"/>
    <w:pPr>
      <w:spacing w:before="100" w:beforeAutospacing="1" w:after="100" w:afterAutospacing="1"/>
    </w:pPr>
  </w:style>
  <w:style w:type="paragraph" w:customStyle="1" w:styleId="2007">
    <w:name w:val="p-r3"/>
    <w:basedOn w:val="1"/>
    <w:qFormat/>
    <w:uiPriority w:val="0"/>
    <w:pPr>
      <w:spacing w:before="100" w:beforeAutospacing="1" w:after="100" w:afterAutospacing="1"/>
    </w:pPr>
  </w:style>
  <w:style w:type="paragraph" w:customStyle="1" w:styleId="2008">
    <w:name w:val="p-r4"/>
    <w:basedOn w:val="1"/>
    <w:qFormat/>
    <w:uiPriority w:val="0"/>
    <w:pPr>
      <w:spacing w:before="100" w:beforeAutospacing="1" w:after="100" w:afterAutospacing="1"/>
    </w:pPr>
  </w:style>
  <w:style w:type="paragraph" w:customStyle="1" w:styleId="2009">
    <w:name w:val="p-bottom"/>
    <w:basedOn w:val="1"/>
    <w:qFormat/>
    <w:uiPriority w:val="0"/>
    <w:pPr>
      <w:shd w:val="clear" w:color="auto" w:fill="FFFFFF"/>
      <w:spacing w:before="100" w:beforeAutospacing="1" w:after="100" w:afterAutospacing="1"/>
    </w:pPr>
  </w:style>
  <w:style w:type="paragraph" w:customStyle="1" w:styleId="2010">
    <w:name w:val="userbar"/>
    <w:basedOn w:val="1"/>
    <w:qFormat/>
    <w:uiPriority w:val="0"/>
    <w:pPr>
      <w:spacing w:before="100" w:beforeAutospacing="1" w:after="100" w:afterAutospacing="1"/>
    </w:pPr>
    <w:rPr>
      <w:sz w:val="18"/>
      <w:szCs w:val="18"/>
    </w:rPr>
  </w:style>
  <w:style w:type="paragraph" w:customStyle="1" w:styleId="2011">
    <w:name w:val="myhome-top"/>
    <w:basedOn w:val="1"/>
    <w:qFormat/>
    <w:uiPriority w:val="0"/>
    <w:pPr>
      <w:spacing w:before="100" w:beforeAutospacing="1" w:after="100" w:afterAutospacing="1"/>
    </w:pPr>
  </w:style>
  <w:style w:type="paragraph" w:customStyle="1" w:styleId="2012">
    <w:name w:val="myhome-hover"/>
    <w:basedOn w:val="1"/>
    <w:qFormat/>
    <w:uiPriority w:val="0"/>
    <w:pPr>
      <w:pBdr>
        <w:top w:val="single" w:color="999999" w:sz="6" w:space="0"/>
        <w:left w:val="single" w:color="999999" w:sz="6" w:space="0"/>
        <w:bottom w:val="single" w:color="999999" w:sz="6" w:space="0"/>
        <w:right w:val="single" w:color="999999" w:sz="6" w:space="0"/>
      </w:pBdr>
      <w:spacing w:before="100" w:beforeAutospacing="1" w:after="100" w:afterAutospacing="1"/>
    </w:pPr>
  </w:style>
  <w:style w:type="paragraph" w:customStyle="1" w:styleId="2013">
    <w:name w:val="myhome-body"/>
    <w:basedOn w:val="1"/>
    <w:qFormat/>
    <w:uiPriority w:val="0"/>
    <w:pPr>
      <w:spacing w:before="100" w:beforeAutospacing="1" w:after="100" w:afterAutospacing="1" w:line="408" w:lineRule="atLeast"/>
    </w:pPr>
    <w:rPr>
      <w:vanish/>
    </w:rPr>
  </w:style>
  <w:style w:type="paragraph" w:customStyle="1" w:styleId="2014">
    <w:name w:val="can-edit"/>
    <w:basedOn w:val="1"/>
    <w:qFormat/>
    <w:uiPriority w:val="0"/>
    <w:pPr>
      <w:spacing w:before="100" w:beforeAutospacing="1" w:after="100" w:afterAutospacing="1"/>
    </w:pPr>
  </w:style>
  <w:style w:type="paragraph" w:customStyle="1" w:styleId="2015">
    <w:name w:val="bottle-fly"/>
    <w:basedOn w:val="1"/>
    <w:qFormat/>
    <w:uiPriority w:val="0"/>
    <w:pPr>
      <w:shd w:val="clear" w:color="auto" w:fill="EC5C09"/>
      <w:spacing w:before="100" w:beforeAutospacing="1" w:after="100" w:afterAutospacing="1"/>
    </w:pPr>
  </w:style>
  <w:style w:type="paragraph" w:customStyle="1" w:styleId="2016">
    <w:name w:val="usertitle"/>
    <w:basedOn w:val="1"/>
    <w:qFormat/>
    <w:uiPriority w:val="0"/>
    <w:pPr>
      <w:spacing w:before="100" w:beforeAutospacing="1" w:after="100" w:afterAutospacing="1"/>
    </w:pPr>
  </w:style>
  <w:style w:type="paragraph" w:customStyle="1" w:styleId="2017">
    <w:name w:val="level15"/>
    <w:basedOn w:val="1"/>
    <w:qFormat/>
    <w:uiPriority w:val="0"/>
    <w:pPr>
      <w:spacing w:before="100" w:beforeAutospacing="1" w:after="100" w:afterAutospacing="1"/>
    </w:pPr>
  </w:style>
  <w:style w:type="paragraph" w:customStyle="1" w:styleId="2018">
    <w:name w:val="search-btn"/>
    <w:basedOn w:val="1"/>
    <w:qFormat/>
    <w:uiPriority w:val="0"/>
    <w:pPr>
      <w:spacing w:line="360" w:lineRule="atLeast"/>
      <w:ind w:right="105"/>
    </w:pPr>
    <w:rPr>
      <w:sz w:val="21"/>
      <w:szCs w:val="21"/>
    </w:rPr>
  </w:style>
  <w:style w:type="paragraph" w:customStyle="1" w:styleId="2019">
    <w:name w:val="nv"/>
    <w:basedOn w:val="1"/>
    <w:qFormat/>
    <w:uiPriority w:val="0"/>
    <w:pPr>
      <w:spacing w:after="45"/>
    </w:pPr>
  </w:style>
  <w:style w:type="paragraph" w:customStyle="1" w:styleId="2020">
    <w:name w:val="tangram_sug_wpr"/>
    <w:basedOn w:val="1"/>
    <w:qFormat/>
    <w:uiPriority w:val="0"/>
    <w:pPr>
      <w:pBdr>
        <w:top w:val="single" w:color="817F82" w:sz="6" w:space="0"/>
        <w:left w:val="single" w:color="817F82" w:sz="6" w:space="0"/>
        <w:bottom w:val="single" w:color="817F82" w:sz="6" w:space="0"/>
        <w:right w:val="single" w:color="817F82" w:sz="6" w:space="0"/>
      </w:pBdr>
      <w:spacing w:before="100" w:beforeAutospacing="1" w:after="100" w:afterAutospacing="1"/>
    </w:pPr>
  </w:style>
  <w:style w:type="paragraph" w:customStyle="1" w:styleId="2021">
    <w:name w:val="tangram_sug_mo"/>
    <w:basedOn w:val="1"/>
    <w:qFormat/>
    <w:uiPriority w:val="0"/>
    <w:pPr>
      <w:shd w:val="clear" w:color="auto" w:fill="3366CC"/>
      <w:spacing w:before="100" w:beforeAutospacing="1" w:after="100" w:afterAutospacing="1"/>
    </w:pPr>
    <w:rPr>
      <w:color w:val="FFFFFF"/>
    </w:rPr>
  </w:style>
  <w:style w:type="paragraph" w:customStyle="1" w:styleId="2022">
    <w:name w:val="tangram_sug_ml"/>
    <w:basedOn w:val="1"/>
    <w:qFormat/>
    <w:uiPriority w:val="0"/>
    <w:pPr>
      <w:shd w:val="clear" w:color="auto" w:fill="FFFFFF"/>
      <w:spacing w:before="100" w:beforeAutospacing="1" w:after="100" w:afterAutospacing="1"/>
    </w:pPr>
    <w:rPr>
      <w:color w:val="000000"/>
    </w:rPr>
  </w:style>
  <w:style w:type="paragraph" w:customStyle="1" w:styleId="2023">
    <w:name w:val="tangram_sug_app"/>
    <w:basedOn w:val="1"/>
    <w:qFormat/>
    <w:uiPriority w:val="0"/>
    <w:pPr>
      <w:shd w:val="clear" w:color="auto" w:fill="FFFFFF"/>
      <w:spacing w:before="100" w:beforeAutospacing="1" w:after="100" w:afterAutospacing="1"/>
    </w:pPr>
  </w:style>
  <w:style w:type="paragraph" w:customStyle="1" w:styleId="2024">
    <w:name w:val="tangram_sug_pre"/>
    <w:basedOn w:val="1"/>
    <w:qFormat/>
    <w:uiPriority w:val="0"/>
    <w:pPr>
      <w:shd w:val="clear" w:color="auto" w:fill="FFFFFF"/>
      <w:spacing w:before="100" w:beforeAutospacing="1" w:after="100" w:afterAutospacing="1"/>
    </w:pPr>
  </w:style>
  <w:style w:type="paragraph" w:customStyle="1" w:styleId="2025">
    <w:name w:val="sug_close"/>
    <w:basedOn w:val="1"/>
    <w:qFormat/>
    <w:uiPriority w:val="0"/>
    <w:pPr>
      <w:spacing w:before="100" w:beforeAutospacing="1" w:after="100" w:afterAutospacing="1" w:line="300" w:lineRule="atLeast"/>
      <w:jc w:val="right"/>
    </w:pPr>
  </w:style>
  <w:style w:type="paragraph" w:customStyle="1" w:styleId="2026">
    <w:name w:val="album-view"/>
    <w:basedOn w:val="1"/>
    <w:qFormat/>
    <w:uiPriority w:val="0"/>
    <w:pPr>
      <w:spacing w:before="100" w:beforeAutospacing="1" w:after="100" w:afterAutospacing="1" w:line="180" w:lineRule="atLeast"/>
      <w:jc w:val="center"/>
    </w:pPr>
  </w:style>
  <w:style w:type="paragraph" w:customStyle="1" w:styleId="2027">
    <w:name w:val="module-data-expend"/>
    <w:basedOn w:val="1"/>
    <w:qFormat/>
    <w:uiPriority w:val="0"/>
    <w:pPr>
      <w:pBdr>
        <w:top w:val="single" w:color="000000" w:sz="6" w:space="0"/>
      </w:pBdr>
      <w:shd w:val="clear" w:color="auto" w:fill="EEFFFF"/>
      <w:spacing w:before="100" w:beforeAutospacing="1" w:after="100" w:afterAutospacing="1"/>
    </w:pPr>
  </w:style>
  <w:style w:type="paragraph" w:customStyle="1" w:styleId="2028">
    <w:name w:val="map-view"/>
    <w:basedOn w:val="1"/>
    <w:qFormat/>
    <w:uiPriority w:val="0"/>
    <w:pPr>
      <w:pBdr>
        <w:top w:val="single" w:color="DDDDDD" w:sz="6" w:space="4"/>
        <w:left w:val="single" w:color="DDDDDD" w:sz="6" w:space="4"/>
        <w:bottom w:val="single" w:color="DDDDDD" w:sz="6" w:space="4"/>
        <w:right w:val="single" w:color="DDDDDD" w:sz="6" w:space="4"/>
      </w:pBdr>
      <w:spacing w:before="100" w:beforeAutospacing="1" w:after="100" w:afterAutospacing="1" w:line="180" w:lineRule="atLeast"/>
      <w:jc w:val="center"/>
    </w:pPr>
  </w:style>
  <w:style w:type="paragraph" w:customStyle="1" w:styleId="2029">
    <w:name w:val="video-view"/>
    <w:basedOn w:val="1"/>
    <w:qFormat/>
    <w:uiPriority w:val="0"/>
    <w:pPr>
      <w:pBdr>
        <w:top w:val="single" w:color="DDDDDD" w:sz="6" w:space="2"/>
        <w:left w:val="single" w:color="DDDDDD" w:sz="6" w:space="2"/>
        <w:bottom w:val="single" w:color="DDDDDD" w:sz="6" w:space="0"/>
        <w:right w:val="single" w:color="DDDDDD" w:sz="6" w:space="2"/>
      </w:pBdr>
      <w:shd w:val="clear" w:color="auto" w:fill="FFFFFF"/>
      <w:spacing w:before="100" w:beforeAutospacing="1" w:after="100" w:afterAutospacing="1"/>
      <w:jc w:val="center"/>
    </w:pPr>
  </w:style>
  <w:style w:type="paragraph" w:customStyle="1" w:styleId="2030">
    <w:name w:val="video-mis"/>
    <w:basedOn w:val="1"/>
    <w:qFormat/>
    <w:uiPriority w:val="0"/>
    <w:pPr>
      <w:spacing w:before="100" w:beforeAutospacing="1" w:after="100" w:afterAutospacing="1"/>
    </w:pPr>
  </w:style>
  <w:style w:type="paragraph" w:customStyle="1" w:styleId="2031">
    <w:name w:val="mod-top"/>
    <w:basedOn w:val="1"/>
    <w:qFormat/>
    <w:uiPriority w:val="0"/>
    <w:pPr>
      <w:spacing w:before="100" w:beforeAutospacing="1" w:after="450"/>
    </w:pPr>
  </w:style>
  <w:style w:type="paragraph" w:customStyle="1" w:styleId="2032">
    <w:name w:val="mod-index-top"/>
    <w:basedOn w:val="1"/>
    <w:qFormat/>
    <w:uiPriority w:val="0"/>
    <w:pPr>
      <w:spacing w:before="100" w:beforeAutospacing="1" w:after="100" w:afterAutospacing="1"/>
    </w:pPr>
  </w:style>
  <w:style w:type="paragraph" w:customStyle="1" w:styleId="2033">
    <w:name w:val="bk-feedback"/>
    <w:basedOn w:val="1"/>
    <w:qFormat/>
    <w:uiPriority w:val="0"/>
    <w:pPr>
      <w:pBdr>
        <w:top w:val="dashed" w:color="DDDDDD" w:sz="6" w:space="0"/>
        <w:left w:val="dashed" w:color="DDDDDD" w:sz="6" w:space="30"/>
        <w:bottom w:val="dashed" w:color="DDDDDD" w:sz="6" w:space="0"/>
        <w:right w:val="dashed" w:color="DDDDDD" w:sz="6" w:space="0"/>
      </w:pBdr>
      <w:spacing w:before="100" w:beforeAutospacing="1" w:after="150" w:line="450" w:lineRule="atLeast"/>
    </w:pPr>
    <w:rPr>
      <w:color w:val="333333"/>
    </w:rPr>
  </w:style>
  <w:style w:type="paragraph" w:customStyle="1" w:styleId="2034">
    <w:name w:val="article"/>
    <w:basedOn w:val="1"/>
    <w:qFormat/>
    <w:uiPriority w:val="0"/>
    <w:pPr>
      <w:wordWrap w:val="0"/>
      <w:spacing w:before="100" w:beforeAutospacing="1" w:after="100" w:afterAutospacing="1"/>
    </w:pPr>
    <w:rPr>
      <w:sz w:val="21"/>
      <w:szCs w:val="21"/>
    </w:rPr>
  </w:style>
  <w:style w:type="paragraph" w:customStyle="1" w:styleId="2035">
    <w:name w:val="module-block"/>
    <w:basedOn w:val="1"/>
    <w:qFormat/>
    <w:uiPriority w:val="0"/>
    <w:pPr>
      <w:shd w:val="clear" w:color="auto" w:fill="FAFAFA"/>
      <w:spacing w:before="100" w:beforeAutospacing="1" w:after="100" w:afterAutospacing="1"/>
    </w:pPr>
  </w:style>
  <w:style w:type="paragraph" w:customStyle="1" w:styleId="2036">
    <w:name w:val="editable-lemma"/>
    <w:basedOn w:val="1"/>
    <w:qFormat/>
    <w:uiPriority w:val="0"/>
    <w:pPr>
      <w:spacing w:before="100" w:beforeAutospacing="1" w:after="100" w:afterAutospacing="1"/>
      <w:textAlignment w:val="center"/>
    </w:pPr>
  </w:style>
  <w:style w:type="paragraph" w:customStyle="1" w:styleId="2037">
    <w:name w:val="bk-editable-lemma-btns"/>
    <w:basedOn w:val="1"/>
    <w:qFormat/>
    <w:uiPriority w:val="0"/>
    <w:pPr>
      <w:spacing w:before="100" w:beforeAutospacing="1" w:after="100" w:afterAutospacing="1" w:line="510" w:lineRule="atLeast"/>
    </w:pPr>
  </w:style>
  <w:style w:type="paragraph" w:customStyle="1" w:styleId="2038">
    <w:name w:val="dividable-lemma"/>
    <w:basedOn w:val="1"/>
    <w:qFormat/>
    <w:uiPriority w:val="0"/>
    <w:pPr>
      <w:spacing w:before="100" w:beforeAutospacing="1" w:after="100" w:afterAutospacing="1"/>
      <w:textAlignment w:val="center"/>
    </w:pPr>
    <w:rPr>
      <w:b/>
      <w:bCs/>
      <w:color w:val="0163AF"/>
    </w:rPr>
  </w:style>
  <w:style w:type="paragraph" w:customStyle="1" w:styleId="2039">
    <w:name w:val="lengtip"/>
    <w:basedOn w:val="1"/>
    <w:qFormat/>
    <w:uiPriority w:val="0"/>
    <w:pPr>
      <w:spacing w:before="100" w:beforeAutospacing="1" w:after="100" w:afterAutospacing="1"/>
    </w:pPr>
    <w:rPr>
      <w:color w:val="999999"/>
    </w:rPr>
  </w:style>
  <w:style w:type="paragraph" w:customStyle="1" w:styleId="2040">
    <w:name w:val="bk-editable-mulit-lemma"/>
    <w:basedOn w:val="1"/>
    <w:qFormat/>
    <w:uiPriority w:val="0"/>
    <w:pPr>
      <w:spacing w:before="180" w:after="100" w:afterAutospacing="1" w:line="225" w:lineRule="atLeast"/>
      <w:ind w:left="-300"/>
    </w:pPr>
    <w:rPr>
      <w:color w:val="666666"/>
      <w:sz w:val="18"/>
      <w:szCs w:val="18"/>
    </w:rPr>
  </w:style>
  <w:style w:type="paragraph" w:customStyle="1" w:styleId="2041">
    <w:name w:val="card-pic-handle"/>
    <w:basedOn w:val="1"/>
    <w:qFormat/>
    <w:uiPriority w:val="0"/>
    <w:pPr>
      <w:pBdr>
        <w:top w:val="single" w:color="FFFFFF" w:sz="6" w:space="0"/>
        <w:left w:val="single" w:color="FFFFFF" w:sz="6" w:space="0"/>
        <w:bottom w:val="single" w:color="FFFFFF" w:sz="6" w:space="0"/>
        <w:right w:val="single" w:color="FFFFFF" w:sz="6" w:space="0"/>
      </w:pBdr>
      <w:spacing w:before="100" w:beforeAutospacing="1" w:after="100" w:afterAutospacing="1" w:line="0" w:lineRule="auto"/>
    </w:pPr>
    <w:rPr>
      <w:sz w:val="2"/>
      <w:szCs w:val="2"/>
    </w:rPr>
  </w:style>
  <w:style w:type="paragraph" w:customStyle="1" w:styleId="2042">
    <w:name w:val="pic-handle"/>
    <w:basedOn w:val="1"/>
    <w:qFormat/>
    <w:uiPriority w:val="0"/>
    <w:pPr>
      <w:pBdr>
        <w:top w:val="single" w:color="FFFFFF" w:sz="6" w:space="0"/>
        <w:left w:val="single" w:color="FFFFFF" w:sz="6" w:space="0"/>
        <w:bottom w:val="single" w:color="FFFFFF" w:sz="6" w:space="0"/>
        <w:right w:val="single" w:color="FFFFFF" w:sz="6" w:space="0"/>
      </w:pBdr>
      <w:spacing w:before="100" w:beforeAutospacing="1" w:after="100" w:afterAutospacing="1" w:line="0" w:lineRule="auto"/>
    </w:pPr>
    <w:rPr>
      <w:sz w:val="2"/>
      <w:szCs w:val="2"/>
    </w:rPr>
  </w:style>
  <w:style w:type="paragraph" w:customStyle="1" w:styleId="2043">
    <w:name w:val="text_edit"/>
    <w:basedOn w:val="1"/>
    <w:qFormat/>
    <w:uiPriority w:val="0"/>
    <w:pPr>
      <w:spacing w:before="150"/>
    </w:pPr>
    <w:rPr>
      <w:color w:val="3366CC"/>
      <w:sz w:val="18"/>
      <w:szCs w:val="18"/>
    </w:rPr>
  </w:style>
  <w:style w:type="paragraph" w:customStyle="1" w:styleId="2044">
    <w:name w:val="card-title"/>
    <w:basedOn w:val="1"/>
    <w:qFormat/>
    <w:uiPriority w:val="0"/>
    <w:pPr>
      <w:pBdr>
        <w:bottom w:val="single" w:color="CCCCCC" w:sz="12" w:space="3"/>
      </w:pBdr>
      <w:spacing w:before="150" w:after="150"/>
    </w:pPr>
    <w:rPr>
      <w:sz w:val="21"/>
      <w:szCs w:val="21"/>
    </w:rPr>
  </w:style>
  <w:style w:type="paragraph" w:customStyle="1" w:styleId="2045">
    <w:name w:val="card-summary"/>
    <w:basedOn w:val="1"/>
    <w:qFormat/>
    <w:uiPriority w:val="0"/>
    <w:pPr>
      <w:shd w:val="clear" w:color="auto" w:fill="FFFFFF"/>
      <w:spacing w:before="100" w:beforeAutospacing="1" w:after="375"/>
    </w:pPr>
    <w:rPr>
      <w:sz w:val="21"/>
      <w:szCs w:val="21"/>
    </w:rPr>
  </w:style>
  <w:style w:type="paragraph" w:customStyle="1" w:styleId="2046">
    <w:name w:val="card-info"/>
    <w:basedOn w:val="1"/>
    <w:qFormat/>
    <w:uiPriority w:val="0"/>
    <w:pPr>
      <w:spacing w:after="225"/>
    </w:pPr>
  </w:style>
  <w:style w:type="paragraph" w:customStyle="1" w:styleId="2047">
    <w:name w:val="card-info-inner"/>
    <w:basedOn w:val="1"/>
    <w:qFormat/>
    <w:uiPriority w:val="0"/>
    <w:pPr>
      <w:pBdr>
        <w:bottom w:val="single" w:color="DEDFE1" w:sz="6" w:space="0"/>
      </w:pBdr>
      <w:spacing w:before="100" w:beforeAutospacing="1" w:after="100" w:afterAutospacing="1"/>
    </w:pPr>
  </w:style>
  <w:style w:type="paragraph" w:customStyle="1" w:styleId="2048">
    <w:name w:val="more-link-noinfo"/>
    <w:basedOn w:val="1"/>
    <w:qFormat/>
    <w:uiPriority w:val="0"/>
    <w:pPr>
      <w:pBdr>
        <w:top w:val="dashed" w:color="DEDFE1" w:sz="6" w:space="0"/>
      </w:pBdr>
      <w:spacing w:before="100" w:beforeAutospacing="1" w:after="100" w:afterAutospacing="1"/>
    </w:pPr>
  </w:style>
  <w:style w:type="paragraph" w:customStyle="1" w:styleId="2049">
    <w:name w:val="lemma-main-content"/>
    <w:basedOn w:val="1"/>
    <w:qFormat/>
    <w:uiPriority w:val="0"/>
    <w:pPr>
      <w:spacing w:before="100" w:beforeAutospacing="1" w:after="100" w:afterAutospacing="1"/>
    </w:pPr>
    <w:rPr>
      <w:spacing w:val="8"/>
    </w:rPr>
  </w:style>
  <w:style w:type="paragraph" w:customStyle="1" w:styleId="2050">
    <w:name w:val="reinforce"/>
    <w:basedOn w:val="1"/>
    <w:qFormat/>
    <w:uiPriority w:val="0"/>
    <w:pPr>
      <w:spacing w:before="100" w:beforeAutospacing="1" w:after="100" w:afterAutospacing="1"/>
    </w:pPr>
    <w:rPr>
      <w:sz w:val="18"/>
      <w:szCs w:val="18"/>
    </w:rPr>
  </w:style>
  <w:style w:type="paragraph" w:customStyle="1" w:styleId="2051">
    <w:name w:val="ref_more"/>
    <w:basedOn w:val="1"/>
    <w:qFormat/>
    <w:uiPriority w:val="0"/>
    <w:pPr>
      <w:spacing w:line="240" w:lineRule="atLeast"/>
    </w:pPr>
  </w:style>
  <w:style w:type="paragraph" w:customStyle="1" w:styleId="2052">
    <w:name w:val="ref-bd"/>
    <w:basedOn w:val="1"/>
    <w:qFormat/>
    <w:uiPriority w:val="0"/>
    <w:pPr>
      <w:spacing w:before="100" w:beforeAutospacing="1" w:after="100" w:afterAutospacing="1"/>
      <w:ind w:left="390"/>
    </w:pPr>
  </w:style>
  <w:style w:type="paragraph" w:customStyle="1" w:styleId="2053">
    <w:name w:val="line-2"/>
    <w:basedOn w:val="1"/>
    <w:qFormat/>
    <w:uiPriority w:val="0"/>
    <w:pPr>
      <w:spacing w:before="100" w:beforeAutospacing="1" w:after="100" w:afterAutospacing="1"/>
      <w:ind w:left="480"/>
    </w:pPr>
  </w:style>
  <w:style w:type="paragraph" w:customStyle="1" w:styleId="2054">
    <w:name w:val="line-3"/>
    <w:basedOn w:val="1"/>
    <w:qFormat/>
    <w:uiPriority w:val="0"/>
    <w:pPr>
      <w:spacing w:before="100" w:beforeAutospacing="1" w:after="100" w:afterAutospacing="1"/>
      <w:ind w:left="540"/>
    </w:pPr>
  </w:style>
  <w:style w:type="paragraph" w:customStyle="1" w:styleId="2055">
    <w:name w:val="box2"/>
    <w:basedOn w:val="1"/>
    <w:qFormat/>
    <w:uiPriority w:val="0"/>
    <w:pPr>
      <w:spacing w:before="100" w:beforeAutospacing="1" w:after="225"/>
      <w:ind w:right="150"/>
    </w:pPr>
  </w:style>
  <w:style w:type="paragraph" w:customStyle="1" w:styleId="2056">
    <w:name w:val="pr12"/>
    <w:basedOn w:val="1"/>
    <w:qFormat/>
    <w:uiPriority w:val="0"/>
    <w:pPr>
      <w:spacing w:before="100" w:beforeAutospacing="1" w:after="100" w:afterAutospacing="1"/>
    </w:pPr>
  </w:style>
  <w:style w:type="paragraph" w:customStyle="1" w:styleId="2057">
    <w:name w:val="f12"/>
    <w:basedOn w:val="1"/>
    <w:qFormat/>
    <w:uiPriority w:val="0"/>
    <w:pPr>
      <w:spacing w:before="100" w:beforeAutospacing="1" w:after="100" w:afterAutospacing="1"/>
    </w:pPr>
    <w:rPr>
      <w:sz w:val="18"/>
      <w:szCs w:val="18"/>
    </w:rPr>
  </w:style>
  <w:style w:type="paragraph" w:customStyle="1" w:styleId="2058">
    <w:name w:val="l24"/>
    <w:basedOn w:val="1"/>
    <w:qFormat/>
    <w:uiPriority w:val="0"/>
    <w:pPr>
      <w:spacing w:before="100" w:beforeAutospacing="1" w:after="100" w:afterAutospacing="1" w:line="360" w:lineRule="atLeast"/>
    </w:pPr>
  </w:style>
  <w:style w:type="paragraph" w:customStyle="1" w:styleId="2059">
    <w:name w:val="c-red"/>
    <w:basedOn w:val="1"/>
    <w:qFormat/>
    <w:uiPriority w:val="0"/>
    <w:pPr>
      <w:spacing w:before="100" w:beforeAutospacing="1" w:after="100" w:afterAutospacing="1"/>
    </w:pPr>
    <w:rPr>
      <w:color w:val="FF0000"/>
    </w:rPr>
  </w:style>
  <w:style w:type="paragraph" w:customStyle="1" w:styleId="2060">
    <w:name w:val="c-blue"/>
    <w:basedOn w:val="1"/>
    <w:qFormat/>
    <w:uiPriority w:val="0"/>
    <w:pPr>
      <w:spacing w:before="100" w:beforeAutospacing="1" w:after="100" w:afterAutospacing="1"/>
    </w:pPr>
    <w:rPr>
      <w:color w:val="0000FF"/>
    </w:rPr>
  </w:style>
  <w:style w:type="paragraph" w:customStyle="1" w:styleId="2061">
    <w:name w:val="c-gray"/>
    <w:basedOn w:val="1"/>
    <w:qFormat/>
    <w:uiPriority w:val="0"/>
    <w:pPr>
      <w:spacing w:before="100" w:beforeAutospacing="1" w:after="100" w:afterAutospacing="1"/>
    </w:pPr>
    <w:rPr>
      <w:color w:val="808080"/>
    </w:rPr>
  </w:style>
  <w:style w:type="paragraph" w:customStyle="1" w:styleId="2062">
    <w:name w:val="fh"/>
    <w:basedOn w:val="1"/>
    <w:qFormat/>
    <w:uiPriority w:val="0"/>
    <w:pPr>
      <w:spacing w:before="100" w:beforeAutospacing="1" w:after="100" w:afterAutospacing="1"/>
    </w:pPr>
    <w:rPr>
      <w:b/>
      <w:bCs/>
    </w:rPr>
  </w:style>
  <w:style w:type="paragraph" w:customStyle="1" w:styleId="2063">
    <w:name w:val="fu"/>
    <w:basedOn w:val="1"/>
    <w:qFormat/>
    <w:uiPriority w:val="0"/>
    <w:pPr>
      <w:spacing w:before="100" w:beforeAutospacing="1" w:after="100" w:afterAutospacing="1"/>
    </w:pPr>
    <w:rPr>
      <w:u w:val="single"/>
    </w:rPr>
  </w:style>
  <w:style w:type="paragraph" w:customStyle="1" w:styleId="2064">
    <w:name w:val="f12px"/>
    <w:basedOn w:val="1"/>
    <w:qFormat/>
    <w:uiPriority w:val="0"/>
    <w:pPr>
      <w:spacing w:before="100" w:beforeAutospacing="1" w:after="100" w:afterAutospacing="1"/>
    </w:pPr>
    <w:rPr>
      <w:sz w:val="18"/>
      <w:szCs w:val="18"/>
    </w:rPr>
  </w:style>
  <w:style w:type="paragraph" w:customStyle="1" w:styleId="2065">
    <w:name w:val="f14px"/>
    <w:basedOn w:val="1"/>
    <w:qFormat/>
    <w:uiPriority w:val="0"/>
    <w:pPr>
      <w:spacing w:before="100" w:beforeAutospacing="1" w:after="100" w:afterAutospacing="1"/>
    </w:pPr>
    <w:rPr>
      <w:sz w:val="21"/>
      <w:szCs w:val="21"/>
    </w:rPr>
  </w:style>
  <w:style w:type="paragraph" w:customStyle="1" w:styleId="2066">
    <w:name w:val="endlinks"/>
    <w:basedOn w:val="1"/>
    <w:qFormat/>
    <w:uiPriority w:val="0"/>
    <w:pPr>
      <w:spacing w:before="75" w:line="300" w:lineRule="atLeast"/>
    </w:pPr>
    <w:rPr>
      <w:sz w:val="18"/>
      <w:szCs w:val="18"/>
    </w:rPr>
  </w:style>
  <w:style w:type="paragraph" w:customStyle="1" w:styleId="2067">
    <w:name w:val="endlinks-share"/>
    <w:basedOn w:val="1"/>
    <w:qFormat/>
    <w:uiPriority w:val="0"/>
    <w:pPr>
      <w:spacing w:before="225"/>
    </w:pPr>
    <w:rPr>
      <w:sz w:val="18"/>
      <w:szCs w:val="18"/>
    </w:rPr>
  </w:style>
  <w:style w:type="paragraph" w:customStyle="1" w:styleId="2068">
    <w:name w:val="share"/>
    <w:basedOn w:val="1"/>
    <w:qFormat/>
    <w:uiPriority w:val="0"/>
    <w:pPr>
      <w:pBdr>
        <w:top w:val="single" w:color="DDDDDD" w:sz="6" w:space="0"/>
        <w:left w:val="single" w:color="DDDDDD" w:sz="6" w:space="0"/>
        <w:bottom w:val="single" w:color="DDDDDD" w:sz="6" w:space="0"/>
        <w:right w:val="single" w:color="DDDDDD" w:sz="6" w:space="0"/>
      </w:pBdr>
      <w:shd w:val="clear" w:color="auto" w:fill="FAFAFA"/>
      <w:spacing w:before="100" w:beforeAutospacing="1" w:after="450" w:line="630" w:lineRule="atLeast"/>
    </w:pPr>
    <w:rPr>
      <w:color w:val="999999"/>
      <w:sz w:val="18"/>
      <w:szCs w:val="18"/>
    </w:rPr>
  </w:style>
  <w:style w:type="paragraph" w:customStyle="1" w:styleId="2069">
    <w:name w:val="share-item-title"/>
    <w:basedOn w:val="1"/>
    <w:qFormat/>
    <w:uiPriority w:val="0"/>
    <w:pPr>
      <w:pBdr>
        <w:right w:val="single" w:color="DDDDDD" w:sz="6" w:space="0"/>
      </w:pBdr>
      <w:spacing w:before="30" w:after="30"/>
      <w:jc w:val="center"/>
    </w:pPr>
  </w:style>
  <w:style w:type="paragraph" w:customStyle="1" w:styleId="2070">
    <w:name w:val="share-item"/>
    <w:basedOn w:val="1"/>
    <w:qFormat/>
    <w:uiPriority w:val="0"/>
    <w:pPr>
      <w:spacing w:before="100" w:beforeAutospacing="1" w:after="100" w:afterAutospacing="1"/>
      <w:ind w:left="150"/>
    </w:pPr>
  </w:style>
  <w:style w:type="paragraph" w:customStyle="1" w:styleId="2071">
    <w:name w:val="cang"/>
    <w:basedOn w:val="1"/>
    <w:qFormat/>
    <w:uiPriority w:val="0"/>
    <w:pPr>
      <w:spacing w:before="180" w:line="240" w:lineRule="atLeast"/>
      <w:ind w:left="300"/>
    </w:pPr>
  </w:style>
  <w:style w:type="paragraph" w:customStyle="1" w:styleId="2072">
    <w:name w:val="itieba"/>
    <w:basedOn w:val="1"/>
    <w:qFormat/>
    <w:uiPriority w:val="0"/>
    <w:pPr>
      <w:spacing w:before="100" w:beforeAutospacing="1" w:after="100" w:afterAutospacing="1"/>
    </w:pPr>
  </w:style>
  <w:style w:type="paragraph" w:customStyle="1" w:styleId="2073">
    <w:name w:val="tsina"/>
    <w:basedOn w:val="1"/>
    <w:qFormat/>
    <w:uiPriority w:val="0"/>
    <w:pPr>
      <w:spacing w:before="100" w:beforeAutospacing="1" w:after="100" w:afterAutospacing="1"/>
    </w:pPr>
  </w:style>
  <w:style w:type="paragraph" w:customStyle="1" w:styleId="2074">
    <w:name w:val="tdouban"/>
    <w:basedOn w:val="1"/>
    <w:qFormat/>
    <w:uiPriority w:val="0"/>
    <w:pPr>
      <w:spacing w:before="100" w:beforeAutospacing="1" w:after="100" w:afterAutospacing="1"/>
    </w:pPr>
  </w:style>
  <w:style w:type="paragraph" w:customStyle="1" w:styleId="2075">
    <w:name w:val="tsohu"/>
    <w:basedOn w:val="1"/>
    <w:qFormat/>
    <w:uiPriority w:val="0"/>
    <w:pPr>
      <w:spacing w:before="100" w:beforeAutospacing="1" w:after="100" w:afterAutospacing="1"/>
    </w:pPr>
  </w:style>
  <w:style w:type="paragraph" w:customStyle="1" w:styleId="2076">
    <w:name w:val="try"/>
    <w:basedOn w:val="1"/>
    <w:qFormat/>
    <w:uiPriority w:val="0"/>
    <w:pPr>
      <w:spacing w:before="100" w:beforeAutospacing="1" w:after="150"/>
    </w:pPr>
    <w:rPr>
      <w:color w:val="333333"/>
    </w:rPr>
  </w:style>
  <w:style w:type="paragraph" w:customStyle="1" w:styleId="2077">
    <w:name w:val="lock"/>
    <w:basedOn w:val="1"/>
    <w:qFormat/>
    <w:uiPriority w:val="0"/>
    <w:pPr>
      <w:spacing w:before="120" w:after="100" w:afterAutospacing="1"/>
    </w:pPr>
    <w:rPr>
      <w:rFonts w:ascii="Arial" w:hAnsi="Arial" w:cs="Arial"/>
      <w:sz w:val="21"/>
      <w:szCs w:val="21"/>
    </w:rPr>
  </w:style>
  <w:style w:type="paragraph" w:customStyle="1" w:styleId="2078">
    <w:name w:val="text_pic"/>
    <w:basedOn w:val="1"/>
    <w:qFormat/>
    <w:uiPriority w:val="0"/>
    <w:pPr>
      <w:pBdr>
        <w:top w:val="single" w:color="E8E8E8" w:sz="6" w:space="4"/>
        <w:left w:val="single" w:color="E8E8E8" w:sz="6" w:space="4"/>
        <w:bottom w:val="single" w:color="E8E8E8" w:sz="6" w:space="4"/>
        <w:right w:val="single" w:color="E8E8E8" w:sz="6" w:space="4"/>
      </w:pBdr>
      <w:shd w:val="clear" w:color="auto" w:fill="F6F6F6"/>
      <w:spacing w:before="75" w:after="75"/>
      <w:ind w:left="75" w:right="75"/>
    </w:pPr>
  </w:style>
  <w:style w:type="paragraph" w:customStyle="1" w:styleId="2079">
    <w:name w:val="text_vote1"/>
    <w:basedOn w:val="1"/>
    <w:qFormat/>
    <w:uiPriority w:val="0"/>
    <w:pPr>
      <w:spacing w:before="100" w:beforeAutospacing="1" w:after="100" w:afterAutospacing="1"/>
      <w:jc w:val="center"/>
    </w:pPr>
    <w:rPr>
      <w:color w:val="999999"/>
      <w:sz w:val="18"/>
      <w:szCs w:val="18"/>
    </w:rPr>
  </w:style>
  <w:style w:type="paragraph" w:customStyle="1" w:styleId="2080">
    <w:name w:val="text_vote2"/>
    <w:basedOn w:val="1"/>
    <w:qFormat/>
    <w:uiPriority w:val="0"/>
    <w:pPr>
      <w:spacing w:before="100" w:beforeAutospacing="1" w:after="100" w:afterAutospacing="1"/>
      <w:jc w:val="center"/>
    </w:pPr>
    <w:rPr>
      <w:color w:val="FFFFFF"/>
      <w:sz w:val="18"/>
      <w:szCs w:val="18"/>
    </w:rPr>
  </w:style>
  <w:style w:type="paragraph" w:customStyle="1" w:styleId="2081">
    <w:name w:val="spctrl"/>
    <w:basedOn w:val="1"/>
    <w:qFormat/>
    <w:uiPriority w:val="0"/>
    <w:pPr>
      <w:spacing w:before="100" w:beforeAutospacing="1" w:after="100" w:afterAutospacing="1" w:line="210" w:lineRule="atLeast"/>
    </w:pPr>
    <w:rPr>
      <w:sz w:val="18"/>
      <w:szCs w:val="18"/>
    </w:rPr>
  </w:style>
  <w:style w:type="paragraph" w:customStyle="1" w:styleId="2082">
    <w:name w:val="bpctrl"/>
    <w:basedOn w:val="1"/>
    <w:qFormat/>
    <w:uiPriority w:val="0"/>
    <w:pPr>
      <w:spacing w:before="100" w:beforeAutospacing="1" w:after="100" w:afterAutospacing="1" w:line="450" w:lineRule="atLeast"/>
    </w:pPr>
  </w:style>
  <w:style w:type="paragraph" w:customStyle="1" w:styleId="2083">
    <w:name w:val="end"/>
    <w:basedOn w:val="1"/>
    <w:qFormat/>
    <w:uiPriority w:val="0"/>
    <w:pPr>
      <w:spacing w:before="150" w:after="450"/>
    </w:pPr>
  </w:style>
  <w:style w:type="paragraph" w:customStyle="1" w:styleId="2084">
    <w:name w:val="declare"/>
    <w:basedOn w:val="1"/>
    <w:qFormat/>
    <w:uiPriority w:val="0"/>
    <w:pPr>
      <w:spacing w:before="75" w:after="75" w:line="384" w:lineRule="atLeast"/>
    </w:pPr>
    <w:rPr>
      <w:color w:val="333333"/>
      <w:sz w:val="18"/>
      <w:szCs w:val="18"/>
    </w:rPr>
  </w:style>
  <w:style w:type="paragraph" w:customStyle="1" w:styleId="2085">
    <w:name w:val="ref"/>
    <w:basedOn w:val="1"/>
    <w:qFormat/>
    <w:uiPriority w:val="0"/>
    <w:pPr>
      <w:pBdr>
        <w:top w:val="dashed" w:color="CCCCCC" w:sz="6" w:space="8"/>
      </w:pBdr>
      <w:spacing w:before="100" w:beforeAutospacing="1" w:after="100" w:afterAutospacing="1"/>
    </w:pPr>
  </w:style>
  <w:style w:type="paragraph" w:customStyle="1" w:styleId="2086">
    <w:name w:val="no-border"/>
    <w:basedOn w:val="1"/>
    <w:qFormat/>
    <w:uiPriority w:val="0"/>
    <w:pPr>
      <w:spacing w:before="100" w:beforeAutospacing="1" w:after="100" w:afterAutospacing="1"/>
    </w:pPr>
  </w:style>
  <w:style w:type="paragraph" w:customStyle="1" w:styleId="2087">
    <w:name w:val="word_more_con"/>
    <w:basedOn w:val="1"/>
    <w:qFormat/>
    <w:uiPriority w:val="0"/>
    <w:pPr>
      <w:pBdr>
        <w:top w:val="single" w:color="DEDFE1" w:sz="6" w:space="5"/>
        <w:left w:val="single" w:color="DEDFE1" w:sz="6" w:space="8"/>
        <w:bottom w:val="single" w:color="DEDFE1" w:sz="6" w:space="5"/>
        <w:right w:val="single" w:color="DEDFE1" w:sz="6" w:space="30"/>
      </w:pBdr>
      <w:shd w:val="clear" w:color="auto" w:fill="FFFFFF"/>
      <w:spacing w:before="100" w:beforeAutospacing="1" w:after="100" w:afterAutospacing="1" w:line="300" w:lineRule="atLeast"/>
    </w:pPr>
  </w:style>
  <w:style w:type="paragraph" w:customStyle="1" w:styleId="2088">
    <w:name w:val="mp3material"/>
    <w:basedOn w:val="1"/>
    <w:qFormat/>
    <w:uiPriority w:val="0"/>
    <w:pPr>
      <w:spacing w:before="100" w:beforeAutospacing="1" w:after="100" w:afterAutospacing="1"/>
    </w:pPr>
  </w:style>
  <w:style w:type="paragraph" w:customStyle="1" w:styleId="2089">
    <w:name w:val="morematerial"/>
    <w:basedOn w:val="1"/>
    <w:qFormat/>
    <w:uiPriority w:val="0"/>
    <w:pPr>
      <w:ind w:left="75"/>
      <w:jc w:val="right"/>
    </w:pPr>
    <w:rPr>
      <w:sz w:val="18"/>
      <w:szCs w:val="18"/>
    </w:rPr>
  </w:style>
  <w:style w:type="paragraph" w:customStyle="1" w:styleId="2090">
    <w:name w:val="singlevideo"/>
    <w:basedOn w:val="1"/>
    <w:qFormat/>
    <w:uiPriority w:val="0"/>
    <w:pPr>
      <w:spacing w:before="150"/>
      <w:ind w:right="300"/>
    </w:pPr>
  </w:style>
  <w:style w:type="paragraph" w:customStyle="1" w:styleId="2091">
    <w:name w:val="videotitle"/>
    <w:basedOn w:val="1"/>
    <w:qFormat/>
    <w:uiPriority w:val="0"/>
    <w:pPr>
      <w:spacing w:before="100" w:beforeAutospacing="1" w:after="100" w:afterAutospacing="1" w:line="375" w:lineRule="atLeast"/>
      <w:jc w:val="center"/>
    </w:pPr>
    <w:rPr>
      <w:sz w:val="18"/>
      <w:szCs w:val="18"/>
    </w:rPr>
  </w:style>
  <w:style w:type="paragraph" w:customStyle="1" w:styleId="2092">
    <w:name w:val="videotitleacut"/>
    <w:basedOn w:val="1"/>
    <w:qFormat/>
    <w:uiPriority w:val="0"/>
    <w:pPr>
      <w:spacing w:before="100" w:beforeAutospacing="1" w:after="100" w:afterAutospacing="1"/>
    </w:pPr>
  </w:style>
  <w:style w:type="paragraph" w:customStyle="1" w:styleId="2093">
    <w:name w:val="pad14"/>
    <w:basedOn w:val="1"/>
    <w:qFormat/>
    <w:uiPriority w:val="0"/>
    <w:pPr>
      <w:spacing w:before="100" w:beforeAutospacing="1" w:after="100" w:afterAutospacing="1"/>
    </w:pPr>
  </w:style>
  <w:style w:type="paragraph" w:customStyle="1" w:styleId="2094">
    <w:name w:val="topuser"/>
    <w:basedOn w:val="1"/>
    <w:qFormat/>
    <w:uiPriority w:val="0"/>
    <w:pPr>
      <w:spacing w:before="100" w:beforeAutospacing="1" w:after="100" w:afterAutospacing="1" w:line="360" w:lineRule="atLeast"/>
    </w:pPr>
    <w:rPr>
      <w:color w:val="666666"/>
    </w:rPr>
  </w:style>
  <w:style w:type="paragraph" w:customStyle="1" w:styleId="2095">
    <w:name w:val="more1"/>
    <w:basedOn w:val="1"/>
    <w:qFormat/>
    <w:uiPriority w:val="0"/>
    <w:pPr>
      <w:spacing w:before="100" w:beforeAutospacing="1" w:after="100" w:afterAutospacing="1"/>
    </w:pPr>
    <w:rPr>
      <w:sz w:val="18"/>
      <w:szCs w:val="18"/>
    </w:rPr>
  </w:style>
  <w:style w:type="paragraph" w:customStyle="1" w:styleId="2096">
    <w:name w:val="more2"/>
    <w:basedOn w:val="1"/>
    <w:qFormat/>
    <w:uiPriority w:val="0"/>
    <w:pPr>
      <w:spacing w:before="100" w:beforeAutospacing="1" w:after="100" w:afterAutospacing="1"/>
    </w:pPr>
    <w:rPr>
      <w:sz w:val="18"/>
      <w:szCs w:val="18"/>
    </w:rPr>
  </w:style>
  <w:style w:type="paragraph" w:customStyle="1" w:styleId="2097">
    <w:name w:val="task"/>
    <w:basedOn w:val="1"/>
    <w:qFormat/>
    <w:uiPriority w:val="0"/>
    <w:pPr>
      <w:spacing w:before="100" w:beforeAutospacing="1" w:after="225"/>
    </w:pPr>
    <w:rPr>
      <w:color w:val="333333"/>
    </w:rPr>
  </w:style>
  <w:style w:type="paragraph" w:customStyle="1" w:styleId="2098">
    <w:name w:val="notice"/>
    <w:basedOn w:val="1"/>
    <w:qFormat/>
    <w:uiPriority w:val="0"/>
    <w:pPr>
      <w:spacing w:before="100" w:beforeAutospacing="1" w:after="100" w:afterAutospacing="1"/>
    </w:pPr>
    <w:rPr>
      <w:color w:val="333333"/>
    </w:rPr>
  </w:style>
  <w:style w:type="paragraph" w:customStyle="1" w:styleId="2099">
    <w:name w:val="relatedhelp"/>
    <w:basedOn w:val="1"/>
    <w:qFormat/>
    <w:uiPriority w:val="0"/>
    <w:pPr>
      <w:spacing w:before="100" w:beforeAutospacing="1" w:after="100" w:afterAutospacing="1"/>
    </w:pPr>
  </w:style>
  <w:style w:type="paragraph" w:customStyle="1" w:styleId="2100">
    <w:name w:val="myedit"/>
    <w:basedOn w:val="1"/>
    <w:qFormat/>
    <w:uiPriority w:val="0"/>
  </w:style>
  <w:style w:type="paragraph" w:customStyle="1" w:styleId="2101">
    <w:name w:val="pcixin"/>
    <w:basedOn w:val="1"/>
    <w:qFormat/>
    <w:uiPriority w:val="0"/>
    <w:pPr>
      <w:spacing w:before="45" w:after="100" w:afterAutospacing="1"/>
    </w:pPr>
    <w:rPr>
      <w:color w:val="AA0000"/>
    </w:rPr>
  </w:style>
  <w:style w:type="paragraph" w:customStyle="1" w:styleId="2102">
    <w:name w:val="ptitle"/>
    <w:basedOn w:val="1"/>
    <w:qFormat/>
    <w:uiPriority w:val="0"/>
    <w:pPr>
      <w:spacing w:before="45" w:after="100" w:afterAutospacing="1"/>
    </w:pPr>
  </w:style>
  <w:style w:type="paragraph" w:customStyle="1" w:styleId="2103">
    <w:name w:val="pexplain"/>
    <w:basedOn w:val="1"/>
    <w:qFormat/>
    <w:uiPriority w:val="0"/>
    <w:pPr>
      <w:spacing w:before="45" w:after="100" w:afterAutospacing="1"/>
      <w:ind w:left="300"/>
    </w:pPr>
  </w:style>
  <w:style w:type="paragraph" w:customStyle="1" w:styleId="2104">
    <w:name w:val="view-tip-pannel"/>
    <w:basedOn w:val="1"/>
    <w:qFormat/>
    <w:uiPriority w:val="0"/>
    <w:pPr>
      <w:spacing w:before="100" w:beforeAutospacing="1" w:after="375"/>
    </w:pPr>
  </w:style>
  <w:style w:type="paragraph" w:customStyle="1" w:styleId="2105">
    <w:name w:val="viewtip-icon"/>
    <w:basedOn w:val="1"/>
    <w:qFormat/>
    <w:uiPriority w:val="0"/>
    <w:pPr>
      <w:spacing w:before="150" w:after="100" w:afterAutospacing="1"/>
      <w:ind w:right="75"/>
      <w:textAlignment w:val="baseline"/>
    </w:pPr>
  </w:style>
  <w:style w:type="paragraph" w:customStyle="1" w:styleId="2106">
    <w:name w:val="text_dir"/>
    <w:basedOn w:val="1"/>
    <w:qFormat/>
    <w:uiPriority w:val="0"/>
    <w:pPr>
      <w:pBdr>
        <w:top w:val="single" w:color="DEDFE1" w:sz="6" w:space="0"/>
        <w:left w:val="single" w:color="DEDFE1" w:sz="6" w:space="0"/>
        <w:bottom w:val="single" w:color="DEDFE1" w:sz="6" w:space="0"/>
        <w:right w:val="single" w:color="DEDFE1" w:sz="6" w:space="0"/>
      </w:pBdr>
      <w:shd w:val="clear" w:color="auto" w:fill="FFFFFF"/>
      <w:spacing w:after="450"/>
    </w:pPr>
  </w:style>
  <w:style w:type="paragraph" w:customStyle="1" w:styleId="2107">
    <w:name w:val="catalog-holder"/>
    <w:basedOn w:val="1"/>
    <w:qFormat/>
    <w:uiPriority w:val="0"/>
    <w:pPr>
      <w:shd w:val="clear" w:color="auto" w:fill="FAFAFA"/>
      <w:spacing w:before="100" w:beforeAutospacing="1" w:after="100" w:afterAutospacing="1" w:line="300" w:lineRule="atLeast"/>
      <w:ind w:firstLine="150"/>
    </w:pPr>
    <w:rPr>
      <w:color w:val="136EC2"/>
      <w:sz w:val="18"/>
      <w:szCs w:val="18"/>
    </w:rPr>
  </w:style>
  <w:style w:type="paragraph" w:customStyle="1" w:styleId="2108">
    <w:name w:val="authority"/>
    <w:basedOn w:val="1"/>
    <w:qFormat/>
    <w:uiPriority w:val="0"/>
    <w:pPr>
      <w:spacing w:before="100" w:beforeAutospacing="1" w:after="450" w:line="300" w:lineRule="atLeast"/>
    </w:pPr>
    <w:rPr>
      <w:sz w:val="18"/>
      <w:szCs w:val="18"/>
    </w:rPr>
  </w:style>
  <w:style w:type="paragraph" w:customStyle="1" w:styleId="2109">
    <w:name w:val="authoritylogo"/>
    <w:basedOn w:val="1"/>
    <w:qFormat/>
    <w:uiPriority w:val="0"/>
    <w:pPr>
      <w:spacing w:before="100" w:beforeAutospacing="1" w:after="100" w:afterAutospacing="1"/>
    </w:pPr>
  </w:style>
  <w:style w:type="paragraph" w:customStyle="1" w:styleId="2110">
    <w:name w:val="authimg"/>
    <w:basedOn w:val="1"/>
    <w:qFormat/>
    <w:uiPriority w:val="0"/>
    <w:pPr>
      <w:spacing w:before="100" w:beforeAutospacing="1" w:after="100" w:afterAutospacing="1"/>
    </w:pPr>
  </w:style>
  <w:style w:type="paragraph" w:customStyle="1" w:styleId="2111">
    <w:name w:val="userin-split"/>
    <w:basedOn w:val="1"/>
    <w:qFormat/>
    <w:uiPriority w:val="0"/>
    <w:pPr>
      <w:pBdr>
        <w:top w:val="single" w:color="A0CCE0" w:sz="6" w:space="0"/>
        <w:bottom w:val="single" w:color="FFFFFF" w:sz="6" w:space="0"/>
      </w:pBdr>
      <w:spacing w:before="100" w:beforeAutospacing="1" w:after="100" w:afterAutospacing="1"/>
    </w:pPr>
  </w:style>
  <w:style w:type="paragraph" w:customStyle="1" w:styleId="2112">
    <w:name w:val="userinfo-pic"/>
    <w:basedOn w:val="1"/>
    <w:qFormat/>
    <w:uiPriority w:val="0"/>
    <w:pPr>
      <w:pBdr>
        <w:top w:val="single" w:color="E1E1E2" w:sz="6" w:space="0"/>
        <w:left w:val="single" w:color="E1E1E2" w:sz="6" w:space="0"/>
        <w:bottom w:val="single" w:color="E1E1E2" w:sz="6" w:space="0"/>
        <w:right w:val="single" w:color="E1E1E2" w:sz="6" w:space="0"/>
      </w:pBdr>
      <w:spacing w:before="100" w:beforeAutospacing="1" w:after="100" w:afterAutospacing="1"/>
      <w:ind w:right="90"/>
    </w:pPr>
  </w:style>
  <w:style w:type="paragraph" w:customStyle="1" w:styleId="2113">
    <w:name w:val="userinfo-inner"/>
    <w:basedOn w:val="1"/>
    <w:qFormat/>
    <w:uiPriority w:val="0"/>
    <w:pPr>
      <w:spacing w:before="100" w:beforeAutospacing="1" w:after="100" w:afterAutospacing="1"/>
    </w:pPr>
  </w:style>
  <w:style w:type="paragraph" w:customStyle="1" w:styleId="2114">
    <w:name w:val="userinfo-side"/>
    <w:basedOn w:val="1"/>
    <w:qFormat/>
    <w:uiPriority w:val="0"/>
    <w:pPr>
      <w:shd w:val="clear" w:color="auto" w:fill="E9F3F6"/>
      <w:spacing w:after="150" w:line="330" w:lineRule="atLeast"/>
      <w:ind w:left="-195"/>
    </w:pPr>
    <w:rPr>
      <w:color w:val="333333"/>
    </w:rPr>
  </w:style>
  <w:style w:type="paragraph" w:customStyle="1" w:styleId="2115">
    <w:name w:val="hot-word-refresh"/>
    <w:basedOn w:val="1"/>
    <w:qFormat/>
    <w:uiPriority w:val="0"/>
    <w:pPr>
      <w:spacing w:before="100" w:beforeAutospacing="1" w:after="100" w:afterAutospacing="1"/>
    </w:pPr>
  </w:style>
  <w:style w:type="paragraph" w:customStyle="1" w:styleId="2116">
    <w:name w:val="tipmain"/>
    <w:basedOn w:val="1"/>
    <w:qFormat/>
    <w:uiPriority w:val="0"/>
    <w:pPr>
      <w:pBdr>
        <w:top w:val="single" w:color="FFD4AD" w:sz="6" w:space="0"/>
        <w:left w:val="single" w:color="FFD4AD" w:sz="6" w:space="8"/>
        <w:bottom w:val="single" w:color="FFD4AD" w:sz="6" w:space="0"/>
        <w:right w:val="single" w:color="FFD4AD" w:sz="6" w:space="8"/>
      </w:pBdr>
      <w:shd w:val="clear" w:color="auto" w:fill="FFF7F0"/>
      <w:spacing w:before="100" w:beforeAutospacing="1" w:after="100" w:afterAutospacing="1" w:line="300" w:lineRule="atLeast"/>
    </w:pPr>
    <w:rPr>
      <w:color w:val="535353"/>
    </w:rPr>
  </w:style>
  <w:style w:type="paragraph" w:customStyle="1" w:styleId="2117">
    <w:name w:val="tip"/>
    <w:basedOn w:val="1"/>
    <w:qFormat/>
    <w:uiPriority w:val="0"/>
    <w:pPr>
      <w:spacing w:before="100" w:beforeAutospacing="1" w:after="100" w:afterAutospacing="1"/>
    </w:pPr>
    <w:rPr>
      <w:vanish/>
    </w:rPr>
  </w:style>
  <w:style w:type="paragraph" w:customStyle="1" w:styleId="2118">
    <w:name w:val="reason-tip"/>
    <w:basedOn w:val="1"/>
    <w:qFormat/>
    <w:uiPriority w:val="0"/>
    <w:pPr>
      <w:spacing w:before="100" w:beforeAutospacing="1" w:after="100" w:afterAutospacing="1"/>
    </w:pPr>
  </w:style>
  <w:style w:type="paragraph" w:customStyle="1" w:styleId="2119">
    <w:name w:val="endseries-title"/>
    <w:basedOn w:val="1"/>
    <w:qFormat/>
    <w:uiPriority w:val="0"/>
    <w:pPr>
      <w:spacing w:before="100" w:beforeAutospacing="1" w:after="100" w:afterAutospacing="1"/>
    </w:pPr>
    <w:rPr>
      <w:vanish/>
    </w:rPr>
  </w:style>
  <w:style w:type="paragraph" w:customStyle="1" w:styleId="2120">
    <w:name w:val="contri-more-tr"/>
    <w:basedOn w:val="1"/>
    <w:qFormat/>
    <w:uiPriority w:val="0"/>
    <w:pPr>
      <w:shd w:val="clear" w:color="auto" w:fill="F4F4F4"/>
      <w:spacing w:before="100" w:beforeAutospacing="1" w:after="100" w:afterAutospacing="1"/>
      <w:jc w:val="right"/>
    </w:pPr>
  </w:style>
  <w:style w:type="paragraph" w:customStyle="1" w:styleId="2121">
    <w:name w:val="contri-img"/>
    <w:basedOn w:val="1"/>
    <w:qFormat/>
    <w:uiPriority w:val="0"/>
    <w:pPr>
      <w:spacing w:before="100" w:beforeAutospacing="1" w:after="100" w:afterAutospacing="1"/>
    </w:pPr>
  </w:style>
  <w:style w:type="paragraph" w:customStyle="1" w:styleId="2122">
    <w:name w:val="contri-expand"/>
    <w:basedOn w:val="1"/>
    <w:qFormat/>
    <w:uiPriority w:val="0"/>
    <w:pPr>
      <w:spacing w:before="100" w:beforeAutospacing="1" w:after="100" w:afterAutospacing="1"/>
    </w:pPr>
    <w:rPr>
      <w:u w:val="single"/>
    </w:rPr>
  </w:style>
  <w:style w:type="paragraph" w:customStyle="1" w:styleId="2123">
    <w:name w:val="contri-span"/>
    <w:basedOn w:val="1"/>
    <w:qFormat/>
    <w:uiPriority w:val="0"/>
    <w:pPr>
      <w:spacing w:before="100" w:beforeAutospacing="1" w:after="100" w:afterAutospacing="1"/>
    </w:pPr>
  </w:style>
  <w:style w:type="paragraph" w:customStyle="1" w:styleId="2124">
    <w:name w:val="album-border1"/>
    <w:basedOn w:val="1"/>
    <w:qFormat/>
    <w:uiPriority w:val="0"/>
    <w:pPr>
      <w:pBdr>
        <w:top w:val="single" w:color="B7B7B7" w:sz="6" w:space="0"/>
        <w:left w:val="single" w:color="B7B7B7" w:sz="6" w:space="0"/>
        <w:bottom w:val="single" w:color="B7B7B7" w:sz="6" w:space="0"/>
        <w:right w:val="single" w:color="B7B7B7" w:sz="6" w:space="0"/>
      </w:pBdr>
      <w:shd w:val="clear" w:color="auto" w:fill="FFFFFF"/>
      <w:spacing w:before="100" w:beforeAutospacing="1" w:after="100" w:afterAutospacing="1"/>
    </w:pPr>
  </w:style>
  <w:style w:type="paragraph" w:customStyle="1" w:styleId="2125">
    <w:name w:val="album-border2"/>
    <w:basedOn w:val="1"/>
    <w:qFormat/>
    <w:uiPriority w:val="0"/>
    <w:pPr>
      <w:pBdr>
        <w:top w:val="single" w:color="B7B7B7" w:sz="6" w:space="0"/>
        <w:left w:val="single" w:color="B7B7B7" w:sz="6" w:space="0"/>
        <w:bottom w:val="single" w:color="B7B7B7" w:sz="6" w:space="0"/>
        <w:right w:val="single" w:color="B7B7B7" w:sz="6" w:space="0"/>
      </w:pBdr>
      <w:shd w:val="clear" w:color="auto" w:fill="FFFFFF"/>
      <w:spacing w:before="100" w:beforeAutospacing="1" w:after="100" w:afterAutospacing="1"/>
    </w:pPr>
  </w:style>
  <w:style w:type="paragraph" w:customStyle="1" w:styleId="2126">
    <w:name w:val="album-cover"/>
    <w:basedOn w:val="1"/>
    <w:qFormat/>
    <w:uiPriority w:val="0"/>
    <w:pPr>
      <w:pBdr>
        <w:top w:val="single" w:color="000000" w:sz="18" w:space="0"/>
        <w:left w:val="single" w:color="000000" w:sz="12" w:space="0"/>
        <w:bottom w:val="single" w:color="000000" w:sz="12" w:space="0"/>
        <w:right w:val="single" w:color="000000" w:sz="12" w:space="0"/>
      </w:pBdr>
      <w:spacing w:before="100" w:beforeAutospacing="1" w:after="100" w:afterAutospacing="1"/>
    </w:pPr>
  </w:style>
  <w:style w:type="paragraph" w:customStyle="1" w:styleId="2127">
    <w:name w:val="album-overlay"/>
    <w:basedOn w:val="1"/>
    <w:qFormat/>
    <w:uiPriority w:val="0"/>
    <w:pPr>
      <w:spacing w:before="100" w:beforeAutospacing="1" w:after="100" w:afterAutospacing="1"/>
    </w:pPr>
  </w:style>
  <w:style w:type="paragraph" w:customStyle="1" w:styleId="2128">
    <w:name w:val="album-logo"/>
    <w:basedOn w:val="1"/>
    <w:qFormat/>
    <w:uiPriority w:val="0"/>
    <w:pPr>
      <w:spacing w:before="100" w:beforeAutospacing="1" w:after="100" w:afterAutospacing="1"/>
    </w:pPr>
  </w:style>
  <w:style w:type="paragraph" w:customStyle="1" w:styleId="2129">
    <w:name w:val="sprite-bg"/>
    <w:basedOn w:val="1"/>
    <w:qFormat/>
    <w:uiPriority w:val="0"/>
    <w:pPr>
      <w:spacing w:before="100" w:beforeAutospacing="1" w:after="100" w:afterAutospacing="1"/>
    </w:pPr>
  </w:style>
  <w:style w:type="paragraph" w:customStyle="1" w:styleId="2130">
    <w:name w:val="sprite"/>
    <w:basedOn w:val="1"/>
    <w:qFormat/>
    <w:uiPriority w:val="0"/>
    <w:pPr>
      <w:spacing w:before="100" w:beforeAutospacing="1" w:after="100" w:afterAutospacing="1"/>
    </w:pPr>
  </w:style>
  <w:style w:type="paragraph" w:customStyle="1" w:styleId="2131">
    <w:name w:val="inline-block"/>
    <w:basedOn w:val="1"/>
    <w:qFormat/>
    <w:uiPriority w:val="0"/>
    <w:pPr>
      <w:spacing w:before="100" w:beforeAutospacing="1" w:after="100" w:afterAutospacing="1"/>
      <w:textAlignment w:val="center"/>
    </w:pPr>
  </w:style>
  <w:style w:type="paragraph" w:customStyle="1" w:styleId="2132">
    <w:name w:val="b-clear"/>
    <w:basedOn w:val="1"/>
    <w:qFormat/>
    <w:uiPriority w:val="0"/>
    <w:pPr>
      <w:spacing w:before="100" w:beforeAutospacing="1" w:after="100" w:afterAutospacing="1"/>
    </w:pPr>
  </w:style>
  <w:style w:type="paragraph" w:customStyle="1" w:styleId="2133">
    <w:name w:val="b-ellipsis"/>
    <w:basedOn w:val="1"/>
    <w:qFormat/>
    <w:uiPriority w:val="0"/>
    <w:pPr>
      <w:spacing w:before="100" w:beforeAutospacing="1" w:after="100" w:afterAutospacing="1"/>
    </w:pPr>
  </w:style>
  <w:style w:type="paragraph" w:customStyle="1" w:styleId="2134">
    <w:name w:val="lgt-blue-bdr"/>
    <w:basedOn w:val="1"/>
    <w:qFormat/>
    <w:uiPriority w:val="0"/>
    <w:pPr>
      <w:pBdr>
        <w:top w:val="single" w:color="7BBBEB" w:sz="6" w:space="0"/>
        <w:left w:val="single" w:color="7BBBEB" w:sz="6" w:space="0"/>
        <w:bottom w:val="single" w:color="7BBBEB" w:sz="6" w:space="0"/>
        <w:right w:val="single" w:color="7BBBEB" w:sz="6" w:space="0"/>
      </w:pBdr>
      <w:spacing w:before="100" w:beforeAutospacing="1" w:after="100" w:afterAutospacing="1"/>
    </w:pPr>
  </w:style>
  <w:style w:type="paragraph" w:customStyle="1" w:styleId="2135">
    <w:name w:val="slv-bdr"/>
    <w:basedOn w:val="1"/>
    <w:qFormat/>
    <w:uiPriority w:val="0"/>
    <w:pPr>
      <w:pBdr>
        <w:top w:val="single" w:color="DDDDDD" w:sz="6" w:space="0"/>
        <w:left w:val="single" w:color="DDDDDD" w:sz="6" w:space="0"/>
        <w:bottom w:val="single" w:color="DDDDDD" w:sz="6" w:space="0"/>
        <w:right w:val="single" w:color="DDDDDD" w:sz="6" w:space="0"/>
      </w:pBdr>
      <w:spacing w:before="100" w:beforeAutospacing="1" w:after="100" w:afterAutospacing="1"/>
    </w:pPr>
  </w:style>
  <w:style w:type="paragraph" w:customStyle="1" w:styleId="2136">
    <w:name w:val="btn-disabled"/>
    <w:basedOn w:val="1"/>
    <w:qFormat/>
    <w:uiPriority w:val="0"/>
    <w:pPr>
      <w:pBdr>
        <w:top w:val="single" w:color="DDDDDD" w:sz="6" w:space="0"/>
        <w:left w:val="single" w:color="DDDDDD" w:sz="6" w:space="0"/>
        <w:bottom w:val="single" w:color="DDDDDD" w:sz="6" w:space="0"/>
        <w:right w:val="single" w:color="DDDDDD" w:sz="6" w:space="0"/>
      </w:pBdr>
      <w:spacing w:before="100" w:beforeAutospacing="1" w:after="100" w:afterAutospacing="1"/>
    </w:pPr>
  </w:style>
  <w:style w:type="paragraph" w:customStyle="1" w:styleId="2137">
    <w:name w:val="lgt-slv-bdr"/>
    <w:basedOn w:val="1"/>
    <w:qFormat/>
    <w:uiPriority w:val="0"/>
    <w:pPr>
      <w:pBdr>
        <w:top w:val="single" w:color="EEEEEE" w:sz="6" w:space="0"/>
        <w:left w:val="single" w:color="EEEEEE" w:sz="6" w:space="0"/>
        <w:bottom w:val="single" w:color="EEEEEE" w:sz="6" w:space="0"/>
        <w:right w:val="single" w:color="EEEEEE" w:sz="6" w:space="0"/>
      </w:pBdr>
      <w:spacing w:before="100" w:beforeAutospacing="1" w:after="100" w:afterAutospacing="1"/>
    </w:pPr>
  </w:style>
  <w:style w:type="paragraph" w:customStyle="1" w:styleId="2138">
    <w:name w:val="med-slv-bdr"/>
    <w:basedOn w:val="1"/>
    <w:qFormat/>
    <w:uiPriority w:val="0"/>
    <w:pPr>
      <w:pBdr>
        <w:top w:val="single" w:color="DBDBDB" w:sz="6" w:space="0"/>
        <w:left w:val="single" w:color="DBDBDB" w:sz="6" w:space="0"/>
        <w:bottom w:val="single" w:color="DBDBDB" w:sz="6" w:space="0"/>
        <w:right w:val="single" w:color="DBDBDB" w:sz="6" w:space="0"/>
      </w:pBdr>
      <w:spacing w:before="100" w:beforeAutospacing="1" w:after="100" w:afterAutospacing="1"/>
    </w:pPr>
  </w:style>
  <w:style w:type="paragraph" w:customStyle="1" w:styleId="2139">
    <w:name w:val="low-lh"/>
    <w:basedOn w:val="1"/>
    <w:qFormat/>
    <w:uiPriority w:val="0"/>
    <w:pPr>
      <w:spacing w:before="100" w:beforeAutospacing="1" w:after="100" w:afterAutospacing="1"/>
    </w:pPr>
    <w:rPr>
      <w:sz w:val="21"/>
      <w:szCs w:val="21"/>
    </w:rPr>
  </w:style>
  <w:style w:type="paragraph" w:customStyle="1" w:styleId="2140">
    <w:name w:val="b-btn-1"/>
    <w:basedOn w:val="1"/>
    <w:qFormat/>
    <w:uiPriority w:val="0"/>
    <w:pPr>
      <w:spacing w:before="100" w:beforeAutospacing="1" w:after="100" w:afterAutospacing="1"/>
    </w:pPr>
  </w:style>
  <w:style w:type="paragraph" w:customStyle="1" w:styleId="2141">
    <w:name w:val="b-btn-2"/>
    <w:basedOn w:val="1"/>
    <w:qFormat/>
    <w:uiPriority w:val="0"/>
    <w:pPr>
      <w:spacing w:before="100" w:beforeAutospacing="1" w:after="100" w:afterAutospacing="1"/>
    </w:pPr>
  </w:style>
  <w:style w:type="paragraph" w:customStyle="1" w:styleId="2142">
    <w:name w:val="b-ent-toc"/>
    <w:basedOn w:val="1"/>
    <w:qFormat/>
    <w:uiPriority w:val="0"/>
    <w:pPr>
      <w:spacing w:after="450"/>
    </w:pPr>
  </w:style>
  <w:style w:type="paragraph" w:customStyle="1" w:styleId="2143">
    <w:name w:val="b-ent-toc-title"/>
    <w:basedOn w:val="1"/>
    <w:qFormat/>
    <w:uiPriority w:val="0"/>
    <w:pPr>
      <w:pBdr>
        <w:top w:val="dashed" w:color="auto" w:sz="2" w:space="0"/>
        <w:left w:val="dashed" w:color="auto" w:sz="2" w:space="0"/>
        <w:bottom w:val="dashed" w:color="auto" w:sz="6" w:space="4"/>
        <w:right w:val="dashed" w:color="auto" w:sz="2" w:space="0"/>
      </w:pBdr>
      <w:spacing w:before="75" w:after="75"/>
      <w:ind w:left="150" w:right="150"/>
    </w:pPr>
    <w:rPr>
      <w:sz w:val="21"/>
      <w:szCs w:val="21"/>
    </w:rPr>
  </w:style>
  <w:style w:type="paragraph" w:customStyle="1" w:styleId="2144">
    <w:name w:val="thin"/>
    <w:basedOn w:val="1"/>
    <w:qFormat/>
    <w:uiPriority w:val="0"/>
    <w:pPr>
      <w:spacing w:before="100" w:beforeAutospacing="1" w:after="100" w:afterAutospacing="1"/>
    </w:pPr>
  </w:style>
  <w:style w:type="paragraph" w:customStyle="1" w:styleId="2145">
    <w:name w:val="gray"/>
    <w:basedOn w:val="1"/>
    <w:qFormat/>
    <w:uiPriority w:val="0"/>
    <w:pPr>
      <w:spacing w:before="100" w:beforeAutospacing="1" w:after="100" w:afterAutospacing="1"/>
    </w:pPr>
    <w:rPr>
      <w:color w:val="808080"/>
    </w:rPr>
  </w:style>
  <w:style w:type="paragraph" w:customStyle="1" w:styleId="2146">
    <w:name w:val="b-ent-options"/>
    <w:basedOn w:val="1"/>
    <w:qFormat/>
    <w:uiPriority w:val="0"/>
    <w:pPr>
      <w:shd w:val="clear" w:color="auto" w:fill="FFFFFF"/>
      <w:ind w:left="150" w:right="150"/>
    </w:pPr>
  </w:style>
  <w:style w:type="paragraph" w:customStyle="1" w:styleId="2147">
    <w:name w:val="b-ent-toc-actions"/>
    <w:basedOn w:val="1"/>
    <w:qFormat/>
    <w:uiPriority w:val="0"/>
    <w:pPr>
      <w:spacing w:before="45"/>
    </w:pPr>
  </w:style>
  <w:style w:type="paragraph" w:customStyle="1" w:styleId="2148">
    <w:name w:val="b-ent-toc-action"/>
    <w:basedOn w:val="1"/>
    <w:qFormat/>
    <w:uiPriority w:val="0"/>
    <w:pPr>
      <w:ind w:left="75" w:right="75"/>
    </w:pPr>
  </w:style>
  <w:style w:type="paragraph" w:customStyle="1" w:styleId="2149">
    <w:name w:val="b-ent-toc-bottom"/>
    <w:basedOn w:val="1"/>
    <w:qFormat/>
    <w:uiPriority w:val="0"/>
    <w:pPr>
      <w:pBdr>
        <w:top w:val="single" w:color="FFFFFF" w:sz="48" w:space="0"/>
      </w:pBdr>
      <w:shd w:val="clear" w:color="auto" w:fill="F9F9F9"/>
      <w:spacing w:before="100" w:beforeAutospacing="1" w:after="100" w:afterAutospacing="1"/>
    </w:pPr>
  </w:style>
  <w:style w:type="paragraph" w:customStyle="1" w:styleId="2150">
    <w:name w:val="b-ent-toc-trigger"/>
    <w:basedOn w:val="1"/>
    <w:qFormat/>
    <w:uiPriority w:val="0"/>
    <w:pPr>
      <w:spacing w:line="0" w:lineRule="auto"/>
    </w:pPr>
    <w:rPr>
      <w:sz w:val="2"/>
      <w:szCs w:val="2"/>
    </w:rPr>
  </w:style>
  <w:style w:type="paragraph" w:customStyle="1" w:styleId="2151">
    <w:name w:val="b-ent-section"/>
    <w:basedOn w:val="1"/>
    <w:qFormat/>
    <w:uiPriority w:val="0"/>
    <w:pPr>
      <w:pBdr>
        <w:top w:val="single" w:color="FFFFFF" w:sz="6" w:space="5"/>
        <w:left w:val="single" w:color="FFFFFF" w:sz="2" w:space="0"/>
        <w:bottom w:val="single" w:color="FFFFFF" w:sz="2" w:space="4"/>
        <w:right w:val="single" w:color="FFFFFF" w:sz="2" w:space="0"/>
      </w:pBdr>
      <w:shd w:val="clear" w:color="auto" w:fill="F3F3F3"/>
      <w:spacing w:before="100" w:beforeAutospacing="1" w:after="375"/>
      <w:ind w:left="-150" w:right="-300"/>
    </w:pPr>
  </w:style>
  <w:style w:type="paragraph" w:customStyle="1" w:styleId="2152">
    <w:name w:val="sub-anchor"/>
    <w:basedOn w:val="1"/>
    <w:qFormat/>
    <w:uiPriority w:val="0"/>
    <w:pPr>
      <w:spacing w:before="100" w:beforeAutospacing="1" w:after="100" w:afterAutospacing="1" w:line="75" w:lineRule="atLeast"/>
    </w:pPr>
    <w:rPr>
      <w:sz w:val="8"/>
      <w:szCs w:val="8"/>
    </w:rPr>
  </w:style>
  <w:style w:type="paragraph" w:customStyle="1" w:styleId="2153">
    <w:name w:val="b-h2-3"/>
    <w:basedOn w:val="1"/>
    <w:qFormat/>
    <w:uiPriority w:val="0"/>
    <w:pPr>
      <w:spacing w:before="100" w:beforeAutospacing="1" w:after="100" w:afterAutospacing="1"/>
      <w:ind w:firstLine="150"/>
    </w:pPr>
    <w:rPr>
      <w:rFonts w:ascii="΢ȭхڢ, ڌ墬 Verdana" w:eastAsia="΢ȭхڢ, ڌ墬 Verdana"/>
      <w:sz w:val="29"/>
      <w:szCs w:val="29"/>
    </w:rPr>
  </w:style>
  <w:style w:type="paragraph" w:customStyle="1" w:styleId="2154">
    <w:name w:val="b-ent-section-expand"/>
    <w:basedOn w:val="1"/>
    <w:qFormat/>
    <w:uiPriority w:val="0"/>
    <w:pPr>
      <w:spacing w:before="100" w:beforeAutospacing="1" w:after="100" w:afterAutospacing="1"/>
    </w:pPr>
  </w:style>
  <w:style w:type="paragraph" w:customStyle="1" w:styleId="2155">
    <w:name w:val="dir-holder"/>
    <w:basedOn w:val="1"/>
    <w:qFormat/>
    <w:uiPriority w:val="0"/>
    <w:pPr>
      <w:spacing w:before="100" w:beforeAutospacing="1" w:after="100" w:afterAutospacing="1" w:line="120" w:lineRule="atLeast"/>
    </w:pPr>
    <w:rPr>
      <w:vanish/>
      <w:sz w:val="2"/>
      <w:szCs w:val="2"/>
    </w:rPr>
  </w:style>
  <w:style w:type="paragraph" w:customStyle="1" w:styleId="2156">
    <w:name w:val="b-h4-3"/>
    <w:basedOn w:val="1"/>
    <w:qFormat/>
    <w:uiPriority w:val="0"/>
    <w:pPr>
      <w:spacing w:before="100" w:beforeAutospacing="1" w:after="100" w:afterAutospacing="1"/>
    </w:pPr>
    <w:rPr>
      <w:b/>
      <w:bCs/>
      <w:sz w:val="21"/>
      <w:szCs w:val="21"/>
    </w:rPr>
  </w:style>
  <w:style w:type="paragraph" w:customStyle="1" w:styleId="2157">
    <w:name w:val="setting-option"/>
    <w:basedOn w:val="1"/>
    <w:qFormat/>
    <w:uiPriority w:val="0"/>
    <w:pPr>
      <w:spacing w:before="100" w:beforeAutospacing="1" w:after="100" w:afterAutospacing="1"/>
    </w:pPr>
  </w:style>
  <w:style w:type="paragraph" w:customStyle="1" w:styleId="2158">
    <w:name w:val="b-heading-list"/>
    <w:basedOn w:val="1"/>
    <w:qFormat/>
    <w:uiPriority w:val="0"/>
    <w:pPr>
      <w:spacing w:before="100" w:beforeAutospacing="1" w:after="100" w:afterAutospacing="1"/>
    </w:pPr>
  </w:style>
  <w:style w:type="paragraph" w:customStyle="1" w:styleId="2159">
    <w:name w:val="fm-ta-1"/>
    <w:basedOn w:val="1"/>
    <w:qFormat/>
    <w:uiPriority w:val="0"/>
    <w:pPr>
      <w:spacing w:before="100" w:beforeAutospacing="1" w:after="100" w:afterAutospacing="1"/>
    </w:pPr>
  </w:style>
  <w:style w:type="paragraph" w:customStyle="1" w:styleId="2160">
    <w:name w:val="remark"/>
    <w:basedOn w:val="1"/>
    <w:qFormat/>
    <w:uiPriority w:val="0"/>
    <w:pPr>
      <w:spacing w:before="75"/>
    </w:pPr>
  </w:style>
  <w:style w:type="paragraph" w:customStyle="1" w:styleId="2161">
    <w:name w:val="command"/>
    <w:basedOn w:val="1"/>
    <w:qFormat/>
    <w:uiPriority w:val="0"/>
    <w:pPr>
      <w:spacing w:before="100" w:beforeAutospacing="1" w:after="100" w:afterAutospacing="1"/>
      <w:jc w:val="center"/>
    </w:pPr>
  </w:style>
  <w:style w:type="paragraph" w:customStyle="1" w:styleId="2162">
    <w:name w:val="impt"/>
    <w:basedOn w:val="1"/>
    <w:qFormat/>
    <w:uiPriority w:val="0"/>
    <w:pPr>
      <w:spacing w:before="100" w:beforeAutospacing="1" w:after="100" w:afterAutospacing="1"/>
    </w:pPr>
    <w:rPr>
      <w:color w:val="FF0000"/>
    </w:rPr>
  </w:style>
  <w:style w:type="paragraph" w:customStyle="1" w:styleId="2163">
    <w:name w:val="enc-tip"/>
    <w:basedOn w:val="1"/>
    <w:qFormat/>
    <w:uiPriority w:val="0"/>
    <w:pPr>
      <w:spacing w:before="100" w:beforeAutospacing="1" w:after="100" w:afterAutospacing="1"/>
    </w:pPr>
  </w:style>
  <w:style w:type="paragraph" w:customStyle="1" w:styleId="2164">
    <w:name w:val="enc-wrap"/>
    <w:basedOn w:val="1"/>
    <w:qFormat/>
    <w:uiPriority w:val="0"/>
    <w:pPr>
      <w:pBdr>
        <w:top w:val="single" w:color="BBE0F3" w:sz="12" w:space="0"/>
        <w:left w:val="single" w:color="BBE0F3" w:sz="12" w:space="0"/>
        <w:bottom w:val="single" w:color="BBE0F3" w:sz="12" w:space="0"/>
        <w:right w:val="single" w:color="BBE0F3" w:sz="12" w:space="0"/>
      </w:pBdr>
      <w:spacing w:before="100" w:beforeAutospacing="1" w:after="100" w:afterAutospacing="1"/>
    </w:pPr>
  </w:style>
  <w:style w:type="paragraph" w:customStyle="1" w:styleId="2165">
    <w:name w:val="enc-content"/>
    <w:basedOn w:val="1"/>
    <w:qFormat/>
    <w:uiPriority w:val="0"/>
    <w:pPr>
      <w:shd w:val="clear" w:color="auto" w:fill="FDFEFF"/>
      <w:spacing w:before="100" w:beforeAutospacing="1" w:after="100" w:afterAutospacing="1"/>
    </w:pPr>
  </w:style>
  <w:style w:type="paragraph" w:customStyle="1" w:styleId="2166">
    <w:name w:val="ctr"/>
    <w:basedOn w:val="1"/>
    <w:qFormat/>
    <w:uiPriority w:val="0"/>
    <w:pPr>
      <w:spacing w:before="100" w:beforeAutospacing="1" w:after="100" w:afterAutospacing="1"/>
    </w:pPr>
  </w:style>
  <w:style w:type="paragraph" w:customStyle="1" w:styleId="2167">
    <w:name w:val="tri"/>
    <w:basedOn w:val="1"/>
    <w:qFormat/>
    <w:uiPriority w:val="0"/>
    <w:pPr>
      <w:pBdr>
        <w:top w:val="dashed" w:color="auto" w:sz="48" w:space="0"/>
        <w:left w:val="dashed" w:color="auto" w:sz="48" w:space="0"/>
        <w:bottom w:val="single" w:color="auto" w:sz="48" w:space="0"/>
        <w:right w:val="dashed" w:color="auto" w:sz="48" w:space="0"/>
      </w:pBdr>
      <w:spacing w:before="100" w:beforeAutospacing="1" w:after="100" w:afterAutospacing="1"/>
    </w:pPr>
    <w:rPr>
      <w:sz w:val="2"/>
      <w:szCs w:val="2"/>
    </w:rPr>
  </w:style>
  <w:style w:type="paragraph" w:customStyle="1" w:styleId="2168">
    <w:name w:val="progress-bar"/>
    <w:basedOn w:val="1"/>
    <w:qFormat/>
    <w:uiPriority w:val="0"/>
    <w:pPr>
      <w:spacing w:before="100" w:beforeAutospacing="1" w:after="100" w:afterAutospacing="1" w:line="195" w:lineRule="atLeast"/>
    </w:pPr>
  </w:style>
  <w:style w:type="paragraph" w:customStyle="1" w:styleId="2169">
    <w:name w:val="process-text"/>
    <w:basedOn w:val="1"/>
    <w:qFormat/>
    <w:uiPriority w:val="0"/>
    <w:pPr>
      <w:spacing w:before="100" w:beforeAutospacing="1" w:after="100" w:afterAutospacing="1" w:line="195" w:lineRule="atLeast"/>
      <w:jc w:val="center"/>
    </w:pPr>
    <w:rPr>
      <w:color w:val="FFFFFF"/>
    </w:rPr>
  </w:style>
  <w:style w:type="paragraph" w:customStyle="1" w:styleId="2170">
    <w:name w:val="message-board-box"/>
    <w:basedOn w:val="1"/>
    <w:qFormat/>
    <w:uiPriority w:val="0"/>
    <w:pPr>
      <w:shd w:val="clear" w:color="auto" w:fill="FF0000"/>
      <w:spacing w:before="100" w:beforeAutospacing="1" w:after="100" w:afterAutospacing="1"/>
    </w:pPr>
  </w:style>
  <w:style w:type="paragraph" w:customStyle="1" w:styleId="2171">
    <w:name w:val="btl-indicator"/>
    <w:basedOn w:val="1"/>
    <w:qFormat/>
    <w:uiPriority w:val="0"/>
    <w:pPr>
      <w:pBdr>
        <w:top w:val="single" w:color="BBE0F3" w:sz="12" w:space="0"/>
        <w:left w:val="single" w:color="BBE0F3" w:sz="2" w:space="0"/>
        <w:bottom w:val="single" w:color="BBE0F3" w:sz="12" w:space="0"/>
        <w:right w:val="single" w:color="BBE0F3" w:sz="2" w:space="0"/>
      </w:pBdr>
      <w:shd w:val="clear" w:color="auto" w:fill="FFFFFF"/>
      <w:spacing w:before="100" w:beforeAutospacing="1" w:after="100" w:afterAutospacing="1"/>
    </w:pPr>
  </w:style>
  <w:style w:type="paragraph" w:customStyle="1" w:styleId="2172">
    <w:name w:val="dot"/>
    <w:basedOn w:val="1"/>
    <w:qFormat/>
    <w:uiPriority w:val="0"/>
    <w:pPr>
      <w:shd w:val="clear" w:color="auto" w:fill="BCBCBC"/>
      <w:spacing w:after="75"/>
      <w:ind w:right="75"/>
    </w:pPr>
  </w:style>
  <w:style w:type="paragraph" w:customStyle="1" w:styleId="2173">
    <w:name w:val="tip-block"/>
    <w:basedOn w:val="1"/>
    <w:qFormat/>
    <w:uiPriority w:val="0"/>
    <w:pPr>
      <w:spacing w:before="100" w:beforeAutospacing="1" w:after="100" w:afterAutospacing="1"/>
    </w:pPr>
  </w:style>
  <w:style w:type="paragraph" w:customStyle="1" w:styleId="2174">
    <w:name w:val="tip-content"/>
    <w:basedOn w:val="1"/>
    <w:qFormat/>
    <w:uiPriority w:val="0"/>
    <w:pPr>
      <w:pBdr>
        <w:top w:val="single" w:color="FFD4AD" w:sz="6" w:space="7"/>
        <w:left w:val="single" w:color="FFD4AD" w:sz="6" w:space="9"/>
        <w:bottom w:val="single" w:color="FFD4AD" w:sz="6" w:space="2"/>
        <w:right w:val="single" w:color="FFD4AD" w:sz="6" w:space="9"/>
      </w:pBdr>
      <w:shd w:val="clear" w:color="auto" w:fill="FFF7F0"/>
      <w:spacing w:before="100" w:beforeAutospacing="1" w:after="100" w:afterAutospacing="1" w:line="330" w:lineRule="atLeast"/>
    </w:pPr>
    <w:rPr>
      <w:sz w:val="21"/>
      <w:szCs w:val="21"/>
    </w:rPr>
  </w:style>
  <w:style w:type="paragraph" w:customStyle="1" w:styleId="2175">
    <w:name w:val="tip-content-header"/>
    <w:basedOn w:val="1"/>
    <w:qFormat/>
    <w:uiPriority w:val="0"/>
    <w:pPr>
      <w:pBdr>
        <w:bottom w:val="dotted" w:color="9F9F9F" w:sz="6" w:space="0"/>
      </w:pBdr>
      <w:spacing w:before="100" w:beforeAutospacing="1" w:after="90"/>
    </w:pPr>
  </w:style>
  <w:style w:type="paragraph" w:customStyle="1" w:styleId="2176">
    <w:name w:val="tip-link-right"/>
    <w:basedOn w:val="1"/>
    <w:qFormat/>
    <w:uiPriority w:val="0"/>
    <w:pPr>
      <w:shd w:val="clear" w:color="auto" w:fill="FFF7F0"/>
      <w:spacing w:before="100" w:beforeAutospacing="1" w:after="100" w:afterAutospacing="1" w:line="270" w:lineRule="atLeast"/>
    </w:pPr>
  </w:style>
  <w:style w:type="paragraph" w:customStyle="1" w:styleId="2177">
    <w:name w:val="tip-content-msg"/>
    <w:basedOn w:val="1"/>
    <w:qFormat/>
    <w:uiPriority w:val="0"/>
    <w:pPr>
      <w:spacing w:before="100" w:beforeAutospacing="1" w:after="100" w:afterAutospacing="1"/>
    </w:pPr>
  </w:style>
  <w:style w:type="paragraph" w:customStyle="1" w:styleId="2178">
    <w:name w:val="tip-msg-label"/>
    <w:basedOn w:val="1"/>
    <w:qFormat/>
    <w:uiPriority w:val="0"/>
    <w:pPr>
      <w:spacing w:before="100" w:beforeAutospacing="1" w:after="100" w:afterAutospacing="1"/>
    </w:pPr>
    <w:rPr>
      <w:b/>
      <w:bCs/>
    </w:rPr>
  </w:style>
  <w:style w:type="paragraph" w:customStyle="1" w:styleId="2179">
    <w:name w:val="tip-msg"/>
    <w:basedOn w:val="1"/>
    <w:qFormat/>
    <w:uiPriority w:val="0"/>
    <w:pPr>
      <w:spacing w:before="100" w:beforeAutospacing="1" w:after="100" w:afterAutospacing="1"/>
      <w:ind w:left="1500"/>
    </w:pPr>
  </w:style>
  <w:style w:type="paragraph" w:customStyle="1" w:styleId="2180">
    <w:name w:val="throw-btl-link"/>
    <w:basedOn w:val="1"/>
    <w:qFormat/>
    <w:uiPriority w:val="0"/>
    <w:pPr>
      <w:spacing w:before="100" w:beforeAutospacing="1" w:after="100" w:afterAutospacing="1"/>
      <w:ind w:left="75"/>
    </w:pPr>
  </w:style>
  <w:style w:type="paragraph" w:customStyle="1" w:styleId="2181">
    <w:name w:val="tip-content-footer"/>
    <w:basedOn w:val="1"/>
    <w:qFormat/>
    <w:uiPriority w:val="0"/>
    <w:pPr>
      <w:pBdr>
        <w:top w:val="dotted" w:color="9F9F9F" w:sz="6" w:space="2"/>
      </w:pBdr>
      <w:spacing w:before="100" w:beforeAutospacing="1" w:after="100" w:afterAutospacing="1"/>
    </w:pPr>
  </w:style>
  <w:style w:type="paragraph" w:customStyle="1" w:styleId="2182">
    <w:name w:val="throwbtl-link-view"/>
    <w:basedOn w:val="1"/>
    <w:qFormat/>
    <w:uiPriority w:val="0"/>
    <w:pPr>
      <w:spacing w:before="100" w:beforeAutospacing="1" w:after="100" w:afterAutospacing="1"/>
      <w:ind w:left="75"/>
    </w:pPr>
    <w:rPr>
      <w:sz w:val="18"/>
      <w:szCs w:val="18"/>
    </w:rPr>
  </w:style>
  <w:style w:type="paragraph" w:customStyle="1" w:styleId="2183">
    <w:name w:val="lemma-top-link"/>
    <w:basedOn w:val="1"/>
    <w:qFormat/>
    <w:uiPriority w:val="0"/>
    <w:pPr>
      <w:spacing w:before="165" w:after="100" w:afterAutospacing="1" w:line="165" w:lineRule="atLeast"/>
      <w:ind w:right="120"/>
      <w:textAlignment w:val="center"/>
    </w:pPr>
    <w:rPr>
      <w:sz w:val="18"/>
      <w:szCs w:val="18"/>
      <w:u w:val="single"/>
    </w:rPr>
  </w:style>
  <w:style w:type="paragraph" w:customStyle="1" w:styleId="2184">
    <w:name w:val="throwbtl-link-head"/>
    <w:basedOn w:val="1"/>
    <w:qFormat/>
    <w:uiPriority w:val="0"/>
    <w:pPr>
      <w:spacing w:before="100" w:beforeAutospacing="1" w:after="100" w:afterAutospacing="1"/>
      <w:ind w:right="270"/>
    </w:pPr>
  </w:style>
  <w:style w:type="paragraph" w:customStyle="1" w:styleId="2185">
    <w:name w:val="lemma-top-link-divider"/>
    <w:basedOn w:val="1"/>
    <w:qFormat/>
    <w:uiPriority w:val="0"/>
    <w:pPr>
      <w:pBdr>
        <w:left w:val="dotted" w:color="808080" w:sz="6" w:space="0"/>
      </w:pBdr>
      <w:spacing w:before="100" w:beforeAutospacing="1" w:after="100" w:afterAutospacing="1"/>
    </w:pPr>
    <w:rPr>
      <w:vanish/>
    </w:rPr>
  </w:style>
  <w:style w:type="paragraph" w:customStyle="1" w:styleId="2186">
    <w:name w:val="edit-section-throwbtl-link"/>
    <w:basedOn w:val="1"/>
    <w:qFormat/>
    <w:uiPriority w:val="0"/>
    <w:pPr>
      <w:spacing w:before="90" w:after="100" w:afterAutospacing="1"/>
      <w:ind w:right="45"/>
    </w:pPr>
  </w:style>
  <w:style w:type="paragraph" w:customStyle="1" w:styleId="2187">
    <w:name w:val="lemma-relation-table"/>
    <w:basedOn w:val="1"/>
    <w:qFormat/>
    <w:uiPriority w:val="0"/>
    <w:pPr>
      <w:pBdr>
        <w:top w:val="single" w:color="DCEEFC" w:sz="6" w:space="2"/>
        <w:left w:val="single" w:color="DCEEFC" w:sz="6" w:space="2"/>
        <w:bottom w:val="single" w:color="DCEEFC" w:sz="6" w:space="2"/>
        <w:right w:val="single" w:color="DCEEFC" w:sz="6" w:space="2"/>
      </w:pBdr>
      <w:spacing w:before="100" w:beforeAutospacing="1" w:after="150" w:line="450" w:lineRule="atLeast"/>
    </w:pPr>
    <w:rPr>
      <w:sz w:val="18"/>
      <w:szCs w:val="18"/>
    </w:rPr>
  </w:style>
  <w:style w:type="paragraph" w:customStyle="1" w:styleId="2188">
    <w:name w:val="relation-table-banner"/>
    <w:basedOn w:val="1"/>
    <w:qFormat/>
    <w:uiPriority w:val="0"/>
    <w:pPr>
      <w:spacing w:before="100" w:beforeAutospacing="1" w:after="100" w:afterAutospacing="1" w:line="450" w:lineRule="atLeast"/>
      <w:jc w:val="center"/>
    </w:pPr>
  </w:style>
  <w:style w:type="paragraph" w:customStyle="1" w:styleId="2189">
    <w:name w:val="relation-table-title"/>
    <w:basedOn w:val="1"/>
    <w:qFormat/>
    <w:uiPriority w:val="0"/>
    <w:pPr>
      <w:jc w:val="center"/>
    </w:pPr>
  </w:style>
  <w:style w:type="paragraph" w:customStyle="1" w:styleId="2190">
    <w:name w:val="relation-table-icon"/>
    <w:basedOn w:val="1"/>
    <w:qFormat/>
    <w:uiPriority w:val="0"/>
    <w:pPr>
      <w:spacing w:before="105" w:after="100" w:afterAutospacing="1"/>
    </w:pPr>
  </w:style>
  <w:style w:type="paragraph" w:customStyle="1" w:styleId="2191">
    <w:name w:val="relation-table-view-control"/>
    <w:basedOn w:val="1"/>
    <w:qFormat/>
    <w:uiPriority w:val="0"/>
    <w:pPr>
      <w:spacing w:before="75" w:after="100" w:afterAutospacing="1"/>
    </w:pPr>
  </w:style>
  <w:style w:type="paragraph" w:customStyle="1" w:styleId="2192">
    <w:name w:val="relation-control"/>
    <w:basedOn w:val="1"/>
    <w:qFormat/>
    <w:uiPriority w:val="0"/>
    <w:pPr>
      <w:spacing w:before="100" w:beforeAutospacing="1" w:after="100" w:afterAutospacing="1"/>
      <w:ind w:left="45"/>
    </w:pPr>
  </w:style>
  <w:style w:type="paragraph" w:customStyle="1" w:styleId="2193">
    <w:name w:val="relation-table-main"/>
    <w:basedOn w:val="1"/>
    <w:qFormat/>
    <w:uiPriority w:val="0"/>
    <w:pPr>
      <w:spacing w:before="100" w:beforeAutospacing="1" w:after="100" w:afterAutospacing="1"/>
    </w:pPr>
    <w:rPr>
      <w:color w:val="666666"/>
    </w:rPr>
  </w:style>
  <w:style w:type="paragraph" w:customStyle="1" w:styleId="2194">
    <w:name w:val="relation-come-from"/>
    <w:basedOn w:val="1"/>
    <w:qFormat/>
    <w:uiPriority w:val="0"/>
    <w:pPr>
      <w:spacing w:before="100" w:beforeAutospacing="1" w:after="100" w:afterAutospacing="1"/>
      <w:jc w:val="right"/>
    </w:pPr>
    <w:rPr>
      <w:color w:val="999999"/>
      <w:sz w:val="18"/>
      <w:szCs w:val="18"/>
    </w:rPr>
  </w:style>
  <w:style w:type="paragraph" w:customStyle="1" w:styleId="2195">
    <w:name w:val="lemma-relation-odd"/>
    <w:basedOn w:val="1"/>
    <w:qFormat/>
    <w:uiPriority w:val="0"/>
    <w:pPr>
      <w:spacing w:before="100" w:beforeAutospacing="1" w:after="100" w:afterAutospacing="1" w:line="450" w:lineRule="atLeast"/>
    </w:pPr>
  </w:style>
  <w:style w:type="paragraph" w:customStyle="1" w:styleId="2196">
    <w:name w:val="relation-table-outer"/>
    <w:basedOn w:val="1"/>
    <w:qFormat/>
    <w:uiPriority w:val="0"/>
    <w:pPr>
      <w:spacing w:before="30" w:after="100" w:afterAutospacing="1"/>
    </w:pPr>
  </w:style>
  <w:style w:type="paragraph" w:customStyle="1" w:styleId="2197">
    <w:name w:val="embed-relation-tb"/>
    <w:basedOn w:val="1"/>
    <w:qFormat/>
    <w:uiPriority w:val="0"/>
    <w:pPr>
      <w:spacing w:before="30" w:after="100" w:afterAutospacing="1"/>
    </w:pPr>
  </w:style>
  <w:style w:type="paragraph" w:customStyle="1" w:styleId="2198">
    <w:name w:val="tb-entries"/>
    <w:basedOn w:val="1"/>
    <w:qFormat/>
    <w:uiPriority w:val="0"/>
    <w:pPr>
      <w:spacing w:before="100" w:beforeAutospacing="1" w:after="100" w:afterAutospacing="1"/>
    </w:pPr>
  </w:style>
  <w:style w:type="paragraph" w:customStyle="1" w:styleId="2199">
    <w:name w:val="explain"/>
    <w:basedOn w:val="1"/>
    <w:qFormat/>
    <w:uiPriority w:val="0"/>
    <w:pPr>
      <w:spacing w:before="100" w:beforeAutospacing="1" w:after="100" w:afterAutospacing="1"/>
    </w:pPr>
  </w:style>
  <w:style w:type="paragraph" w:customStyle="1" w:styleId="2200">
    <w:name w:val="lemma-relation-top"/>
    <w:basedOn w:val="1"/>
    <w:qFormat/>
    <w:uiPriority w:val="0"/>
    <w:pPr>
      <w:spacing w:before="100" w:beforeAutospacing="1" w:after="100" w:afterAutospacing="1"/>
    </w:pPr>
  </w:style>
  <w:style w:type="paragraph" w:customStyle="1" w:styleId="2201">
    <w:name w:val="lemma-category-table"/>
    <w:basedOn w:val="1"/>
    <w:qFormat/>
    <w:uiPriority w:val="0"/>
    <w:pPr>
      <w:pBdr>
        <w:top w:val="single" w:color="C6E1F5" w:sz="6" w:space="0"/>
        <w:left w:val="single" w:color="C6E1F5" w:sz="6" w:space="0"/>
        <w:bottom w:val="single" w:color="C6E1F5" w:sz="6" w:space="0"/>
        <w:right w:val="single" w:color="C6E1F5" w:sz="6" w:space="0"/>
      </w:pBdr>
      <w:spacing w:before="100" w:beforeAutospacing="1" w:after="100" w:afterAutospacing="1"/>
    </w:pPr>
    <w:rPr>
      <w:sz w:val="18"/>
      <w:szCs w:val="18"/>
    </w:rPr>
  </w:style>
  <w:style w:type="paragraph" w:customStyle="1" w:styleId="2202">
    <w:name w:val="rs-icon"/>
    <w:basedOn w:val="1"/>
    <w:qFormat/>
    <w:uiPriority w:val="0"/>
    <w:pPr>
      <w:spacing w:before="100" w:beforeAutospacing="1" w:after="100" w:afterAutospacing="1" w:line="465" w:lineRule="atLeast"/>
    </w:pPr>
  </w:style>
  <w:style w:type="paragraph" w:customStyle="1" w:styleId="2203">
    <w:name w:val="relation-category"/>
    <w:basedOn w:val="1"/>
    <w:qFormat/>
    <w:uiPriority w:val="0"/>
    <w:pPr>
      <w:spacing w:after="405"/>
    </w:pPr>
    <w:rPr>
      <w:sz w:val="18"/>
      <w:szCs w:val="18"/>
    </w:rPr>
  </w:style>
  <w:style w:type="paragraph" w:customStyle="1" w:styleId="2204">
    <w:name w:val="usercardtitle"/>
    <w:basedOn w:val="1"/>
    <w:qFormat/>
    <w:uiPriority w:val="0"/>
    <w:pPr>
      <w:spacing w:before="100" w:beforeAutospacing="1" w:after="100" w:afterAutospacing="1"/>
    </w:pPr>
  </w:style>
  <w:style w:type="paragraph" w:customStyle="1" w:styleId="2205">
    <w:name w:val="pillar"/>
    <w:basedOn w:val="1"/>
    <w:qFormat/>
    <w:uiPriority w:val="0"/>
    <w:pPr>
      <w:spacing w:before="100" w:beforeAutospacing="1" w:after="100" w:afterAutospacing="1"/>
      <w:textAlignment w:val="center"/>
    </w:pPr>
  </w:style>
  <w:style w:type="paragraph" w:customStyle="1" w:styleId="2206">
    <w:name w:val="user-card"/>
    <w:basedOn w:val="1"/>
    <w:qFormat/>
    <w:uiPriority w:val="0"/>
    <w:pPr>
      <w:pBdr>
        <w:top w:val="single" w:color="B3DAFF" w:sz="6" w:space="0"/>
        <w:left w:val="single" w:color="B3DAFF" w:sz="6" w:space="0"/>
        <w:bottom w:val="single" w:color="B3DAFF" w:sz="6" w:space="0"/>
        <w:right w:val="single" w:color="B3DAFF" w:sz="6" w:space="0"/>
      </w:pBdr>
      <w:shd w:val="clear" w:color="auto" w:fill="F7FCFF"/>
      <w:spacing w:before="100" w:beforeAutospacing="1" w:after="100" w:afterAutospacing="1"/>
    </w:pPr>
    <w:rPr>
      <w:rFonts w:ascii="Arial" w:hAnsi="Arial" w:cs="Arial"/>
      <w:sz w:val="18"/>
      <w:szCs w:val="18"/>
    </w:rPr>
  </w:style>
  <w:style w:type="paragraph" w:customStyle="1" w:styleId="2207">
    <w:name w:val="uc-badge"/>
    <w:basedOn w:val="1"/>
    <w:qFormat/>
    <w:uiPriority w:val="0"/>
    <w:pPr>
      <w:spacing w:before="60" w:after="100" w:afterAutospacing="1"/>
    </w:pPr>
  </w:style>
  <w:style w:type="paragraph" w:customStyle="1" w:styleId="2208">
    <w:name w:val="uc-default"/>
    <w:basedOn w:val="1"/>
    <w:qFormat/>
    <w:uiPriority w:val="0"/>
    <w:pPr>
      <w:spacing w:before="100" w:beforeAutospacing="1" w:after="60"/>
    </w:pPr>
  </w:style>
  <w:style w:type="paragraph" w:customStyle="1" w:styleId="2209">
    <w:name w:val="dialog-content-inner"/>
    <w:basedOn w:val="1"/>
    <w:qFormat/>
    <w:uiPriority w:val="0"/>
    <w:pPr>
      <w:spacing w:before="100" w:beforeAutospacing="1" w:after="100" w:afterAutospacing="1"/>
    </w:pPr>
  </w:style>
  <w:style w:type="paragraph" w:customStyle="1" w:styleId="2210">
    <w:name w:val="main-wrap"/>
    <w:basedOn w:val="1"/>
    <w:qFormat/>
    <w:uiPriority w:val="0"/>
    <w:pPr>
      <w:spacing w:before="100" w:beforeAutospacing="1" w:after="100" w:afterAutospacing="1"/>
    </w:pPr>
  </w:style>
  <w:style w:type="paragraph" w:customStyle="1" w:styleId="2211">
    <w:name w:val="col-sub"/>
    <w:basedOn w:val="1"/>
    <w:qFormat/>
    <w:uiPriority w:val="0"/>
    <w:pPr>
      <w:spacing w:before="100" w:beforeAutospacing="1" w:after="100" w:afterAutospacing="1"/>
    </w:pPr>
  </w:style>
  <w:style w:type="paragraph" w:customStyle="1" w:styleId="2212">
    <w:name w:val="m04"/>
    <w:basedOn w:val="1"/>
    <w:qFormat/>
    <w:uiPriority w:val="0"/>
    <w:pPr>
      <w:spacing w:before="100" w:beforeAutospacing="1" w:after="100" w:afterAutospacing="1"/>
    </w:pPr>
  </w:style>
  <w:style w:type="paragraph" w:customStyle="1" w:styleId="2213">
    <w:name w:val="mr4"/>
    <w:basedOn w:val="1"/>
    <w:qFormat/>
    <w:uiPriority w:val="0"/>
    <w:pPr>
      <w:spacing w:before="100" w:beforeAutospacing="1" w:after="100" w:afterAutospacing="1"/>
    </w:pPr>
  </w:style>
  <w:style w:type="paragraph" w:customStyle="1" w:styleId="2214">
    <w:name w:val="split"/>
    <w:basedOn w:val="1"/>
    <w:qFormat/>
    <w:uiPriority w:val="0"/>
    <w:pPr>
      <w:spacing w:before="100" w:beforeAutospacing="1" w:after="100" w:afterAutospacing="1"/>
    </w:pPr>
  </w:style>
  <w:style w:type="paragraph" w:customStyle="1" w:styleId="2215">
    <w:name w:val="要点1"/>
    <w:basedOn w:val="1"/>
    <w:qFormat/>
    <w:uiPriority w:val="0"/>
    <w:pPr>
      <w:spacing w:before="100" w:beforeAutospacing="1" w:after="100" w:afterAutospacing="1"/>
    </w:pPr>
  </w:style>
  <w:style w:type="paragraph" w:customStyle="1" w:styleId="2216">
    <w:name w:val="myhome"/>
    <w:basedOn w:val="1"/>
    <w:qFormat/>
    <w:uiPriority w:val="0"/>
    <w:pPr>
      <w:spacing w:before="100" w:beforeAutospacing="1" w:after="100" w:afterAutospacing="1"/>
    </w:pPr>
  </w:style>
  <w:style w:type="paragraph" w:customStyle="1" w:styleId="2217">
    <w:name w:val="myhome-tri"/>
    <w:basedOn w:val="1"/>
    <w:qFormat/>
    <w:uiPriority w:val="0"/>
    <w:pPr>
      <w:spacing w:before="100" w:beforeAutospacing="1" w:after="100" w:afterAutospacing="1"/>
    </w:pPr>
  </w:style>
  <w:style w:type="paragraph" w:customStyle="1" w:styleId="2218">
    <w:name w:val="count"/>
    <w:basedOn w:val="1"/>
    <w:qFormat/>
    <w:uiPriority w:val="0"/>
    <w:pPr>
      <w:spacing w:before="100" w:beforeAutospacing="1" w:after="100" w:afterAutospacing="1"/>
    </w:pPr>
  </w:style>
  <w:style w:type="paragraph" w:customStyle="1" w:styleId="2219">
    <w:name w:val="mde-item"/>
    <w:basedOn w:val="1"/>
    <w:qFormat/>
    <w:uiPriority w:val="0"/>
    <w:pPr>
      <w:spacing w:before="100" w:beforeAutospacing="1" w:after="100" w:afterAutospacing="1"/>
    </w:pPr>
  </w:style>
  <w:style w:type="paragraph" w:customStyle="1" w:styleId="2220">
    <w:name w:val="declear"/>
    <w:basedOn w:val="1"/>
    <w:qFormat/>
    <w:uiPriority w:val="0"/>
    <w:pPr>
      <w:spacing w:before="100" w:beforeAutospacing="1" w:after="100" w:afterAutospacing="1"/>
    </w:pPr>
  </w:style>
  <w:style w:type="paragraph" w:customStyle="1" w:styleId="2221">
    <w:name w:val="polysemy-item-cnt"/>
    <w:basedOn w:val="1"/>
    <w:qFormat/>
    <w:uiPriority w:val="0"/>
    <w:pPr>
      <w:spacing w:before="100" w:beforeAutospacing="1" w:after="100" w:afterAutospacing="1"/>
    </w:pPr>
  </w:style>
  <w:style w:type="paragraph" w:customStyle="1" w:styleId="2222">
    <w:name w:val="pic"/>
    <w:basedOn w:val="1"/>
    <w:qFormat/>
    <w:uiPriority w:val="0"/>
    <w:pPr>
      <w:spacing w:before="100" w:beforeAutospacing="1" w:after="100" w:afterAutospacing="1"/>
    </w:pPr>
  </w:style>
  <w:style w:type="paragraph" w:customStyle="1" w:styleId="2223">
    <w:name w:val="card-image"/>
    <w:basedOn w:val="1"/>
    <w:qFormat/>
    <w:uiPriority w:val="0"/>
    <w:pPr>
      <w:spacing w:before="100" w:beforeAutospacing="1" w:after="100" w:afterAutospacing="1"/>
    </w:pPr>
  </w:style>
  <w:style w:type="paragraph" w:customStyle="1" w:styleId="2224">
    <w:name w:val="more-link"/>
    <w:basedOn w:val="1"/>
    <w:qFormat/>
    <w:uiPriority w:val="0"/>
    <w:pPr>
      <w:spacing w:before="100" w:beforeAutospacing="1" w:after="100" w:afterAutospacing="1"/>
    </w:pPr>
  </w:style>
  <w:style w:type="paragraph" w:customStyle="1" w:styleId="2225">
    <w:name w:val="headline-2"/>
    <w:basedOn w:val="1"/>
    <w:qFormat/>
    <w:uiPriority w:val="0"/>
    <w:pPr>
      <w:spacing w:before="100" w:beforeAutospacing="1" w:after="100" w:afterAutospacing="1"/>
    </w:pPr>
  </w:style>
  <w:style w:type="paragraph" w:customStyle="1" w:styleId="2226">
    <w:name w:val="add"/>
    <w:basedOn w:val="1"/>
    <w:qFormat/>
    <w:uiPriority w:val="0"/>
    <w:pPr>
      <w:spacing w:before="100" w:beforeAutospacing="1" w:after="100" w:afterAutospacing="1"/>
    </w:pPr>
  </w:style>
  <w:style w:type="paragraph" w:customStyle="1" w:styleId="2227">
    <w:name w:val="r-index"/>
    <w:basedOn w:val="1"/>
    <w:qFormat/>
    <w:uiPriority w:val="0"/>
    <w:pPr>
      <w:spacing w:before="100" w:beforeAutospacing="1" w:after="100" w:afterAutospacing="1"/>
    </w:pPr>
  </w:style>
  <w:style w:type="paragraph" w:customStyle="1" w:styleId="2228">
    <w:name w:val="edit_it"/>
    <w:basedOn w:val="1"/>
    <w:qFormat/>
    <w:uiPriority w:val="0"/>
    <w:pPr>
      <w:spacing w:before="100" w:beforeAutospacing="1" w:after="100" w:afterAutospacing="1"/>
    </w:pPr>
  </w:style>
  <w:style w:type="paragraph" w:customStyle="1" w:styleId="2229">
    <w:name w:val="more_right"/>
    <w:basedOn w:val="1"/>
    <w:qFormat/>
    <w:uiPriority w:val="0"/>
    <w:pPr>
      <w:spacing w:before="100" w:beforeAutospacing="1" w:after="100" w:afterAutospacing="1"/>
    </w:pPr>
  </w:style>
  <w:style w:type="paragraph" w:customStyle="1" w:styleId="2230">
    <w:name w:val="edit"/>
    <w:basedOn w:val="1"/>
    <w:qFormat/>
    <w:uiPriority w:val="0"/>
    <w:pPr>
      <w:spacing w:before="100" w:beforeAutospacing="1" w:after="100" w:afterAutospacing="1"/>
    </w:pPr>
  </w:style>
  <w:style w:type="paragraph" w:customStyle="1" w:styleId="2231">
    <w:name w:val="headline-1"/>
    <w:basedOn w:val="1"/>
    <w:qFormat/>
    <w:uiPriority w:val="0"/>
    <w:pPr>
      <w:spacing w:before="100" w:beforeAutospacing="1" w:after="100" w:afterAutospacing="1"/>
    </w:pPr>
  </w:style>
  <w:style w:type="paragraph" w:customStyle="1" w:styleId="2232">
    <w:name w:val="t_edit1"/>
    <w:basedOn w:val="1"/>
    <w:qFormat/>
    <w:uiPriority w:val="0"/>
    <w:pPr>
      <w:spacing w:before="100" w:beforeAutospacing="1" w:after="100" w:afterAutospacing="1"/>
    </w:pPr>
  </w:style>
  <w:style w:type="paragraph" w:customStyle="1" w:styleId="2233">
    <w:name w:val="t_edit2"/>
    <w:basedOn w:val="1"/>
    <w:qFormat/>
    <w:uiPriority w:val="0"/>
    <w:pPr>
      <w:spacing w:before="100" w:beforeAutospacing="1" w:after="100" w:afterAutospacing="1"/>
    </w:pPr>
  </w:style>
  <w:style w:type="paragraph" w:customStyle="1" w:styleId="2234">
    <w:name w:val="t_polysemy"/>
    <w:basedOn w:val="1"/>
    <w:qFormat/>
    <w:uiPriority w:val="0"/>
    <w:pPr>
      <w:spacing w:before="100" w:beforeAutospacing="1" w:after="100" w:afterAutospacing="1"/>
    </w:pPr>
  </w:style>
  <w:style w:type="paragraph" w:customStyle="1" w:styleId="2235">
    <w:name w:val="contri-type"/>
    <w:basedOn w:val="1"/>
    <w:qFormat/>
    <w:uiPriority w:val="0"/>
    <w:pPr>
      <w:spacing w:before="100" w:beforeAutospacing="1" w:after="100" w:afterAutospacing="1"/>
    </w:pPr>
  </w:style>
  <w:style w:type="paragraph" w:customStyle="1" w:styleId="2236">
    <w:name w:val="holder1"/>
    <w:basedOn w:val="1"/>
    <w:qFormat/>
    <w:uiPriority w:val="0"/>
    <w:pPr>
      <w:spacing w:before="100" w:beforeAutospacing="1" w:after="100" w:afterAutospacing="1"/>
    </w:pPr>
  </w:style>
  <w:style w:type="paragraph" w:customStyle="1" w:styleId="2237">
    <w:name w:val="holder2"/>
    <w:basedOn w:val="1"/>
    <w:qFormat/>
    <w:uiPriority w:val="0"/>
    <w:pPr>
      <w:spacing w:before="100" w:beforeAutospacing="1" w:after="100" w:afterAutospacing="1"/>
    </w:pPr>
  </w:style>
  <w:style w:type="paragraph" w:customStyle="1" w:styleId="2238">
    <w:name w:val="temp"/>
    <w:basedOn w:val="1"/>
    <w:qFormat/>
    <w:uiPriority w:val="0"/>
    <w:pPr>
      <w:spacing w:before="100" w:beforeAutospacing="1" w:after="100" w:afterAutospacing="1"/>
    </w:pPr>
  </w:style>
  <w:style w:type="paragraph" w:customStyle="1" w:styleId="2239">
    <w:name w:val="blink"/>
    <w:basedOn w:val="1"/>
    <w:qFormat/>
    <w:uiPriority w:val="0"/>
    <w:pPr>
      <w:spacing w:before="100" w:beforeAutospacing="1" w:after="100" w:afterAutospacing="1"/>
    </w:pPr>
  </w:style>
  <w:style w:type="paragraph" w:customStyle="1" w:styleId="2240">
    <w:name w:val="impt-word"/>
    <w:basedOn w:val="1"/>
    <w:qFormat/>
    <w:uiPriority w:val="0"/>
    <w:pPr>
      <w:spacing w:before="100" w:beforeAutospacing="1" w:after="100" w:afterAutospacing="1"/>
    </w:pPr>
  </w:style>
  <w:style w:type="paragraph" w:customStyle="1" w:styleId="2241">
    <w:name w:val="piece"/>
    <w:basedOn w:val="1"/>
    <w:qFormat/>
    <w:uiPriority w:val="0"/>
    <w:pPr>
      <w:spacing w:before="100" w:beforeAutospacing="1" w:after="100" w:afterAutospacing="1"/>
    </w:pPr>
  </w:style>
  <w:style w:type="paragraph" w:customStyle="1" w:styleId="2242">
    <w:name w:val="mr8"/>
    <w:basedOn w:val="1"/>
    <w:qFormat/>
    <w:uiPriority w:val="0"/>
    <w:pPr>
      <w:spacing w:before="100" w:beforeAutospacing="1" w:after="100" w:afterAutospacing="1"/>
    </w:pPr>
  </w:style>
  <w:style w:type="paragraph" w:customStyle="1" w:styleId="2243">
    <w:name w:val="mb10"/>
    <w:basedOn w:val="1"/>
    <w:qFormat/>
    <w:uiPriority w:val="0"/>
    <w:pPr>
      <w:spacing w:before="100" w:beforeAutospacing="1" w:after="100" w:afterAutospacing="1"/>
    </w:pPr>
  </w:style>
  <w:style w:type="paragraph" w:customStyle="1" w:styleId="2244">
    <w:name w:val="mb15"/>
    <w:basedOn w:val="1"/>
    <w:qFormat/>
    <w:uiPriority w:val="0"/>
    <w:pPr>
      <w:spacing w:before="100" w:beforeAutospacing="1" w:after="100" w:afterAutospacing="1"/>
    </w:pPr>
  </w:style>
  <w:style w:type="paragraph" w:customStyle="1" w:styleId="2245">
    <w:name w:val="mlr4"/>
    <w:basedOn w:val="1"/>
    <w:qFormat/>
    <w:uiPriority w:val="0"/>
    <w:pPr>
      <w:spacing w:before="100" w:beforeAutospacing="1" w:after="100" w:afterAutospacing="1"/>
    </w:pPr>
  </w:style>
  <w:style w:type="paragraph" w:customStyle="1" w:styleId="2246">
    <w:name w:val="vm"/>
    <w:basedOn w:val="1"/>
    <w:qFormat/>
    <w:uiPriority w:val="0"/>
    <w:pPr>
      <w:spacing w:before="100" w:beforeAutospacing="1" w:after="100" w:afterAutospacing="1"/>
    </w:pPr>
  </w:style>
  <w:style w:type="paragraph" w:customStyle="1" w:styleId="2247">
    <w:name w:val="icon-hotword"/>
    <w:basedOn w:val="1"/>
    <w:qFormat/>
    <w:uiPriority w:val="0"/>
    <w:pPr>
      <w:spacing w:before="100" w:beforeAutospacing="1" w:after="100" w:afterAutospacing="1"/>
    </w:pPr>
  </w:style>
  <w:style w:type="paragraph" w:customStyle="1" w:styleId="2248">
    <w:name w:val="icon-lemma"/>
    <w:basedOn w:val="1"/>
    <w:qFormat/>
    <w:uiPriority w:val="0"/>
    <w:pPr>
      <w:spacing w:before="100" w:beforeAutospacing="1" w:after="100" w:afterAutospacing="1"/>
    </w:pPr>
  </w:style>
  <w:style w:type="paragraph" w:customStyle="1" w:styleId="2249">
    <w:name w:val="icon-common-task"/>
    <w:basedOn w:val="1"/>
    <w:qFormat/>
    <w:uiPriority w:val="0"/>
    <w:pPr>
      <w:spacing w:before="100" w:beforeAutospacing="1" w:after="100" w:afterAutospacing="1"/>
    </w:pPr>
  </w:style>
  <w:style w:type="paragraph" w:customStyle="1" w:styleId="2250">
    <w:name w:val="goto"/>
    <w:basedOn w:val="1"/>
    <w:qFormat/>
    <w:uiPriority w:val="0"/>
    <w:pPr>
      <w:spacing w:before="100" w:beforeAutospacing="1" w:after="100" w:afterAutospacing="1"/>
    </w:pPr>
  </w:style>
  <w:style w:type="paragraph" w:customStyle="1" w:styleId="2251">
    <w:name w:val="icon-growup-task"/>
    <w:basedOn w:val="1"/>
    <w:qFormat/>
    <w:uiPriority w:val="0"/>
    <w:pPr>
      <w:spacing w:before="100" w:beforeAutospacing="1" w:after="100" w:afterAutospacing="1"/>
    </w:pPr>
  </w:style>
  <w:style w:type="paragraph" w:customStyle="1" w:styleId="2252">
    <w:name w:val="icon-wealth"/>
    <w:basedOn w:val="1"/>
    <w:qFormat/>
    <w:uiPriority w:val="0"/>
    <w:pPr>
      <w:spacing w:before="100" w:beforeAutospacing="1" w:after="100" w:afterAutospacing="1"/>
    </w:pPr>
  </w:style>
  <w:style w:type="paragraph" w:customStyle="1" w:styleId="2253">
    <w:name w:val="gotouc-wrap"/>
    <w:basedOn w:val="1"/>
    <w:qFormat/>
    <w:uiPriority w:val="0"/>
    <w:pPr>
      <w:spacing w:before="100" w:beforeAutospacing="1" w:after="100" w:afterAutospacing="1"/>
    </w:pPr>
  </w:style>
  <w:style w:type="paragraph" w:customStyle="1" w:styleId="2254">
    <w:name w:val="gotouc"/>
    <w:basedOn w:val="1"/>
    <w:qFormat/>
    <w:uiPriority w:val="0"/>
    <w:pPr>
      <w:spacing w:before="100" w:beforeAutospacing="1" w:after="100" w:afterAutospacing="1"/>
    </w:pPr>
  </w:style>
  <w:style w:type="paragraph" w:customStyle="1" w:styleId="2255">
    <w:name w:val="headline-content"/>
    <w:basedOn w:val="1"/>
    <w:qFormat/>
    <w:uiPriority w:val="0"/>
    <w:pPr>
      <w:spacing w:before="100" w:beforeAutospacing="1" w:after="100" w:afterAutospacing="1"/>
    </w:pPr>
  </w:style>
  <w:style w:type="paragraph" w:customStyle="1" w:styleId="2256">
    <w:name w:val="headline-index"/>
    <w:basedOn w:val="1"/>
    <w:qFormat/>
    <w:uiPriority w:val="0"/>
    <w:pPr>
      <w:spacing w:before="100" w:beforeAutospacing="1" w:after="100" w:afterAutospacing="1"/>
    </w:pPr>
  </w:style>
  <w:style w:type="paragraph" w:customStyle="1" w:styleId="2257">
    <w:name w:val="sublist-span"/>
    <w:basedOn w:val="1"/>
    <w:qFormat/>
    <w:uiPriority w:val="0"/>
    <w:pPr>
      <w:spacing w:before="100" w:beforeAutospacing="1" w:after="100" w:afterAutospacing="1"/>
    </w:pPr>
  </w:style>
  <w:style w:type="paragraph" w:customStyle="1" w:styleId="2258">
    <w:name w:val="b-ent-section-action-toggle"/>
    <w:basedOn w:val="1"/>
    <w:qFormat/>
    <w:uiPriority w:val="0"/>
    <w:pPr>
      <w:spacing w:before="100" w:beforeAutospacing="1" w:after="100" w:afterAutospacing="1"/>
    </w:pPr>
  </w:style>
  <w:style w:type="paragraph" w:customStyle="1" w:styleId="2259">
    <w:name w:val="fldset"/>
    <w:basedOn w:val="1"/>
    <w:qFormat/>
    <w:uiPriority w:val="0"/>
    <w:pPr>
      <w:spacing w:before="100" w:beforeAutospacing="1" w:after="100" w:afterAutospacing="1"/>
    </w:pPr>
  </w:style>
  <w:style w:type="paragraph" w:customStyle="1" w:styleId="2260">
    <w:name w:val="small"/>
    <w:basedOn w:val="1"/>
    <w:qFormat/>
    <w:uiPriority w:val="0"/>
    <w:pPr>
      <w:spacing w:before="100" w:beforeAutospacing="1" w:after="100" w:afterAutospacing="1"/>
    </w:pPr>
  </w:style>
  <w:style w:type="paragraph" w:customStyle="1" w:styleId="2261">
    <w:name w:val="close"/>
    <w:basedOn w:val="1"/>
    <w:qFormat/>
    <w:uiPriority w:val="0"/>
    <w:pPr>
      <w:spacing w:before="100" w:beforeAutospacing="1" w:after="100" w:afterAutospacing="1"/>
    </w:pPr>
  </w:style>
  <w:style w:type="paragraph" w:customStyle="1" w:styleId="2262">
    <w:name w:val="fr"/>
    <w:basedOn w:val="1"/>
    <w:qFormat/>
    <w:uiPriority w:val="0"/>
    <w:pPr>
      <w:spacing w:before="100" w:beforeAutospacing="1" w:after="100" w:afterAutospacing="1"/>
    </w:pPr>
  </w:style>
  <w:style w:type="paragraph" w:customStyle="1" w:styleId="2263">
    <w:name w:val="enc-txt"/>
    <w:basedOn w:val="1"/>
    <w:qFormat/>
    <w:uiPriority w:val="0"/>
    <w:pPr>
      <w:spacing w:before="100" w:beforeAutospacing="1" w:after="100" w:afterAutospacing="1"/>
    </w:pPr>
  </w:style>
  <w:style w:type="paragraph" w:customStyle="1" w:styleId="2264">
    <w:name w:val="xiaohui"/>
    <w:basedOn w:val="1"/>
    <w:qFormat/>
    <w:uiPriority w:val="0"/>
    <w:pPr>
      <w:spacing w:before="100" w:beforeAutospacing="1" w:after="100" w:afterAutospacing="1"/>
    </w:pPr>
  </w:style>
  <w:style w:type="paragraph" w:customStyle="1" w:styleId="2265">
    <w:name w:val="pl"/>
    <w:basedOn w:val="1"/>
    <w:qFormat/>
    <w:uiPriority w:val="0"/>
    <w:pPr>
      <w:spacing w:before="100" w:beforeAutospacing="1" w:after="100" w:afterAutospacing="1"/>
    </w:pPr>
  </w:style>
  <w:style w:type="paragraph" w:customStyle="1" w:styleId="2266">
    <w:name w:val="pr"/>
    <w:basedOn w:val="1"/>
    <w:qFormat/>
    <w:uiPriority w:val="0"/>
    <w:pPr>
      <w:spacing w:before="100" w:beforeAutospacing="1" w:after="100" w:afterAutospacing="1"/>
    </w:pPr>
  </w:style>
  <w:style w:type="paragraph" w:customStyle="1" w:styleId="2267">
    <w:name w:val="pb"/>
    <w:basedOn w:val="1"/>
    <w:qFormat/>
    <w:uiPriority w:val="0"/>
    <w:pPr>
      <w:spacing w:before="100" w:beforeAutospacing="1" w:after="100" w:afterAutospacing="1"/>
    </w:pPr>
  </w:style>
  <w:style w:type="paragraph" w:customStyle="1" w:styleId="2268">
    <w:name w:val="tip-msg-row"/>
    <w:basedOn w:val="1"/>
    <w:qFormat/>
    <w:uiPriority w:val="0"/>
    <w:pPr>
      <w:spacing w:before="100" w:beforeAutospacing="1" w:after="100" w:afterAutospacing="1"/>
    </w:pPr>
  </w:style>
  <w:style w:type="paragraph" w:customStyle="1" w:styleId="2269">
    <w:name w:val="relation-control-enter-edit"/>
    <w:basedOn w:val="1"/>
    <w:qFormat/>
    <w:uiPriority w:val="0"/>
    <w:pPr>
      <w:spacing w:before="100" w:beforeAutospacing="1" w:after="100" w:afterAutospacing="1"/>
    </w:pPr>
  </w:style>
  <w:style w:type="paragraph" w:customStyle="1" w:styleId="2270">
    <w:name w:val="hd"/>
    <w:basedOn w:val="1"/>
    <w:qFormat/>
    <w:uiPriority w:val="0"/>
    <w:pPr>
      <w:spacing w:before="100" w:beforeAutospacing="1" w:after="100" w:afterAutospacing="1"/>
    </w:pPr>
  </w:style>
  <w:style w:type="paragraph" w:customStyle="1" w:styleId="2271">
    <w:name w:val="title-banner"/>
    <w:basedOn w:val="1"/>
    <w:qFormat/>
    <w:uiPriority w:val="0"/>
    <w:pPr>
      <w:spacing w:before="100" w:beforeAutospacing="1" w:after="100" w:afterAutospacing="1"/>
    </w:pPr>
  </w:style>
  <w:style w:type="paragraph" w:customStyle="1" w:styleId="2272">
    <w:name w:val="remark-banner"/>
    <w:basedOn w:val="1"/>
    <w:qFormat/>
    <w:uiPriority w:val="0"/>
    <w:pPr>
      <w:spacing w:before="100" w:beforeAutospacing="1" w:after="100" w:afterAutospacing="1"/>
    </w:pPr>
  </w:style>
  <w:style w:type="paragraph" w:customStyle="1" w:styleId="2273">
    <w:name w:val="center"/>
    <w:basedOn w:val="1"/>
    <w:qFormat/>
    <w:uiPriority w:val="0"/>
    <w:pPr>
      <w:spacing w:before="100" w:beforeAutospacing="1" w:after="100" w:afterAutospacing="1"/>
    </w:pPr>
  </w:style>
  <w:style w:type="paragraph" w:customStyle="1" w:styleId="2274">
    <w:name w:val="relation-unit"/>
    <w:basedOn w:val="1"/>
    <w:qFormat/>
    <w:uiPriority w:val="0"/>
    <w:pPr>
      <w:spacing w:before="100" w:beforeAutospacing="1" w:after="100" w:afterAutospacing="1"/>
    </w:pPr>
  </w:style>
  <w:style w:type="paragraph" w:customStyle="1" w:styleId="2275">
    <w:name w:val="entries-box"/>
    <w:basedOn w:val="1"/>
    <w:qFormat/>
    <w:uiPriority w:val="0"/>
    <w:pPr>
      <w:spacing w:before="100" w:beforeAutospacing="1" w:after="100" w:afterAutospacing="1"/>
    </w:pPr>
  </w:style>
  <w:style w:type="paragraph" w:customStyle="1" w:styleId="2276">
    <w:name w:val="relation-split"/>
    <w:basedOn w:val="1"/>
    <w:qFormat/>
    <w:uiPriority w:val="0"/>
    <w:pPr>
      <w:spacing w:before="100" w:beforeAutospacing="1" w:after="100" w:afterAutospacing="1"/>
    </w:pPr>
  </w:style>
  <w:style w:type="paragraph" w:customStyle="1" w:styleId="2277">
    <w:name w:val="page"/>
    <w:basedOn w:val="1"/>
    <w:qFormat/>
    <w:uiPriority w:val="0"/>
    <w:pPr>
      <w:spacing w:before="100" w:beforeAutospacing="1" w:after="100" w:afterAutospacing="1"/>
    </w:pPr>
  </w:style>
  <w:style w:type="paragraph" w:customStyle="1" w:styleId="2278">
    <w:name w:val="relation-category-hide"/>
    <w:basedOn w:val="1"/>
    <w:qFormat/>
    <w:uiPriority w:val="0"/>
    <w:pPr>
      <w:spacing w:before="100" w:beforeAutospacing="1" w:after="100" w:afterAutospacing="1"/>
    </w:pPr>
  </w:style>
  <w:style w:type="paragraph" w:customStyle="1" w:styleId="2279">
    <w:name w:val="show-btn"/>
    <w:basedOn w:val="1"/>
    <w:qFormat/>
    <w:uiPriority w:val="0"/>
    <w:pPr>
      <w:spacing w:before="100" w:beforeAutospacing="1" w:after="100" w:afterAutospacing="1"/>
    </w:pPr>
  </w:style>
  <w:style w:type="paragraph" w:customStyle="1" w:styleId="2280">
    <w:name w:val="top-bg"/>
    <w:basedOn w:val="1"/>
    <w:qFormat/>
    <w:uiPriority w:val="0"/>
    <w:pPr>
      <w:spacing w:before="100" w:beforeAutospacing="1" w:after="100" w:afterAutospacing="1"/>
    </w:pPr>
  </w:style>
  <w:style w:type="paragraph" w:customStyle="1" w:styleId="2281">
    <w:name w:val="uc-l"/>
    <w:basedOn w:val="1"/>
    <w:qFormat/>
    <w:uiPriority w:val="0"/>
    <w:pPr>
      <w:spacing w:before="100" w:beforeAutospacing="1" w:after="100" w:afterAutospacing="1"/>
    </w:pPr>
  </w:style>
  <w:style w:type="paragraph" w:customStyle="1" w:styleId="2282">
    <w:name w:val="uc-r"/>
    <w:basedOn w:val="1"/>
    <w:qFormat/>
    <w:uiPriority w:val="0"/>
    <w:pPr>
      <w:spacing w:before="100" w:beforeAutospacing="1" w:after="100" w:afterAutospacing="1"/>
    </w:pPr>
  </w:style>
  <w:style w:type="paragraph" w:customStyle="1" w:styleId="2283">
    <w:name w:val="uc-id"/>
    <w:basedOn w:val="1"/>
    <w:qFormat/>
    <w:uiPriority w:val="0"/>
    <w:pPr>
      <w:spacing w:before="100" w:beforeAutospacing="1" w:after="100" w:afterAutospacing="1"/>
    </w:pPr>
  </w:style>
  <w:style w:type="paragraph" w:customStyle="1" w:styleId="2284">
    <w:name w:val="uc-name"/>
    <w:basedOn w:val="1"/>
    <w:qFormat/>
    <w:uiPriority w:val="0"/>
    <w:pPr>
      <w:spacing w:before="100" w:beforeAutospacing="1" w:after="100" w:afterAutospacing="1"/>
    </w:pPr>
  </w:style>
  <w:style w:type="paragraph" w:customStyle="1" w:styleId="2285">
    <w:name w:val="uc-pic"/>
    <w:basedOn w:val="1"/>
    <w:qFormat/>
    <w:uiPriority w:val="0"/>
    <w:pPr>
      <w:spacing w:before="100" w:beforeAutospacing="1" w:after="100" w:afterAutospacing="1"/>
    </w:pPr>
  </w:style>
  <w:style w:type="paragraph" w:customStyle="1" w:styleId="2286">
    <w:name w:val="uc-items"/>
    <w:basedOn w:val="1"/>
    <w:qFormat/>
    <w:uiPriority w:val="0"/>
    <w:pPr>
      <w:spacing w:before="100" w:beforeAutospacing="1" w:after="100" w:afterAutospacing="1"/>
    </w:pPr>
  </w:style>
  <w:style w:type="paragraph" w:customStyle="1" w:styleId="2287">
    <w:name w:val="msg"/>
    <w:basedOn w:val="1"/>
    <w:qFormat/>
    <w:uiPriority w:val="0"/>
    <w:pPr>
      <w:spacing w:before="100" w:beforeAutospacing="1" w:after="100" w:afterAutospacing="1"/>
    </w:pPr>
  </w:style>
  <w:style w:type="paragraph" w:customStyle="1" w:styleId="2288">
    <w:name w:val="indent"/>
    <w:basedOn w:val="1"/>
    <w:qFormat/>
    <w:uiPriority w:val="0"/>
    <w:pPr>
      <w:spacing w:before="100" w:beforeAutospacing="1" w:after="100" w:afterAutospacing="1"/>
    </w:pPr>
  </w:style>
  <w:style w:type="paragraph" w:customStyle="1" w:styleId="2289">
    <w:name w:val="book"/>
    <w:basedOn w:val="1"/>
    <w:qFormat/>
    <w:uiPriority w:val="0"/>
    <w:pPr>
      <w:spacing w:before="100" w:beforeAutospacing="1" w:after="100" w:afterAutospacing="1"/>
    </w:pPr>
  </w:style>
  <w:style w:type="paragraph" w:customStyle="1" w:styleId="2290">
    <w:name w:val="table-title"/>
    <w:basedOn w:val="1"/>
    <w:qFormat/>
    <w:uiPriority w:val="0"/>
    <w:pPr>
      <w:spacing w:before="100" w:beforeAutospacing="1" w:after="100" w:afterAutospacing="1"/>
    </w:pPr>
  </w:style>
  <w:style w:type="paragraph" w:customStyle="1" w:styleId="2291">
    <w:name w:val="ref-url-text"/>
    <w:basedOn w:val="1"/>
    <w:qFormat/>
    <w:uiPriority w:val="0"/>
    <w:pPr>
      <w:spacing w:before="100" w:beforeAutospacing="1" w:after="100" w:afterAutospacing="1"/>
    </w:pPr>
  </w:style>
  <w:style w:type="paragraph" w:customStyle="1" w:styleId="2292">
    <w:name w:val="relation-control-enter-open"/>
    <w:basedOn w:val="1"/>
    <w:qFormat/>
    <w:uiPriority w:val="0"/>
    <w:pPr>
      <w:spacing w:before="100" w:beforeAutospacing="1" w:after="100" w:afterAutospacing="1"/>
    </w:pPr>
  </w:style>
  <w:style w:type="paragraph" w:customStyle="1" w:styleId="2293">
    <w:name w:val="relation-control-enter-close"/>
    <w:basedOn w:val="1"/>
    <w:qFormat/>
    <w:uiPriority w:val="0"/>
    <w:pPr>
      <w:spacing w:before="100" w:beforeAutospacing="1" w:after="100" w:afterAutospacing="1"/>
    </w:pPr>
  </w:style>
  <w:style w:type="paragraph" w:customStyle="1" w:styleId="2294">
    <w:name w:val="page-text"/>
    <w:basedOn w:val="1"/>
    <w:qFormat/>
    <w:uiPriority w:val="0"/>
    <w:pPr>
      <w:spacing w:before="100" w:beforeAutospacing="1" w:after="100" w:afterAutospacing="1"/>
    </w:pPr>
  </w:style>
  <w:style w:type="paragraph" w:customStyle="1" w:styleId="2295">
    <w:name w:val="page-current"/>
    <w:basedOn w:val="1"/>
    <w:qFormat/>
    <w:uiPriority w:val="0"/>
    <w:pPr>
      <w:spacing w:before="100" w:beforeAutospacing="1" w:after="100" w:afterAutospacing="1"/>
    </w:pPr>
  </w:style>
  <w:style w:type="paragraph" w:customStyle="1" w:styleId="2296">
    <w:name w:val="main-shadow"/>
    <w:basedOn w:val="1"/>
    <w:qFormat/>
    <w:uiPriority w:val="0"/>
    <w:pPr>
      <w:spacing w:before="100" w:beforeAutospacing="1" w:after="100" w:afterAutospacing="1"/>
    </w:pPr>
  </w:style>
  <w:style w:type="paragraph" w:customStyle="1" w:styleId="2297">
    <w:name w:val="content-hd"/>
    <w:basedOn w:val="1"/>
    <w:qFormat/>
    <w:uiPriority w:val="0"/>
    <w:pPr>
      <w:spacing w:before="100" w:beforeAutospacing="1" w:after="100" w:afterAutospacing="1"/>
    </w:pPr>
  </w:style>
  <w:style w:type="paragraph" w:customStyle="1" w:styleId="2298">
    <w:name w:val="content-hd-wrap"/>
    <w:basedOn w:val="1"/>
    <w:qFormat/>
    <w:uiPriority w:val="0"/>
    <w:pPr>
      <w:spacing w:before="100" w:beforeAutospacing="1" w:after="100" w:afterAutospacing="1"/>
    </w:pPr>
  </w:style>
  <w:style w:type="paragraph" w:customStyle="1" w:styleId="2299">
    <w:name w:val="content-bd"/>
    <w:basedOn w:val="1"/>
    <w:qFormat/>
    <w:uiPriority w:val="0"/>
    <w:pPr>
      <w:spacing w:before="100" w:beforeAutospacing="1" w:after="100" w:afterAutospacing="1"/>
    </w:pPr>
  </w:style>
  <w:style w:type="paragraph" w:customStyle="1" w:styleId="2300">
    <w:name w:val="content-ft"/>
    <w:basedOn w:val="1"/>
    <w:qFormat/>
    <w:uiPriority w:val="0"/>
    <w:pPr>
      <w:spacing w:before="100" w:beforeAutospacing="1" w:after="100" w:afterAutospacing="1"/>
    </w:pPr>
  </w:style>
  <w:style w:type="paragraph" w:customStyle="1" w:styleId="2301">
    <w:name w:val="main-body"/>
    <w:basedOn w:val="1"/>
    <w:qFormat/>
    <w:uiPriority w:val="0"/>
    <w:pPr>
      <w:spacing w:before="100" w:beforeAutospacing="1" w:after="100" w:afterAutospacing="1"/>
    </w:pPr>
  </w:style>
  <w:style w:type="paragraph" w:customStyle="1" w:styleId="2302">
    <w:name w:val="box2-inner"/>
    <w:basedOn w:val="1"/>
    <w:qFormat/>
    <w:uiPriority w:val="0"/>
    <w:pPr>
      <w:spacing w:before="100" w:beforeAutospacing="1" w:after="100" w:afterAutospacing="1"/>
    </w:pPr>
  </w:style>
  <w:style w:type="paragraph" w:customStyle="1" w:styleId="2303">
    <w:name w:val="related_edit"/>
    <w:basedOn w:val="1"/>
    <w:qFormat/>
    <w:uiPriority w:val="0"/>
    <w:pPr>
      <w:spacing w:before="100" w:beforeAutospacing="1" w:after="100" w:afterAutospacing="1"/>
    </w:pPr>
  </w:style>
  <w:style w:type="paragraph" w:customStyle="1" w:styleId="2304">
    <w:name w:val="usercard-info"/>
    <w:basedOn w:val="1"/>
    <w:qFormat/>
    <w:uiPriority w:val="0"/>
    <w:pPr>
      <w:spacing w:before="100" w:beforeAutospacing="1" w:after="100" w:afterAutospacing="1"/>
    </w:pPr>
  </w:style>
  <w:style w:type="paragraph" w:customStyle="1" w:styleId="2305">
    <w:name w:val="act"/>
    <w:basedOn w:val="1"/>
    <w:qFormat/>
    <w:uiPriority w:val="0"/>
    <w:pPr>
      <w:spacing w:before="100" w:beforeAutospacing="1" w:after="100" w:afterAutospacing="1"/>
    </w:pPr>
  </w:style>
  <w:style w:type="paragraph" w:customStyle="1" w:styleId="2306">
    <w:name w:val="progressbar"/>
    <w:basedOn w:val="1"/>
    <w:qFormat/>
    <w:uiPriority w:val="0"/>
    <w:pPr>
      <w:spacing w:before="100" w:beforeAutospacing="1" w:after="100" w:afterAutospacing="1"/>
    </w:pPr>
  </w:style>
  <w:style w:type="paragraph" w:customStyle="1" w:styleId="2307">
    <w:name w:val="sidebar"/>
    <w:basedOn w:val="1"/>
    <w:qFormat/>
    <w:uiPriority w:val="0"/>
    <w:pPr>
      <w:spacing w:before="100" w:beforeAutospacing="1" w:after="100" w:afterAutospacing="1"/>
    </w:pPr>
  </w:style>
  <w:style w:type="paragraph" w:customStyle="1" w:styleId="2308">
    <w:name w:val="msg-content"/>
    <w:basedOn w:val="1"/>
    <w:qFormat/>
    <w:uiPriority w:val="0"/>
    <w:pPr>
      <w:spacing w:before="100" w:beforeAutospacing="1" w:after="100" w:afterAutospacing="1"/>
    </w:pPr>
  </w:style>
  <w:style w:type="character" w:customStyle="1" w:styleId="2309">
    <w:name w:val="polysemyexp"/>
    <w:qFormat/>
    <w:uiPriority w:val="0"/>
    <w:rPr>
      <w:color w:val="AAAAAA"/>
      <w:sz w:val="18"/>
      <w:szCs w:val="18"/>
    </w:rPr>
  </w:style>
  <w:style w:type="character" w:customStyle="1" w:styleId="2310">
    <w:name w:val="polysemyred"/>
    <w:qFormat/>
    <w:uiPriority w:val="0"/>
    <w:rPr>
      <w:color w:val="FF6666"/>
      <w:sz w:val="18"/>
      <w:szCs w:val="18"/>
    </w:rPr>
  </w:style>
  <w:style w:type="character" w:customStyle="1" w:styleId="2311">
    <w:name w:val="relation-category-gt"/>
    <w:qFormat/>
    <w:uiPriority w:val="0"/>
  </w:style>
  <w:style w:type="character" w:customStyle="1" w:styleId="2312">
    <w:name w:val="desc"/>
    <w:qFormat/>
    <w:uiPriority w:val="0"/>
  </w:style>
  <w:style w:type="paragraph" w:customStyle="1" w:styleId="2313">
    <w:name w:val="dialog-content-inner1"/>
    <w:basedOn w:val="1"/>
    <w:qFormat/>
    <w:uiPriority w:val="0"/>
    <w:pPr>
      <w:spacing w:before="100" w:beforeAutospacing="1" w:after="100" w:afterAutospacing="1"/>
    </w:pPr>
  </w:style>
  <w:style w:type="paragraph" w:customStyle="1" w:styleId="2314">
    <w:name w:val="main-wrap1"/>
    <w:basedOn w:val="1"/>
    <w:qFormat/>
    <w:uiPriority w:val="0"/>
    <w:pPr>
      <w:spacing w:before="100" w:beforeAutospacing="1" w:after="100" w:afterAutospacing="1"/>
      <w:ind w:right="3825"/>
    </w:pPr>
  </w:style>
  <w:style w:type="paragraph" w:customStyle="1" w:styleId="2315">
    <w:name w:val="col-sub1"/>
    <w:basedOn w:val="1"/>
    <w:qFormat/>
    <w:uiPriority w:val="0"/>
    <w:pPr>
      <w:spacing w:before="100" w:beforeAutospacing="1" w:after="100" w:afterAutospacing="1"/>
      <w:ind w:left="-3675"/>
    </w:pPr>
  </w:style>
  <w:style w:type="paragraph" w:customStyle="1" w:styleId="2316">
    <w:name w:val="m041"/>
    <w:basedOn w:val="1"/>
    <w:qFormat/>
    <w:uiPriority w:val="0"/>
    <w:pPr>
      <w:ind w:left="60" w:right="60"/>
    </w:pPr>
  </w:style>
  <w:style w:type="paragraph" w:customStyle="1" w:styleId="2317">
    <w:name w:val="mr41"/>
    <w:basedOn w:val="1"/>
    <w:qFormat/>
    <w:uiPriority w:val="0"/>
    <w:pPr>
      <w:spacing w:before="100" w:beforeAutospacing="1" w:after="100" w:afterAutospacing="1"/>
      <w:ind w:right="60"/>
    </w:pPr>
  </w:style>
  <w:style w:type="paragraph" w:customStyle="1" w:styleId="2318">
    <w:name w:val="split1"/>
    <w:basedOn w:val="1"/>
    <w:qFormat/>
    <w:uiPriority w:val="0"/>
    <w:pPr>
      <w:spacing w:before="100" w:beforeAutospacing="1" w:after="100" w:afterAutospacing="1"/>
    </w:pPr>
    <w:rPr>
      <w:color w:val="333333"/>
    </w:rPr>
  </w:style>
  <w:style w:type="paragraph" w:customStyle="1" w:styleId="2319">
    <w:name w:val="red1"/>
    <w:basedOn w:val="1"/>
    <w:qFormat/>
    <w:uiPriority w:val="0"/>
    <w:pPr>
      <w:spacing w:before="100" w:beforeAutospacing="1" w:after="100" w:afterAutospacing="1"/>
    </w:pPr>
    <w:rPr>
      <w:color w:val="FF0000"/>
    </w:rPr>
  </w:style>
  <w:style w:type="paragraph" w:customStyle="1" w:styleId="2320">
    <w:name w:val="strong1"/>
    <w:basedOn w:val="1"/>
    <w:qFormat/>
    <w:uiPriority w:val="0"/>
    <w:pPr>
      <w:spacing w:before="100" w:beforeAutospacing="1" w:after="100" w:afterAutospacing="1"/>
    </w:pPr>
    <w:rPr>
      <w:b/>
      <w:bCs/>
    </w:rPr>
  </w:style>
  <w:style w:type="paragraph" w:customStyle="1" w:styleId="2321">
    <w:name w:val="myhome1"/>
    <w:basedOn w:val="1"/>
    <w:qFormat/>
    <w:uiPriority w:val="0"/>
    <w:pPr>
      <w:spacing w:before="100" w:beforeAutospacing="1" w:after="100" w:afterAutospacing="1"/>
    </w:pPr>
  </w:style>
  <w:style w:type="paragraph" w:customStyle="1" w:styleId="2322">
    <w:name w:val="myhome-tri1"/>
    <w:basedOn w:val="1"/>
    <w:qFormat/>
    <w:uiPriority w:val="0"/>
    <w:pPr>
      <w:spacing w:before="100" w:beforeAutospacing="1" w:after="100" w:afterAutospacing="1"/>
    </w:pPr>
  </w:style>
  <w:style w:type="paragraph" w:customStyle="1" w:styleId="2323">
    <w:name w:val="search-btn1"/>
    <w:basedOn w:val="1"/>
    <w:qFormat/>
    <w:uiPriority w:val="0"/>
    <w:pPr>
      <w:spacing w:line="330" w:lineRule="atLeast"/>
      <w:ind w:right="45"/>
    </w:pPr>
    <w:rPr>
      <w:sz w:val="18"/>
      <w:szCs w:val="18"/>
    </w:rPr>
  </w:style>
  <w:style w:type="paragraph" w:customStyle="1" w:styleId="2324">
    <w:name w:val="title2"/>
    <w:basedOn w:val="1"/>
    <w:qFormat/>
    <w:uiPriority w:val="0"/>
    <w:pPr>
      <w:spacing w:line="240" w:lineRule="atLeast"/>
      <w:jc w:val="center"/>
    </w:pPr>
    <w:rPr>
      <w:color w:val="000000"/>
      <w:sz w:val="18"/>
      <w:szCs w:val="18"/>
    </w:rPr>
  </w:style>
  <w:style w:type="paragraph" w:customStyle="1" w:styleId="2325">
    <w:name w:val="count1"/>
    <w:basedOn w:val="1"/>
    <w:qFormat/>
    <w:uiPriority w:val="0"/>
    <w:pPr>
      <w:spacing w:before="100" w:beforeAutospacing="1" w:after="100" w:afterAutospacing="1"/>
    </w:pPr>
    <w:rPr>
      <w:color w:val="999999"/>
      <w:sz w:val="17"/>
      <w:szCs w:val="17"/>
    </w:rPr>
  </w:style>
  <w:style w:type="paragraph" w:customStyle="1" w:styleId="2326">
    <w:name w:val="count2"/>
    <w:basedOn w:val="1"/>
    <w:qFormat/>
    <w:uiPriority w:val="0"/>
    <w:pPr>
      <w:spacing w:before="100" w:beforeAutospacing="1" w:after="100" w:afterAutospacing="1"/>
    </w:pPr>
    <w:rPr>
      <w:color w:val="999999"/>
      <w:sz w:val="17"/>
      <w:szCs w:val="17"/>
    </w:rPr>
  </w:style>
  <w:style w:type="paragraph" w:customStyle="1" w:styleId="2327">
    <w:name w:val="mde-item1"/>
    <w:basedOn w:val="1"/>
    <w:qFormat/>
    <w:uiPriority w:val="0"/>
    <w:pPr>
      <w:pBdr>
        <w:bottom w:val="dashed" w:color="FF0000" w:sz="6" w:space="0"/>
        <w:right w:val="dashed" w:color="FF0000" w:sz="6" w:space="5"/>
      </w:pBdr>
      <w:shd w:val="clear" w:color="auto" w:fill="FFFFFF"/>
      <w:spacing w:before="100" w:beforeAutospacing="1" w:after="100" w:afterAutospacing="1"/>
      <w:jc w:val="center"/>
    </w:pPr>
  </w:style>
  <w:style w:type="character" w:customStyle="1" w:styleId="2328">
    <w:name w:val="desc1"/>
    <w:qFormat/>
    <w:uiPriority w:val="0"/>
    <w:rPr>
      <w:color w:val="000000"/>
      <w:sz w:val="18"/>
      <w:szCs w:val="18"/>
    </w:rPr>
  </w:style>
  <w:style w:type="paragraph" w:customStyle="1" w:styleId="2329">
    <w:name w:val="title3"/>
    <w:basedOn w:val="1"/>
    <w:qFormat/>
    <w:uiPriority w:val="0"/>
    <w:pPr>
      <w:spacing w:before="30" w:line="240" w:lineRule="atLeast"/>
      <w:jc w:val="center"/>
    </w:pPr>
    <w:rPr>
      <w:color w:val="000000"/>
      <w:sz w:val="18"/>
      <w:szCs w:val="18"/>
    </w:rPr>
  </w:style>
  <w:style w:type="paragraph" w:customStyle="1" w:styleId="2330">
    <w:name w:val="title4"/>
    <w:basedOn w:val="1"/>
    <w:qFormat/>
    <w:uiPriority w:val="0"/>
    <w:pPr>
      <w:spacing w:before="30" w:line="240" w:lineRule="atLeast"/>
      <w:jc w:val="center"/>
    </w:pPr>
    <w:rPr>
      <w:color w:val="000000"/>
      <w:sz w:val="18"/>
      <w:szCs w:val="18"/>
    </w:rPr>
  </w:style>
  <w:style w:type="paragraph" w:customStyle="1" w:styleId="2331">
    <w:name w:val="declear1"/>
    <w:basedOn w:val="1"/>
    <w:qFormat/>
    <w:uiPriority w:val="0"/>
    <w:pPr>
      <w:spacing w:after="30" w:line="240" w:lineRule="atLeast"/>
    </w:pPr>
    <w:rPr>
      <w:vanish/>
      <w:color w:val="999999"/>
      <w:sz w:val="18"/>
      <w:szCs w:val="18"/>
    </w:rPr>
  </w:style>
  <w:style w:type="paragraph" w:customStyle="1" w:styleId="2332">
    <w:name w:val="main-shadow1"/>
    <w:basedOn w:val="1"/>
    <w:link w:val="4010"/>
    <w:qFormat/>
    <w:uiPriority w:val="0"/>
    <w:pPr>
      <w:spacing w:before="100" w:beforeAutospacing="1" w:after="100" w:afterAutospacing="1"/>
    </w:pPr>
  </w:style>
  <w:style w:type="paragraph" w:customStyle="1" w:styleId="2333">
    <w:name w:val="content-hd1"/>
    <w:basedOn w:val="1"/>
    <w:qFormat/>
    <w:uiPriority w:val="0"/>
    <w:pPr>
      <w:pBdr>
        <w:left w:val="single" w:color="DDDDDD" w:sz="6" w:space="0"/>
      </w:pBdr>
      <w:shd w:val="clear" w:color="auto" w:fill="FFFFFF"/>
      <w:spacing w:before="100" w:beforeAutospacing="1" w:after="100" w:afterAutospacing="1"/>
    </w:pPr>
  </w:style>
  <w:style w:type="paragraph" w:customStyle="1" w:styleId="2334">
    <w:name w:val="content-hd-wrap1"/>
    <w:basedOn w:val="1"/>
    <w:qFormat/>
    <w:uiPriority w:val="0"/>
    <w:pPr>
      <w:pBdr>
        <w:top w:val="single" w:color="DDDDDD" w:sz="6" w:space="0"/>
      </w:pBdr>
      <w:spacing w:before="100" w:beforeAutospacing="1" w:after="100" w:afterAutospacing="1"/>
      <w:ind w:right="90"/>
    </w:pPr>
  </w:style>
  <w:style w:type="paragraph" w:customStyle="1" w:styleId="2335">
    <w:name w:val="content-bd1"/>
    <w:basedOn w:val="1"/>
    <w:qFormat/>
    <w:uiPriority w:val="0"/>
    <w:pPr>
      <w:pBdr>
        <w:top w:val="single" w:color="DDDDDD" w:sz="6" w:space="12"/>
        <w:left w:val="single" w:color="DDDDDD" w:sz="6" w:space="15"/>
        <w:bottom w:val="single" w:color="DDDDDD" w:sz="6" w:space="8"/>
        <w:right w:val="single" w:color="DDDDDD" w:sz="6" w:space="23"/>
      </w:pBdr>
      <w:shd w:val="clear" w:color="auto" w:fill="FFFFFF"/>
      <w:spacing w:before="60"/>
      <w:ind w:right="45"/>
    </w:pPr>
  </w:style>
  <w:style w:type="paragraph" w:customStyle="1" w:styleId="2336">
    <w:name w:val="content-ft1"/>
    <w:basedOn w:val="1"/>
    <w:qFormat/>
    <w:uiPriority w:val="0"/>
    <w:pPr>
      <w:pBdr>
        <w:top w:val="single" w:color="DDDDDD" w:sz="6" w:space="12"/>
        <w:left w:val="single" w:color="DDDDDD" w:sz="6" w:space="15"/>
        <w:bottom w:val="single" w:color="DDDDDD" w:sz="6" w:space="8"/>
        <w:right w:val="single" w:color="DDDDDD" w:sz="6" w:space="23"/>
      </w:pBdr>
      <w:shd w:val="clear" w:color="auto" w:fill="FFFFFF"/>
      <w:spacing w:before="60"/>
      <w:ind w:right="45"/>
    </w:pPr>
    <w:rPr>
      <w:sz w:val="18"/>
      <w:szCs w:val="18"/>
    </w:rPr>
  </w:style>
  <w:style w:type="paragraph" w:customStyle="1" w:styleId="2337">
    <w:name w:val="main-body1"/>
    <w:basedOn w:val="1"/>
    <w:qFormat/>
    <w:uiPriority w:val="0"/>
    <w:pPr>
      <w:spacing w:after="100" w:afterAutospacing="1"/>
    </w:pPr>
  </w:style>
  <w:style w:type="paragraph" w:customStyle="1" w:styleId="2338">
    <w:name w:val="polysemy-item-cnt1"/>
    <w:basedOn w:val="1"/>
    <w:qFormat/>
    <w:uiPriority w:val="0"/>
    <w:pPr>
      <w:spacing w:before="100" w:beforeAutospacing="1" w:after="100" w:afterAutospacing="1" w:line="360" w:lineRule="atLeast"/>
    </w:pPr>
  </w:style>
  <w:style w:type="paragraph" w:customStyle="1" w:styleId="2339">
    <w:name w:val="pic-handle1"/>
    <w:basedOn w:val="1"/>
    <w:qFormat/>
    <w:uiPriority w:val="0"/>
    <w:pPr>
      <w:pBdr>
        <w:top w:val="single" w:color="F6F6F6" w:sz="6" w:space="0"/>
        <w:left w:val="single" w:color="F6F6F6" w:sz="6" w:space="0"/>
        <w:bottom w:val="single" w:color="F6F6F6" w:sz="6" w:space="0"/>
        <w:right w:val="single" w:color="F6F6F6" w:sz="6" w:space="0"/>
      </w:pBdr>
      <w:spacing w:before="100" w:beforeAutospacing="1" w:after="100" w:afterAutospacing="1" w:line="0" w:lineRule="auto"/>
    </w:pPr>
    <w:rPr>
      <w:sz w:val="2"/>
      <w:szCs w:val="2"/>
    </w:rPr>
  </w:style>
  <w:style w:type="paragraph" w:customStyle="1" w:styleId="2340">
    <w:name w:val="pic1"/>
    <w:basedOn w:val="1"/>
    <w:qFormat/>
    <w:uiPriority w:val="0"/>
    <w:pPr>
      <w:pBdr>
        <w:top w:val="single" w:color="DEDFE1" w:sz="6" w:space="3"/>
        <w:left w:val="single" w:color="DEDFE1" w:sz="6" w:space="3"/>
        <w:bottom w:val="single" w:color="DEDFE1" w:sz="6" w:space="3"/>
        <w:right w:val="single" w:color="DEDFE1" w:sz="6" w:space="3"/>
      </w:pBdr>
      <w:spacing w:before="30"/>
      <w:ind w:right="225"/>
      <w:jc w:val="center"/>
    </w:pPr>
    <w:rPr>
      <w:sz w:val="18"/>
      <w:szCs w:val="18"/>
    </w:rPr>
  </w:style>
  <w:style w:type="paragraph" w:customStyle="1" w:styleId="2341">
    <w:name w:val="card-image1"/>
    <w:basedOn w:val="1"/>
    <w:qFormat/>
    <w:uiPriority w:val="0"/>
    <w:pPr>
      <w:spacing w:before="100" w:beforeAutospacing="1" w:after="100" w:afterAutospacing="1"/>
    </w:pPr>
  </w:style>
  <w:style w:type="paragraph" w:customStyle="1" w:styleId="2342">
    <w:name w:val="more-link1"/>
    <w:basedOn w:val="1"/>
    <w:qFormat/>
    <w:uiPriority w:val="0"/>
    <w:pPr>
      <w:spacing w:before="150" w:after="100" w:afterAutospacing="1"/>
    </w:pPr>
    <w:rPr>
      <w:sz w:val="21"/>
      <w:szCs w:val="21"/>
    </w:rPr>
  </w:style>
  <w:style w:type="paragraph" w:customStyle="1" w:styleId="2343">
    <w:name w:val="headline-21"/>
    <w:basedOn w:val="1"/>
    <w:qFormat/>
    <w:uiPriority w:val="0"/>
    <w:pPr>
      <w:spacing w:before="225" w:after="75" w:line="330" w:lineRule="atLeast"/>
    </w:pPr>
    <w:rPr>
      <w:rFonts w:ascii="Arial" w:hAnsi="Arial" w:cs="Arial"/>
    </w:rPr>
  </w:style>
  <w:style w:type="paragraph" w:customStyle="1" w:styleId="2344">
    <w:name w:val="text_pic1"/>
    <w:basedOn w:val="1"/>
    <w:qFormat/>
    <w:uiPriority w:val="0"/>
    <w:pPr>
      <w:pBdr>
        <w:top w:val="single" w:color="E8E8E8" w:sz="6" w:space="4"/>
        <w:left w:val="single" w:color="E8E8E8" w:sz="6" w:space="4"/>
        <w:bottom w:val="single" w:color="E8E8E8" w:sz="6" w:space="4"/>
        <w:right w:val="single" w:color="E8E8E8" w:sz="6" w:space="4"/>
      </w:pBdr>
      <w:shd w:val="clear" w:color="auto" w:fill="F6F6F6"/>
      <w:spacing w:before="75" w:after="75"/>
      <w:ind w:left="75" w:right="75"/>
      <w:jc w:val="center"/>
    </w:pPr>
  </w:style>
  <w:style w:type="paragraph" w:customStyle="1" w:styleId="2345">
    <w:name w:val="add1"/>
    <w:basedOn w:val="1"/>
    <w:qFormat/>
    <w:uiPriority w:val="0"/>
    <w:rPr>
      <w:color w:val="3366CC"/>
    </w:rPr>
  </w:style>
  <w:style w:type="paragraph" w:customStyle="1" w:styleId="2346">
    <w:name w:val="ref-url-text1"/>
    <w:basedOn w:val="1"/>
    <w:qFormat/>
    <w:uiPriority w:val="0"/>
    <w:pPr>
      <w:spacing w:before="100" w:beforeAutospacing="1" w:after="100" w:afterAutospacing="1"/>
    </w:pPr>
    <w:rPr>
      <w:u w:val="single"/>
    </w:rPr>
  </w:style>
  <w:style w:type="paragraph" w:customStyle="1" w:styleId="2347">
    <w:name w:val="r-index1"/>
    <w:basedOn w:val="1"/>
    <w:qFormat/>
    <w:uiPriority w:val="0"/>
    <w:pPr>
      <w:shd w:val="clear" w:color="auto" w:fill="EEEEEE"/>
      <w:spacing w:before="100" w:beforeAutospacing="1" w:after="100" w:afterAutospacing="1" w:line="240" w:lineRule="atLeast"/>
      <w:jc w:val="right"/>
    </w:pPr>
    <w:rPr>
      <w:b/>
      <w:bCs/>
      <w:color w:val="999999"/>
      <w:sz w:val="15"/>
      <w:szCs w:val="15"/>
    </w:rPr>
  </w:style>
  <w:style w:type="paragraph" w:customStyle="1" w:styleId="2348">
    <w:name w:val="edit_it1"/>
    <w:basedOn w:val="1"/>
    <w:qFormat/>
    <w:uiPriority w:val="0"/>
    <w:pPr>
      <w:spacing w:before="75" w:line="270" w:lineRule="atLeast"/>
      <w:ind w:right="120"/>
    </w:pPr>
    <w:rPr>
      <w:sz w:val="18"/>
      <w:szCs w:val="18"/>
    </w:rPr>
  </w:style>
  <w:style w:type="paragraph" w:customStyle="1" w:styleId="2349">
    <w:name w:val="more_right1"/>
    <w:basedOn w:val="1"/>
    <w:qFormat/>
    <w:uiPriority w:val="0"/>
    <w:pPr>
      <w:spacing w:before="100" w:beforeAutospacing="1" w:after="100" w:afterAutospacing="1" w:line="270" w:lineRule="atLeast"/>
    </w:pPr>
  </w:style>
  <w:style w:type="paragraph" w:customStyle="1" w:styleId="2350">
    <w:name w:val="box2-inner1"/>
    <w:basedOn w:val="1"/>
    <w:qFormat/>
    <w:uiPriority w:val="0"/>
    <w:pPr>
      <w:pBdr>
        <w:top w:val="single" w:color="CCE0EE" w:sz="6" w:space="5"/>
        <w:left w:val="single" w:color="CCE0EE" w:sz="6" w:space="9"/>
        <w:bottom w:val="single" w:color="CCE0EE" w:sz="6" w:space="9"/>
        <w:right w:val="single" w:color="CCE0EE" w:sz="6" w:space="5"/>
      </w:pBdr>
      <w:shd w:val="clear" w:color="auto" w:fill="FFFFFF"/>
      <w:spacing w:before="100" w:beforeAutospacing="1" w:after="100" w:afterAutospacing="1"/>
    </w:pPr>
  </w:style>
  <w:style w:type="paragraph" w:customStyle="1" w:styleId="2351">
    <w:name w:val="edit1"/>
    <w:basedOn w:val="1"/>
    <w:qFormat/>
    <w:uiPriority w:val="0"/>
    <w:pPr>
      <w:ind w:left="75" w:right="75"/>
    </w:pPr>
    <w:rPr>
      <w:b/>
      <w:bCs/>
      <w:sz w:val="21"/>
      <w:szCs w:val="21"/>
    </w:rPr>
  </w:style>
  <w:style w:type="paragraph" w:customStyle="1" w:styleId="2352">
    <w:name w:val="headline-11"/>
    <w:basedOn w:val="1"/>
    <w:qFormat/>
    <w:uiPriority w:val="0"/>
    <w:pPr>
      <w:pBdr>
        <w:bottom w:val="single" w:color="DEDFE1" w:sz="6" w:space="5"/>
      </w:pBdr>
      <w:spacing w:after="150" w:line="360" w:lineRule="atLeast"/>
    </w:pPr>
    <w:rPr>
      <w:b/>
      <w:bCs/>
      <w:sz w:val="27"/>
      <w:szCs w:val="27"/>
    </w:rPr>
  </w:style>
  <w:style w:type="paragraph" w:customStyle="1" w:styleId="2353">
    <w:name w:val="t_edit11"/>
    <w:basedOn w:val="1"/>
    <w:qFormat/>
    <w:uiPriority w:val="0"/>
    <w:pPr>
      <w:spacing w:before="105"/>
      <w:ind w:right="75"/>
    </w:pPr>
    <w:rPr>
      <w:rFonts w:ascii="Arial" w:hAnsi="Arial" w:cs="Arial"/>
      <w:b/>
      <w:bCs/>
      <w:sz w:val="21"/>
      <w:szCs w:val="21"/>
    </w:rPr>
  </w:style>
  <w:style w:type="paragraph" w:customStyle="1" w:styleId="2354">
    <w:name w:val="t_edit21"/>
    <w:basedOn w:val="1"/>
    <w:qFormat/>
    <w:uiPriority w:val="0"/>
    <w:pPr>
      <w:spacing w:before="120"/>
      <w:ind w:right="75"/>
    </w:pPr>
    <w:rPr>
      <w:rFonts w:ascii="Arial" w:hAnsi="Arial" w:cs="Arial"/>
      <w:b/>
      <w:bCs/>
      <w:sz w:val="21"/>
      <w:szCs w:val="21"/>
    </w:rPr>
  </w:style>
  <w:style w:type="paragraph" w:customStyle="1" w:styleId="2355">
    <w:name w:val="t_polysemy1"/>
    <w:basedOn w:val="1"/>
    <w:qFormat/>
    <w:uiPriority w:val="0"/>
    <w:pPr>
      <w:spacing w:before="120"/>
      <w:ind w:right="180"/>
    </w:pPr>
    <w:rPr>
      <w:rFonts w:ascii="Arial" w:hAnsi="Arial" w:cs="Arial"/>
      <w:b/>
      <w:bCs/>
      <w:sz w:val="21"/>
      <w:szCs w:val="21"/>
    </w:rPr>
  </w:style>
  <w:style w:type="paragraph" w:customStyle="1" w:styleId="2356">
    <w:name w:val="related_edit1"/>
    <w:basedOn w:val="1"/>
    <w:qFormat/>
    <w:uiPriority w:val="0"/>
    <w:pPr>
      <w:spacing w:before="100" w:beforeAutospacing="1" w:after="100" w:afterAutospacing="1" w:line="210" w:lineRule="atLeast"/>
    </w:pPr>
    <w:rPr>
      <w:sz w:val="18"/>
      <w:szCs w:val="18"/>
    </w:rPr>
  </w:style>
  <w:style w:type="paragraph" w:customStyle="1" w:styleId="2357">
    <w:name w:val="usertitle1"/>
    <w:basedOn w:val="1"/>
    <w:qFormat/>
    <w:uiPriority w:val="0"/>
    <w:pPr>
      <w:spacing w:after="100" w:afterAutospacing="1"/>
    </w:pPr>
  </w:style>
  <w:style w:type="paragraph" w:customStyle="1" w:styleId="2358">
    <w:name w:val="contri-type1"/>
    <w:basedOn w:val="1"/>
    <w:qFormat/>
    <w:uiPriority w:val="0"/>
    <w:pPr>
      <w:spacing w:before="100" w:beforeAutospacing="1" w:after="100" w:afterAutospacing="1" w:line="375" w:lineRule="atLeast"/>
    </w:pPr>
  </w:style>
  <w:style w:type="paragraph" w:customStyle="1" w:styleId="2359">
    <w:name w:val="usercard-info1"/>
    <w:basedOn w:val="1"/>
    <w:qFormat/>
    <w:uiPriority w:val="0"/>
    <w:pPr>
      <w:spacing w:before="100" w:beforeAutospacing="1" w:after="100" w:afterAutospacing="1" w:line="300" w:lineRule="atLeast"/>
    </w:pPr>
    <w:rPr>
      <w:color w:val="F27200"/>
    </w:rPr>
  </w:style>
  <w:style w:type="paragraph" w:customStyle="1" w:styleId="2360">
    <w:name w:val="holder11"/>
    <w:basedOn w:val="1"/>
    <w:qFormat/>
    <w:uiPriority w:val="0"/>
    <w:pPr>
      <w:pBdr>
        <w:bottom w:val="dashed" w:color="DDDDDD" w:sz="6" w:space="0"/>
      </w:pBdr>
      <w:spacing w:after="150" w:line="450" w:lineRule="atLeast"/>
      <w:ind w:left="60" w:right="60"/>
    </w:pPr>
    <w:rPr>
      <w:b/>
      <w:bCs/>
    </w:rPr>
  </w:style>
  <w:style w:type="paragraph" w:customStyle="1" w:styleId="2361">
    <w:name w:val="holder21"/>
    <w:basedOn w:val="1"/>
    <w:qFormat/>
    <w:uiPriority w:val="0"/>
    <w:pPr>
      <w:pBdr>
        <w:left w:val="single" w:color="DEDFE1" w:sz="6" w:space="0"/>
        <w:bottom w:val="single" w:color="DEDFE1" w:sz="6" w:space="15"/>
        <w:right w:val="single" w:color="DEDFE1" w:sz="6" w:space="0"/>
      </w:pBdr>
      <w:spacing w:after="150" w:line="450" w:lineRule="atLeast"/>
      <w:ind w:left="60" w:right="60"/>
    </w:pPr>
    <w:rPr>
      <w:b/>
      <w:bCs/>
      <w:vanish/>
    </w:rPr>
  </w:style>
  <w:style w:type="paragraph" w:customStyle="1" w:styleId="2362">
    <w:name w:val="temp1"/>
    <w:basedOn w:val="1"/>
    <w:qFormat/>
    <w:uiPriority w:val="0"/>
    <w:pPr>
      <w:pBdr>
        <w:bottom w:val="dashed" w:color="DDDDDD" w:sz="6" w:space="0"/>
      </w:pBdr>
      <w:spacing w:after="150" w:line="450" w:lineRule="atLeast"/>
      <w:ind w:left="60" w:right="60"/>
    </w:pPr>
    <w:rPr>
      <w:b/>
      <w:bCs/>
    </w:rPr>
  </w:style>
  <w:style w:type="paragraph" w:customStyle="1" w:styleId="2363">
    <w:name w:val="blink1"/>
    <w:basedOn w:val="1"/>
    <w:qFormat/>
    <w:uiPriority w:val="0"/>
    <w:pPr>
      <w:spacing w:before="100" w:beforeAutospacing="1" w:after="100" w:afterAutospacing="1"/>
    </w:pPr>
    <w:rPr>
      <w:color w:val="333333"/>
    </w:rPr>
  </w:style>
  <w:style w:type="paragraph" w:customStyle="1" w:styleId="2364">
    <w:name w:val="impt-word1"/>
    <w:basedOn w:val="1"/>
    <w:qFormat/>
    <w:uiPriority w:val="0"/>
    <w:pPr>
      <w:spacing w:before="100" w:beforeAutospacing="1" w:after="100" w:afterAutospacing="1"/>
    </w:pPr>
    <w:rPr>
      <w:color w:val="FF7700"/>
    </w:rPr>
  </w:style>
  <w:style w:type="paragraph" w:customStyle="1" w:styleId="2365">
    <w:name w:val="piece1"/>
    <w:basedOn w:val="1"/>
    <w:qFormat/>
    <w:uiPriority w:val="0"/>
    <w:pPr>
      <w:pBdr>
        <w:bottom w:val="dotted" w:color="B8D6E6" w:sz="6" w:space="0"/>
      </w:pBdr>
      <w:spacing w:before="100" w:beforeAutospacing="1" w:after="100" w:afterAutospacing="1"/>
    </w:pPr>
  </w:style>
  <w:style w:type="paragraph" w:customStyle="1" w:styleId="2366">
    <w:name w:val="mr81"/>
    <w:basedOn w:val="1"/>
    <w:qFormat/>
    <w:uiPriority w:val="0"/>
    <w:pPr>
      <w:spacing w:before="100" w:beforeAutospacing="1" w:after="100" w:afterAutospacing="1"/>
      <w:ind w:right="120"/>
    </w:pPr>
  </w:style>
  <w:style w:type="paragraph" w:customStyle="1" w:styleId="2367">
    <w:name w:val="mr42"/>
    <w:basedOn w:val="1"/>
    <w:qFormat/>
    <w:uiPriority w:val="0"/>
    <w:pPr>
      <w:spacing w:before="100" w:beforeAutospacing="1" w:after="100" w:afterAutospacing="1"/>
      <w:ind w:right="60"/>
    </w:pPr>
  </w:style>
  <w:style w:type="paragraph" w:customStyle="1" w:styleId="2368">
    <w:name w:val="mb101"/>
    <w:basedOn w:val="1"/>
    <w:qFormat/>
    <w:uiPriority w:val="0"/>
    <w:pPr>
      <w:spacing w:before="100" w:beforeAutospacing="1" w:after="150"/>
    </w:pPr>
  </w:style>
  <w:style w:type="paragraph" w:customStyle="1" w:styleId="2369">
    <w:name w:val="mb151"/>
    <w:basedOn w:val="1"/>
    <w:qFormat/>
    <w:uiPriority w:val="0"/>
    <w:pPr>
      <w:spacing w:before="100" w:beforeAutospacing="1" w:after="225"/>
    </w:pPr>
  </w:style>
  <w:style w:type="paragraph" w:customStyle="1" w:styleId="2370">
    <w:name w:val="mlr41"/>
    <w:basedOn w:val="1"/>
    <w:qFormat/>
    <w:uiPriority w:val="0"/>
    <w:pPr>
      <w:ind w:left="60" w:right="60"/>
    </w:pPr>
  </w:style>
  <w:style w:type="paragraph" w:customStyle="1" w:styleId="2371">
    <w:name w:val="vm1"/>
    <w:basedOn w:val="1"/>
    <w:qFormat/>
    <w:uiPriority w:val="0"/>
    <w:pPr>
      <w:spacing w:before="100" w:beforeAutospacing="1" w:after="100" w:afterAutospacing="1"/>
      <w:textAlignment w:val="center"/>
    </w:pPr>
  </w:style>
  <w:style w:type="paragraph" w:customStyle="1" w:styleId="2372">
    <w:name w:val="title5"/>
    <w:basedOn w:val="1"/>
    <w:qFormat/>
    <w:uiPriority w:val="0"/>
    <w:pPr>
      <w:spacing w:before="100" w:beforeAutospacing="1" w:after="100" w:afterAutospacing="1"/>
    </w:pPr>
    <w:rPr>
      <w:sz w:val="21"/>
      <w:szCs w:val="21"/>
    </w:rPr>
  </w:style>
  <w:style w:type="paragraph" w:customStyle="1" w:styleId="2373">
    <w:name w:val="icon-hotword1"/>
    <w:basedOn w:val="1"/>
    <w:qFormat/>
    <w:uiPriority w:val="0"/>
    <w:pPr>
      <w:spacing w:before="100" w:beforeAutospacing="1" w:after="100" w:afterAutospacing="1"/>
    </w:pPr>
  </w:style>
  <w:style w:type="paragraph" w:customStyle="1" w:styleId="2374">
    <w:name w:val="icon-lemma1"/>
    <w:basedOn w:val="1"/>
    <w:qFormat/>
    <w:uiPriority w:val="0"/>
    <w:pPr>
      <w:spacing w:before="100" w:beforeAutospacing="1" w:after="100" w:afterAutospacing="1"/>
    </w:pPr>
  </w:style>
  <w:style w:type="paragraph" w:customStyle="1" w:styleId="2375">
    <w:name w:val="icon-common-task1"/>
    <w:basedOn w:val="1"/>
    <w:qFormat/>
    <w:uiPriority w:val="0"/>
    <w:pPr>
      <w:spacing w:before="100" w:beforeAutospacing="1" w:after="100" w:afterAutospacing="1"/>
    </w:pPr>
  </w:style>
  <w:style w:type="paragraph" w:customStyle="1" w:styleId="2376">
    <w:name w:val="goto1"/>
    <w:basedOn w:val="1"/>
    <w:qFormat/>
    <w:uiPriority w:val="0"/>
    <w:pPr>
      <w:spacing w:before="100" w:beforeAutospacing="1" w:after="100" w:afterAutospacing="1"/>
      <w:ind w:hanging="20536"/>
      <w:textAlignment w:val="center"/>
    </w:pPr>
  </w:style>
  <w:style w:type="paragraph" w:customStyle="1" w:styleId="2377">
    <w:name w:val="icon-growup-task1"/>
    <w:basedOn w:val="1"/>
    <w:qFormat/>
    <w:uiPriority w:val="0"/>
    <w:pPr>
      <w:spacing w:before="100" w:beforeAutospacing="1" w:after="100" w:afterAutospacing="1"/>
    </w:pPr>
  </w:style>
  <w:style w:type="paragraph" w:customStyle="1" w:styleId="2378">
    <w:name w:val="icon-wealth1"/>
    <w:basedOn w:val="1"/>
    <w:qFormat/>
    <w:uiPriority w:val="0"/>
    <w:pPr>
      <w:spacing w:before="100" w:beforeAutospacing="1" w:after="100" w:afterAutospacing="1"/>
    </w:pPr>
  </w:style>
  <w:style w:type="paragraph" w:customStyle="1" w:styleId="2379">
    <w:name w:val="gotouc-wrap1"/>
    <w:basedOn w:val="1"/>
    <w:qFormat/>
    <w:uiPriority w:val="0"/>
    <w:pPr>
      <w:spacing w:before="100" w:beforeAutospacing="1" w:after="100" w:afterAutospacing="1"/>
      <w:jc w:val="center"/>
    </w:pPr>
  </w:style>
  <w:style w:type="paragraph" w:customStyle="1" w:styleId="2380">
    <w:name w:val="gotouc1"/>
    <w:basedOn w:val="1"/>
    <w:qFormat/>
    <w:uiPriority w:val="0"/>
    <w:pPr>
      <w:spacing w:line="450" w:lineRule="atLeast"/>
      <w:ind w:firstLine="300"/>
    </w:pPr>
    <w:rPr>
      <w:sz w:val="21"/>
      <w:szCs w:val="21"/>
    </w:rPr>
  </w:style>
  <w:style w:type="paragraph" w:customStyle="1" w:styleId="2381">
    <w:name w:val="act1"/>
    <w:basedOn w:val="1"/>
    <w:qFormat/>
    <w:uiPriority w:val="0"/>
    <w:pPr>
      <w:spacing w:before="100" w:beforeAutospacing="1" w:after="100" w:afterAutospacing="1"/>
    </w:pPr>
  </w:style>
  <w:style w:type="paragraph" w:customStyle="1" w:styleId="2382">
    <w:name w:val="progressbar1"/>
    <w:basedOn w:val="1"/>
    <w:qFormat/>
    <w:uiPriority w:val="0"/>
    <w:pPr>
      <w:spacing w:before="45" w:after="100" w:afterAutospacing="1"/>
    </w:pPr>
  </w:style>
  <w:style w:type="paragraph" w:customStyle="1" w:styleId="2383">
    <w:name w:val="sidebar1"/>
    <w:basedOn w:val="1"/>
    <w:qFormat/>
    <w:uiPriority w:val="0"/>
    <w:pPr>
      <w:spacing w:before="100" w:beforeAutospacing="1" w:after="100" w:afterAutospacing="1"/>
    </w:pPr>
  </w:style>
  <w:style w:type="paragraph" w:customStyle="1" w:styleId="2384">
    <w:name w:val="title6"/>
    <w:basedOn w:val="1"/>
    <w:qFormat/>
    <w:uiPriority w:val="0"/>
    <w:pPr>
      <w:spacing w:before="100" w:beforeAutospacing="1" w:after="100" w:afterAutospacing="1" w:line="420" w:lineRule="atLeast"/>
    </w:pPr>
    <w:rPr>
      <w:color w:val="676767"/>
      <w:sz w:val="18"/>
      <w:szCs w:val="18"/>
    </w:rPr>
  </w:style>
  <w:style w:type="paragraph" w:customStyle="1" w:styleId="2385">
    <w:name w:val="bk-editable-lemma-btns1"/>
    <w:basedOn w:val="1"/>
    <w:qFormat/>
    <w:uiPriority w:val="0"/>
    <w:pPr>
      <w:spacing w:before="100" w:beforeAutospacing="1" w:after="100" w:afterAutospacing="1" w:line="510" w:lineRule="atLeast"/>
    </w:pPr>
  </w:style>
  <w:style w:type="paragraph" w:customStyle="1" w:styleId="2386">
    <w:name w:val="headline-content1"/>
    <w:basedOn w:val="1"/>
    <w:qFormat/>
    <w:uiPriority w:val="0"/>
    <w:pPr>
      <w:spacing w:before="100" w:beforeAutospacing="1" w:after="100" w:afterAutospacing="1"/>
    </w:pPr>
    <w:rPr>
      <w:sz w:val="29"/>
      <w:szCs w:val="29"/>
    </w:rPr>
  </w:style>
  <w:style w:type="paragraph" w:customStyle="1" w:styleId="2387">
    <w:name w:val="headline-index1"/>
    <w:basedOn w:val="1"/>
    <w:qFormat/>
    <w:uiPriority w:val="0"/>
    <w:pPr>
      <w:spacing w:before="100" w:beforeAutospacing="1" w:after="100" w:afterAutospacing="1"/>
      <w:ind w:right="120"/>
    </w:pPr>
  </w:style>
  <w:style w:type="paragraph" w:customStyle="1" w:styleId="2388">
    <w:name w:val="sublist-span1"/>
    <w:basedOn w:val="1"/>
    <w:qFormat/>
    <w:uiPriority w:val="0"/>
    <w:pPr>
      <w:spacing w:before="100" w:beforeAutospacing="1" w:after="100" w:afterAutospacing="1"/>
    </w:pPr>
  </w:style>
  <w:style w:type="paragraph" w:customStyle="1" w:styleId="2389">
    <w:name w:val="sublist-span2"/>
    <w:basedOn w:val="1"/>
    <w:qFormat/>
    <w:uiPriority w:val="0"/>
    <w:pPr>
      <w:spacing w:before="100" w:beforeAutospacing="1" w:after="100" w:afterAutospacing="1"/>
    </w:pPr>
    <w:rPr>
      <w:vanish/>
    </w:rPr>
  </w:style>
  <w:style w:type="paragraph" w:customStyle="1" w:styleId="2390">
    <w:name w:val="b-btn-11"/>
    <w:basedOn w:val="1"/>
    <w:qFormat/>
    <w:uiPriority w:val="0"/>
    <w:pPr>
      <w:ind w:left="75" w:right="75"/>
    </w:pPr>
  </w:style>
  <w:style w:type="paragraph" w:customStyle="1" w:styleId="2391">
    <w:name w:val="b-ent-section-action-toggle1"/>
    <w:basedOn w:val="1"/>
    <w:qFormat/>
    <w:uiPriority w:val="0"/>
    <w:pPr>
      <w:spacing w:before="100" w:beforeAutospacing="1" w:after="100" w:afterAutospacing="1"/>
      <w:ind w:left="30"/>
    </w:pPr>
  </w:style>
  <w:style w:type="paragraph" w:customStyle="1" w:styleId="2392">
    <w:name w:val="dir-holder1"/>
    <w:basedOn w:val="1"/>
    <w:qFormat/>
    <w:uiPriority w:val="0"/>
    <w:pPr>
      <w:spacing w:before="100" w:beforeAutospacing="1" w:after="100" w:afterAutospacing="1" w:line="120" w:lineRule="atLeast"/>
    </w:pPr>
    <w:rPr>
      <w:sz w:val="2"/>
      <w:szCs w:val="2"/>
    </w:rPr>
  </w:style>
  <w:style w:type="paragraph" w:customStyle="1" w:styleId="2393">
    <w:name w:val="fldset1"/>
    <w:basedOn w:val="1"/>
    <w:qFormat/>
    <w:uiPriority w:val="0"/>
    <w:pPr>
      <w:spacing w:before="100" w:beforeAutospacing="1" w:after="100" w:afterAutospacing="1"/>
    </w:pPr>
  </w:style>
  <w:style w:type="paragraph" w:customStyle="1" w:styleId="2394">
    <w:name w:val="b-h4-31"/>
    <w:basedOn w:val="1"/>
    <w:qFormat/>
    <w:uiPriority w:val="0"/>
    <w:pPr>
      <w:spacing w:before="100" w:beforeAutospacing="1" w:after="100" w:afterAutospacing="1"/>
      <w:ind w:firstLine="300"/>
    </w:pPr>
    <w:rPr>
      <w:b/>
      <w:bCs/>
      <w:sz w:val="21"/>
      <w:szCs w:val="21"/>
    </w:rPr>
  </w:style>
  <w:style w:type="paragraph" w:customStyle="1" w:styleId="2395">
    <w:name w:val="command1"/>
    <w:basedOn w:val="1"/>
    <w:qFormat/>
    <w:uiPriority w:val="0"/>
    <w:pPr>
      <w:spacing w:before="100" w:beforeAutospacing="1" w:after="100" w:afterAutospacing="1"/>
      <w:jc w:val="center"/>
    </w:pPr>
  </w:style>
  <w:style w:type="paragraph" w:customStyle="1" w:styleId="2396">
    <w:name w:val="small1"/>
    <w:basedOn w:val="1"/>
    <w:qFormat/>
    <w:uiPriority w:val="0"/>
    <w:pPr>
      <w:spacing w:before="150" w:after="100" w:afterAutospacing="1"/>
    </w:pPr>
  </w:style>
  <w:style w:type="paragraph" w:customStyle="1" w:styleId="2397">
    <w:name w:val="close1"/>
    <w:basedOn w:val="1"/>
    <w:qFormat/>
    <w:uiPriority w:val="0"/>
    <w:pPr>
      <w:spacing w:before="100" w:beforeAutospacing="1" w:after="100" w:afterAutospacing="1"/>
      <w:ind w:hanging="20536"/>
    </w:pPr>
  </w:style>
  <w:style w:type="paragraph" w:customStyle="1" w:styleId="2398">
    <w:name w:val="fr1"/>
    <w:basedOn w:val="1"/>
    <w:qFormat/>
    <w:uiPriority w:val="0"/>
    <w:pPr>
      <w:spacing w:before="100" w:beforeAutospacing="1" w:after="100" w:afterAutospacing="1"/>
    </w:pPr>
  </w:style>
  <w:style w:type="paragraph" w:customStyle="1" w:styleId="2399">
    <w:name w:val="enc-txt1"/>
    <w:basedOn w:val="1"/>
    <w:qFormat/>
    <w:uiPriority w:val="0"/>
    <w:pPr>
      <w:spacing w:before="100" w:beforeAutospacing="1" w:after="100" w:afterAutospacing="1" w:line="330" w:lineRule="atLeast"/>
    </w:pPr>
    <w:rPr>
      <w:sz w:val="20"/>
      <w:szCs w:val="20"/>
    </w:rPr>
  </w:style>
  <w:style w:type="paragraph" w:customStyle="1" w:styleId="2400">
    <w:name w:val="xiaohui1"/>
    <w:basedOn w:val="1"/>
    <w:qFormat/>
    <w:uiPriority w:val="0"/>
    <w:pPr>
      <w:ind w:right="-390"/>
    </w:pPr>
  </w:style>
  <w:style w:type="paragraph" w:customStyle="1" w:styleId="2401">
    <w:name w:val="pl1"/>
    <w:basedOn w:val="1"/>
    <w:qFormat/>
    <w:uiPriority w:val="0"/>
    <w:pPr>
      <w:spacing w:before="100" w:beforeAutospacing="1" w:after="100" w:afterAutospacing="1" w:line="195" w:lineRule="atLeast"/>
    </w:pPr>
  </w:style>
  <w:style w:type="paragraph" w:customStyle="1" w:styleId="2402">
    <w:name w:val="pr1"/>
    <w:basedOn w:val="1"/>
    <w:qFormat/>
    <w:uiPriority w:val="0"/>
    <w:pPr>
      <w:spacing w:before="100" w:beforeAutospacing="1" w:after="100" w:afterAutospacing="1" w:line="195" w:lineRule="atLeast"/>
    </w:pPr>
  </w:style>
  <w:style w:type="paragraph" w:customStyle="1" w:styleId="2403">
    <w:name w:val="pb1"/>
    <w:basedOn w:val="1"/>
    <w:qFormat/>
    <w:uiPriority w:val="0"/>
    <w:pPr>
      <w:spacing w:before="100" w:beforeAutospacing="1" w:after="100" w:afterAutospacing="1" w:line="195" w:lineRule="atLeast"/>
    </w:pPr>
  </w:style>
  <w:style w:type="paragraph" w:customStyle="1" w:styleId="2404">
    <w:name w:val="msg-content1"/>
    <w:basedOn w:val="1"/>
    <w:qFormat/>
    <w:uiPriority w:val="0"/>
    <w:pPr>
      <w:spacing w:before="100" w:beforeAutospacing="1" w:after="100" w:afterAutospacing="1"/>
    </w:pPr>
  </w:style>
  <w:style w:type="paragraph" w:customStyle="1" w:styleId="2405">
    <w:name w:val="tip-msg-row1"/>
    <w:basedOn w:val="1"/>
    <w:qFormat/>
    <w:uiPriority w:val="0"/>
    <w:pPr>
      <w:spacing w:before="30" w:after="30"/>
    </w:pPr>
  </w:style>
  <w:style w:type="paragraph" w:customStyle="1" w:styleId="2406">
    <w:name w:val="table-title1"/>
    <w:basedOn w:val="1"/>
    <w:qFormat/>
    <w:uiPriority w:val="0"/>
    <w:pPr>
      <w:spacing w:before="100" w:beforeAutospacing="1" w:after="100" w:afterAutospacing="1"/>
    </w:pPr>
    <w:rPr>
      <w:color w:val="000000"/>
    </w:rPr>
  </w:style>
  <w:style w:type="paragraph" w:customStyle="1" w:styleId="2407">
    <w:name w:val="relation-control-enter-edit1"/>
    <w:basedOn w:val="1"/>
    <w:qFormat/>
    <w:uiPriority w:val="0"/>
    <w:pPr>
      <w:spacing w:before="100" w:beforeAutospacing="1" w:after="100" w:afterAutospacing="1"/>
      <w:ind w:left="45"/>
    </w:pPr>
  </w:style>
  <w:style w:type="paragraph" w:customStyle="1" w:styleId="2408">
    <w:name w:val="hd1"/>
    <w:basedOn w:val="1"/>
    <w:qFormat/>
    <w:uiPriority w:val="0"/>
    <w:pPr>
      <w:spacing w:before="100" w:beforeAutospacing="1" w:after="100" w:afterAutospacing="1"/>
    </w:pPr>
    <w:rPr>
      <w:b/>
      <w:bCs/>
      <w:color w:val="000000"/>
    </w:rPr>
  </w:style>
  <w:style w:type="paragraph" w:customStyle="1" w:styleId="2409">
    <w:name w:val="title-banner1"/>
    <w:basedOn w:val="1"/>
    <w:qFormat/>
    <w:uiPriority w:val="0"/>
    <w:pPr>
      <w:shd w:val="clear" w:color="auto" w:fill="D4E8FA"/>
      <w:spacing w:before="30" w:after="100" w:afterAutospacing="1" w:line="450" w:lineRule="atLeast"/>
      <w:jc w:val="center"/>
    </w:pPr>
  </w:style>
  <w:style w:type="paragraph" w:customStyle="1" w:styleId="2410">
    <w:name w:val="remark-banner1"/>
    <w:basedOn w:val="1"/>
    <w:qFormat/>
    <w:uiPriority w:val="0"/>
    <w:pPr>
      <w:shd w:val="clear" w:color="auto" w:fill="E3F1FC"/>
      <w:spacing w:before="30" w:after="100" w:afterAutospacing="1" w:line="450" w:lineRule="atLeast"/>
      <w:jc w:val="center"/>
    </w:pPr>
  </w:style>
  <w:style w:type="paragraph" w:customStyle="1" w:styleId="2411">
    <w:name w:val="center1"/>
    <w:basedOn w:val="1"/>
    <w:qFormat/>
    <w:uiPriority w:val="0"/>
    <w:pPr>
      <w:shd w:val="clear" w:color="auto" w:fill="D4E8FA"/>
      <w:spacing w:before="100" w:beforeAutospacing="1" w:after="100" w:afterAutospacing="1"/>
    </w:pPr>
    <w:rPr>
      <w:b/>
      <w:bCs/>
    </w:rPr>
  </w:style>
  <w:style w:type="paragraph" w:customStyle="1" w:styleId="2412">
    <w:name w:val="even1"/>
    <w:basedOn w:val="1"/>
    <w:qFormat/>
    <w:uiPriority w:val="0"/>
    <w:pPr>
      <w:shd w:val="clear" w:color="auto" w:fill="F8F8F8"/>
      <w:spacing w:before="100" w:beforeAutospacing="1" w:after="100" w:afterAutospacing="1"/>
    </w:pPr>
  </w:style>
  <w:style w:type="paragraph" w:customStyle="1" w:styleId="2413">
    <w:name w:val="relation-unit1"/>
    <w:basedOn w:val="1"/>
    <w:qFormat/>
    <w:uiPriority w:val="0"/>
    <w:pPr>
      <w:spacing w:before="30" w:after="100" w:afterAutospacing="1"/>
    </w:pPr>
  </w:style>
  <w:style w:type="paragraph" w:customStyle="1" w:styleId="2414">
    <w:name w:val="entries-box1"/>
    <w:basedOn w:val="1"/>
    <w:qFormat/>
    <w:uiPriority w:val="0"/>
    <w:pPr>
      <w:spacing w:before="100" w:beforeAutospacing="1" w:after="100" w:afterAutospacing="1"/>
    </w:pPr>
  </w:style>
  <w:style w:type="paragraph" w:customStyle="1" w:styleId="2415">
    <w:name w:val="relation-control-enter-open1"/>
    <w:basedOn w:val="1"/>
    <w:qFormat/>
    <w:uiPriority w:val="0"/>
    <w:pPr>
      <w:spacing w:before="100" w:beforeAutospacing="1" w:after="100" w:afterAutospacing="1"/>
    </w:pPr>
    <w:rPr>
      <w:vanish/>
    </w:rPr>
  </w:style>
  <w:style w:type="paragraph" w:customStyle="1" w:styleId="2416">
    <w:name w:val="relation-control-enter-close1"/>
    <w:basedOn w:val="1"/>
    <w:qFormat/>
    <w:uiPriority w:val="0"/>
    <w:pPr>
      <w:spacing w:before="100" w:beforeAutospacing="1" w:after="100" w:afterAutospacing="1"/>
    </w:pPr>
    <w:rPr>
      <w:vanish/>
    </w:rPr>
  </w:style>
  <w:style w:type="paragraph" w:customStyle="1" w:styleId="2417">
    <w:name w:val="relation-table-main1"/>
    <w:basedOn w:val="1"/>
    <w:qFormat/>
    <w:uiPriority w:val="0"/>
    <w:pPr>
      <w:spacing w:before="100" w:beforeAutospacing="1" w:after="100" w:afterAutospacing="1"/>
    </w:pPr>
    <w:rPr>
      <w:vanish/>
      <w:color w:val="666666"/>
    </w:rPr>
  </w:style>
  <w:style w:type="paragraph" w:customStyle="1" w:styleId="2418">
    <w:name w:val="relation-split1"/>
    <w:basedOn w:val="1"/>
    <w:qFormat/>
    <w:uiPriority w:val="0"/>
    <w:pPr>
      <w:spacing w:before="100" w:beforeAutospacing="1" w:after="100" w:afterAutospacing="1" w:line="210" w:lineRule="atLeast"/>
    </w:pPr>
    <w:rPr>
      <w:color w:val="999999"/>
      <w:sz w:val="21"/>
      <w:szCs w:val="21"/>
    </w:rPr>
  </w:style>
  <w:style w:type="paragraph" w:customStyle="1" w:styleId="2419">
    <w:name w:val="embed-relation-tb1"/>
    <w:basedOn w:val="1"/>
    <w:qFormat/>
    <w:uiPriority w:val="0"/>
    <w:pPr>
      <w:spacing w:after="100" w:afterAutospacing="1"/>
    </w:pPr>
  </w:style>
  <w:style w:type="paragraph" w:customStyle="1" w:styleId="2420">
    <w:name w:val="relation-split2"/>
    <w:basedOn w:val="1"/>
    <w:qFormat/>
    <w:uiPriority w:val="0"/>
    <w:pPr>
      <w:spacing w:before="100" w:beforeAutospacing="1" w:after="100" w:afterAutospacing="1"/>
    </w:pPr>
    <w:rPr>
      <w:vanish/>
    </w:rPr>
  </w:style>
  <w:style w:type="paragraph" w:customStyle="1" w:styleId="2421">
    <w:name w:val="explain1"/>
    <w:basedOn w:val="1"/>
    <w:qFormat/>
    <w:uiPriority w:val="0"/>
    <w:pPr>
      <w:spacing w:before="100" w:beforeAutospacing="1" w:after="100" w:afterAutospacing="1"/>
    </w:pPr>
  </w:style>
  <w:style w:type="paragraph" w:customStyle="1" w:styleId="2422">
    <w:name w:val="page1"/>
    <w:basedOn w:val="1"/>
    <w:qFormat/>
    <w:uiPriority w:val="0"/>
    <w:pPr>
      <w:pBdr>
        <w:top w:val="single" w:color="E6E6E6" w:sz="6" w:space="0"/>
      </w:pBdr>
      <w:spacing w:before="100" w:beforeAutospacing="1" w:after="100" w:afterAutospacing="1" w:line="270" w:lineRule="atLeast"/>
      <w:jc w:val="center"/>
    </w:pPr>
  </w:style>
  <w:style w:type="paragraph" w:customStyle="1" w:styleId="2423">
    <w:name w:val="page-text1"/>
    <w:basedOn w:val="1"/>
    <w:qFormat/>
    <w:uiPriority w:val="0"/>
    <w:pPr>
      <w:spacing w:before="100" w:beforeAutospacing="1" w:after="100" w:afterAutospacing="1"/>
    </w:pPr>
  </w:style>
  <w:style w:type="paragraph" w:customStyle="1" w:styleId="2424">
    <w:name w:val="page-current1"/>
    <w:basedOn w:val="1"/>
    <w:qFormat/>
    <w:uiPriority w:val="0"/>
    <w:pPr>
      <w:spacing w:before="100" w:beforeAutospacing="1" w:after="100" w:afterAutospacing="1"/>
    </w:pPr>
    <w:rPr>
      <w:b/>
      <w:bCs/>
      <w:color w:val="000000"/>
    </w:rPr>
  </w:style>
  <w:style w:type="paragraph" w:customStyle="1" w:styleId="2425">
    <w:name w:val="relation-table-main2"/>
    <w:basedOn w:val="1"/>
    <w:qFormat/>
    <w:uiPriority w:val="0"/>
    <w:pPr>
      <w:pBdr>
        <w:top w:val="single" w:color="DEDFE1" w:sz="2" w:space="0"/>
        <w:left w:val="single" w:color="DEDFE1" w:sz="6" w:space="0"/>
        <w:bottom w:val="single" w:color="DEDFE1" w:sz="6" w:space="0"/>
        <w:right w:val="single" w:color="DEDFE1" w:sz="6" w:space="0"/>
      </w:pBdr>
      <w:spacing w:before="100" w:beforeAutospacing="1" w:after="100" w:afterAutospacing="1"/>
    </w:pPr>
    <w:rPr>
      <w:color w:val="5B5F65"/>
    </w:rPr>
  </w:style>
  <w:style w:type="paragraph" w:customStyle="1" w:styleId="2426">
    <w:name w:val="hd2"/>
    <w:basedOn w:val="1"/>
    <w:qFormat/>
    <w:uiPriority w:val="0"/>
    <w:pPr>
      <w:spacing w:before="100" w:beforeAutospacing="1" w:after="100" w:afterAutospacing="1"/>
    </w:pPr>
    <w:rPr>
      <w:color w:val="5B5F65"/>
    </w:rPr>
  </w:style>
  <w:style w:type="paragraph" w:customStyle="1" w:styleId="2427">
    <w:name w:val="relation-table-banner1"/>
    <w:basedOn w:val="1"/>
    <w:qFormat/>
    <w:uiPriority w:val="0"/>
    <w:pPr>
      <w:shd w:val="clear" w:color="auto" w:fill="E6EDF2"/>
      <w:spacing w:before="100" w:beforeAutospacing="1" w:after="100" w:afterAutospacing="1" w:line="450" w:lineRule="atLeast"/>
      <w:jc w:val="center"/>
    </w:pPr>
  </w:style>
  <w:style w:type="paragraph" w:customStyle="1" w:styleId="2428">
    <w:name w:val="remark-banner2"/>
    <w:basedOn w:val="1"/>
    <w:qFormat/>
    <w:uiPriority w:val="0"/>
    <w:pPr>
      <w:shd w:val="clear" w:color="auto" w:fill="FAFBFC"/>
      <w:spacing w:before="30" w:after="100" w:afterAutospacing="1" w:line="450" w:lineRule="atLeast"/>
      <w:jc w:val="center"/>
    </w:pPr>
  </w:style>
  <w:style w:type="paragraph" w:customStyle="1" w:styleId="2429">
    <w:name w:val="relation-unit2"/>
    <w:basedOn w:val="1"/>
    <w:qFormat/>
    <w:uiPriority w:val="0"/>
    <w:pPr>
      <w:pBdr>
        <w:top w:val="single" w:color="DEDFE1" w:sz="6" w:space="0"/>
      </w:pBdr>
    </w:pPr>
  </w:style>
  <w:style w:type="paragraph" w:customStyle="1" w:styleId="2430">
    <w:name w:val="table-title2"/>
    <w:basedOn w:val="1"/>
    <w:qFormat/>
    <w:uiPriority w:val="0"/>
    <w:pPr>
      <w:spacing w:before="100" w:beforeAutospacing="1" w:after="100" w:afterAutospacing="1"/>
    </w:pPr>
    <w:rPr>
      <w:color w:val="444850"/>
    </w:rPr>
  </w:style>
  <w:style w:type="paragraph" w:customStyle="1" w:styleId="2431">
    <w:name w:val="lemma-relation-odd1"/>
    <w:basedOn w:val="1"/>
    <w:qFormat/>
    <w:uiPriority w:val="0"/>
    <w:pPr>
      <w:spacing w:before="100" w:beforeAutospacing="1" w:after="100" w:afterAutospacing="1" w:line="450" w:lineRule="atLeast"/>
    </w:pPr>
  </w:style>
  <w:style w:type="paragraph" w:customStyle="1" w:styleId="2432">
    <w:name w:val="even2"/>
    <w:basedOn w:val="1"/>
    <w:qFormat/>
    <w:uiPriority w:val="0"/>
    <w:pPr>
      <w:spacing w:before="100" w:beforeAutospacing="1" w:after="100" w:afterAutospacing="1"/>
    </w:pPr>
  </w:style>
  <w:style w:type="paragraph" w:customStyle="1" w:styleId="2433">
    <w:name w:val="title-banner2"/>
    <w:basedOn w:val="1"/>
    <w:qFormat/>
    <w:uiPriority w:val="0"/>
    <w:pPr>
      <w:shd w:val="clear" w:color="auto" w:fill="F7F9FA"/>
      <w:spacing w:before="30" w:after="100" w:afterAutospacing="1" w:line="450" w:lineRule="atLeast"/>
      <w:jc w:val="center"/>
    </w:pPr>
  </w:style>
  <w:style w:type="paragraph" w:customStyle="1" w:styleId="2434">
    <w:name w:val="hd3"/>
    <w:basedOn w:val="1"/>
    <w:qFormat/>
    <w:uiPriority w:val="0"/>
    <w:pPr>
      <w:shd w:val="clear" w:color="auto" w:fill="F7F9FA"/>
      <w:spacing w:before="100" w:beforeAutospacing="1" w:after="100" w:afterAutospacing="1"/>
    </w:pPr>
    <w:rPr>
      <w:b/>
      <w:bCs/>
      <w:color w:val="5B5F65"/>
    </w:rPr>
  </w:style>
  <w:style w:type="paragraph" w:customStyle="1" w:styleId="2435">
    <w:name w:val="relation-table-outer1"/>
    <w:basedOn w:val="1"/>
    <w:qFormat/>
    <w:uiPriority w:val="0"/>
    <w:pPr>
      <w:pBdr>
        <w:top w:val="single" w:color="CED3D9" w:sz="6" w:space="0"/>
      </w:pBdr>
      <w:spacing w:after="100" w:afterAutospacing="1"/>
    </w:pPr>
  </w:style>
  <w:style w:type="paragraph" w:customStyle="1" w:styleId="2436">
    <w:name w:val="table-title3"/>
    <w:basedOn w:val="1"/>
    <w:qFormat/>
    <w:uiPriority w:val="0"/>
    <w:pPr>
      <w:spacing w:before="100" w:beforeAutospacing="1" w:after="100" w:afterAutospacing="1"/>
    </w:pPr>
    <w:rPr>
      <w:color w:val="000000"/>
    </w:rPr>
  </w:style>
  <w:style w:type="paragraph" w:customStyle="1" w:styleId="2437">
    <w:name w:val="relation-table-main3"/>
    <w:basedOn w:val="1"/>
    <w:qFormat/>
    <w:uiPriority w:val="0"/>
    <w:pPr>
      <w:spacing w:before="100" w:beforeAutospacing="1" w:after="100" w:afterAutospacing="1"/>
    </w:pPr>
    <w:rPr>
      <w:color w:val="666666"/>
    </w:rPr>
  </w:style>
  <w:style w:type="paragraph" w:customStyle="1" w:styleId="2438">
    <w:name w:val="page2"/>
    <w:basedOn w:val="1"/>
    <w:qFormat/>
    <w:uiPriority w:val="0"/>
    <w:pPr>
      <w:pBdr>
        <w:top w:val="single" w:color="E6E6E6" w:sz="6" w:space="0"/>
      </w:pBdr>
      <w:spacing w:before="100" w:beforeAutospacing="1" w:after="100" w:afterAutospacing="1" w:line="270" w:lineRule="atLeast"/>
      <w:jc w:val="center"/>
    </w:pPr>
  </w:style>
  <w:style w:type="paragraph" w:customStyle="1" w:styleId="2439">
    <w:name w:val="page-text2"/>
    <w:basedOn w:val="1"/>
    <w:qFormat/>
    <w:uiPriority w:val="0"/>
    <w:pPr>
      <w:spacing w:before="100" w:beforeAutospacing="1" w:after="100" w:afterAutospacing="1"/>
    </w:pPr>
  </w:style>
  <w:style w:type="paragraph" w:customStyle="1" w:styleId="2440">
    <w:name w:val="page-current2"/>
    <w:basedOn w:val="1"/>
    <w:qFormat/>
    <w:uiPriority w:val="0"/>
    <w:pPr>
      <w:spacing w:before="100" w:beforeAutospacing="1" w:after="100" w:afterAutospacing="1"/>
    </w:pPr>
    <w:rPr>
      <w:b/>
      <w:bCs/>
      <w:color w:val="000000"/>
    </w:rPr>
  </w:style>
  <w:style w:type="paragraph" w:customStyle="1" w:styleId="2441">
    <w:name w:val="relation-control-enter-open2"/>
    <w:basedOn w:val="1"/>
    <w:qFormat/>
    <w:uiPriority w:val="0"/>
    <w:pPr>
      <w:spacing w:before="100" w:beforeAutospacing="1" w:after="100" w:afterAutospacing="1"/>
    </w:pPr>
    <w:rPr>
      <w:vanish/>
    </w:rPr>
  </w:style>
  <w:style w:type="paragraph" w:customStyle="1" w:styleId="2442">
    <w:name w:val="rs-icon1"/>
    <w:basedOn w:val="1"/>
    <w:qFormat/>
    <w:uiPriority w:val="0"/>
    <w:pPr>
      <w:spacing w:before="100" w:beforeAutospacing="1" w:after="100" w:afterAutospacing="1" w:line="405" w:lineRule="atLeast"/>
    </w:pPr>
  </w:style>
  <w:style w:type="paragraph" w:customStyle="1" w:styleId="2443">
    <w:name w:val="relation-category-hide1"/>
    <w:basedOn w:val="1"/>
    <w:qFormat/>
    <w:uiPriority w:val="0"/>
    <w:pPr>
      <w:spacing w:before="100" w:beforeAutospacing="1" w:after="100" w:afterAutospacing="1"/>
    </w:pPr>
    <w:rPr>
      <w:vanish/>
    </w:rPr>
  </w:style>
  <w:style w:type="paragraph" w:customStyle="1" w:styleId="2444">
    <w:name w:val="relation-category-hide2"/>
    <w:basedOn w:val="1"/>
    <w:qFormat/>
    <w:uiPriority w:val="0"/>
    <w:pPr>
      <w:spacing w:before="100" w:beforeAutospacing="1" w:after="100" w:afterAutospacing="1"/>
    </w:pPr>
  </w:style>
  <w:style w:type="paragraph" w:customStyle="1" w:styleId="2445">
    <w:name w:val="show-btn1"/>
    <w:basedOn w:val="1"/>
    <w:qFormat/>
    <w:uiPriority w:val="0"/>
    <w:pPr>
      <w:spacing w:before="100" w:beforeAutospacing="1" w:after="100" w:afterAutospacing="1" w:line="285" w:lineRule="atLeast"/>
    </w:pPr>
    <w:rPr>
      <w:color w:val="666666"/>
    </w:rPr>
  </w:style>
  <w:style w:type="paragraph" w:customStyle="1" w:styleId="2446">
    <w:name w:val="show-btn2"/>
    <w:basedOn w:val="1"/>
    <w:qFormat/>
    <w:uiPriority w:val="0"/>
    <w:pPr>
      <w:spacing w:before="100" w:beforeAutospacing="1" w:after="100" w:afterAutospacing="1"/>
    </w:pPr>
  </w:style>
  <w:style w:type="paragraph" w:customStyle="1" w:styleId="2447">
    <w:name w:val="level151"/>
    <w:basedOn w:val="1"/>
    <w:qFormat/>
    <w:uiPriority w:val="0"/>
    <w:pPr>
      <w:spacing w:before="100" w:beforeAutospacing="1" w:after="100" w:afterAutospacing="1"/>
    </w:pPr>
  </w:style>
  <w:style w:type="paragraph" w:customStyle="1" w:styleId="2448">
    <w:name w:val="top-bg1"/>
    <w:basedOn w:val="1"/>
    <w:qFormat/>
    <w:uiPriority w:val="0"/>
    <w:pPr>
      <w:shd w:val="clear" w:color="auto" w:fill="E6F8FF"/>
      <w:spacing w:before="15" w:after="100" w:afterAutospacing="1"/>
    </w:pPr>
  </w:style>
  <w:style w:type="paragraph" w:customStyle="1" w:styleId="2449">
    <w:name w:val="uc-l1"/>
    <w:basedOn w:val="1"/>
    <w:qFormat/>
    <w:uiPriority w:val="0"/>
    <w:pPr>
      <w:spacing w:before="100" w:beforeAutospacing="1" w:after="100" w:afterAutospacing="1" w:line="450" w:lineRule="atLeast"/>
      <w:jc w:val="center"/>
    </w:pPr>
    <w:rPr>
      <w:color w:val="116EC2"/>
    </w:rPr>
  </w:style>
  <w:style w:type="paragraph" w:customStyle="1" w:styleId="2450">
    <w:name w:val="uc-r1"/>
    <w:basedOn w:val="1"/>
    <w:qFormat/>
    <w:uiPriority w:val="0"/>
    <w:pPr>
      <w:spacing w:before="100" w:beforeAutospacing="1" w:after="100" w:afterAutospacing="1"/>
    </w:pPr>
  </w:style>
  <w:style w:type="paragraph" w:customStyle="1" w:styleId="2451">
    <w:name w:val="uc-id1"/>
    <w:basedOn w:val="1"/>
    <w:qFormat/>
    <w:uiPriority w:val="0"/>
    <w:pPr>
      <w:spacing w:before="100" w:beforeAutospacing="1" w:after="100" w:afterAutospacing="1"/>
    </w:pPr>
    <w:rPr>
      <w:b/>
      <w:bCs/>
    </w:rPr>
  </w:style>
  <w:style w:type="paragraph" w:customStyle="1" w:styleId="2452">
    <w:name w:val="uc-name1"/>
    <w:basedOn w:val="1"/>
    <w:qFormat/>
    <w:uiPriority w:val="0"/>
    <w:pPr>
      <w:spacing w:before="100" w:beforeAutospacing="1" w:after="100" w:afterAutospacing="1"/>
    </w:pPr>
  </w:style>
  <w:style w:type="paragraph" w:customStyle="1" w:styleId="2453">
    <w:name w:val="uc-pic1"/>
    <w:basedOn w:val="1"/>
    <w:qFormat/>
    <w:uiPriority w:val="0"/>
    <w:pPr>
      <w:pBdr>
        <w:top w:val="single" w:color="DDDDDD" w:sz="6" w:space="0"/>
        <w:left w:val="single" w:color="DDDDDD" w:sz="6" w:space="0"/>
        <w:bottom w:val="single" w:color="DDDDDD" w:sz="6" w:space="0"/>
        <w:right w:val="single" w:color="DDDDDD" w:sz="6" w:space="0"/>
      </w:pBdr>
    </w:pPr>
  </w:style>
  <w:style w:type="paragraph" w:customStyle="1" w:styleId="2454">
    <w:name w:val="uc-items1"/>
    <w:basedOn w:val="1"/>
    <w:qFormat/>
    <w:uiPriority w:val="0"/>
    <w:pPr>
      <w:spacing w:before="100" w:beforeAutospacing="1" w:after="100" w:afterAutospacing="1"/>
      <w:textAlignment w:val="center"/>
    </w:pPr>
  </w:style>
  <w:style w:type="paragraph" w:customStyle="1" w:styleId="2455">
    <w:name w:val="msg1"/>
    <w:basedOn w:val="1"/>
    <w:qFormat/>
    <w:uiPriority w:val="0"/>
    <w:pPr>
      <w:spacing w:before="100" w:beforeAutospacing="1" w:after="100" w:afterAutospacing="1"/>
    </w:pPr>
  </w:style>
  <w:style w:type="paragraph" w:customStyle="1" w:styleId="2456">
    <w:name w:val="indent1"/>
    <w:basedOn w:val="1"/>
    <w:qFormat/>
    <w:uiPriority w:val="0"/>
    <w:pPr>
      <w:spacing w:before="100" w:beforeAutospacing="1" w:after="100" w:afterAutospacing="1"/>
      <w:ind w:firstLine="390"/>
    </w:pPr>
  </w:style>
  <w:style w:type="paragraph" w:customStyle="1" w:styleId="2457">
    <w:name w:val="book1"/>
    <w:basedOn w:val="1"/>
    <w:qFormat/>
    <w:uiPriority w:val="0"/>
  </w:style>
  <w:style w:type="paragraph" w:customStyle="1" w:styleId="2458">
    <w:name w:val="Char Char Char Char Char Char Char Char Char Char Char Char Char Char Char Char Char Char Char Char Char Char Char Char Char5"/>
    <w:basedOn w:val="1"/>
    <w:qFormat/>
    <w:uiPriority w:val="0"/>
    <w:pPr>
      <w:spacing w:after="160" w:line="240" w:lineRule="exact"/>
    </w:pPr>
    <w:rPr>
      <w:rFonts w:ascii="Verdana" w:hAnsi="Verdana" w:cs="Times New Roman"/>
      <w:sz w:val="20"/>
      <w:szCs w:val="20"/>
      <w:lang w:eastAsia="en-US"/>
    </w:rPr>
  </w:style>
  <w:style w:type="character" w:customStyle="1" w:styleId="2459">
    <w:name w:val="页码1"/>
    <w:qFormat/>
    <w:uiPriority w:val="0"/>
  </w:style>
  <w:style w:type="character" w:customStyle="1" w:styleId="2460">
    <w:name w:val="批注引用1"/>
    <w:qFormat/>
    <w:uiPriority w:val="0"/>
    <w:rPr>
      <w:sz w:val="21"/>
      <w:szCs w:val="21"/>
    </w:rPr>
  </w:style>
  <w:style w:type="character" w:customStyle="1" w:styleId="2461">
    <w:name w:val="HTML 代码1"/>
    <w:qFormat/>
    <w:uiPriority w:val="0"/>
    <w:rPr>
      <w:rFonts w:ascii="黑体" w:hAnsi="Courier New" w:eastAsia="黑体" w:cs="Courier New"/>
      <w:sz w:val="24"/>
      <w:szCs w:val="24"/>
    </w:rPr>
  </w:style>
  <w:style w:type="character" w:customStyle="1" w:styleId="2462">
    <w:name w:val="书籍标题2"/>
    <w:qFormat/>
    <w:uiPriority w:val="0"/>
    <w:rPr>
      <w:b/>
      <w:smallCaps/>
      <w:spacing w:val="5"/>
    </w:rPr>
  </w:style>
  <w:style w:type="paragraph" w:customStyle="1" w:styleId="2463">
    <w:name w:val="标题 4111"/>
    <w:basedOn w:val="1"/>
    <w:next w:val="21"/>
    <w:qFormat/>
    <w:uiPriority w:val="99"/>
    <w:pPr>
      <w:keepNext/>
      <w:keepLines/>
      <w:widowControl w:val="0"/>
      <w:tabs>
        <w:tab w:val="left" w:pos="720"/>
      </w:tabs>
      <w:adjustRightInd w:val="0"/>
      <w:spacing w:after="156" w:afterLines="50" w:line="360" w:lineRule="auto"/>
      <w:textAlignment w:val="baseline"/>
      <w:outlineLvl w:val="3"/>
    </w:pPr>
    <w:rPr>
      <w:rFonts w:hint="eastAsia" w:ascii="Times New Roman" w:hAnsi="Times New Roman" w:cs="Times New Roman"/>
      <w:b/>
      <w:szCs w:val="21"/>
    </w:rPr>
  </w:style>
  <w:style w:type="paragraph" w:customStyle="1" w:styleId="2464">
    <w:name w:val="Char Char Char Char Char Char Char Char Char Char Char Char Char Char Char Char Char Char Char Char Char Char Char Char Char2"/>
    <w:basedOn w:val="1"/>
    <w:qFormat/>
    <w:uiPriority w:val="0"/>
    <w:pPr>
      <w:spacing w:after="156" w:afterLines="50" w:line="240" w:lineRule="exact"/>
    </w:pPr>
    <w:rPr>
      <w:rFonts w:ascii="Verdana" w:hAnsi="Verdana" w:cs="Times New Roman"/>
      <w:sz w:val="20"/>
      <w:szCs w:val="20"/>
      <w:lang w:eastAsia="en-US"/>
    </w:rPr>
  </w:style>
  <w:style w:type="paragraph" w:customStyle="1" w:styleId="2465">
    <w:name w:val="列表 21"/>
    <w:basedOn w:val="1"/>
    <w:qFormat/>
    <w:uiPriority w:val="99"/>
    <w:pPr>
      <w:widowControl w:val="0"/>
      <w:spacing w:after="156" w:afterLines="50" w:line="360" w:lineRule="auto"/>
      <w:ind w:left="840" w:hanging="420"/>
      <w:jc w:val="both"/>
    </w:pPr>
    <w:rPr>
      <w:rFonts w:ascii="Times New Roman" w:hAnsi="Times New Roman" w:cs="Times New Roman"/>
      <w:kern w:val="2"/>
    </w:rPr>
  </w:style>
  <w:style w:type="paragraph" w:customStyle="1" w:styleId="2466">
    <w:name w:val="正文文本 31"/>
    <w:basedOn w:val="1"/>
    <w:qFormat/>
    <w:uiPriority w:val="0"/>
    <w:pPr>
      <w:widowControl w:val="0"/>
      <w:spacing w:after="156" w:afterLines="50" w:line="400" w:lineRule="exact"/>
      <w:jc w:val="both"/>
    </w:pPr>
    <w:rPr>
      <w:rFonts w:ascii="Times New Roman" w:cs="Times New Roman"/>
      <w:sz w:val="28"/>
      <w:szCs w:val="28"/>
    </w:rPr>
  </w:style>
  <w:style w:type="paragraph" w:customStyle="1" w:styleId="2467">
    <w:name w:val="Char Char Char Char Char Char Char Char Char Char Char Char Char Char Char Char Char Char Char Char Char Char Char Char Char3"/>
    <w:basedOn w:val="1"/>
    <w:qFormat/>
    <w:uiPriority w:val="0"/>
    <w:pPr>
      <w:spacing w:after="156" w:afterLines="50" w:line="240" w:lineRule="exact"/>
    </w:pPr>
    <w:rPr>
      <w:rFonts w:ascii="Verdana" w:hAnsi="Verdana" w:cs="Times New Roman"/>
      <w:sz w:val="20"/>
      <w:szCs w:val="20"/>
      <w:lang w:eastAsia="en-US"/>
    </w:rPr>
  </w:style>
  <w:style w:type="paragraph" w:customStyle="1" w:styleId="2468">
    <w:name w:val="文档结构图1"/>
    <w:basedOn w:val="1"/>
    <w:qFormat/>
    <w:uiPriority w:val="99"/>
    <w:pPr>
      <w:widowControl w:val="0"/>
      <w:shd w:val="clear" w:color="auto" w:fill="000080"/>
      <w:adjustRightInd w:val="0"/>
      <w:spacing w:after="156" w:afterLines="50" w:line="315" w:lineRule="atLeast"/>
      <w:textAlignment w:val="baseline"/>
    </w:pPr>
    <w:rPr>
      <w:rFonts w:hAnsi="Times New Roman" w:cs="Times New Roman"/>
      <w:kern w:val="2"/>
      <w:sz w:val="18"/>
      <w:szCs w:val="18"/>
      <w:shd w:val="clear" w:color="auto" w:fill="000080"/>
    </w:rPr>
  </w:style>
  <w:style w:type="paragraph" w:customStyle="1" w:styleId="2469">
    <w:name w:val="正文文本缩进 31"/>
    <w:basedOn w:val="1"/>
    <w:qFormat/>
    <w:uiPriority w:val="0"/>
    <w:pPr>
      <w:widowControl w:val="0"/>
      <w:adjustRightInd w:val="0"/>
      <w:spacing w:after="156" w:afterLines="50" w:line="360" w:lineRule="atLeast"/>
      <w:ind w:firstLine="420"/>
      <w:jc w:val="both"/>
      <w:textAlignment w:val="baseline"/>
    </w:pPr>
    <w:rPr>
      <w:rFonts w:ascii="Times New Roman" w:hAnsi="Times New Roman" w:cs="Times New Roman"/>
      <w:kern w:val="2"/>
      <w:sz w:val="16"/>
      <w:szCs w:val="16"/>
    </w:rPr>
  </w:style>
  <w:style w:type="paragraph" w:customStyle="1" w:styleId="2470">
    <w:name w:val="Char Char Char Char Char Char Char Char Char Char Char Char Char Char Char Char Char Char Char Char Char Char Char Char Char1"/>
    <w:basedOn w:val="1"/>
    <w:qFormat/>
    <w:uiPriority w:val="0"/>
    <w:pPr>
      <w:spacing w:after="156" w:afterLines="50" w:line="240" w:lineRule="exact"/>
    </w:pPr>
    <w:rPr>
      <w:rFonts w:ascii="Verdana" w:hAnsi="Verdana" w:cs="Times New Roman"/>
      <w:sz w:val="20"/>
      <w:szCs w:val="20"/>
      <w:lang w:eastAsia="en-US"/>
    </w:rPr>
  </w:style>
  <w:style w:type="paragraph" w:customStyle="1" w:styleId="2471">
    <w:name w:val="标题 211"/>
    <w:basedOn w:val="1"/>
    <w:next w:val="21"/>
    <w:qFormat/>
    <w:uiPriority w:val="99"/>
    <w:pPr>
      <w:keepNext/>
      <w:keepLines/>
      <w:widowControl w:val="0"/>
      <w:tabs>
        <w:tab w:val="left" w:pos="720"/>
      </w:tabs>
      <w:adjustRightInd w:val="0"/>
      <w:spacing w:before="156" w:beforeLines="50" w:after="156" w:afterLines="50" w:line="360" w:lineRule="auto"/>
      <w:textAlignment w:val="baseline"/>
      <w:outlineLvl w:val="1"/>
    </w:pPr>
    <w:rPr>
      <w:rFonts w:hint="eastAsia" w:ascii="Times New Roman" w:hAnsi="Times New Roman" w:cs="Times New Roman"/>
      <w:b/>
      <w:sz w:val="30"/>
      <w:szCs w:val="21"/>
    </w:rPr>
  </w:style>
  <w:style w:type="paragraph" w:customStyle="1" w:styleId="2472">
    <w:name w:val="索引 11"/>
    <w:basedOn w:val="1"/>
    <w:next w:val="1"/>
    <w:qFormat/>
    <w:uiPriority w:val="99"/>
    <w:pPr>
      <w:widowControl w:val="0"/>
      <w:adjustRightInd w:val="0"/>
      <w:snapToGrid w:val="0"/>
      <w:spacing w:before="56" w:after="156" w:afterLines="50" w:line="240" w:lineRule="exact"/>
      <w:jc w:val="center"/>
    </w:pPr>
    <w:rPr>
      <w:rFonts w:ascii="Times New Roman" w:hAnsi="Times New Roman" w:cs="Times New Roman"/>
      <w:spacing w:val="-10"/>
      <w:kern w:val="2"/>
      <w:sz w:val="21"/>
      <w:szCs w:val="21"/>
    </w:rPr>
  </w:style>
  <w:style w:type="paragraph" w:customStyle="1" w:styleId="2473">
    <w:name w:val="文本块1"/>
    <w:basedOn w:val="1"/>
    <w:qFormat/>
    <w:uiPriority w:val="0"/>
    <w:pPr>
      <w:widowControl w:val="0"/>
      <w:spacing w:after="156" w:afterLines="50" w:line="360" w:lineRule="auto"/>
      <w:ind w:left="1440" w:leftChars="700" w:right="1440" w:rightChars="700"/>
      <w:jc w:val="both"/>
    </w:pPr>
    <w:rPr>
      <w:rFonts w:ascii="Times New Roman" w:hAnsi="Times New Roman" w:cs="Times New Roman"/>
      <w:kern w:val="2"/>
    </w:rPr>
  </w:style>
  <w:style w:type="paragraph" w:customStyle="1" w:styleId="2474">
    <w:name w:val="图表目录1"/>
    <w:basedOn w:val="1"/>
    <w:next w:val="1"/>
    <w:qFormat/>
    <w:uiPriority w:val="99"/>
    <w:pPr>
      <w:widowControl w:val="0"/>
      <w:spacing w:after="156" w:afterLines="50"/>
      <w:ind w:left="840" w:leftChars="200" w:hanging="420" w:hangingChars="200"/>
      <w:jc w:val="both"/>
    </w:pPr>
    <w:rPr>
      <w:rFonts w:ascii="Times New Roman" w:hAnsi="Times New Roman" w:cs="Times New Roman"/>
      <w:kern w:val="2"/>
      <w:sz w:val="21"/>
    </w:rPr>
  </w:style>
  <w:style w:type="paragraph" w:customStyle="1" w:styleId="2475">
    <w:name w:val="结束语1"/>
    <w:basedOn w:val="1"/>
    <w:qFormat/>
    <w:uiPriority w:val="99"/>
    <w:pPr>
      <w:spacing w:after="156" w:afterLines="50"/>
      <w:ind w:left="4252"/>
    </w:pPr>
    <w:rPr>
      <w:rFonts w:ascii="Arial" w:hAnsi="Arial" w:eastAsia="MS Gothic" w:cs="Times New Roman"/>
      <w:spacing w:val="-5"/>
      <w:sz w:val="20"/>
      <w:szCs w:val="21"/>
      <w:lang w:eastAsia="ja-JP"/>
    </w:rPr>
  </w:style>
  <w:style w:type="paragraph" w:customStyle="1" w:styleId="2476">
    <w:name w:val="列表2"/>
    <w:basedOn w:val="1"/>
    <w:qFormat/>
    <w:uiPriority w:val="99"/>
    <w:pPr>
      <w:widowControl w:val="0"/>
      <w:spacing w:after="156" w:afterLines="50" w:line="360" w:lineRule="auto"/>
      <w:ind w:left="420" w:hanging="420"/>
      <w:jc w:val="both"/>
    </w:pPr>
    <w:rPr>
      <w:rFonts w:ascii="Times New Roman" w:hAnsi="Times New Roman" w:cs="Times New Roman"/>
      <w:kern w:val="2"/>
    </w:rPr>
  </w:style>
  <w:style w:type="paragraph" w:customStyle="1" w:styleId="2477">
    <w:name w:val="标题 3111"/>
    <w:basedOn w:val="1"/>
    <w:next w:val="21"/>
    <w:qFormat/>
    <w:uiPriority w:val="99"/>
    <w:pPr>
      <w:keepNext/>
      <w:keepLines/>
      <w:widowControl w:val="0"/>
      <w:tabs>
        <w:tab w:val="left" w:pos="720"/>
      </w:tabs>
      <w:adjustRightInd w:val="0"/>
      <w:spacing w:before="156" w:beforeLines="50" w:after="156" w:afterLines="50" w:line="360" w:lineRule="auto"/>
      <w:textAlignment w:val="baseline"/>
      <w:outlineLvl w:val="2"/>
    </w:pPr>
    <w:rPr>
      <w:rFonts w:hint="eastAsia" w:ascii="Times New Roman" w:hAnsi="Times New Roman" w:cs="Times New Roman"/>
      <w:b/>
      <w:sz w:val="28"/>
      <w:szCs w:val="21"/>
    </w:rPr>
  </w:style>
  <w:style w:type="paragraph" w:customStyle="1" w:styleId="2478">
    <w:name w:val="zxf Char"/>
    <w:basedOn w:val="1"/>
    <w:qFormat/>
    <w:uiPriority w:val="0"/>
    <w:pPr>
      <w:widowControl w:val="0"/>
      <w:overflowPunct w:val="0"/>
      <w:spacing w:before="93" w:beforeLines="30" w:after="93" w:afterLines="30" w:line="380" w:lineRule="exact"/>
      <w:ind w:firstLine="567"/>
    </w:pPr>
    <w:rPr>
      <w:rFonts w:cs="Times New Roman"/>
      <w:spacing w:val="5"/>
      <w:kern w:val="2"/>
    </w:rPr>
  </w:style>
  <w:style w:type="paragraph" w:customStyle="1" w:styleId="2479">
    <w:name w:val="中大4级"/>
    <w:basedOn w:val="1"/>
    <w:link w:val="2480"/>
    <w:qFormat/>
    <w:uiPriority w:val="0"/>
    <w:pPr>
      <w:keepLines/>
      <w:widowControl w:val="0"/>
      <w:adjustRightInd w:val="0"/>
      <w:snapToGrid w:val="0"/>
      <w:spacing w:line="360" w:lineRule="auto"/>
      <w:jc w:val="both"/>
      <w:outlineLvl w:val="3"/>
    </w:pPr>
    <w:rPr>
      <w:rFonts w:ascii="Times New Roman" w:hAnsi="Times New Roman" w:cs="Times New Roman"/>
      <w:b/>
      <w:bCs/>
      <w:kern w:val="2"/>
      <w:lang w:val="zh-CN"/>
    </w:rPr>
  </w:style>
  <w:style w:type="character" w:customStyle="1" w:styleId="2480">
    <w:name w:val="中大4级 Char"/>
    <w:link w:val="2479"/>
    <w:qFormat/>
    <w:uiPriority w:val="0"/>
    <w:rPr>
      <w:b/>
      <w:bCs/>
      <w:kern w:val="2"/>
      <w:sz w:val="24"/>
      <w:szCs w:val="24"/>
      <w:lang w:val="zh-CN"/>
    </w:rPr>
  </w:style>
  <w:style w:type="paragraph" w:customStyle="1" w:styleId="2481">
    <w:name w:val="编号"/>
    <w:basedOn w:val="1627"/>
    <w:qFormat/>
    <w:uiPriority w:val="0"/>
    <w:pPr>
      <w:numPr>
        <w:ilvl w:val="1"/>
        <w:numId w:val="5"/>
      </w:numPr>
      <w:tabs>
        <w:tab w:val="left" w:pos="576"/>
        <w:tab w:val="clear" w:pos="420"/>
      </w:tabs>
      <w:snapToGrid w:val="0"/>
      <w:ind w:left="576" w:hanging="576"/>
    </w:pPr>
  </w:style>
  <w:style w:type="paragraph" w:customStyle="1" w:styleId="2482">
    <w:name w:val="中大3级"/>
    <w:basedOn w:val="4"/>
    <w:link w:val="2483"/>
    <w:qFormat/>
    <w:uiPriority w:val="0"/>
    <w:pPr>
      <w:keepNext w:val="0"/>
      <w:widowControl w:val="0"/>
      <w:numPr>
        <w:ilvl w:val="0"/>
        <w:numId w:val="0"/>
      </w:numPr>
      <w:tabs>
        <w:tab w:val="left" w:pos="360"/>
        <w:tab w:val="left" w:pos="720"/>
        <w:tab w:val="left" w:pos="1620"/>
        <w:tab w:val="left" w:pos="4614"/>
        <w:tab w:val="left" w:pos="8092"/>
      </w:tabs>
      <w:snapToGrid w:val="0"/>
      <w:spacing w:before="50" w:beforeLines="100" w:after="50" w:afterLines="50" w:line="360" w:lineRule="auto"/>
      <w:jc w:val="both"/>
      <w:outlineLvl w:val="2"/>
    </w:pPr>
    <w:rPr>
      <w:rFonts w:ascii="Times New Roman" w:hAnsi="Times New Roman" w:eastAsia="宋体" w:cs="Times New Roman"/>
      <w:bCs/>
      <w:color w:val="FF0000"/>
      <w:kern w:val="2"/>
      <w:sz w:val="28"/>
      <w:szCs w:val="28"/>
      <w:lang w:val="zh-CN"/>
    </w:rPr>
  </w:style>
  <w:style w:type="character" w:customStyle="1" w:styleId="2483">
    <w:name w:val="中大3级 Char"/>
    <w:link w:val="2482"/>
    <w:qFormat/>
    <w:uiPriority w:val="0"/>
    <w:rPr>
      <w:b/>
      <w:bCs/>
      <w:color w:val="FF0000"/>
      <w:kern w:val="2"/>
      <w:sz w:val="28"/>
      <w:szCs w:val="28"/>
      <w:lang w:val="zh-CN"/>
    </w:rPr>
  </w:style>
  <w:style w:type="paragraph" w:customStyle="1" w:styleId="2484">
    <w:name w:val="普通文件"/>
    <w:basedOn w:val="1"/>
    <w:qFormat/>
    <w:uiPriority w:val="0"/>
    <w:pPr>
      <w:widowControl w:val="0"/>
      <w:adjustRightInd w:val="0"/>
      <w:snapToGrid w:val="0"/>
      <w:spacing w:before="100" w:beforeAutospacing="1" w:after="100" w:afterAutospacing="1" w:line="560" w:lineRule="atLeast"/>
      <w:jc w:val="both"/>
    </w:pPr>
    <w:rPr>
      <w:rFonts w:ascii="Arial Black" w:hAnsi="Arial Black" w:cs="Times New Roman"/>
      <w:kern w:val="2"/>
      <w:sz w:val="28"/>
    </w:rPr>
  </w:style>
  <w:style w:type="paragraph" w:customStyle="1" w:styleId="2485">
    <w:name w:val="soqiang"/>
    <w:basedOn w:val="1"/>
    <w:qFormat/>
    <w:uiPriority w:val="0"/>
    <w:pPr>
      <w:framePr w:wrap="notBeside" w:vAnchor="text" w:hAnchor="text" w:y="1"/>
      <w:widowControl w:val="0"/>
      <w:pBdr>
        <w:top w:val="single" w:color="auto" w:sz="4" w:space="1"/>
        <w:left w:val="single" w:color="auto" w:sz="4" w:space="4"/>
        <w:bottom w:val="single" w:color="auto" w:sz="4" w:space="1"/>
        <w:right w:val="single" w:color="auto" w:sz="4" w:space="4"/>
      </w:pBdr>
      <w:spacing w:line="360" w:lineRule="auto"/>
      <w:ind w:firstLine="200" w:firstLineChars="200"/>
      <w:jc w:val="both"/>
    </w:pPr>
    <w:rPr>
      <w:rFonts w:ascii="Times New Roman" w:hAnsi="Times New Roman" w:cs="Times New Roman"/>
      <w:kern w:val="2"/>
      <w:sz w:val="21"/>
    </w:rPr>
  </w:style>
  <w:style w:type="paragraph" w:customStyle="1" w:styleId="2486">
    <w:name w:val="td3"/>
    <w:basedOn w:val="1"/>
    <w:qFormat/>
    <w:uiPriority w:val="0"/>
    <w:pPr>
      <w:spacing w:before="100" w:beforeAutospacing="1" w:after="100" w:afterAutospacing="1"/>
    </w:pPr>
    <w:rPr>
      <w:rFonts w:hint="eastAsia" w:cs="Times New Roman"/>
      <w:color w:val="5D5D5D"/>
      <w:sz w:val="18"/>
      <w:szCs w:val="18"/>
    </w:rPr>
  </w:style>
  <w:style w:type="paragraph" w:customStyle="1" w:styleId="2487">
    <w:name w:val="标题13"/>
    <w:basedOn w:val="3"/>
    <w:qFormat/>
    <w:uiPriority w:val="99"/>
    <w:pPr>
      <w:keepNext w:val="0"/>
      <w:tabs>
        <w:tab w:val="left" w:pos="4614"/>
      </w:tabs>
      <w:overflowPunct/>
      <w:spacing w:before="0" w:after="0" w:line="500" w:lineRule="exact"/>
      <w:ind w:left="0" w:firstLine="0"/>
      <w:jc w:val="both"/>
      <w:outlineLvl w:val="9"/>
    </w:pPr>
    <w:rPr>
      <w:rFonts w:ascii="Times New Roman" w:hAnsi="Times New Roman" w:eastAsia="宋体" w:cs="Times New Roman"/>
      <w:kern w:val="2"/>
      <w:szCs w:val="28"/>
    </w:rPr>
  </w:style>
  <w:style w:type="character" w:customStyle="1" w:styleId="2488">
    <w:name w:val="正文zz Char"/>
    <w:link w:val="2489"/>
    <w:qFormat/>
    <w:uiPriority w:val="0"/>
    <w:rPr>
      <w:sz w:val="24"/>
      <w:szCs w:val="24"/>
    </w:rPr>
  </w:style>
  <w:style w:type="paragraph" w:customStyle="1" w:styleId="2489">
    <w:name w:val="正文zz"/>
    <w:link w:val="2488"/>
    <w:qFormat/>
    <w:uiPriority w:val="0"/>
    <w:pPr>
      <w:spacing w:line="360" w:lineRule="auto"/>
      <w:ind w:firstLine="200" w:firstLineChars="200"/>
    </w:pPr>
    <w:rPr>
      <w:rFonts w:ascii="Times New Roman" w:hAnsi="Times New Roman" w:eastAsia="宋体" w:cs="Times New Roman"/>
      <w:sz w:val="24"/>
      <w:szCs w:val="24"/>
      <w:lang w:val="en-US" w:eastAsia="zh-CN" w:bidi="ar-SA"/>
    </w:rPr>
  </w:style>
  <w:style w:type="paragraph" w:customStyle="1" w:styleId="2490">
    <w:name w:val="* Descript Text (Table)"/>
    <w:basedOn w:val="1"/>
    <w:qFormat/>
    <w:uiPriority w:val="99"/>
    <w:pPr>
      <w:spacing w:after="240"/>
    </w:pPr>
    <w:rPr>
      <w:rFonts w:ascii="Times New Roman" w:hAnsi="Times New Roman" w:cs="Times New Roman"/>
      <w:szCs w:val="20"/>
      <w:lang w:eastAsia="en-US"/>
    </w:rPr>
  </w:style>
  <w:style w:type="character" w:customStyle="1" w:styleId="2491">
    <w:name w:val="标题 2 Char1"/>
    <w:qFormat/>
    <w:uiPriority w:val="0"/>
    <w:rPr>
      <w:b/>
      <w:sz w:val="30"/>
      <w:szCs w:val="30"/>
      <w:lang w:val="zh-CN" w:eastAsia="zh-CN"/>
    </w:rPr>
  </w:style>
  <w:style w:type="paragraph" w:customStyle="1" w:styleId="2492">
    <w:name w:val="页号"/>
    <w:basedOn w:val="55"/>
    <w:qFormat/>
    <w:uiPriority w:val="0"/>
    <w:pPr>
      <w:widowControl w:val="0"/>
      <w:tabs>
        <w:tab w:val="center" w:pos="4320"/>
        <w:tab w:val="right" w:pos="8640"/>
        <w:tab w:val="clear" w:pos="4153"/>
        <w:tab w:val="clear" w:pos="8306"/>
      </w:tabs>
      <w:adjustRightInd w:val="0"/>
      <w:snapToGrid/>
      <w:jc w:val="center"/>
      <w:textAlignment w:val="baseline"/>
    </w:pPr>
    <w:rPr>
      <w:rFonts w:hAnsi="Arial" w:cs="Times New Roman"/>
      <w:spacing w:val="3"/>
      <w:kern w:val="24"/>
      <w:sz w:val="24"/>
    </w:rPr>
  </w:style>
  <w:style w:type="paragraph" w:customStyle="1" w:styleId="2493">
    <w:name w:val="Char Char1 Char Char Char Char11"/>
    <w:basedOn w:val="1"/>
    <w:qFormat/>
    <w:uiPriority w:val="0"/>
    <w:pPr>
      <w:widowControl w:val="0"/>
      <w:adjustRightInd w:val="0"/>
      <w:snapToGrid w:val="0"/>
      <w:spacing w:line="360" w:lineRule="auto"/>
      <w:ind w:firstLine="200" w:firstLineChars="200"/>
      <w:jc w:val="both"/>
    </w:pPr>
    <w:rPr>
      <w:rFonts w:ascii="Times New Roman" w:hAnsi="Times New Roman" w:cs="Times New Roman"/>
      <w:kern w:val="2"/>
    </w:rPr>
  </w:style>
  <w:style w:type="paragraph" w:customStyle="1" w:styleId="2494">
    <w:name w:val="表格王"/>
    <w:basedOn w:val="1"/>
    <w:qFormat/>
    <w:uiPriority w:val="0"/>
    <w:pPr>
      <w:widowControl w:val="0"/>
      <w:adjustRightInd w:val="0"/>
      <w:snapToGrid w:val="0"/>
      <w:spacing w:line="360" w:lineRule="exact"/>
      <w:jc w:val="center"/>
    </w:pPr>
    <w:rPr>
      <w:rFonts w:ascii="Times New Roman" w:hAnsi="Times New Roman" w:cs="Times New Roman"/>
      <w:kern w:val="2"/>
      <w:sz w:val="21"/>
      <w:szCs w:val="18"/>
    </w:rPr>
  </w:style>
  <w:style w:type="paragraph" w:customStyle="1" w:styleId="2495">
    <w:name w:val="扬巴正文"/>
    <w:basedOn w:val="1"/>
    <w:link w:val="2496"/>
    <w:qFormat/>
    <w:uiPriority w:val="0"/>
    <w:pPr>
      <w:widowControl w:val="0"/>
      <w:adjustRightInd w:val="0"/>
      <w:snapToGrid w:val="0"/>
      <w:spacing w:line="360" w:lineRule="auto"/>
      <w:ind w:firstLine="200" w:firstLineChars="200"/>
      <w:jc w:val="both"/>
    </w:pPr>
    <w:rPr>
      <w:rFonts w:ascii="Times New Roman" w:hAnsi="Times New Roman" w:cs="Times New Roman"/>
      <w:kern w:val="2"/>
      <w:lang w:val="zh-CN"/>
    </w:rPr>
  </w:style>
  <w:style w:type="character" w:customStyle="1" w:styleId="2496">
    <w:name w:val="扬巴正文 Char"/>
    <w:link w:val="2495"/>
    <w:qFormat/>
    <w:uiPriority w:val="0"/>
    <w:rPr>
      <w:kern w:val="2"/>
      <w:sz w:val="24"/>
      <w:szCs w:val="24"/>
      <w:lang w:val="zh-CN"/>
    </w:rPr>
  </w:style>
  <w:style w:type="paragraph" w:customStyle="1" w:styleId="2497">
    <w:name w:val="标题3"/>
    <w:basedOn w:val="1"/>
    <w:next w:val="1"/>
    <w:link w:val="2498"/>
    <w:qFormat/>
    <w:uiPriority w:val="0"/>
    <w:pPr>
      <w:widowControl w:val="0"/>
      <w:adjustRightInd w:val="0"/>
      <w:snapToGrid w:val="0"/>
      <w:spacing w:before="120" w:beforeLines="50" w:after="120" w:afterLines="50" w:line="360" w:lineRule="auto"/>
      <w:jc w:val="both"/>
      <w:outlineLvl w:val="2"/>
    </w:pPr>
    <w:rPr>
      <w:rFonts w:ascii="Times New Roman" w:hAnsi="Times New Roman" w:cs="Times New Roman"/>
      <w:b/>
      <w:snapToGrid w:val="0"/>
      <w:sz w:val="28"/>
      <w:lang w:val="zh-CN"/>
    </w:rPr>
  </w:style>
  <w:style w:type="character" w:customStyle="1" w:styleId="2498">
    <w:name w:val="标题3 Char"/>
    <w:link w:val="2497"/>
    <w:qFormat/>
    <w:uiPriority w:val="0"/>
    <w:rPr>
      <w:b/>
      <w:snapToGrid w:val="0"/>
      <w:sz w:val="28"/>
      <w:szCs w:val="24"/>
      <w:lang w:val="zh-CN"/>
    </w:rPr>
  </w:style>
  <w:style w:type="paragraph" w:customStyle="1" w:styleId="2499">
    <w:name w:val="样式 标题标题2 + (中文) 宋体 段前: 0.5 行 段后: 0.5 行"/>
    <w:basedOn w:val="84"/>
    <w:qFormat/>
    <w:uiPriority w:val="99"/>
    <w:pPr>
      <w:widowControl w:val="0"/>
      <w:adjustRightInd w:val="0"/>
      <w:snapToGrid w:val="0"/>
      <w:spacing w:before="163" w:beforeLines="50" w:after="163" w:afterLines="50" w:line="360" w:lineRule="auto"/>
      <w:jc w:val="both"/>
      <w:outlineLvl w:val="1"/>
    </w:pPr>
    <w:rPr>
      <w:rFonts w:ascii="Times New Roman" w:hAnsi="Times New Roman"/>
      <w:kern w:val="2"/>
      <w:sz w:val="30"/>
      <w:szCs w:val="20"/>
      <w:lang w:val="zh-CN"/>
    </w:rPr>
  </w:style>
  <w:style w:type="paragraph" w:customStyle="1" w:styleId="2500">
    <w:name w:val="样式 标题 2节标题节second classSeH2H21标题 2XW标题 2 Char标题 2 Char ..."/>
    <w:basedOn w:val="4"/>
    <w:next w:val="4"/>
    <w:qFormat/>
    <w:uiPriority w:val="99"/>
    <w:pPr>
      <w:widowControl w:val="0"/>
      <w:numPr>
        <w:ilvl w:val="0"/>
        <w:numId w:val="0"/>
      </w:numPr>
      <w:tabs>
        <w:tab w:val="left" w:pos="360"/>
        <w:tab w:val="left" w:pos="720"/>
        <w:tab w:val="left" w:pos="4614"/>
        <w:tab w:val="left" w:pos="8092"/>
      </w:tabs>
      <w:snapToGrid w:val="0"/>
      <w:spacing w:before="240" w:after="120" w:line="600" w:lineRule="exact"/>
      <w:jc w:val="both"/>
    </w:pPr>
    <w:rPr>
      <w:rFonts w:ascii="Times New Roman" w:hAnsi="Times New Roman" w:eastAsia="宋体" w:cs="Times New Roman"/>
      <w:color w:val="FF0000"/>
      <w:spacing w:val="4"/>
      <w:kern w:val="2"/>
      <w:szCs w:val="20"/>
      <w:lang w:val="zh-CN"/>
    </w:rPr>
  </w:style>
  <w:style w:type="paragraph" w:customStyle="1" w:styleId="2501">
    <w:name w:val="默认段落字体 Para Char Char Char Char Char Char Char"/>
    <w:basedOn w:val="1"/>
    <w:qFormat/>
    <w:uiPriority w:val="0"/>
    <w:pPr>
      <w:widowControl w:val="0"/>
      <w:jc w:val="both"/>
    </w:pPr>
    <w:rPr>
      <w:rFonts w:ascii="Arial" w:hAnsi="Arial" w:cs="Arial"/>
      <w:kern w:val="2"/>
      <w:sz w:val="20"/>
      <w:szCs w:val="20"/>
    </w:rPr>
  </w:style>
  <w:style w:type="paragraph" w:customStyle="1" w:styleId="2502">
    <w:name w:val="表格内容-中间对齐"/>
    <w:basedOn w:val="1"/>
    <w:qFormat/>
    <w:uiPriority w:val="99"/>
    <w:pPr>
      <w:widowControl w:val="0"/>
      <w:spacing w:line="240" w:lineRule="atLeast"/>
      <w:jc w:val="center"/>
    </w:pPr>
    <w:rPr>
      <w:rFonts w:ascii="Arial" w:hAnsi="Arial" w:cs="Times New Roman"/>
      <w:bCs/>
      <w:kern w:val="2"/>
      <w:sz w:val="21"/>
      <w:szCs w:val="20"/>
    </w:rPr>
  </w:style>
  <w:style w:type="paragraph" w:customStyle="1" w:styleId="2503">
    <w:name w:val="黏贴"/>
    <w:link w:val="2504"/>
    <w:qFormat/>
    <w:uiPriority w:val="0"/>
    <w:rPr>
      <w:rFonts w:ascii="Times New Roman" w:hAnsi="Times New Roman" w:eastAsia="宋体" w:cs="Times New Roman"/>
      <w:kern w:val="2"/>
      <w:sz w:val="18"/>
      <w:szCs w:val="24"/>
      <w:lang w:val="en-US" w:eastAsia="zh-CN" w:bidi="ar-SA"/>
    </w:rPr>
  </w:style>
  <w:style w:type="character" w:customStyle="1" w:styleId="2504">
    <w:name w:val="黏贴 Char"/>
    <w:link w:val="2503"/>
    <w:qFormat/>
    <w:uiPriority w:val="0"/>
    <w:rPr>
      <w:kern w:val="2"/>
      <w:sz w:val="18"/>
      <w:szCs w:val="24"/>
    </w:rPr>
  </w:style>
  <w:style w:type="paragraph" w:customStyle="1" w:styleId="2505">
    <w:name w:val="标题4A"/>
    <w:basedOn w:val="1"/>
    <w:next w:val="1"/>
    <w:qFormat/>
    <w:uiPriority w:val="99"/>
    <w:pPr>
      <w:widowControl w:val="0"/>
      <w:spacing w:line="300" w:lineRule="auto"/>
      <w:jc w:val="both"/>
    </w:pPr>
    <w:rPr>
      <w:rFonts w:ascii="Times New Roman" w:hAnsi="Times New Roman" w:cs="Times New Roman"/>
      <w:kern w:val="2"/>
    </w:rPr>
  </w:style>
  <w:style w:type="paragraph" w:customStyle="1" w:styleId="2506">
    <w:name w:val="附件"/>
    <w:basedOn w:val="4"/>
    <w:qFormat/>
    <w:uiPriority w:val="0"/>
    <w:pPr>
      <w:numPr>
        <w:ilvl w:val="0"/>
        <w:numId w:val="0"/>
      </w:numPr>
      <w:tabs>
        <w:tab w:val="left" w:pos="360"/>
        <w:tab w:val="left" w:pos="720"/>
        <w:tab w:val="left" w:pos="4614"/>
        <w:tab w:val="left" w:pos="8092"/>
      </w:tabs>
      <w:snapToGrid w:val="0"/>
      <w:spacing w:before="50" w:beforeLines="100" w:after="50" w:afterLines="50" w:line="300" w:lineRule="auto"/>
    </w:pPr>
    <w:rPr>
      <w:rFonts w:ascii="Times New Roman" w:hAnsi="Times New Roman" w:eastAsia="宋体" w:cs="Times New Roman"/>
      <w:bCs/>
      <w:color w:val="FF0000"/>
      <w:kern w:val="2"/>
      <w:sz w:val="24"/>
      <w:szCs w:val="20"/>
      <w:lang w:val="zh-CN"/>
    </w:rPr>
  </w:style>
  <w:style w:type="character" w:customStyle="1" w:styleId="2507">
    <w:name w:val="表格标题 Char"/>
    <w:qFormat/>
    <w:uiPriority w:val="0"/>
    <w:rPr>
      <w:rFonts w:eastAsia="宋体"/>
      <w:kern w:val="2"/>
      <w:sz w:val="24"/>
      <w:lang w:val="en-US" w:eastAsia="zh-CN" w:bidi="ar-SA"/>
    </w:rPr>
  </w:style>
  <w:style w:type="character" w:customStyle="1" w:styleId="2508">
    <w:name w:val="Char Char12"/>
    <w:qFormat/>
    <w:uiPriority w:val="0"/>
    <w:rPr>
      <w:rFonts w:eastAsia="宋体"/>
      <w:b/>
      <w:kern w:val="2"/>
      <w:sz w:val="24"/>
      <w:szCs w:val="24"/>
      <w:lang w:val="en-US" w:eastAsia="zh-CN" w:bidi="ar-SA"/>
    </w:rPr>
  </w:style>
  <w:style w:type="paragraph" w:customStyle="1" w:styleId="2509">
    <w:name w:val="Char Char Char Char Char"/>
    <w:basedOn w:val="1"/>
    <w:qFormat/>
    <w:uiPriority w:val="0"/>
    <w:pPr>
      <w:tabs>
        <w:tab w:val="left" w:pos="420"/>
      </w:tabs>
      <w:ind w:left="420" w:hanging="420"/>
    </w:pPr>
  </w:style>
  <w:style w:type="paragraph" w:customStyle="1" w:styleId="2510">
    <w:name w:val="Char Char Char Char Char Char Char Char Char Char Char Char1 Char Char Char Char Char Char Char"/>
    <w:basedOn w:val="1"/>
    <w:qFormat/>
    <w:uiPriority w:val="0"/>
    <w:pPr>
      <w:widowControl w:val="0"/>
      <w:spacing w:line="240" w:lineRule="exact"/>
      <w:ind w:firstLine="200" w:firstLineChars="200"/>
      <w:jc w:val="both"/>
    </w:pPr>
    <w:rPr>
      <w:kern w:val="2"/>
    </w:rPr>
  </w:style>
  <w:style w:type="paragraph" w:customStyle="1" w:styleId="2511">
    <w:name w:val="Char1 Char Char Char Char Char Char Char Char Char1"/>
    <w:basedOn w:val="1"/>
    <w:qFormat/>
    <w:uiPriority w:val="0"/>
    <w:pPr>
      <w:spacing w:after="160" w:line="240" w:lineRule="exact"/>
    </w:pPr>
    <w:rPr>
      <w:rFonts w:ascii="Verdana" w:hAnsi="Verdana" w:eastAsia="仿宋_GB2312" w:cs="Times New Roman"/>
      <w:szCs w:val="20"/>
      <w:lang w:eastAsia="en-US"/>
    </w:rPr>
  </w:style>
  <w:style w:type="paragraph" w:customStyle="1" w:styleId="2512">
    <w:name w:val="Normal Char"/>
    <w:link w:val="2513"/>
    <w:qFormat/>
    <w:uiPriority w:val="0"/>
    <w:pPr>
      <w:widowControl w:val="0"/>
      <w:adjustRightInd w:val="0"/>
      <w:spacing w:line="360" w:lineRule="atLeast"/>
      <w:textAlignment w:val="baseline"/>
    </w:pPr>
    <w:rPr>
      <w:rFonts w:ascii="宋体" w:hAnsi="Times New Roman" w:eastAsia="宋体" w:cs="Times New Roman"/>
      <w:kern w:val="2"/>
      <w:sz w:val="34"/>
      <w:szCs w:val="24"/>
      <w:lang w:val="en-US" w:eastAsia="zh-CN" w:bidi="ar-SA"/>
    </w:rPr>
  </w:style>
  <w:style w:type="character" w:customStyle="1" w:styleId="2513">
    <w:name w:val="Normal Char Char"/>
    <w:link w:val="2512"/>
    <w:qFormat/>
    <w:uiPriority w:val="0"/>
    <w:rPr>
      <w:rFonts w:ascii="宋体"/>
      <w:kern w:val="2"/>
      <w:sz w:val="34"/>
      <w:szCs w:val="24"/>
    </w:rPr>
  </w:style>
  <w:style w:type="paragraph" w:customStyle="1" w:styleId="2514">
    <w:name w:val="In Table"/>
    <w:basedOn w:val="1"/>
    <w:qFormat/>
    <w:uiPriority w:val="0"/>
    <w:pPr>
      <w:widowControl w:val="0"/>
      <w:tabs>
        <w:tab w:val="left" w:pos="2200"/>
        <w:tab w:val="left" w:pos="3960"/>
        <w:tab w:val="left" w:pos="5280"/>
      </w:tabs>
      <w:spacing w:before="96" w:after="96" w:line="0" w:lineRule="atLeast"/>
      <w:jc w:val="center"/>
    </w:pPr>
    <w:rPr>
      <w:rFonts w:ascii="Tahoma" w:hAnsi="Tahoma" w:eastAsia="华文中宋" w:cs="Times New Roman"/>
      <w:kern w:val="2"/>
      <w:sz w:val="21"/>
      <w:szCs w:val="20"/>
    </w:rPr>
  </w:style>
  <w:style w:type="character" w:customStyle="1" w:styleId="2515">
    <w:name w:val="Char Char1611"/>
    <w:qFormat/>
    <w:uiPriority w:val="0"/>
    <w:rPr>
      <w:rFonts w:cs="Arial"/>
      <w:b/>
      <w:kern w:val="2"/>
      <w:sz w:val="24"/>
      <w:lang w:val="en-US" w:eastAsia="zh-CN" w:bidi="ar-SA"/>
    </w:rPr>
  </w:style>
  <w:style w:type="paragraph" w:customStyle="1" w:styleId="2516">
    <w:name w:val="麦志勤正文 Char Char"/>
    <w:basedOn w:val="1"/>
    <w:link w:val="2517"/>
    <w:qFormat/>
    <w:uiPriority w:val="0"/>
    <w:pPr>
      <w:widowControl w:val="0"/>
      <w:adjustRightInd w:val="0"/>
      <w:snapToGrid w:val="0"/>
      <w:spacing w:before="62" w:beforeLines="20" w:line="300" w:lineRule="auto"/>
      <w:ind w:firstLine="200" w:firstLineChars="200"/>
      <w:jc w:val="both"/>
    </w:pPr>
    <w:rPr>
      <w:rFonts w:cs="Times New Roman"/>
      <w:kern w:val="2"/>
      <w:szCs w:val="20"/>
      <w:lang w:val="zh-CN"/>
    </w:rPr>
  </w:style>
  <w:style w:type="character" w:customStyle="1" w:styleId="2517">
    <w:name w:val="麦志勤正文 Char Char Char"/>
    <w:link w:val="2516"/>
    <w:qFormat/>
    <w:uiPriority w:val="0"/>
    <w:rPr>
      <w:rFonts w:ascii="宋体" w:hAnsi="宋体"/>
      <w:kern w:val="2"/>
      <w:sz w:val="24"/>
      <w:lang w:val="zh-CN"/>
    </w:rPr>
  </w:style>
  <w:style w:type="paragraph" w:customStyle="1" w:styleId="2518">
    <w:name w:val="样式 小四 加粗 行距: 1.5 倍行距"/>
    <w:basedOn w:val="1"/>
    <w:qFormat/>
    <w:uiPriority w:val="99"/>
    <w:pPr>
      <w:widowControl w:val="0"/>
      <w:adjustRightInd w:val="0"/>
      <w:snapToGrid w:val="0"/>
      <w:spacing w:before="50" w:beforeLines="50" w:after="50" w:afterLines="50" w:line="300" w:lineRule="auto"/>
      <w:ind w:firstLine="200" w:firstLineChars="200"/>
      <w:jc w:val="both"/>
    </w:pPr>
    <w:rPr>
      <w:rFonts w:ascii="Times New Roman" w:hAnsi="Times New Roman"/>
      <w:b/>
      <w:bCs/>
      <w:kern w:val="2"/>
      <w:szCs w:val="20"/>
    </w:rPr>
  </w:style>
  <w:style w:type="paragraph" w:customStyle="1" w:styleId="2519">
    <w:name w:val="麦志勤表格标题 Char"/>
    <w:basedOn w:val="1"/>
    <w:link w:val="2520"/>
    <w:qFormat/>
    <w:uiPriority w:val="0"/>
    <w:pPr>
      <w:widowControl w:val="0"/>
      <w:adjustRightInd w:val="0"/>
      <w:snapToGrid w:val="0"/>
      <w:spacing w:beforeLines="50" w:afterLines="20" w:line="300" w:lineRule="auto"/>
      <w:jc w:val="center"/>
    </w:pPr>
    <w:rPr>
      <w:rFonts w:cs="Times New Roman"/>
      <w:color w:val="000000"/>
      <w:lang w:val="zh-CN"/>
    </w:rPr>
  </w:style>
  <w:style w:type="character" w:customStyle="1" w:styleId="2520">
    <w:name w:val="麦志勤表格标题 Char Char"/>
    <w:link w:val="2519"/>
    <w:qFormat/>
    <w:uiPriority w:val="0"/>
    <w:rPr>
      <w:rFonts w:ascii="宋体" w:hAnsi="宋体"/>
      <w:color w:val="000000"/>
      <w:sz w:val="24"/>
      <w:szCs w:val="24"/>
      <w:lang w:val="zh-CN"/>
    </w:rPr>
  </w:style>
  <w:style w:type="paragraph" w:customStyle="1" w:styleId="2521">
    <w:name w:val="麦志勤标题五"/>
    <w:qFormat/>
    <w:uiPriority w:val="0"/>
    <w:pPr>
      <w:spacing w:beforeLines="200" w:line="300" w:lineRule="auto"/>
      <w:ind w:left="100" w:leftChars="2500"/>
    </w:pPr>
    <w:rPr>
      <w:rFonts w:ascii="Calibri" w:hAnsi="Calibri" w:eastAsia="宋体" w:cs="Times New Roman"/>
      <w:szCs w:val="22"/>
      <w:lang w:val="en-US" w:eastAsia="zh-CN" w:bidi="ar-SA"/>
    </w:rPr>
  </w:style>
  <w:style w:type="paragraph" w:customStyle="1" w:styleId="2522">
    <w:name w:val="样式 正文文本缩进 + 居中 左侧:  0 厘米 段后: 0 磅 行距: 多倍行距 1.2 字行"/>
    <w:basedOn w:val="35"/>
    <w:qFormat/>
    <w:uiPriority w:val="99"/>
    <w:pPr>
      <w:widowControl w:val="0"/>
      <w:spacing w:after="0" w:line="300" w:lineRule="auto"/>
      <w:ind w:left="0" w:leftChars="0"/>
      <w:jc w:val="center"/>
    </w:pPr>
    <w:rPr>
      <w:rFonts w:ascii="Times New Roman" w:hAnsi="Times New Roman"/>
      <w:kern w:val="2"/>
    </w:rPr>
  </w:style>
  <w:style w:type="character" w:customStyle="1" w:styleId="2523">
    <w:name w:val="麦志勤正文 Char Char2"/>
    <w:qFormat/>
    <w:locked/>
    <w:uiPriority w:val="0"/>
    <w:rPr>
      <w:rFonts w:ascii="宋体" w:hAnsi="宋体" w:eastAsia="宋体"/>
      <w:sz w:val="24"/>
    </w:rPr>
  </w:style>
  <w:style w:type="paragraph" w:customStyle="1" w:styleId="2524">
    <w:name w:val="样式 (中文) 黑体 小四 居中 行距: 1.5 倍行距"/>
    <w:basedOn w:val="1"/>
    <w:qFormat/>
    <w:uiPriority w:val="99"/>
    <w:pPr>
      <w:widowControl w:val="0"/>
      <w:adjustRightInd w:val="0"/>
      <w:snapToGrid w:val="0"/>
      <w:spacing w:line="300" w:lineRule="auto"/>
      <w:jc w:val="center"/>
    </w:pPr>
    <w:rPr>
      <w:rFonts w:ascii="Times New Roman" w:hAnsi="Times New Roman" w:cs="Times New Roman"/>
      <w:kern w:val="2"/>
      <w:szCs w:val="21"/>
    </w:rPr>
  </w:style>
  <w:style w:type="paragraph" w:customStyle="1" w:styleId="2525">
    <w:name w:val="麦志勤标题2"/>
    <w:basedOn w:val="1"/>
    <w:qFormat/>
    <w:uiPriority w:val="0"/>
    <w:pPr>
      <w:widowControl w:val="0"/>
      <w:adjustRightInd w:val="0"/>
      <w:snapToGrid w:val="0"/>
      <w:spacing w:beforeLines="100" w:line="300" w:lineRule="auto"/>
      <w:jc w:val="both"/>
    </w:pPr>
    <w:rPr>
      <w:rFonts w:ascii="黑体" w:hAnsi="楷体_GB2312" w:eastAsia="黑体" w:cs="Times New Roman"/>
      <w:bCs/>
      <w:sz w:val="36"/>
    </w:rPr>
  </w:style>
  <w:style w:type="paragraph" w:customStyle="1" w:styleId="2526">
    <w:name w:val="正文小四"/>
    <w:basedOn w:val="1"/>
    <w:link w:val="2527"/>
    <w:qFormat/>
    <w:uiPriority w:val="0"/>
    <w:pPr>
      <w:widowControl w:val="0"/>
      <w:spacing w:before="156" w:line="360" w:lineRule="auto"/>
      <w:ind w:firstLine="490" w:firstLineChars="204"/>
      <w:jc w:val="both"/>
    </w:pPr>
    <w:rPr>
      <w:rFonts w:ascii="Times New Roman" w:hAnsi="Times New Roman" w:cs="Times New Roman"/>
      <w:kern w:val="2"/>
      <w:szCs w:val="20"/>
      <w:lang w:val="zh-CN"/>
    </w:rPr>
  </w:style>
  <w:style w:type="character" w:customStyle="1" w:styleId="2527">
    <w:name w:val="正文小四 Char"/>
    <w:link w:val="2526"/>
    <w:qFormat/>
    <w:uiPriority w:val="0"/>
    <w:rPr>
      <w:kern w:val="2"/>
      <w:sz w:val="24"/>
      <w:lang w:val="zh-CN"/>
    </w:rPr>
  </w:style>
  <w:style w:type="paragraph" w:customStyle="1" w:styleId="2528">
    <w:name w:val="样式 居中 行距: 1.5 倍行距"/>
    <w:basedOn w:val="1"/>
    <w:qFormat/>
    <w:uiPriority w:val="99"/>
    <w:pPr>
      <w:widowControl w:val="0"/>
      <w:jc w:val="center"/>
    </w:pPr>
    <w:rPr>
      <w:rFonts w:ascii="Times New Roman" w:hAnsi="Times New Roman"/>
      <w:kern w:val="2"/>
      <w:sz w:val="21"/>
      <w:szCs w:val="20"/>
    </w:rPr>
  </w:style>
  <w:style w:type="paragraph" w:customStyle="1" w:styleId="2529">
    <w:name w:val="样式 (符号) 宋体 黑色 首行缩进:  2 字符"/>
    <w:basedOn w:val="1"/>
    <w:qFormat/>
    <w:uiPriority w:val="99"/>
    <w:pPr>
      <w:widowControl w:val="0"/>
      <w:snapToGrid w:val="0"/>
      <w:spacing w:line="360" w:lineRule="auto"/>
      <w:ind w:firstLine="200" w:firstLineChars="200"/>
      <w:jc w:val="both"/>
    </w:pPr>
    <w:rPr>
      <w:color w:val="000000"/>
      <w:kern w:val="2"/>
      <w:szCs w:val="20"/>
    </w:rPr>
  </w:style>
  <w:style w:type="paragraph" w:customStyle="1" w:styleId="2530">
    <w:name w:val="麦志勤标题5"/>
    <w:basedOn w:val="1"/>
    <w:qFormat/>
    <w:uiPriority w:val="0"/>
    <w:pPr>
      <w:widowControl w:val="0"/>
      <w:adjustRightInd w:val="0"/>
      <w:snapToGrid w:val="0"/>
      <w:spacing w:before="100" w:beforeLines="100" w:line="300" w:lineRule="auto"/>
      <w:ind w:firstLine="200" w:firstLineChars="200"/>
      <w:jc w:val="both"/>
    </w:pPr>
    <w:rPr>
      <w:rFonts w:ascii="黑体" w:eastAsia="黑体" w:cs="Times New Roman"/>
      <w:snapToGrid w:val="0"/>
      <w:color w:val="000000"/>
      <w:sz w:val="28"/>
    </w:rPr>
  </w:style>
  <w:style w:type="paragraph" w:customStyle="1" w:styleId="2531">
    <w:name w:val="麦志勤标题666"/>
    <w:basedOn w:val="1"/>
    <w:qFormat/>
    <w:uiPriority w:val="99"/>
    <w:pPr>
      <w:widowControl w:val="0"/>
      <w:adjustRightInd w:val="0"/>
      <w:snapToGrid w:val="0"/>
      <w:spacing w:before="50" w:beforeLines="50" w:line="300" w:lineRule="auto"/>
      <w:ind w:firstLine="200" w:firstLineChars="200"/>
      <w:jc w:val="both"/>
    </w:pPr>
    <w:rPr>
      <w:rFonts w:ascii="黑体" w:eastAsia="黑体" w:cs="Times New Roman"/>
    </w:rPr>
  </w:style>
  <w:style w:type="paragraph" w:customStyle="1" w:styleId="2532">
    <w:name w:val="表标"/>
    <w:basedOn w:val="1"/>
    <w:next w:val="1"/>
    <w:qFormat/>
    <w:uiPriority w:val="0"/>
    <w:pPr>
      <w:widowControl w:val="0"/>
      <w:adjustRightInd w:val="0"/>
      <w:snapToGrid w:val="0"/>
      <w:jc w:val="center"/>
    </w:pPr>
    <w:rPr>
      <w:rFonts w:ascii="Times New Roman" w:hAnsi="Times New Roman" w:cs="Times New Roman"/>
      <w:bCs/>
      <w:snapToGrid w:val="0"/>
      <w:szCs w:val="21"/>
    </w:rPr>
  </w:style>
  <w:style w:type="paragraph" w:customStyle="1" w:styleId="2533">
    <w:name w:val="表格左"/>
    <w:basedOn w:val="145"/>
    <w:qFormat/>
    <w:uiPriority w:val="0"/>
    <w:pPr>
      <w:widowControl w:val="0"/>
      <w:spacing w:beforeLines="0" w:afterLines="0" w:line="240" w:lineRule="auto"/>
      <w:jc w:val="left"/>
    </w:pPr>
    <w:rPr>
      <w:rFonts w:ascii="Times New Roman" w:hAnsi="Times New Roman" w:cs="Times New Roman"/>
      <w:snapToGrid w:val="0"/>
      <w:kern w:val="21"/>
      <w:szCs w:val="21"/>
    </w:rPr>
  </w:style>
  <w:style w:type="character" w:customStyle="1" w:styleId="2534">
    <w:name w:val="Char Char8"/>
    <w:qFormat/>
    <w:uiPriority w:val="0"/>
    <w:rPr>
      <w:rFonts w:ascii="宋体" w:hAnsi="Courier New" w:eastAsia="宋体"/>
      <w:kern w:val="2"/>
      <w:sz w:val="21"/>
      <w:lang w:val="en-US" w:eastAsia="zh-CN" w:bidi="ar-SA"/>
    </w:rPr>
  </w:style>
  <w:style w:type="character" w:customStyle="1" w:styleId="2535">
    <w:name w:val="f_heading1"/>
    <w:qFormat/>
    <w:uiPriority w:val="0"/>
    <w:rPr>
      <w:rFonts w:ascii="宋体" w:hAnsi="宋体" w:eastAsia="黑体" w:cs="Courier New"/>
      <w:kern w:val="2"/>
      <w:sz w:val="24"/>
      <w:szCs w:val="32"/>
      <w:lang w:val="en-US" w:eastAsia="zh-CN" w:bidi="ar-SA"/>
    </w:rPr>
  </w:style>
  <w:style w:type="character" w:customStyle="1" w:styleId="2536">
    <w:name w:val="Char Char36"/>
    <w:qFormat/>
    <w:uiPriority w:val="0"/>
    <w:rPr>
      <w:rFonts w:ascii="Times New Roman" w:hAnsi="Times New Roman" w:eastAsia="宋体" w:cs="Times New Roman"/>
      <w:szCs w:val="24"/>
    </w:rPr>
  </w:style>
  <w:style w:type="character" w:customStyle="1" w:styleId="2537">
    <w:name w:val="正文1 Char Char"/>
    <w:qFormat/>
    <w:uiPriority w:val="0"/>
    <w:rPr>
      <w:rFonts w:eastAsia="楷体_GB2312"/>
      <w:kern w:val="2"/>
      <w:sz w:val="24"/>
      <w:lang w:val="en-US" w:eastAsia="zh-CN" w:bidi="ar-SA"/>
    </w:rPr>
  </w:style>
  <w:style w:type="character" w:customStyle="1" w:styleId="2538">
    <w:name w:val="中气表头 Char Char"/>
    <w:qFormat/>
    <w:uiPriority w:val="0"/>
    <w:rPr>
      <w:rFonts w:ascii="Times New Roman" w:hAnsi="Times New Roman" w:eastAsia="黑体"/>
      <w:b/>
      <w:szCs w:val="21"/>
    </w:rPr>
  </w:style>
  <w:style w:type="character" w:customStyle="1" w:styleId="2539">
    <w:name w:val="Char Char23"/>
    <w:qFormat/>
    <w:uiPriority w:val="0"/>
    <w:rPr>
      <w:rFonts w:eastAsia="宋体"/>
      <w:kern w:val="2"/>
      <w:sz w:val="16"/>
      <w:szCs w:val="16"/>
      <w:lang w:val="en-US" w:eastAsia="zh-CN" w:bidi="ar-SA"/>
    </w:rPr>
  </w:style>
  <w:style w:type="character" w:customStyle="1" w:styleId="2540">
    <w:name w:val="09表格题头 Char Char"/>
    <w:qFormat/>
    <w:uiPriority w:val="0"/>
    <w:rPr>
      <w:b/>
      <w:bCs/>
    </w:rPr>
  </w:style>
  <w:style w:type="character" w:customStyle="1" w:styleId="2541">
    <w:name w:val="content_11"/>
    <w:qFormat/>
    <w:uiPriority w:val="0"/>
    <w:rPr>
      <w:color w:val="333333"/>
      <w:sz w:val="18"/>
      <w:szCs w:val="18"/>
    </w:rPr>
  </w:style>
  <w:style w:type="character" w:customStyle="1" w:styleId="2542">
    <w:name w:val="图题 Char Char"/>
    <w:link w:val="2543"/>
    <w:qFormat/>
    <w:uiPriority w:val="0"/>
    <w:rPr>
      <w:b/>
      <w:bCs/>
      <w:sz w:val="24"/>
      <w:szCs w:val="24"/>
    </w:rPr>
  </w:style>
  <w:style w:type="paragraph" w:customStyle="1" w:styleId="2543">
    <w:name w:val="图题"/>
    <w:basedOn w:val="1"/>
    <w:link w:val="2542"/>
    <w:qFormat/>
    <w:uiPriority w:val="0"/>
    <w:pPr>
      <w:widowControl w:val="0"/>
      <w:tabs>
        <w:tab w:val="left" w:pos="1260"/>
      </w:tabs>
      <w:adjustRightInd w:val="0"/>
      <w:snapToGrid w:val="0"/>
      <w:spacing w:after="156" w:afterLines="50"/>
      <w:jc w:val="center"/>
    </w:pPr>
    <w:rPr>
      <w:rFonts w:ascii="Times New Roman" w:hAnsi="Times New Roman" w:cs="Times New Roman"/>
      <w:b/>
      <w:bCs/>
    </w:rPr>
  </w:style>
  <w:style w:type="character" w:customStyle="1" w:styleId="2544">
    <w:name w:val="Char Char10"/>
    <w:qFormat/>
    <w:uiPriority w:val="0"/>
    <w:rPr>
      <w:b/>
      <w:kern w:val="2"/>
      <w:sz w:val="24"/>
    </w:rPr>
  </w:style>
  <w:style w:type="character" w:customStyle="1" w:styleId="2545">
    <w:name w:val="列表 3 Char Char Char"/>
    <w:qFormat/>
    <w:uiPriority w:val="0"/>
    <w:rPr>
      <w:rFonts w:eastAsia="仿宋_GB2312"/>
      <w:kern w:val="2"/>
      <w:sz w:val="24"/>
      <w:szCs w:val="24"/>
      <w:lang w:val="en-US" w:eastAsia="zh-CN" w:bidi="ar-SA"/>
    </w:rPr>
  </w:style>
  <w:style w:type="character" w:customStyle="1" w:styleId="2546">
    <w:name w:val="落款 Char2"/>
    <w:qFormat/>
    <w:uiPriority w:val="0"/>
    <w:rPr>
      <w:rFonts w:eastAsia="宋体"/>
      <w:kern w:val="2"/>
      <w:sz w:val="24"/>
      <w:szCs w:val="24"/>
      <w:lang w:val="en-US" w:eastAsia="zh-CN" w:bidi="ar-SA"/>
    </w:rPr>
  </w:style>
  <w:style w:type="character" w:customStyle="1" w:styleId="2547">
    <w:name w:val="引用 Char1"/>
    <w:qFormat/>
    <w:uiPriority w:val="0"/>
    <w:rPr>
      <w:rFonts w:ascii="Times New Roman" w:hAnsi="Times New Roman"/>
      <w:i/>
      <w:color w:val="000000"/>
      <w:kern w:val="2"/>
      <w:sz w:val="21"/>
    </w:rPr>
  </w:style>
  <w:style w:type="character" w:customStyle="1" w:styleId="2548">
    <w:name w:val="p5"/>
    <w:qFormat/>
    <w:uiPriority w:val="0"/>
  </w:style>
  <w:style w:type="character" w:customStyle="1" w:styleId="2549">
    <w:name w:val="Char Char35"/>
    <w:qFormat/>
    <w:uiPriority w:val="0"/>
    <w:rPr>
      <w:rFonts w:ascii="Times New Roman" w:hAnsi="Times New Roman" w:eastAsia="宋体" w:cs="Times New Roman"/>
      <w:sz w:val="18"/>
      <w:szCs w:val="18"/>
    </w:rPr>
  </w:style>
  <w:style w:type="character" w:customStyle="1" w:styleId="2550">
    <w:name w:val="Char Char5"/>
    <w:qFormat/>
    <w:uiPriority w:val="0"/>
    <w:rPr>
      <w:kern w:val="2"/>
      <w:sz w:val="18"/>
    </w:rPr>
  </w:style>
  <w:style w:type="character" w:customStyle="1" w:styleId="2551">
    <w:name w:val="样式 表格 + 宋体 五号 Char Char"/>
    <w:qFormat/>
    <w:uiPriority w:val="0"/>
    <w:rPr>
      <w:rFonts w:ascii="黑体" w:hAnsi="Arial" w:eastAsia="黑体" w:cs="Arial"/>
      <w:bCs/>
      <w:kern w:val="2"/>
      <w:sz w:val="21"/>
      <w:szCs w:val="24"/>
      <w:lang w:val="en-US" w:eastAsia="zh-CN" w:bidi="ar-SA"/>
    </w:rPr>
  </w:style>
  <w:style w:type="character" w:customStyle="1" w:styleId="2552">
    <w:name w:val="Char Char9"/>
    <w:qFormat/>
    <w:uiPriority w:val="0"/>
    <w:rPr>
      <w:rFonts w:ascii="Cambria" w:hAnsi="Cambria"/>
      <w:kern w:val="2"/>
      <w:sz w:val="24"/>
    </w:rPr>
  </w:style>
  <w:style w:type="character" w:customStyle="1" w:styleId="2553">
    <w:name w:val="Char Char34"/>
    <w:qFormat/>
    <w:uiPriority w:val="0"/>
    <w:rPr>
      <w:rFonts w:ascii="Times New Roman" w:hAnsi="Times New Roman" w:eastAsia="宋体" w:cs="Times New Roman"/>
      <w:sz w:val="24"/>
      <w:szCs w:val="20"/>
    </w:rPr>
  </w:style>
  <w:style w:type="character" w:customStyle="1" w:styleId="2554">
    <w:name w:val="Char Char24"/>
    <w:qFormat/>
    <w:uiPriority w:val="0"/>
    <w:rPr>
      <w:rFonts w:eastAsia="宋体"/>
      <w:kern w:val="2"/>
      <w:sz w:val="18"/>
      <w:szCs w:val="18"/>
      <w:lang w:val="en-US" w:eastAsia="zh-CN" w:bidi="ar-SA"/>
    </w:rPr>
  </w:style>
  <w:style w:type="character" w:customStyle="1" w:styleId="2555">
    <w:name w:val="Char Char30"/>
    <w:qFormat/>
    <w:uiPriority w:val="0"/>
    <w:rPr>
      <w:rFonts w:ascii="Times New Roman" w:hAnsi="Times New Roman" w:eastAsia="宋体" w:cs="Times New Roman"/>
      <w:szCs w:val="24"/>
    </w:rPr>
  </w:style>
  <w:style w:type="character" w:customStyle="1" w:styleId="2556">
    <w:name w:val="文本 Char Char"/>
    <w:qFormat/>
    <w:uiPriority w:val="0"/>
    <w:rPr>
      <w:rFonts w:ascii="Times New Roman" w:hAnsi="Times New Roman" w:eastAsia="仿宋_GB2312"/>
      <w:sz w:val="28"/>
      <w:szCs w:val="28"/>
    </w:rPr>
  </w:style>
  <w:style w:type="character" w:customStyle="1" w:styleId="2557">
    <w:name w:val="Char Char151"/>
    <w:qFormat/>
    <w:uiPriority w:val="0"/>
    <w:rPr>
      <w:b/>
      <w:kern w:val="2"/>
      <w:sz w:val="30"/>
    </w:rPr>
  </w:style>
  <w:style w:type="character" w:customStyle="1" w:styleId="2558">
    <w:name w:val="f"/>
    <w:qFormat/>
    <w:uiPriority w:val="0"/>
  </w:style>
  <w:style w:type="character" w:customStyle="1" w:styleId="2559">
    <w:name w:val="样式 标题 2 + 非加粗 Char Char"/>
    <w:qFormat/>
    <w:uiPriority w:val="0"/>
    <w:rPr>
      <w:rFonts w:eastAsia="黑体"/>
      <w:b/>
      <w:bCs/>
      <w:kern w:val="2"/>
      <w:sz w:val="24"/>
      <w:szCs w:val="32"/>
      <w:lang w:val="en-US" w:eastAsia="zh-CN" w:bidi="ar-SA"/>
    </w:rPr>
  </w:style>
  <w:style w:type="character" w:customStyle="1" w:styleId="2560">
    <w:name w:val="Char Char25"/>
    <w:qFormat/>
    <w:uiPriority w:val="0"/>
    <w:rPr>
      <w:rFonts w:ascii="Cambria" w:hAnsi="Cambria" w:eastAsia="宋体" w:cs="Times New Roman"/>
      <w:b/>
      <w:kern w:val="28"/>
      <w:sz w:val="32"/>
      <w:szCs w:val="20"/>
    </w:rPr>
  </w:style>
  <w:style w:type="character" w:customStyle="1" w:styleId="2561">
    <w:name w:val="样式19 Char Char"/>
    <w:qFormat/>
    <w:uiPriority w:val="0"/>
    <w:rPr>
      <w:szCs w:val="21"/>
    </w:rPr>
  </w:style>
  <w:style w:type="character" w:customStyle="1" w:styleId="2562">
    <w:name w:val="正文样式 Char Char Char"/>
    <w:qFormat/>
    <w:uiPriority w:val="0"/>
    <w:rPr>
      <w:rFonts w:ascii="Times New Roman" w:hAnsi="Times New Roman" w:eastAsia="宋体" w:cs="Times New Roman"/>
      <w:kern w:val="0"/>
      <w:sz w:val="24"/>
      <w:szCs w:val="24"/>
    </w:rPr>
  </w:style>
  <w:style w:type="character" w:customStyle="1" w:styleId="2563">
    <w:name w:val="沥青表 Char Char"/>
    <w:qFormat/>
    <w:uiPriority w:val="0"/>
    <w:rPr>
      <w:rFonts w:eastAsia="宋体"/>
      <w:spacing w:val="10"/>
      <w:sz w:val="21"/>
      <w:lang w:val="en-US" w:eastAsia="zh-CN"/>
    </w:rPr>
  </w:style>
  <w:style w:type="character" w:customStyle="1" w:styleId="2564">
    <w:name w:val="标题 33 Char Char"/>
    <w:qFormat/>
    <w:uiPriority w:val="0"/>
    <w:rPr>
      <w:rFonts w:ascii="黑体" w:hAnsi="Arial" w:eastAsia="黑体" w:cs="Arial"/>
      <w:bCs/>
      <w:kern w:val="2"/>
      <w:sz w:val="24"/>
      <w:szCs w:val="24"/>
      <w:lang w:eastAsia="zh-TW"/>
    </w:rPr>
  </w:style>
  <w:style w:type="character" w:customStyle="1" w:styleId="2565">
    <w:name w:val="样式 标题 2标题 2 Char标题 2 Char Char节标题 1.11.1标题2b2SeHead wsa2... Char Char Char"/>
    <w:qFormat/>
    <w:uiPriority w:val="0"/>
    <w:rPr>
      <w:rFonts w:ascii="Arial" w:hAnsi="Arial" w:eastAsia="黑体"/>
      <w:b/>
      <w:bCs/>
      <w:color w:val="000000"/>
      <w:kern w:val="2"/>
      <w:sz w:val="32"/>
      <w:szCs w:val="32"/>
      <w:lang w:val="en-US" w:eastAsia="zh-CN" w:bidi="ar-SA"/>
    </w:rPr>
  </w:style>
  <w:style w:type="character" w:customStyle="1" w:styleId="2566">
    <w:name w:val="表格 Char Char Char"/>
    <w:qFormat/>
    <w:uiPriority w:val="0"/>
    <w:rPr>
      <w:rFonts w:ascii="Times New Roman" w:hAnsi="Times New Roman"/>
      <w:szCs w:val="21"/>
    </w:rPr>
  </w:style>
  <w:style w:type="character" w:customStyle="1" w:styleId="2567">
    <w:name w:val="Char Char37"/>
    <w:qFormat/>
    <w:uiPriority w:val="0"/>
    <w:rPr>
      <w:rFonts w:ascii="Times New Roman" w:hAnsi="Times New Roman" w:eastAsia="宋体" w:cs="Times New Roman"/>
      <w:sz w:val="24"/>
      <w:szCs w:val="24"/>
      <w:shd w:val="clear" w:color="auto" w:fill="000080"/>
    </w:rPr>
  </w:style>
  <w:style w:type="character" w:customStyle="1" w:styleId="2568">
    <w:name w:val="Char Char15"/>
    <w:qFormat/>
    <w:uiPriority w:val="0"/>
    <w:rPr>
      <w:b/>
      <w:kern w:val="2"/>
      <w:sz w:val="30"/>
    </w:rPr>
  </w:style>
  <w:style w:type="character" w:customStyle="1" w:styleId="2569">
    <w:name w:val="Char Char33"/>
    <w:qFormat/>
    <w:uiPriority w:val="0"/>
    <w:rPr>
      <w:rFonts w:ascii="Times New Roman" w:hAnsi="Times New Roman" w:eastAsia="宋体" w:cs="Times New Roman"/>
      <w:kern w:val="2"/>
      <w:sz w:val="18"/>
      <w:szCs w:val="18"/>
    </w:rPr>
  </w:style>
  <w:style w:type="character" w:customStyle="1" w:styleId="2570">
    <w:name w:val="毕一级 Char Char"/>
    <w:qFormat/>
    <w:uiPriority w:val="0"/>
    <w:rPr>
      <w:rFonts w:ascii="Times New Roman" w:hAnsi="Times New Roman" w:eastAsia="黑体"/>
      <w:sz w:val="36"/>
      <w:szCs w:val="24"/>
    </w:rPr>
  </w:style>
  <w:style w:type="character" w:customStyle="1" w:styleId="2571">
    <w:name w:val="样式 标题 2H2SeHead wsa21标题 1.1. + Times New Roman Char Char"/>
    <w:qFormat/>
    <w:uiPriority w:val="0"/>
    <w:rPr>
      <w:b/>
      <w:bCs/>
      <w:sz w:val="30"/>
      <w:szCs w:val="30"/>
    </w:rPr>
  </w:style>
  <w:style w:type="character" w:customStyle="1" w:styleId="2572">
    <w:name w:val="消息标题标签"/>
    <w:qFormat/>
    <w:uiPriority w:val="0"/>
    <w:rPr>
      <w:rFonts w:ascii="Arial" w:hAnsi="Arial"/>
      <w:b/>
      <w:spacing w:val="-4"/>
      <w:sz w:val="18"/>
      <w:lang w:eastAsia="zh-CN"/>
    </w:rPr>
  </w:style>
  <w:style w:type="character" w:customStyle="1" w:styleId="2573">
    <w:name w:val="样式 沥青表 + 宋体 小四 Char Char"/>
    <w:qFormat/>
    <w:uiPriority w:val="0"/>
    <w:rPr>
      <w:rFonts w:ascii="宋体" w:hAnsi="宋体" w:eastAsia="宋体"/>
      <w:spacing w:val="10"/>
      <w:sz w:val="24"/>
      <w:lang w:val="en-US" w:eastAsia="zh-CN"/>
    </w:rPr>
  </w:style>
  <w:style w:type="character" w:customStyle="1" w:styleId="2574">
    <w:name w:val="Footer Char"/>
    <w:qFormat/>
    <w:uiPriority w:val="0"/>
    <w:rPr>
      <w:rFonts w:ascii="Times New Roman" w:hAnsi="Times New Roman" w:eastAsia="宋体" w:cs="Times New Roman"/>
      <w:sz w:val="18"/>
      <w:szCs w:val="18"/>
    </w:rPr>
  </w:style>
  <w:style w:type="character" w:customStyle="1" w:styleId="2575">
    <w:name w:val="Char Char14"/>
    <w:qFormat/>
    <w:uiPriority w:val="0"/>
    <w:rPr>
      <w:b/>
      <w:kern w:val="2"/>
      <w:sz w:val="28"/>
    </w:rPr>
  </w:style>
  <w:style w:type="character" w:customStyle="1" w:styleId="2576">
    <w:name w:val="cityname1"/>
    <w:qFormat/>
    <w:uiPriority w:val="0"/>
    <w:rPr>
      <w:color w:val="FF0000"/>
      <w:sz w:val="32"/>
      <w:szCs w:val="32"/>
    </w:rPr>
  </w:style>
  <w:style w:type="character" w:customStyle="1" w:styleId="2577">
    <w:name w:val="表－居中列 Char Char"/>
    <w:link w:val="2578"/>
    <w:qFormat/>
    <w:uiPriority w:val="0"/>
    <w:rPr>
      <w:rFonts w:ascii="宋体" w:hAnsi="宋体" w:cs="Arial"/>
      <w:szCs w:val="21"/>
      <w:lang w:eastAsia="ja-JP"/>
    </w:rPr>
  </w:style>
  <w:style w:type="paragraph" w:customStyle="1" w:styleId="2578">
    <w:name w:val="表－居中列"/>
    <w:basedOn w:val="1"/>
    <w:link w:val="2577"/>
    <w:qFormat/>
    <w:uiPriority w:val="0"/>
    <w:pPr>
      <w:suppressLineNumbers/>
      <w:suppressAutoHyphens/>
      <w:snapToGrid w:val="0"/>
      <w:spacing w:before="60" w:after="60"/>
      <w:jc w:val="center"/>
    </w:pPr>
    <w:rPr>
      <w:rFonts w:cs="Arial"/>
      <w:sz w:val="20"/>
      <w:szCs w:val="21"/>
      <w:lang w:eastAsia="ja-JP"/>
    </w:rPr>
  </w:style>
  <w:style w:type="character" w:customStyle="1" w:styleId="2579">
    <w:name w:val="正文样式 Char Char"/>
    <w:qFormat/>
    <w:uiPriority w:val="0"/>
    <w:rPr>
      <w:rFonts w:eastAsia="宋体"/>
      <w:snapToGrid w:val="0"/>
      <w:sz w:val="24"/>
      <w:szCs w:val="24"/>
      <w:lang w:val="en-US" w:eastAsia="zh-CN" w:bidi="ar-SA"/>
    </w:rPr>
  </w:style>
  <w:style w:type="character" w:customStyle="1" w:styleId="2580">
    <w:name w:val="1正文段落 Char Char"/>
    <w:link w:val="2581"/>
    <w:qFormat/>
    <w:uiPriority w:val="0"/>
    <w:rPr>
      <w:sz w:val="24"/>
      <w:szCs w:val="24"/>
    </w:rPr>
  </w:style>
  <w:style w:type="paragraph" w:customStyle="1" w:styleId="2581">
    <w:name w:val="1正文段落"/>
    <w:basedOn w:val="1"/>
    <w:link w:val="2580"/>
    <w:qFormat/>
    <w:uiPriority w:val="0"/>
    <w:pPr>
      <w:spacing w:line="360" w:lineRule="auto"/>
      <w:ind w:firstLine="480" w:firstLineChars="200"/>
    </w:pPr>
    <w:rPr>
      <w:rFonts w:ascii="Times New Roman" w:hAnsi="Times New Roman" w:cs="Times New Roman"/>
    </w:rPr>
  </w:style>
  <w:style w:type="character" w:customStyle="1" w:styleId="2582">
    <w:name w:val="Char Char203"/>
    <w:qFormat/>
    <w:uiPriority w:val="0"/>
    <w:rPr>
      <w:rFonts w:ascii="宋体" w:hAnsi="宋体" w:eastAsia="宋体"/>
      <w:kern w:val="2"/>
      <w:sz w:val="24"/>
      <w:szCs w:val="28"/>
      <w:lang w:val="en-US" w:eastAsia="zh-CN" w:bidi="ar-SA"/>
    </w:rPr>
  </w:style>
  <w:style w:type="character" w:customStyle="1" w:styleId="2583">
    <w:name w:val="00 标题4 Char Char"/>
    <w:qFormat/>
    <w:uiPriority w:val="0"/>
    <w:rPr>
      <w:rFonts w:eastAsia="宋体"/>
      <w:b/>
      <w:bCs/>
      <w:kern w:val="2"/>
      <w:sz w:val="24"/>
      <w:szCs w:val="32"/>
      <w:lang w:val="en-US" w:eastAsia="zh-CN" w:bidi="ar-SA"/>
    </w:rPr>
  </w:style>
  <w:style w:type="character" w:customStyle="1" w:styleId="2584">
    <w:name w:val="样式2 Char Char Char"/>
    <w:qFormat/>
    <w:uiPriority w:val="0"/>
    <w:rPr>
      <w:b/>
      <w:kern w:val="2"/>
      <w:sz w:val="28"/>
    </w:rPr>
  </w:style>
  <w:style w:type="character" w:customStyle="1" w:styleId="2585">
    <w:name w:val="unnamed3"/>
    <w:qFormat/>
    <w:uiPriority w:val="0"/>
  </w:style>
  <w:style w:type="character" w:customStyle="1" w:styleId="2586">
    <w:name w:val="标题-3 Char Char"/>
    <w:link w:val="2587"/>
    <w:qFormat/>
    <w:uiPriority w:val="0"/>
    <w:rPr>
      <w:b/>
      <w:sz w:val="24"/>
      <w:szCs w:val="28"/>
    </w:rPr>
  </w:style>
  <w:style w:type="paragraph" w:customStyle="1" w:styleId="2587">
    <w:name w:val="标题-3"/>
    <w:basedOn w:val="5"/>
    <w:link w:val="2586"/>
    <w:qFormat/>
    <w:uiPriority w:val="0"/>
    <w:pPr>
      <w:widowControl w:val="0"/>
      <w:tabs>
        <w:tab w:val="left" w:pos="6"/>
        <w:tab w:val="left" w:pos="360"/>
        <w:tab w:val="left" w:pos="720"/>
      </w:tabs>
      <w:snapToGrid w:val="0"/>
      <w:spacing w:before="240" w:beforeLines="100" w:after="120" w:afterLines="50" w:line="360" w:lineRule="auto"/>
      <w:ind w:firstLine="980" w:firstLineChars="200"/>
      <w:jc w:val="both"/>
    </w:pPr>
    <w:rPr>
      <w:rFonts w:ascii="Times New Roman" w:hAnsi="Times New Roman" w:cs="Times New Roman"/>
      <w:bCs w:val="0"/>
      <w:sz w:val="24"/>
      <w:szCs w:val="28"/>
    </w:rPr>
  </w:style>
  <w:style w:type="character" w:customStyle="1" w:styleId="2588">
    <w:name w:val="样式 标题 2标题 2 Char标题 2 Char Char节标题 1.11.1标题2b2SeHead wsa2... Char Char"/>
    <w:qFormat/>
    <w:uiPriority w:val="0"/>
    <w:rPr>
      <w:rFonts w:ascii="Arial" w:hAnsi="Arial" w:eastAsia="黑体"/>
      <w:b/>
      <w:bCs/>
      <w:color w:val="000000"/>
      <w:kern w:val="2"/>
      <w:sz w:val="32"/>
      <w:szCs w:val="32"/>
      <w:lang w:val="en-US" w:eastAsia="zh-CN" w:bidi="ar-SA"/>
    </w:rPr>
  </w:style>
  <w:style w:type="character" w:customStyle="1" w:styleId="2589">
    <w:name w:val="表格内 Char"/>
    <w:qFormat/>
    <w:uiPriority w:val="0"/>
    <w:rPr>
      <w:rFonts w:ascii="宋体" w:hAnsi="Courier New" w:eastAsia="宋体" w:cs="Courier New"/>
      <w:kern w:val="2"/>
      <w:sz w:val="21"/>
      <w:szCs w:val="21"/>
      <w:lang w:val="en-US" w:eastAsia="zh-CN" w:bidi="ar-SA"/>
    </w:rPr>
  </w:style>
  <w:style w:type="character" w:customStyle="1" w:styleId="2590">
    <w:name w:val="0921 Char"/>
    <w:qFormat/>
    <w:uiPriority w:val="0"/>
    <w:rPr>
      <w:rFonts w:ascii="宋体" w:hAnsi="Courier New" w:eastAsia="宋体" w:cs="Courier New"/>
      <w:kern w:val="2"/>
      <w:sz w:val="21"/>
      <w:szCs w:val="21"/>
      <w:lang w:val="en-US" w:eastAsia="zh-CN" w:bidi="ar-SA"/>
    </w:rPr>
  </w:style>
  <w:style w:type="character" w:customStyle="1" w:styleId="2591">
    <w:name w:val="样式2 Char Char"/>
    <w:qFormat/>
    <w:uiPriority w:val="0"/>
    <w:rPr>
      <w:rFonts w:ascii="Times New Roman" w:hAnsi="Times New Roman"/>
      <w:b/>
      <w:bCs/>
      <w:color w:val="000000"/>
      <w:sz w:val="28"/>
      <w:szCs w:val="24"/>
    </w:rPr>
  </w:style>
  <w:style w:type="character" w:customStyle="1" w:styleId="2592">
    <w:name w:val="环调标题 Char Char"/>
    <w:qFormat/>
    <w:uiPriority w:val="0"/>
    <w:rPr>
      <w:rFonts w:ascii="Times New Roman" w:hAnsi="Times New Roman" w:eastAsia="宋体" w:cs="Times New Roman"/>
      <w:b/>
      <w:bCs/>
      <w:kern w:val="44"/>
      <w:sz w:val="36"/>
      <w:szCs w:val="44"/>
    </w:rPr>
  </w:style>
  <w:style w:type="character" w:customStyle="1" w:styleId="2593">
    <w:name w:val="Char Char32"/>
    <w:qFormat/>
    <w:uiPriority w:val="0"/>
    <w:rPr>
      <w:rFonts w:ascii="Times New Roman" w:hAnsi="Times New Roman" w:eastAsia="宋体" w:cs="Times New Roman"/>
      <w:b/>
      <w:bCs/>
      <w:sz w:val="24"/>
      <w:szCs w:val="24"/>
    </w:rPr>
  </w:style>
  <w:style w:type="character" w:customStyle="1" w:styleId="2594">
    <w:name w:val="样式 标题 3H3B HeadReHead 3 WSAh3标题 3 Char标题 3 Char Char标题 3... Char Char"/>
    <w:qFormat/>
    <w:uiPriority w:val="0"/>
    <w:rPr>
      <w:b/>
      <w:bCs/>
      <w:sz w:val="28"/>
      <w:szCs w:val="28"/>
    </w:rPr>
  </w:style>
  <w:style w:type="character" w:customStyle="1" w:styleId="2595">
    <w:name w:val="Char Char333"/>
    <w:qFormat/>
    <w:uiPriority w:val="0"/>
    <w:rPr>
      <w:rFonts w:ascii="Times New Roman" w:hAnsi="Times New Roman" w:eastAsia="宋体" w:cs="Times New Roman"/>
      <w:kern w:val="2"/>
      <w:sz w:val="18"/>
      <w:szCs w:val="18"/>
    </w:rPr>
  </w:style>
  <w:style w:type="character" w:customStyle="1" w:styleId="2596">
    <w:name w:val="正文首行缩进 2 Char Char"/>
    <w:qFormat/>
    <w:uiPriority w:val="0"/>
    <w:rPr>
      <w:rFonts w:ascii="宋体" w:hAnsi="Times New Roman" w:eastAsia="宋体" w:cs="Times New Roman"/>
      <w:kern w:val="0"/>
      <w:sz w:val="24"/>
      <w:szCs w:val="20"/>
    </w:rPr>
  </w:style>
  <w:style w:type="character" w:customStyle="1" w:styleId="2597">
    <w:name w:val="Char Char Char Char Char2"/>
    <w:qFormat/>
    <w:uiPriority w:val="0"/>
    <w:rPr>
      <w:rFonts w:eastAsia="宋体"/>
      <w:kern w:val="2"/>
      <w:sz w:val="21"/>
      <w:szCs w:val="24"/>
      <w:lang w:val="en-US" w:eastAsia="zh-CN" w:bidi="ar-SA"/>
    </w:rPr>
  </w:style>
  <w:style w:type="character" w:customStyle="1" w:styleId="2598">
    <w:name w:val="样式 标题 2Chapter Heading2nd levelh22Titre2l2H2Header 2UND...2 Char Char"/>
    <w:qFormat/>
    <w:uiPriority w:val="0"/>
    <w:rPr>
      <w:rFonts w:eastAsia="黑体"/>
      <w:bCs/>
      <w:kern w:val="2"/>
      <w:sz w:val="24"/>
      <w:szCs w:val="32"/>
      <w:lang w:val="en-US" w:eastAsia="zh-CN" w:bidi="ar-SA"/>
    </w:rPr>
  </w:style>
  <w:style w:type="character" w:customStyle="1" w:styleId="2599">
    <w:name w:val="注释标题 Char1"/>
    <w:qFormat/>
    <w:uiPriority w:val="0"/>
    <w:rPr>
      <w:rFonts w:ascii="宋体" w:hAnsi="宋体" w:eastAsia="黑体" w:cs="Times New Roman"/>
      <w:snapToGrid w:val="0"/>
      <w:sz w:val="28"/>
      <w:szCs w:val="24"/>
    </w:rPr>
  </w:style>
  <w:style w:type="character" w:customStyle="1" w:styleId="2600">
    <w:name w:val="样式3 Char Char Char"/>
    <w:qFormat/>
    <w:uiPriority w:val="0"/>
    <w:rPr>
      <w:b/>
      <w:kern w:val="44"/>
      <w:sz w:val="36"/>
    </w:rPr>
  </w:style>
  <w:style w:type="character" w:customStyle="1" w:styleId="2601">
    <w:name w:val="样式 首行缩进:  2 字符 Char Char"/>
    <w:qFormat/>
    <w:uiPriority w:val="0"/>
    <w:rPr>
      <w:rFonts w:ascii="Times New Roman" w:hAnsi="Times New Roman"/>
      <w:sz w:val="24"/>
    </w:rPr>
  </w:style>
  <w:style w:type="character" w:customStyle="1" w:styleId="2602">
    <w:name w:val="居中表内文 Char Char"/>
    <w:qFormat/>
    <w:uiPriority w:val="0"/>
    <w:rPr>
      <w:sz w:val="18"/>
    </w:rPr>
  </w:style>
  <w:style w:type="character" w:customStyle="1" w:styleId="2603">
    <w:name w:val="Re Char3"/>
    <w:qFormat/>
    <w:uiPriority w:val="0"/>
    <w:rPr>
      <w:rFonts w:ascii="Tahoma" w:hAnsi="Tahoma" w:eastAsia="宋体"/>
      <w:b/>
      <w:bCs/>
      <w:sz w:val="28"/>
      <w:szCs w:val="32"/>
    </w:rPr>
  </w:style>
  <w:style w:type="character" w:customStyle="1" w:styleId="2604">
    <w:name w:val="Char Char13"/>
    <w:qFormat/>
    <w:uiPriority w:val="0"/>
    <w:rPr>
      <w:rFonts w:ascii="Cambria" w:hAnsi="Cambria"/>
      <w:b/>
      <w:kern w:val="2"/>
      <w:sz w:val="28"/>
    </w:rPr>
  </w:style>
  <w:style w:type="character" w:customStyle="1" w:styleId="2605">
    <w:name w:val="Char Char53"/>
    <w:qFormat/>
    <w:uiPriority w:val="0"/>
    <w:rPr>
      <w:rFonts w:eastAsia="宋体"/>
      <w:kern w:val="2"/>
      <w:sz w:val="18"/>
      <w:szCs w:val="18"/>
      <w:lang w:val="en-US" w:eastAsia="zh-CN" w:bidi="ar-SA"/>
    </w:rPr>
  </w:style>
  <w:style w:type="character" w:customStyle="1" w:styleId="2606">
    <w:name w:val="样式 正文 首行缩进:  2 字符 + (中文) 楷体_GB2312 Char Char"/>
    <w:link w:val="2607"/>
    <w:qFormat/>
    <w:uiPriority w:val="0"/>
    <w:rPr>
      <w:rFonts w:eastAsia="楷体_GB2312"/>
      <w:sz w:val="24"/>
      <w:szCs w:val="24"/>
    </w:rPr>
  </w:style>
  <w:style w:type="paragraph" w:customStyle="1" w:styleId="2607">
    <w:name w:val="样式 正文 首行缩进:  2 字符 + (中文) 楷体_GB2312"/>
    <w:basedOn w:val="1"/>
    <w:link w:val="2606"/>
    <w:qFormat/>
    <w:uiPriority w:val="0"/>
    <w:pPr>
      <w:widowControl w:val="0"/>
      <w:adjustRightInd w:val="0"/>
      <w:snapToGrid w:val="0"/>
      <w:spacing w:line="500" w:lineRule="exact"/>
      <w:ind w:firstLine="200" w:firstLineChars="200"/>
      <w:jc w:val="both"/>
    </w:pPr>
    <w:rPr>
      <w:rFonts w:ascii="Times New Roman" w:hAnsi="Times New Roman" w:eastAsia="楷体_GB2312" w:cs="Times New Roman"/>
    </w:rPr>
  </w:style>
  <w:style w:type="character" w:customStyle="1" w:styleId="2608">
    <w:name w:val="标题 1文章 Char Char"/>
    <w:qFormat/>
    <w:uiPriority w:val="0"/>
    <w:rPr>
      <w:rFonts w:ascii="黑体" w:hAnsi="Arial" w:eastAsia="黑体" w:cs="宋体"/>
      <w:bCs/>
      <w:kern w:val="2"/>
      <w:sz w:val="36"/>
      <w:szCs w:val="36"/>
      <w:lang w:val="en-US" w:eastAsia="zh-CN" w:bidi="ar-SA"/>
    </w:rPr>
  </w:style>
  <w:style w:type="character" w:customStyle="1" w:styleId="2609">
    <w:name w:val="列表 3 Char Char"/>
    <w:qFormat/>
    <w:uiPriority w:val="0"/>
    <w:rPr>
      <w:rFonts w:eastAsia="仿宋_GB2312"/>
      <w:kern w:val="2"/>
      <w:sz w:val="24"/>
      <w:szCs w:val="24"/>
      <w:lang w:val="en-US" w:eastAsia="zh-CN" w:bidi="ar-SA"/>
    </w:rPr>
  </w:style>
  <w:style w:type="character" w:customStyle="1" w:styleId="2610">
    <w:name w:val="Char Char6"/>
    <w:qFormat/>
    <w:uiPriority w:val="0"/>
    <w:rPr>
      <w:kern w:val="2"/>
      <w:sz w:val="18"/>
    </w:rPr>
  </w:style>
  <w:style w:type="character" w:customStyle="1" w:styleId="2611">
    <w:name w:val="环调标题1 Char Char Char"/>
    <w:qFormat/>
    <w:uiPriority w:val="0"/>
  </w:style>
  <w:style w:type="character" w:customStyle="1" w:styleId="2612">
    <w:name w:val="样式3 Char Char"/>
    <w:qFormat/>
    <w:uiPriority w:val="0"/>
    <w:rPr>
      <w:rFonts w:ascii="宋体" w:hAnsi="宋体"/>
      <w:b/>
      <w:sz w:val="28"/>
      <w:szCs w:val="24"/>
      <w:lang w:val="zh-CN"/>
    </w:rPr>
  </w:style>
  <w:style w:type="character" w:customStyle="1" w:styleId="2613">
    <w:name w:val="Char Char7"/>
    <w:qFormat/>
    <w:uiPriority w:val="0"/>
    <w:rPr>
      <w:b/>
      <w:kern w:val="2"/>
      <w:sz w:val="36"/>
    </w:rPr>
  </w:style>
  <w:style w:type="character" w:customStyle="1" w:styleId="2614">
    <w:name w:val="列表编号 5 Char Char"/>
    <w:qFormat/>
    <w:uiPriority w:val="0"/>
    <w:rPr>
      <w:rFonts w:eastAsia="宋体"/>
      <w:kern w:val="2"/>
      <w:sz w:val="24"/>
      <w:szCs w:val="24"/>
      <w:lang w:val="en-US" w:eastAsia="zh-CN" w:bidi="ar-SA"/>
    </w:rPr>
  </w:style>
  <w:style w:type="character" w:customStyle="1" w:styleId="2615">
    <w:name w:val="样式1 Char Char Char"/>
    <w:qFormat/>
    <w:uiPriority w:val="0"/>
    <w:rPr>
      <w:rFonts w:hAnsi="Arial"/>
      <w:b/>
      <w:kern w:val="2"/>
      <w:sz w:val="30"/>
    </w:rPr>
  </w:style>
  <w:style w:type="character" w:customStyle="1" w:styleId="2616">
    <w:name w:val="样式10 Char Char"/>
    <w:qFormat/>
    <w:uiPriority w:val="0"/>
    <w:rPr>
      <w:rFonts w:ascii="宋体" w:hAnsi="宋体" w:eastAsia="宋体"/>
      <w:b/>
      <w:bCs/>
      <w:kern w:val="2"/>
      <w:sz w:val="24"/>
      <w:szCs w:val="24"/>
      <w:lang w:val="en-US" w:eastAsia="zh-CN" w:bidi="ar-SA"/>
    </w:rPr>
  </w:style>
  <w:style w:type="character" w:customStyle="1" w:styleId="2617">
    <w:name w:val="weby2"/>
    <w:qFormat/>
    <w:uiPriority w:val="0"/>
    <w:rPr>
      <w:sz w:val="18"/>
    </w:rPr>
  </w:style>
  <w:style w:type="character" w:customStyle="1" w:styleId="2618">
    <w:name w:val="表格内正文 Char Char"/>
    <w:link w:val="2619"/>
    <w:qFormat/>
    <w:uiPriority w:val="0"/>
    <w:rPr>
      <w:rFonts w:ascii="宋体" w:hAnsi="宋体"/>
      <w:spacing w:val="4"/>
      <w:kern w:val="18"/>
      <w:sz w:val="24"/>
      <w:szCs w:val="24"/>
    </w:rPr>
  </w:style>
  <w:style w:type="paragraph" w:customStyle="1" w:styleId="2619">
    <w:name w:val="表格内正文"/>
    <w:basedOn w:val="1"/>
    <w:link w:val="2618"/>
    <w:qFormat/>
    <w:uiPriority w:val="0"/>
    <w:pPr>
      <w:widowControl w:val="0"/>
      <w:spacing w:line="360" w:lineRule="auto"/>
      <w:ind w:firstLine="499"/>
      <w:jc w:val="both"/>
    </w:pPr>
    <w:rPr>
      <w:rFonts w:cs="Times New Roman"/>
      <w:spacing w:val="4"/>
      <w:kern w:val="18"/>
    </w:rPr>
  </w:style>
  <w:style w:type="character" w:customStyle="1" w:styleId="2620">
    <w:name w:val="正文01 Char Char"/>
    <w:qFormat/>
    <w:uiPriority w:val="0"/>
    <w:rPr>
      <w:rFonts w:ascii="Times New Roman" w:hAnsi="Times New Roman"/>
      <w:sz w:val="27"/>
    </w:rPr>
  </w:style>
  <w:style w:type="character" w:customStyle="1" w:styleId="2621">
    <w:name w:val="contents"/>
    <w:qFormat/>
    <w:uiPriority w:val="0"/>
    <w:rPr>
      <w:rFonts w:ascii="宋体" w:hAnsi="宋体" w:eastAsia="黑体" w:cs="Courier New"/>
      <w:kern w:val="2"/>
      <w:sz w:val="24"/>
      <w:szCs w:val="32"/>
      <w:lang w:val="en-US" w:eastAsia="zh-CN" w:bidi="ar-SA"/>
    </w:rPr>
  </w:style>
  <w:style w:type="character" w:customStyle="1" w:styleId="2622">
    <w:name w:val="表底说明 Char Char"/>
    <w:qFormat/>
    <w:uiPriority w:val="0"/>
    <w:rPr>
      <w:rFonts w:ascii="Times New Roman" w:hAnsi="Times New Roman"/>
      <w:sz w:val="18"/>
      <w:szCs w:val="24"/>
    </w:rPr>
  </w:style>
  <w:style w:type="character" w:customStyle="1" w:styleId="2623">
    <w:name w:val="明显引用 Char1"/>
    <w:qFormat/>
    <w:uiPriority w:val="0"/>
    <w:rPr>
      <w:rFonts w:ascii="Times New Roman" w:hAnsi="Times New Roman"/>
      <w:b/>
      <w:i/>
      <w:color w:val="4F81BD"/>
      <w:kern w:val="2"/>
      <w:sz w:val="21"/>
    </w:rPr>
  </w:style>
  <w:style w:type="character" w:customStyle="1" w:styleId="2624">
    <w:name w:val="正文文本 3 Char1"/>
    <w:qFormat/>
    <w:uiPriority w:val="0"/>
    <w:rPr>
      <w:rFonts w:eastAsia="宋体"/>
      <w:kern w:val="2"/>
      <w:sz w:val="21"/>
      <w:szCs w:val="24"/>
      <w:lang w:val="en-US" w:eastAsia="zh-CN" w:bidi="ar-SA"/>
    </w:rPr>
  </w:style>
  <w:style w:type="character" w:customStyle="1" w:styleId="2625">
    <w:name w:val="表头 Char Char"/>
    <w:qFormat/>
    <w:uiPriority w:val="0"/>
    <w:rPr>
      <w:rFonts w:ascii="黑体" w:eastAsia="黑体"/>
      <w:b/>
      <w:bCs/>
      <w:kern w:val="2"/>
      <w:sz w:val="24"/>
      <w:szCs w:val="24"/>
      <w:lang w:val="en-US" w:eastAsia="zh-CN" w:bidi="ar-SA"/>
    </w:rPr>
  </w:style>
  <w:style w:type="character" w:customStyle="1" w:styleId="2626">
    <w:name w:val="结束语 Char1"/>
    <w:qFormat/>
    <w:uiPriority w:val="0"/>
    <w:rPr>
      <w:rFonts w:ascii="Tahoma" w:hAnsi="Tahoma" w:eastAsia="宋体"/>
      <w:sz w:val="24"/>
    </w:rPr>
  </w:style>
  <w:style w:type="character" w:customStyle="1" w:styleId="2627">
    <w:name w:val="环调标题1 Char Char"/>
    <w:qFormat/>
    <w:uiPriority w:val="0"/>
    <w:rPr>
      <w:rFonts w:ascii="Times New Roman" w:hAnsi="宋体"/>
      <w:b/>
      <w:bCs/>
      <w:kern w:val="44"/>
      <w:sz w:val="32"/>
      <w:szCs w:val="32"/>
    </w:rPr>
  </w:style>
  <w:style w:type="character" w:customStyle="1" w:styleId="2628">
    <w:name w:val="right-content3"/>
    <w:qFormat/>
    <w:uiPriority w:val="0"/>
    <w:rPr>
      <w:rFonts w:hint="default" w:ascii="Tahoma" w:hAnsi="Tahoma" w:cs="Tahoma"/>
      <w:sz w:val="18"/>
      <w:szCs w:val="18"/>
    </w:rPr>
  </w:style>
  <w:style w:type="character" w:customStyle="1" w:styleId="2629">
    <w:name w:val="题注-彭林 Char Char"/>
    <w:link w:val="2630"/>
    <w:qFormat/>
    <w:uiPriority w:val="0"/>
    <w:rPr>
      <w:rFonts w:ascii="Cambria" w:hAnsi="Cambria" w:cs="仿宋_GB2312"/>
      <w:color w:val="000000"/>
      <w:sz w:val="24"/>
      <w:szCs w:val="24"/>
    </w:rPr>
  </w:style>
  <w:style w:type="paragraph" w:customStyle="1" w:styleId="2630">
    <w:name w:val="题注-彭林"/>
    <w:basedOn w:val="22"/>
    <w:link w:val="2629"/>
    <w:qFormat/>
    <w:uiPriority w:val="0"/>
    <w:pPr>
      <w:keepNext/>
      <w:adjustRightInd w:val="0"/>
      <w:snapToGrid w:val="0"/>
      <w:spacing w:line="360" w:lineRule="auto"/>
      <w:jc w:val="center"/>
    </w:pPr>
    <w:rPr>
      <w:rFonts w:eastAsia="宋体" w:cs="仿宋_GB2312"/>
      <w:color w:val="000000"/>
    </w:rPr>
  </w:style>
  <w:style w:type="character" w:customStyle="1" w:styleId="2631">
    <w:name w:val="Char Char132"/>
    <w:qFormat/>
    <w:uiPriority w:val="0"/>
    <w:rPr>
      <w:rFonts w:ascii="Cambria" w:hAnsi="Cambria"/>
      <w:b/>
      <w:kern w:val="2"/>
      <w:sz w:val="28"/>
    </w:rPr>
  </w:style>
  <w:style w:type="character" w:customStyle="1" w:styleId="2632">
    <w:name w:val="lh151"/>
    <w:qFormat/>
    <w:uiPriority w:val="0"/>
  </w:style>
  <w:style w:type="character" w:customStyle="1" w:styleId="2633">
    <w:name w:val="正文首行缩进（本文） Char Char"/>
    <w:qFormat/>
    <w:uiPriority w:val="0"/>
    <w:rPr>
      <w:rFonts w:ascii="宋体" w:hAnsi="宋体" w:eastAsia="宋体" w:cs="Courier New"/>
      <w:kern w:val="2"/>
      <w:sz w:val="28"/>
      <w:szCs w:val="28"/>
      <w:lang w:val="en-US" w:eastAsia="zh-CN" w:bidi="ar-SA"/>
    </w:rPr>
  </w:style>
  <w:style w:type="character" w:customStyle="1" w:styleId="2634">
    <w:name w:val="标题 2111"/>
    <w:qFormat/>
    <w:uiPriority w:val="0"/>
    <w:rPr>
      <w:rFonts w:ascii="黑体" w:hAnsi="Arial" w:eastAsia="黑体"/>
      <w:kern w:val="2"/>
      <w:sz w:val="36"/>
      <w:szCs w:val="32"/>
      <w:lang w:val="en-US" w:eastAsia="zh-CN" w:bidi="ar-SA"/>
    </w:rPr>
  </w:style>
  <w:style w:type="character" w:customStyle="1" w:styleId="2635">
    <w:name w:val="javascript1"/>
    <w:qFormat/>
    <w:uiPriority w:val="0"/>
    <w:rPr>
      <w:rFonts w:hint="default" w:ascii="Tahoma" w:hAnsi="Tahoma" w:cs="Tahoma"/>
      <w:sz w:val="18"/>
      <w:szCs w:val="18"/>
    </w:rPr>
  </w:style>
  <w:style w:type="character" w:customStyle="1" w:styleId="2636">
    <w:name w:val="样式 题注题注 Char + 宋体 Char Char"/>
    <w:link w:val="2637"/>
    <w:qFormat/>
    <w:uiPriority w:val="0"/>
    <w:rPr>
      <w:rFonts w:ascii="宋体" w:hAnsi="宋体" w:cs="仿宋_GB2312"/>
      <w:color w:val="000000"/>
      <w:sz w:val="24"/>
      <w:szCs w:val="24"/>
    </w:rPr>
  </w:style>
  <w:style w:type="paragraph" w:customStyle="1" w:styleId="2637">
    <w:name w:val="样式 题注题注 Char + 宋体"/>
    <w:basedOn w:val="22"/>
    <w:link w:val="2636"/>
    <w:qFormat/>
    <w:uiPriority w:val="0"/>
    <w:pPr>
      <w:keepNext/>
      <w:spacing w:before="120" w:after="120" w:line="480" w:lineRule="exact"/>
      <w:jc w:val="center"/>
    </w:pPr>
    <w:rPr>
      <w:rFonts w:ascii="宋体" w:hAnsi="宋体" w:eastAsia="宋体" w:cs="仿宋_GB2312"/>
      <w:color w:val="000000"/>
    </w:rPr>
  </w:style>
  <w:style w:type="character" w:customStyle="1" w:styleId="2638">
    <w:name w:val="表底说明 Char Char Char"/>
    <w:qFormat/>
    <w:uiPriority w:val="0"/>
    <w:rPr>
      <w:rFonts w:ascii="Times New Roman" w:hAnsi="Times New Roman"/>
      <w:sz w:val="18"/>
      <w:szCs w:val="24"/>
    </w:rPr>
  </w:style>
  <w:style w:type="character" w:customStyle="1" w:styleId="2639">
    <w:name w:val="Char Char153"/>
    <w:qFormat/>
    <w:uiPriority w:val="0"/>
    <w:rPr>
      <w:b/>
      <w:kern w:val="2"/>
      <w:sz w:val="30"/>
    </w:rPr>
  </w:style>
  <w:style w:type="character" w:customStyle="1" w:styleId="2640">
    <w:name w:val="样式10 Char Char Char"/>
    <w:qFormat/>
    <w:uiPriority w:val="0"/>
    <w:rPr>
      <w:rFonts w:ascii="宋体" w:hAnsi="宋体" w:eastAsia="宋体"/>
      <w:b/>
      <w:bCs/>
      <w:kern w:val="2"/>
      <w:sz w:val="24"/>
      <w:szCs w:val="24"/>
      <w:lang w:val="en-US" w:eastAsia="zh-CN" w:bidi="ar-SA"/>
    </w:rPr>
  </w:style>
  <w:style w:type="character" w:customStyle="1" w:styleId="2641">
    <w:name w:val="Char Char243"/>
    <w:qFormat/>
    <w:uiPriority w:val="0"/>
    <w:rPr>
      <w:rFonts w:eastAsia="宋体"/>
      <w:kern w:val="2"/>
      <w:sz w:val="18"/>
      <w:szCs w:val="18"/>
      <w:lang w:val="en-US" w:eastAsia="zh-CN" w:bidi="ar-SA"/>
    </w:rPr>
  </w:style>
  <w:style w:type="character" w:customStyle="1" w:styleId="2642">
    <w:name w:val="Char Char1111"/>
    <w:qFormat/>
    <w:uiPriority w:val="0"/>
    <w:rPr>
      <w:rFonts w:ascii="Cambria" w:hAnsi="Cambria"/>
      <w:b/>
      <w:kern w:val="2"/>
      <w:sz w:val="24"/>
    </w:rPr>
  </w:style>
  <w:style w:type="character" w:customStyle="1" w:styleId="2643">
    <w:name w:val="Char Char193"/>
    <w:qFormat/>
    <w:uiPriority w:val="0"/>
    <w:rPr>
      <w:rFonts w:eastAsia="宋体"/>
      <w:kern w:val="2"/>
      <w:sz w:val="21"/>
      <w:szCs w:val="24"/>
      <w:lang w:val="en-US" w:eastAsia="zh-CN" w:bidi="ar-SA"/>
    </w:rPr>
  </w:style>
  <w:style w:type="character" w:customStyle="1" w:styleId="2644">
    <w:name w:val="Char Char214"/>
    <w:qFormat/>
    <w:uiPriority w:val="0"/>
    <w:rPr>
      <w:rFonts w:eastAsia="宋体"/>
      <w:kern w:val="2"/>
      <w:sz w:val="21"/>
      <w:szCs w:val="24"/>
      <w:lang w:val="en-US" w:eastAsia="zh-CN" w:bidi="ar-SA"/>
    </w:rPr>
  </w:style>
  <w:style w:type="character" w:customStyle="1" w:styleId="2645">
    <w:name w:val="宗兴正文 Char Char"/>
    <w:link w:val="2646"/>
    <w:qFormat/>
    <w:uiPriority w:val="0"/>
    <w:rPr>
      <w:sz w:val="24"/>
      <w:szCs w:val="24"/>
    </w:rPr>
  </w:style>
  <w:style w:type="paragraph" w:customStyle="1" w:styleId="2646">
    <w:name w:val="宗兴正文"/>
    <w:basedOn w:val="1"/>
    <w:link w:val="2645"/>
    <w:qFormat/>
    <w:uiPriority w:val="0"/>
    <w:pPr>
      <w:widowControl w:val="0"/>
      <w:spacing w:before="93" w:after="93" w:line="360" w:lineRule="auto"/>
      <w:ind w:firstLine="480" w:firstLineChars="200"/>
    </w:pPr>
    <w:rPr>
      <w:rFonts w:ascii="Times New Roman" w:hAnsi="Times New Roman" w:cs="Times New Roman"/>
    </w:rPr>
  </w:style>
  <w:style w:type="character" w:customStyle="1" w:styleId="2647">
    <w:name w:val="Char Char223"/>
    <w:qFormat/>
    <w:uiPriority w:val="0"/>
    <w:rPr>
      <w:color w:val="FF0000"/>
      <w:kern w:val="2"/>
      <w:sz w:val="24"/>
    </w:rPr>
  </w:style>
  <w:style w:type="character" w:customStyle="1" w:styleId="2648">
    <w:name w:val="称呼 Char1"/>
    <w:qFormat/>
    <w:uiPriority w:val="0"/>
    <w:rPr>
      <w:rFonts w:ascii="Tahoma" w:hAnsi="Tahoma" w:eastAsia="宋体"/>
      <w:sz w:val="24"/>
    </w:rPr>
  </w:style>
  <w:style w:type="character" w:customStyle="1" w:styleId="2649">
    <w:name w:val="环调标题2 Char Char"/>
    <w:qFormat/>
    <w:uiPriority w:val="0"/>
    <w:rPr>
      <w:rFonts w:eastAsia="宋体"/>
      <w:b/>
      <w:sz w:val="30"/>
      <w:lang w:val="en-US" w:eastAsia="zh-CN" w:bidi="ar-SA"/>
    </w:rPr>
  </w:style>
  <w:style w:type="character" w:customStyle="1" w:styleId="2650">
    <w:name w:val="表格正文 Char Char"/>
    <w:qFormat/>
    <w:uiPriority w:val="0"/>
    <w:rPr>
      <w:rFonts w:ascii="仿宋_GB2312" w:hAnsi="Times New Roman" w:eastAsia="仿宋_GB2312" w:cs="Times New Roman"/>
      <w:kern w:val="0"/>
      <w:sz w:val="24"/>
      <w:szCs w:val="24"/>
      <w:lang w:val="zh-CN" w:eastAsia="zh-CN"/>
    </w:rPr>
  </w:style>
  <w:style w:type="character" w:customStyle="1" w:styleId="2651">
    <w:name w:val="black91"/>
    <w:qFormat/>
    <w:uiPriority w:val="0"/>
    <w:rPr>
      <w:color w:val="000000"/>
      <w:sz w:val="18"/>
      <w:szCs w:val="18"/>
      <w:u w:val="none"/>
    </w:rPr>
  </w:style>
  <w:style w:type="character" w:customStyle="1" w:styleId="2652">
    <w:name w:val="large1"/>
    <w:qFormat/>
    <w:uiPriority w:val="0"/>
    <w:rPr>
      <w:spacing w:val="380"/>
      <w:sz w:val="22"/>
      <w:szCs w:val="22"/>
    </w:rPr>
  </w:style>
  <w:style w:type="character" w:customStyle="1" w:styleId="2653">
    <w:name w:val="环调标题3 Char Char"/>
    <w:qFormat/>
    <w:uiPriority w:val="0"/>
    <w:rPr>
      <w:rFonts w:eastAsia="宋体"/>
      <w:b/>
      <w:bCs/>
      <w:kern w:val="2"/>
      <w:sz w:val="28"/>
      <w:szCs w:val="32"/>
      <w:lang w:bidi="ar-SA"/>
    </w:rPr>
  </w:style>
  <w:style w:type="character" w:customStyle="1" w:styleId="2654">
    <w:name w:val="zhenwen141"/>
    <w:qFormat/>
    <w:uiPriority w:val="0"/>
    <w:rPr>
      <w:rFonts w:hint="default" w:ascii="ˎ̥" w:hAnsi="ˎ̥" w:eastAsia="黑体" w:cs="Courier New"/>
      <w:kern w:val="2"/>
      <w:sz w:val="18"/>
      <w:szCs w:val="18"/>
      <w:lang w:val="en-US" w:eastAsia="zh-CN" w:bidi="ar-SA"/>
    </w:rPr>
  </w:style>
  <w:style w:type="character" w:customStyle="1" w:styleId="2655">
    <w:name w:val="keyword1"/>
    <w:qFormat/>
    <w:uiPriority w:val="0"/>
    <w:rPr>
      <w:rFonts w:ascii="宋体" w:hAnsi="宋体" w:eastAsia="黑体" w:cs="Courier New"/>
      <w:color w:val="FF0000"/>
      <w:kern w:val="2"/>
      <w:sz w:val="24"/>
      <w:szCs w:val="32"/>
      <w:lang w:val="en-US" w:eastAsia="zh-CN" w:bidi="ar-SA"/>
    </w:rPr>
  </w:style>
  <w:style w:type="character" w:customStyle="1" w:styleId="2656">
    <w:name w:val="中气附件 Char Char"/>
    <w:qFormat/>
    <w:uiPriority w:val="0"/>
    <w:rPr>
      <w:rFonts w:ascii="Arial" w:hAnsi="Arial" w:eastAsia="黑体"/>
      <w:b/>
      <w:bCs/>
      <w:kern w:val="44"/>
      <w:sz w:val="32"/>
      <w:szCs w:val="44"/>
    </w:rPr>
  </w:style>
  <w:style w:type="character" w:customStyle="1" w:styleId="2657">
    <w:name w:val="样式 正文文本 + 宋体 四号 Char"/>
    <w:qFormat/>
    <w:uiPriority w:val="0"/>
    <w:rPr>
      <w:rFonts w:ascii="宋体" w:hAnsi="宋体" w:eastAsia="宋体"/>
      <w:spacing w:val="20"/>
      <w:kern w:val="28"/>
      <w:position w:val="2"/>
      <w:sz w:val="28"/>
      <w:lang w:val="en-US" w:eastAsia="zh-CN" w:bidi="ar-SA"/>
    </w:rPr>
  </w:style>
  <w:style w:type="character" w:customStyle="1" w:styleId="2658">
    <w:name w:val="A0"/>
    <w:qFormat/>
    <w:uiPriority w:val="0"/>
    <w:rPr>
      <w:rFonts w:cs="Sim Sun"/>
      <w:color w:val="000000"/>
      <w:sz w:val="28"/>
      <w:szCs w:val="28"/>
    </w:rPr>
  </w:style>
  <w:style w:type="character" w:customStyle="1" w:styleId="2659">
    <w:name w:val="样式 小四 首行缩进:  0.85 厘米 行距: 1.5 倍行距 Char Char"/>
    <w:qFormat/>
    <w:uiPriority w:val="0"/>
    <w:rPr>
      <w:rFonts w:ascii="黑体" w:hAnsi="Arial" w:eastAsia="宋体" w:cs="宋体"/>
      <w:bCs/>
      <w:kern w:val="2"/>
      <w:sz w:val="24"/>
      <w:szCs w:val="24"/>
      <w:lang w:val="en-US" w:eastAsia="zh-CN" w:bidi="ar-SA"/>
    </w:rPr>
  </w:style>
  <w:style w:type="character" w:customStyle="1" w:styleId="2660">
    <w:name w:val="正文样式1 Char Char"/>
    <w:qFormat/>
    <w:uiPriority w:val="0"/>
    <w:rPr>
      <w:rFonts w:ascii="宋体" w:hAnsi="宋体" w:eastAsia="仿宋_GB2312"/>
      <w:sz w:val="24"/>
    </w:rPr>
  </w:style>
  <w:style w:type="character" w:customStyle="1" w:styleId="2661">
    <w:name w:val="样式 标题 2 + 非加粗 Char Char Char"/>
    <w:qFormat/>
    <w:uiPriority w:val="0"/>
    <w:rPr>
      <w:rFonts w:eastAsia="黑体"/>
      <w:b/>
      <w:bCs/>
      <w:kern w:val="2"/>
      <w:sz w:val="32"/>
      <w:szCs w:val="32"/>
      <w:lang w:val="en-US" w:eastAsia="zh-CN"/>
    </w:rPr>
  </w:style>
  <w:style w:type="character" w:customStyle="1" w:styleId="2662">
    <w:name w:val="段落 Char Char"/>
    <w:qFormat/>
    <w:uiPriority w:val="0"/>
    <w:rPr>
      <w:rFonts w:ascii="宋体" w:hAnsi="宋体"/>
      <w:color w:val="000000"/>
      <w:sz w:val="24"/>
      <w:szCs w:val="18"/>
    </w:rPr>
  </w:style>
  <w:style w:type="character" w:customStyle="1" w:styleId="2663">
    <w:name w:val="Char Char83"/>
    <w:qFormat/>
    <w:uiPriority w:val="0"/>
    <w:rPr>
      <w:rFonts w:ascii="宋体" w:hAnsi="Courier New" w:eastAsia="宋体"/>
      <w:kern w:val="2"/>
      <w:sz w:val="21"/>
      <w:lang w:val="en-US" w:eastAsia="zh-CN" w:bidi="ar-SA"/>
    </w:rPr>
  </w:style>
  <w:style w:type="character" w:customStyle="1" w:styleId="2664">
    <w:name w:val="Char Char310"/>
    <w:qFormat/>
    <w:uiPriority w:val="0"/>
    <w:rPr>
      <w:rFonts w:ascii="Times New Roman" w:hAnsi="Times New Roman" w:eastAsia="宋体" w:cs="Times New Roman"/>
      <w:szCs w:val="24"/>
    </w:rPr>
  </w:style>
  <w:style w:type="character" w:customStyle="1" w:styleId="2665">
    <w:name w:val="表格内表格正文 Char Char"/>
    <w:link w:val="2666"/>
    <w:qFormat/>
    <w:uiPriority w:val="0"/>
    <w:rPr>
      <w:rFonts w:ascii="宋体" w:hAnsi="宋体"/>
      <w:kern w:val="18"/>
      <w:szCs w:val="21"/>
    </w:rPr>
  </w:style>
  <w:style w:type="paragraph" w:customStyle="1" w:styleId="2666">
    <w:name w:val="表格内表格正文"/>
    <w:basedOn w:val="1"/>
    <w:link w:val="2665"/>
    <w:qFormat/>
    <w:uiPriority w:val="0"/>
    <w:pPr>
      <w:widowControl w:val="0"/>
      <w:jc w:val="center"/>
    </w:pPr>
    <w:rPr>
      <w:rFonts w:cs="Times New Roman"/>
      <w:kern w:val="18"/>
      <w:sz w:val="20"/>
      <w:szCs w:val="21"/>
    </w:rPr>
  </w:style>
  <w:style w:type="character" w:customStyle="1" w:styleId="2667">
    <w:name w:val="生物质发电表 Char Char"/>
    <w:link w:val="2668"/>
    <w:qFormat/>
    <w:uiPriority w:val="0"/>
    <w:rPr>
      <w:rFonts w:ascii="ˎ̥" w:hAnsi="ˎ̥" w:eastAsia="ˎ̥"/>
      <w:color w:val="000000"/>
      <w:sz w:val="24"/>
      <w:szCs w:val="21"/>
    </w:rPr>
  </w:style>
  <w:style w:type="paragraph" w:customStyle="1" w:styleId="2668">
    <w:name w:val="生物质发电表"/>
    <w:basedOn w:val="1"/>
    <w:link w:val="2667"/>
    <w:qFormat/>
    <w:uiPriority w:val="0"/>
    <w:pPr>
      <w:widowControl w:val="0"/>
      <w:autoSpaceDE w:val="0"/>
      <w:autoSpaceDN w:val="0"/>
      <w:adjustRightInd w:val="0"/>
      <w:spacing w:line="0" w:lineRule="atLeast"/>
      <w:jc w:val="center"/>
      <w:textAlignment w:val="center"/>
    </w:pPr>
    <w:rPr>
      <w:rFonts w:ascii="ˎ̥" w:hAnsi="ˎ̥" w:eastAsia="ˎ̥" w:cs="Times New Roman"/>
      <w:color w:val="000000"/>
      <w:szCs w:val="21"/>
    </w:rPr>
  </w:style>
  <w:style w:type="character" w:customStyle="1" w:styleId="2669">
    <w:name w:val="章标题 Char Char"/>
    <w:qFormat/>
    <w:uiPriority w:val="0"/>
    <w:rPr>
      <w:rFonts w:eastAsia="宋体"/>
      <w:b/>
      <w:bCs/>
      <w:kern w:val="44"/>
      <w:sz w:val="44"/>
      <w:szCs w:val="44"/>
      <w:lang w:val="en-US" w:eastAsia="zh-CN" w:bidi="ar-SA"/>
    </w:rPr>
  </w:style>
  <w:style w:type="character" w:customStyle="1" w:styleId="2670">
    <w:name w:val="zhengwen1"/>
    <w:qFormat/>
    <w:uiPriority w:val="0"/>
    <w:rPr>
      <w:rFonts w:hint="default"/>
      <w:color w:val="000000"/>
      <w:spacing w:val="420"/>
      <w:sz w:val="18"/>
      <w:szCs w:val="18"/>
    </w:rPr>
  </w:style>
  <w:style w:type="character" w:customStyle="1" w:styleId="2671">
    <w:name w:val="题注 Char2"/>
    <w:qFormat/>
    <w:uiPriority w:val="0"/>
    <w:rPr>
      <w:rFonts w:ascii="Cambria" w:hAnsi="Cambria" w:eastAsia="黑体" w:cs="Times New Roman"/>
      <w:sz w:val="20"/>
      <w:szCs w:val="20"/>
    </w:rPr>
  </w:style>
  <w:style w:type="character" w:customStyle="1" w:styleId="2672">
    <w:name w:val="Char Char122"/>
    <w:qFormat/>
    <w:uiPriority w:val="0"/>
    <w:rPr>
      <w:b/>
      <w:kern w:val="2"/>
      <w:sz w:val="28"/>
    </w:rPr>
  </w:style>
  <w:style w:type="character" w:customStyle="1" w:styleId="2673">
    <w:name w:val="Char Char31"/>
    <w:qFormat/>
    <w:uiPriority w:val="0"/>
    <w:rPr>
      <w:rFonts w:ascii="Arial" w:hAnsi="Arial" w:eastAsia="仿宋_GB2312" w:cs="Arial"/>
      <w:bCs/>
      <w:sz w:val="24"/>
      <w:szCs w:val="32"/>
    </w:rPr>
  </w:style>
  <w:style w:type="character" w:customStyle="1" w:styleId="2674">
    <w:name w:val="weby"/>
    <w:qFormat/>
    <w:uiPriority w:val="0"/>
  </w:style>
  <w:style w:type="character" w:customStyle="1" w:styleId="2675">
    <w:name w:val="Header Char"/>
    <w:qFormat/>
    <w:uiPriority w:val="0"/>
    <w:rPr>
      <w:rFonts w:ascii="Times New Roman" w:hAnsi="Times New Roman" w:eastAsia="宋体" w:cs="Times New Roman"/>
      <w:sz w:val="18"/>
      <w:szCs w:val="18"/>
    </w:rPr>
  </w:style>
  <w:style w:type="character" w:customStyle="1" w:styleId="2676">
    <w:name w:val="Char Char81"/>
    <w:qFormat/>
    <w:uiPriority w:val="0"/>
    <w:rPr>
      <w:rFonts w:ascii="宋体" w:hAnsi="Courier New" w:eastAsia="宋体"/>
      <w:kern w:val="2"/>
      <w:sz w:val="21"/>
      <w:lang w:val="en-US" w:eastAsia="zh-CN" w:bidi="ar-SA"/>
    </w:rPr>
  </w:style>
  <w:style w:type="character" w:customStyle="1" w:styleId="2677">
    <w:name w:val="表头 Char Char Char"/>
    <w:qFormat/>
    <w:uiPriority w:val="0"/>
    <w:rPr>
      <w:rFonts w:ascii="黑体" w:hAnsi="Arial" w:eastAsia="黑体" w:cs="Arial"/>
      <w:bCs/>
      <w:kern w:val="2"/>
      <w:sz w:val="24"/>
      <w:szCs w:val="24"/>
      <w:lang w:val="en-US" w:eastAsia="zh-CN" w:bidi="ar-SA"/>
    </w:rPr>
  </w:style>
  <w:style w:type="character" w:customStyle="1" w:styleId="2678">
    <w:name w:val="Char Char113"/>
    <w:qFormat/>
    <w:uiPriority w:val="0"/>
    <w:rPr>
      <w:rFonts w:ascii="Cambria" w:hAnsi="Cambria"/>
      <w:b/>
      <w:kern w:val="2"/>
      <w:sz w:val="24"/>
    </w:rPr>
  </w:style>
  <w:style w:type="character" w:customStyle="1" w:styleId="2679">
    <w:name w:val="Char Char51"/>
    <w:qFormat/>
    <w:uiPriority w:val="0"/>
    <w:rPr>
      <w:rFonts w:eastAsia="宋体"/>
      <w:kern w:val="2"/>
      <w:sz w:val="18"/>
      <w:szCs w:val="18"/>
      <w:lang w:val="en-US" w:eastAsia="zh-CN" w:bidi="ar-SA"/>
    </w:rPr>
  </w:style>
  <w:style w:type="character" w:customStyle="1" w:styleId="2680">
    <w:name w:val="中大表格内容 Char Char"/>
    <w:qFormat/>
    <w:uiPriority w:val="0"/>
    <w:rPr>
      <w:rFonts w:ascii="宋体" w:hAnsi="宋体"/>
      <w:szCs w:val="21"/>
      <w:lang w:val="zh-CN"/>
    </w:rPr>
  </w:style>
  <w:style w:type="character" w:customStyle="1" w:styleId="2681">
    <w:name w:val="金光华文本正文 Char Char"/>
    <w:link w:val="2682"/>
    <w:qFormat/>
    <w:uiPriority w:val="0"/>
    <w:rPr>
      <w:rFonts w:ascii="宋体" w:hAnsi="宋体"/>
      <w:sz w:val="24"/>
      <w:szCs w:val="24"/>
    </w:rPr>
  </w:style>
  <w:style w:type="paragraph" w:customStyle="1" w:styleId="2682">
    <w:name w:val="金光华文本正文"/>
    <w:basedOn w:val="1"/>
    <w:link w:val="2681"/>
    <w:qFormat/>
    <w:uiPriority w:val="0"/>
    <w:pPr>
      <w:tabs>
        <w:tab w:val="left" w:pos="6840"/>
      </w:tabs>
      <w:spacing w:line="360" w:lineRule="auto"/>
      <w:ind w:firstLine="510"/>
    </w:pPr>
    <w:rPr>
      <w:rFonts w:cs="Times New Roman"/>
    </w:rPr>
  </w:style>
  <w:style w:type="character" w:customStyle="1" w:styleId="2683">
    <w:name w:val="text-14b1"/>
    <w:qFormat/>
    <w:uiPriority w:val="0"/>
    <w:rPr>
      <w:rFonts w:hint="default"/>
      <w:sz w:val="21"/>
      <w:szCs w:val="21"/>
      <w:u w:val="none"/>
    </w:rPr>
  </w:style>
  <w:style w:type="character" w:customStyle="1" w:styleId="2684">
    <w:name w:val="实德题注 Char Char"/>
    <w:qFormat/>
    <w:uiPriority w:val="0"/>
    <w:rPr>
      <w:rFonts w:eastAsia="宋体" w:cs="黑体"/>
      <w:color w:val="000000"/>
      <w:sz w:val="24"/>
      <w:szCs w:val="24"/>
      <w:lang w:val="en-US" w:eastAsia="zh-CN" w:bidi="ar-SA"/>
    </w:rPr>
  </w:style>
  <w:style w:type="character" w:customStyle="1" w:styleId="2685">
    <w:name w:val="正文普宁 Char Char Char"/>
    <w:qFormat/>
    <w:uiPriority w:val="0"/>
    <w:rPr>
      <w:szCs w:val="24"/>
    </w:rPr>
  </w:style>
  <w:style w:type="character" w:customStyle="1" w:styleId="2686">
    <w:name w:val="Char Char171"/>
    <w:qFormat/>
    <w:uiPriority w:val="0"/>
    <w:rPr>
      <w:rFonts w:ascii="Arial" w:hAnsi="Arial" w:eastAsia="黑体"/>
      <w:b/>
      <w:bCs/>
      <w:kern w:val="2"/>
      <w:sz w:val="24"/>
      <w:szCs w:val="24"/>
      <w:lang w:val="en-US" w:eastAsia="zh-CN" w:bidi="ar-SA"/>
    </w:rPr>
  </w:style>
  <w:style w:type="character" w:customStyle="1" w:styleId="2687">
    <w:name w:val="Char Char162"/>
    <w:qFormat/>
    <w:uiPriority w:val="0"/>
    <w:rPr>
      <w:b/>
      <w:kern w:val="44"/>
      <w:sz w:val="32"/>
    </w:rPr>
  </w:style>
  <w:style w:type="character" w:customStyle="1" w:styleId="2688">
    <w:name w:val="Char Char142"/>
    <w:qFormat/>
    <w:uiPriority w:val="0"/>
    <w:rPr>
      <w:b/>
      <w:kern w:val="2"/>
      <w:sz w:val="28"/>
    </w:rPr>
  </w:style>
  <w:style w:type="character" w:customStyle="1" w:styleId="2689">
    <w:name w:val="样式 标题 3 + (西文) 宋体 Char Char"/>
    <w:qFormat/>
    <w:uiPriority w:val="0"/>
    <w:rPr>
      <w:rFonts w:ascii="宋体" w:hAnsi="宋体" w:eastAsia="黑体" w:cs="宋体"/>
      <w:b/>
      <w:bCs/>
      <w:snapToGrid w:val="0"/>
      <w:kern w:val="2"/>
      <w:sz w:val="24"/>
      <w:szCs w:val="24"/>
      <w:lang w:val="eu-ES" w:eastAsia="zh-CN" w:bidi="ar-SA"/>
    </w:rPr>
  </w:style>
  <w:style w:type="character" w:customStyle="1" w:styleId="2690">
    <w:name w:val="海南化工城正文 Char Char"/>
    <w:qFormat/>
    <w:uiPriority w:val="0"/>
    <w:rPr>
      <w:rFonts w:ascii="宋体" w:hAnsi="宋体" w:eastAsia="宋体" w:cs="宋体"/>
      <w:kern w:val="2"/>
      <w:sz w:val="24"/>
      <w:lang w:val="en-US" w:eastAsia="zh-CN" w:bidi="ar-SA"/>
    </w:rPr>
  </w:style>
  <w:style w:type="character" w:customStyle="1" w:styleId="2691">
    <w:name w:val="Char Char253"/>
    <w:qFormat/>
    <w:uiPriority w:val="0"/>
    <w:rPr>
      <w:rFonts w:ascii="Cambria" w:hAnsi="Cambria" w:eastAsia="宋体" w:cs="Times New Roman"/>
      <w:b/>
      <w:kern w:val="28"/>
      <w:sz w:val="32"/>
      <w:szCs w:val="20"/>
    </w:rPr>
  </w:style>
  <w:style w:type="character" w:customStyle="1" w:styleId="2692">
    <w:name w:val="Char Char26"/>
    <w:qFormat/>
    <w:uiPriority w:val="0"/>
    <w:rPr>
      <w:rFonts w:ascii="Times New Roman" w:hAnsi="Times New Roman" w:eastAsia="宋体" w:cs="Times New Roman"/>
      <w:b/>
      <w:kern w:val="2"/>
      <w:sz w:val="36"/>
      <w:szCs w:val="20"/>
    </w:rPr>
  </w:style>
  <w:style w:type="character" w:customStyle="1" w:styleId="2693">
    <w:name w:val="f141"/>
    <w:qFormat/>
    <w:uiPriority w:val="0"/>
    <w:rPr>
      <w:rFonts w:hint="eastAsia" w:ascii="宋体" w:hAnsi="宋体" w:eastAsia="宋体" w:cs="Courier New"/>
      <w:kern w:val="2"/>
      <w:sz w:val="21"/>
      <w:szCs w:val="21"/>
      <w:lang w:val="en-US" w:eastAsia="zh-CN" w:bidi="ar-SA"/>
    </w:rPr>
  </w:style>
  <w:style w:type="character" w:customStyle="1" w:styleId="2694">
    <w:name w:val="正文标准格式张 Char"/>
    <w:qFormat/>
    <w:uiPriority w:val="0"/>
    <w:rPr>
      <w:rFonts w:ascii="宋体" w:hAnsi="宋体" w:eastAsia="宋体"/>
      <w:snapToGrid w:val="0"/>
      <w:sz w:val="24"/>
      <w:szCs w:val="24"/>
      <w:lang w:val="en-US" w:eastAsia="zh-CN" w:bidi="ar-SA"/>
    </w:rPr>
  </w:style>
  <w:style w:type="character" w:customStyle="1" w:styleId="2695">
    <w:name w:val="Char Char233"/>
    <w:qFormat/>
    <w:uiPriority w:val="0"/>
    <w:rPr>
      <w:rFonts w:eastAsia="宋体"/>
      <w:kern w:val="2"/>
      <w:sz w:val="16"/>
      <w:szCs w:val="16"/>
      <w:lang w:val="en-US" w:eastAsia="zh-CN" w:bidi="ar-SA"/>
    </w:rPr>
  </w:style>
  <w:style w:type="character" w:customStyle="1" w:styleId="2696">
    <w:name w:val="Char Char263"/>
    <w:qFormat/>
    <w:uiPriority w:val="0"/>
    <w:rPr>
      <w:rFonts w:ascii="Times New Roman" w:hAnsi="Times New Roman" w:eastAsia="宋体" w:cs="Times New Roman"/>
      <w:b/>
      <w:kern w:val="2"/>
      <w:sz w:val="36"/>
      <w:szCs w:val="20"/>
    </w:rPr>
  </w:style>
  <w:style w:type="paragraph" w:customStyle="1" w:styleId="2697">
    <w:name w:val="页面 4"/>
    <w:basedOn w:val="2698"/>
    <w:qFormat/>
    <w:uiPriority w:val="0"/>
    <w:rPr>
      <w:rFonts w:eastAsia="隶书"/>
      <w:sz w:val="48"/>
    </w:rPr>
  </w:style>
  <w:style w:type="paragraph" w:customStyle="1" w:styleId="2698">
    <w:name w:val="页面"/>
    <w:qFormat/>
    <w:uiPriority w:val="0"/>
    <w:pPr>
      <w:widowControl w:val="0"/>
      <w:adjustRightInd w:val="0"/>
      <w:jc w:val="center"/>
    </w:pPr>
    <w:rPr>
      <w:rFonts w:ascii="Times New Roman" w:hAnsi="Times New Roman" w:eastAsia="宋体" w:cs="Times New Roman"/>
      <w:sz w:val="28"/>
      <w:lang w:val="en-US" w:eastAsia="zh-CN" w:bidi="ar-SA"/>
    </w:rPr>
  </w:style>
  <w:style w:type="character" w:customStyle="1" w:styleId="2699">
    <w:name w:val="批注文字 Char2"/>
    <w:qFormat/>
    <w:uiPriority w:val="0"/>
    <w:rPr>
      <w:spacing w:val="-2"/>
      <w:sz w:val="28"/>
    </w:rPr>
  </w:style>
  <w:style w:type="paragraph" w:customStyle="1" w:styleId="2700">
    <w:name w:val="mstheme-horiz-navtxt-gs"/>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701">
    <w:name w:val="麦志勤标题一"/>
    <w:basedOn w:val="3"/>
    <w:qFormat/>
    <w:uiPriority w:val="0"/>
    <w:pPr>
      <w:keepNext w:val="0"/>
      <w:keepLines/>
      <w:tabs>
        <w:tab w:val="left" w:pos="4614"/>
      </w:tabs>
      <w:overflowPunct/>
      <w:adjustRightInd w:val="0"/>
      <w:spacing w:before="50" w:after="0" w:line="300" w:lineRule="auto"/>
      <w:ind w:left="0" w:firstLine="0"/>
      <w:jc w:val="both"/>
    </w:pPr>
    <w:rPr>
      <w:rFonts w:ascii="黑体" w:hAnsi="Arial" w:cs="Arial"/>
      <w:kern w:val="0"/>
      <w:sz w:val="44"/>
      <w:szCs w:val="44"/>
      <w:lang w:val="zh-CN"/>
    </w:rPr>
  </w:style>
  <w:style w:type="paragraph" w:customStyle="1" w:styleId="2702">
    <w:name w:val="mstheme-bannertxt-g"/>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703">
    <w:name w:val="日期12"/>
    <w:basedOn w:val="1"/>
    <w:next w:val="1"/>
    <w:qFormat/>
    <w:uiPriority w:val="0"/>
    <w:pPr>
      <w:widowControl w:val="0"/>
      <w:adjustRightInd w:val="0"/>
      <w:spacing w:line="312" w:lineRule="atLeast"/>
      <w:jc w:val="right"/>
      <w:textAlignment w:val="baseline"/>
    </w:pPr>
    <w:rPr>
      <w:rFonts w:ascii="楷体_GB2312" w:hAnsi="Calibri" w:cs="Times New Roman"/>
      <w:spacing w:val="-2"/>
      <w:szCs w:val="20"/>
    </w:rPr>
  </w:style>
  <w:style w:type="paragraph" w:customStyle="1" w:styleId="2704">
    <w:name w:val="正文444"/>
    <w:basedOn w:val="1"/>
    <w:qFormat/>
    <w:uiPriority w:val="0"/>
    <w:pPr>
      <w:widowControl w:val="0"/>
      <w:spacing w:line="300" w:lineRule="auto"/>
      <w:ind w:firstLine="480" w:firstLineChars="200"/>
      <w:jc w:val="both"/>
    </w:pPr>
    <w:rPr>
      <w:rFonts w:ascii="Calibri" w:hAnsi="Calibri" w:cs="Times New Roman"/>
      <w:spacing w:val="-2"/>
      <w:szCs w:val="20"/>
    </w:rPr>
  </w:style>
  <w:style w:type="paragraph" w:customStyle="1" w:styleId="2705">
    <w:name w:val="自定义正文"/>
    <w:basedOn w:val="1"/>
    <w:qFormat/>
    <w:uiPriority w:val="0"/>
    <w:pPr>
      <w:widowControl w:val="0"/>
      <w:adjustRightInd w:val="0"/>
      <w:spacing w:line="360" w:lineRule="auto"/>
      <w:ind w:firstLine="560"/>
      <w:jc w:val="both"/>
      <w:textAlignment w:val="baseline"/>
    </w:pPr>
    <w:rPr>
      <w:rFonts w:ascii="Calibri" w:hAnsi="Calibri" w:cs="Times New Roman"/>
      <w:spacing w:val="-2"/>
      <w:sz w:val="28"/>
      <w:szCs w:val="20"/>
    </w:rPr>
  </w:style>
  <w:style w:type="character" w:customStyle="1" w:styleId="2706">
    <w:name w:val="HTML 地址 Char1"/>
    <w:qFormat/>
    <w:uiPriority w:val="0"/>
    <w:rPr>
      <w:i/>
      <w:iCs/>
      <w:spacing w:val="-2"/>
      <w:sz w:val="28"/>
    </w:rPr>
  </w:style>
  <w:style w:type="paragraph" w:customStyle="1" w:styleId="2707">
    <w:name w:val="样式 标题 2H2SeHead wsa21标题 1.1. + 段前: 4.65 磅 段后: 4.65 磅 行距:..."/>
    <w:basedOn w:val="4"/>
    <w:qFormat/>
    <w:uiPriority w:val="0"/>
    <w:pPr>
      <w:widowControl w:val="0"/>
      <w:numPr>
        <w:ilvl w:val="0"/>
        <w:numId w:val="0"/>
      </w:numPr>
      <w:tabs>
        <w:tab w:val="left" w:pos="360"/>
        <w:tab w:val="left" w:pos="720"/>
        <w:tab w:val="left" w:pos="780"/>
        <w:tab w:val="left" w:pos="4614"/>
        <w:tab w:val="left" w:pos="6210"/>
        <w:tab w:val="left" w:pos="8092"/>
      </w:tabs>
      <w:snapToGrid w:val="0"/>
      <w:spacing w:before="100" w:beforeAutospacing="1" w:after="120" w:line="360" w:lineRule="auto"/>
      <w:ind w:left="6210" w:hanging="360"/>
    </w:pPr>
    <w:rPr>
      <w:rFonts w:eastAsia="宋体"/>
      <w:b w:val="0"/>
      <w:bCs/>
      <w:color w:val="000000"/>
      <w:szCs w:val="32"/>
      <w:lang w:val="zh-CN"/>
    </w:rPr>
  </w:style>
  <w:style w:type="character" w:customStyle="1" w:styleId="2708">
    <w:name w:val="签名 Char1"/>
    <w:qFormat/>
    <w:uiPriority w:val="0"/>
    <w:rPr>
      <w:spacing w:val="-2"/>
      <w:sz w:val="28"/>
    </w:rPr>
  </w:style>
  <w:style w:type="character" w:customStyle="1" w:styleId="2709">
    <w:name w:val="尾注文本 Char1"/>
    <w:qFormat/>
    <w:uiPriority w:val="0"/>
    <w:rPr>
      <w:spacing w:val="-2"/>
      <w:sz w:val="28"/>
    </w:rPr>
  </w:style>
  <w:style w:type="paragraph" w:customStyle="1" w:styleId="2710">
    <w:name w:val="MFS表格表头 Char Char"/>
    <w:basedOn w:val="1"/>
    <w:qFormat/>
    <w:uiPriority w:val="0"/>
    <w:pPr>
      <w:widowControl w:val="0"/>
      <w:spacing w:before="156" w:beforeLines="50" w:after="156" w:afterLines="50" w:line="360" w:lineRule="auto"/>
      <w:ind w:firstLine="241" w:firstLineChars="100"/>
      <w:jc w:val="center"/>
    </w:pPr>
    <w:rPr>
      <w:rFonts w:ascii="Calibri" w:hAnsi="Calibri" w:eastAsia="楷体_GB2312" w:cs="Times New Roman"/>
      <w:b/>
      <w:spacing w:val="-2"/>
      <w:szCs w:val="20"/>
    </w:rPr>
  </w:style>
  <w:style w:type="paragraph" w:customStyle="1" w:styleId="2711">
    <w:name w:val="wangjunbo.bullet"/>
    <w:basedOn w:val="1"/>
    <w:qFormat/>
    <w:uiPriority w:val="0"/>
    <w:pPr>
      <w:widowControl w:val="0"/>
      <w:spacing w:line="320" w:lineRule="exact"/>
      <w:jc w:val="center"/>
    </w:pPr>
    <w:rPr>
      <w:rFonts w:ascii="Calibri" w:hAnsi="Calibri" w:cs="Times New Roman"/>
      <w:spacing w:val="-2"/>
      <w:sz w:val="28"/>
      <w:szCs w:val="20"/>
    </w:rPr>
  </w:style>
  <w:style w:type="paragraph" w:customStyle="1" w:styleId="2712">
    <w:name w:val="表格间距"/>
    <w:basedOn w:val="1"/>
    <w:qFormat/>
    <w:uiPriority w:val="0"/>
    <w:pPr>
      <w:spacing w:line="280" w:lineRule="exact"/>
      <w:ind w:firstLine="420" w:firstLineChars="200"/>
    </w:pPr>
    <w:rPr>
      <w:rFonts w:ascii="Calibri" w:hAnsi="Calibri" w:cs="Times New Roman"/>
      <w:spacing w:val="-2"/>
      <w:sz w:val="28"/>
      <w:szCs w:val="20"/>
    </w:rPr>
  </w:style>
  <w:style w:type="character" w:customStyle="1" w:styleId="2713">
    <w:name w:val="正文首行缩进 Char3"/>
    <w:qFormat/>
    <w:uiPriority w:val="0"/>
    <w:rPr>
      <w:spacing w:val="-2"/>
      <w:kern w:val="2"/>
      <w:sz w:val="28"/>
      <w:szCs w:val="24"/>
    </w:rPr>
  </w:style>
  <w:style w:type="character" w:customStyle="1" w:styleId="2714">
    <w:name w:val="标题 Char2"/>
    <w:qFormat/>
    <w:uiPriority w:val="0"/>
    <w:rPr>
      <w:rFonts w:ascii="Cambria" w:hAnsi="Cambria" w:cs="Times New Roman"/>
      <w:b/>
      <w:bCs/>
      <w:spacing w:val="-2"/>
      <w:sz w:val="32"/>
      <w:szCs w:val="32"/>
    </w:rPr>
  </w:style>
  <w:style w:type="character" w:customStyle="1" w:styleId="2715">
    <w:name w:val="电子邮件签名 Char1"/>
    <w:qFormat/>
    <w:uiPriority w:val="0"/>
    <w:rPr>
      <w:spacing w:val="-2"/>
      <w:sz w:val="28"/>
    </w:rPr>
  </w:style>
  <w:style w:type="character" w:customStyle="1" w:styleId="2716">
    <w:name w:val="注释标题 Char2"/>
    <w:qFormat/>
    <w:uiPriority w:val="0"/>
    <w:rPr>
      <w:spacing w:val="-2"/>
      <w:sz w:val="28"/>
    </w:rPr>
  </w:style>
  <w:style w:type="character" w:customStyle="1" w:styleId="2717">
    <w:name w:val="结束语 Char2"/>
    <w:qFormat/>
    <w:uiPriority w:val="0"/>
    <w:rPr>
      <w:spacing w:val="-2"/>
      <w:sz w:val="28"/>
    </w:rPr>
  </w:style>
  <w:style w:type="character" w:customStyle="1" w:styleId="2718">
    <w:name w:val="称呼 Char2"/>
    <w:qFormat/>
    <w:uiPriority w:val="0"/>
    <w:rPr>
      <w:spacing w:val="-2"/>
      <w:sz w:val="28"/>
    </w:rPr>
  </w:style>
  <w:style w:type="character" w:customStyle="1" w:styleId="2719">
    <w:name w:val="正文文本缩进 3 Char2"/>
    <w:qFormat/>
    <w:uiPriority w:val="0"/>
    <w:rPr>
      <w:spacing w:val="-2"/>
      <w:sz w:val="16"/>
      <w:szCs w:val="16"/>
    </w:rPr>
  </w:style>
  <w:style w:type="paragraph" w:customStyle="1" w:styleId="2720">
    <w:name w:val="Char Char Char3"/>
    <w:basedOn w:val="1"/>
    <w:qFormat/>
    <w:uiPriority w:val="0"/>
    <w:rPr>
      <w:rFonts w:ascii="Calibri" w:hAnsi="Calibri" w:cs="Times New Roman"/>
      <w:spacing w:val="-2"/>
      <w:sz w:val="28"/>
      <w:szCs w:val="20"/>
    </w:rPr>
  </w:style>
  <w:style w:type="character" w:customStyle="1" w:styleId="2721">
    <w:name w:val="脚注文本 Char1"/>
    <w:qFormat/>
    <w:uiPriority w:val="0"/>
    <w:rPr>
      <w:spacing w:val="-2"/>
      <w:sz w:val="18"/>
      <w:szCs w:val="18"/>
    </w:rPr>
  </w:style>
  <w:style w:type="paragraph" w:customStyle="1" w:styleId="2722">
    <w:name w:val="标题02"/>
    <w:basedOn w:val="1"/>
    <w:qFormat/>
    <w:uiPriority w:val="0"/>
    <w:pPr>
      <w:widowControl w:val="0"/>
      <w:spacing w:line="360" w:lineRule="auto"/>
      <w:jc w:val="both"/>
      <w:outlineLvl w:val="1"/>
    </w:pPr>
    <w:rPr>
      <w:rFonts w:ascii="Calibri" w:hAnsi="Calibri" w:cs="Times New Roman"/>
      <w:b/>
      <w:spacing w:val="-2"/>
      <w:sz w:val="28"/>
      <w:szCs w:val="20"/>
    </w:rPr>
  </w:style>
  <w:style w:type="character" w:customStyle="1" w:styleId="2723">
    <w:name w:val="日期 Char2"/>
    <w:qFormat/>
    <w:uiPriority w:val="0"/>
    <w:rPr>
      <w:spacing w:val="-2"/>
      <w:sz w:val="28"/>
    </w:rPr>
  </w:style>
  <w:style w:type="character" w:customStyle="1" w:styleId="2724">
    <w:name w:val="副标题 Char2"/>
    <w:qFormat/>
    <w:uiPriority w:val="0"/>
    <w:rPr>
      <w:rFonts w:ascii="Cambria" w:hAnsi="Cambria" w:cs="Times New Roman"/>
      <w:b/>
      <w:bCs/>
      <w:spacing w:val="-2"/>
      <w:kern w:val="28"/>
      <w:sz w:val="32"/>
      <w:szCs w:val="32"/>
    </w:rPr>
  </w:style>
  <w:style w:type="paragraph" w:customStyle="1" w:styleId="2725">
    <w:name w:val="表头555"/>
    <w:basedOn w:val="1"/>
    <w:qFormat/>
    <w:uiPriority w:val="0"/>
    <w:pPr>
      <w:widowControl w:val="0"/>
      <w:adjustRightInd w:val="0"/>
      <w:snapToGrid w:val="0"/>
      <w:spacing w:after="50"/>
      <w:ind w:firstLine="422" w:firstLineChars="200"/>
      <w:jc w:val="center"/>
    </w:pPr>
    <w:rPr>
      <w:rFonts w:ascii="Calibri" w:cs="Times New Roman"/>
      <w:b/>
      <w:spacing w:val="-2"/>
      <w:sz w:val="28"/>
      <w:szCs w:val="20"/>
    </w:rPr>
  </w:style>
  <w:style w:type="character" w:customStyle="1" w:styleId="2726">
    <w:name w:val="批注主题 Char2"/>
    <w:qFormat/>
    <w:uiPriority w:val="0"/>
    <w:rPr>
      <w:b/>
      <w:bCs/>
      <w:spacing w:val="-2"/>
      <w:sz w:val="28"/>
    </w:rPr>
  </w:style>
  <w:style w:type="paragraph" w:customStyle="1" w:styleId="2727">
    <w:name w:val="Char Char Char Char Char Char Char Char Char1"/>
    <w:basedOn w:val="1"/>
    <w:qFormat/>
    <w:uiPriority w:val="0"/>
    <w:pPr>
      <w:widowControl w:val="0"/>
      <w:jc w:val="both"/>
    </w:pPr>
    <w:rPr>
      <w:rFonts w:ascii="Calibri" w:hAnsi="Calibri" w:cs="Times New Roman"/>
      <w:spacing w:val="-2"/>
      <w:sz w:val="28"/>
      <w:szCs w:val="20"/>
    </w:rPr>
  </w:style>
  <w:style w:type="paragraph" w:customStyle="1" w:styleId="2728">
    <w:name w:val="grajaxhang2"/>
    <w:basedOn w:val="1"/>
    <w:qFormat/>
    <w:uiPriority w:val="0"/>
    <w:pPr>
      <w:pBdr>
        <w:top w:val="single" w:color="08BD0C" w:sz="6" w:space="6"/>
        <w:left w:val="single" w:color="08BD0C" w:sz="6" w:space="6"/>
        <w:bottom w:val="single" w:color="08BD0C" w:sz="6" w:space="6"/>
        <w:right w:val="single" w:color="08BD0C" w:sz="6" w:space="6"/>
      </w:pBdr>
      <w:shd w:val="clear" w:color="auto" w:fill="E7FFE7"/>
      <w:spacing w:before="100" w:beforeAutospacing="1" w:after="100" w:afterAutospacing="1"/>
    </w:pPr>
    <w:rPr>
      <w:rFonts w:cs="Times New Roman"/>
      <w:color w:val="000000"/>
      <w:spacing w:val="-2"/>
      <w:sz w:val="18"/>
      <w:szCs w:val="18"/>
    </w:rPr>
  </w:style>
  <w:style w:type="paragraph" w:customStyle="1" w:styleId="2729">
    <w:name w:val="正文文字"/>
    <w:basedOn w:val="137"/>
    <w:next w:val="137"/>
    <w:qFormat/>
    <w:uiPriority w:val="0"/>
    <w:pPr>
      <w:widowControl w:val="0"/>
    </w:pPr>
    <w:rPr>
      <w:rFonts w:hint="default" w:hAnsi="Times New Roman" w:cs="Times New Roman"/>
      <w:color w:val="auto"/>
      <w:szCs w:val="24"/>
    </w:rPr>
  </w:style>
  <w:style w:type="character" w:customStyle="1" w:styleId="2730">
    <w:name w:val="批注框文本 Char2"/>
    <w:qFormat/>
    <w:uiPriority w:val="0"/>
    <w:rPr>
      <w:spacing w:val="-2"/>
      <w:sz w:val="18"/>
      <w:szCs w:val="18"/>
    </w:rPr>
  </w:style>
  <w:style w:type="character" w:customStyle="1" w:styleId="2731">
    <w:name w:val="正文文本 3 Char2"/>
    <w:qFormat/>
    <w:uiPriority w:val="0"/>
    <w:rPr>
      <w:spacing w:val="-2"/>
      <w:sz w:val="16"/>
      <w:szCs w:val="16"/>
    </w:rPr>
  </w:style>
  <w:style w:type="character" w:customStyle="1" w:styleId="2732">
    <w:name w:val="信息标题 Char1"/>
    <w:qFormat/>
    <w:uiPriority w:val="0"/>
    <w:rPr>
      <w:rFonts w:ascii="Cambria" w:hAnsi="Cambria" w:eastAsia="宋体" w:cs="Times New Roman"/>
      <w:spacing w:val="-2"/>
      <w:sz w:val="24"/>
      <w:szCs w:val="24"/>
      <w:shd w:val="pct20" w:color="auto" w:fill="auto"/>
    </w:rPr>
  </w:style>
  <w:style w:type="paragraph" w:customStyle="1" w:styleId="2733">
    <w:name w:val="麦志勤图标题"/>
    <w:basedOn w:val="1"/>
    <w:qFormat/>
    <w:uiPriority w:val="0"/>
    <w:pPr>
      <w:widowControl w:val="0"/>
      <w:adjustRightInd w:val="0"/>
      <w:snapToGrid w:val="0"/>
      <w:spacing w:before="156" w:beforeLines="50" w:line="300" w:lineRule="auto"/>
      <w:ind w:firstLine="480" w:firstLineChars="200"/>
      <w:jc w:val="both"/>
    </w:pPr>
    <w:rPr>
      <w:rFonts w:cs="Times New Roman"/>
      <w:spacing w:val="-2"/>
      <w:szCs w:val="20"/>
    </w:rPr>
  </w:style>
  <w:style w:type="paragraph" w:customStyle="1" w:styleId="2734">
    <w:name w:val="麦志勤标题二"/>
    <w:basedOn w:val="1"/>
    <w:qFormat/>
    <w:uiPriority w:val="0"/>
    <w:pPr>
      <w:widowControl w:val="0"/>
      <w:adjustRightInd w:val="0"/>
      <w:snapToGrid w:val="0"/>
      <w:spacing w:before="312" w:beforeLines="100" w:line="300" w:lineRule="auto"/>
      <w:jc w:val="both"/>
    </w:pPr>
    <w:rPr>
      <w:rFonts w:ascii="黑体" w:hAnsi="Calibri" w:eastAsia="黑体" w:cs="Times New Roman"/>
      <w:spacing w:val="-2"/>
      <w:sz w:val="36"/>
      <w:szCs w:val="20"/>
    </w:rPr>
  </w:style>
  <w:style w:type="paragraph" w:customStyle="1" w:styleId="2735">
    <w:name w:val="样式 标题 4H4Subsection + 段前: 6 磅 段后: 6 磅"/>
    <w:basedOn w:val="6"/>
    <w:qFormat/>
    <w:uiPriority w:val="0"/>
    <w:pPr>
      <w:keepNext w:val="0"/>
      <w:keepLines w:val="0"/>
      <w:widowControl w:val="0"/>
      <w:tabs>
        <w:tab w:val="left" w:pos="945"/>
        <w:tab w:val="left" w:pos="1620"/>
        <w:tab w:val="left" w:pos="1680"/>
        <w:tab w:val="left" w:pos="4614"/>
        <w:tab w:val="left" w:pos="5940"/>
      </w:tabs>
      <w:adjustRightInd w:val="0"/>
      <w:snapToGrid w:val="0"/>
      <w:spacing w:before="120" w:beforeLines="50" w:after="0" w:line="360" w:lineRule="auto"/>
      <w:ind w:left="5940" w:hanging="420"/>
      <w:jc w:val="both"/>
    </w:pPr>
    <w:rPr>
      <w:rFonts w:ascii="Times New Roman" w:hAnsi="Times New Roman" w:eastAsia="宋体" w:cs="宋体"/>
      <w:kern w:val="2"/>
      <w:sz w:val="24"/>
      <w:szCs w:val="20"/>
      <w:lang w:val="zh-CN"/>
    </w:rPr>
  </w:style>
  <w:style w:type="paragraph" w:customStyle="1" w:styleId="2736">
    <w:name w:val="Char Char112"/>
    <w:basedOn w:val="26"/>
    <w:qFormat/>
    <w:uiPriority w:val="0"/>
    <w:pPr>
      <w:widowControl w:val="0"/>
      <w:shd w:val="clear" w:color="auto" w:fill="000080"/>
      <w:jc w:val="both"/>
    </w:pPr>
    <w:rPr>
      <w:rFonts w:ascii="Tahoma" w:hAnsi="Tahoma" w:cs="Times New Roman"/>
      <w:sz w:val="28"/>
      <w:szCs w:val="24"/>
    </w:rPr>
  </w:style>
  <w:style w:type="paragraph" w:customStyle="1" w:styleId="2737">
    <w:name w:val="表题 11"/>
    <w:qFormat/>
    <w:uiPriority w:val="0"/>
    <w:pPr>
      <w:widowControl w:val="0"/>
      <w:adjustRightInd w:val="0"/>
      <w:spacing w:before="120" w:after="120"/>
      <w:jc w:val="center"/>
      <w:textAlignment w:val="baseline"/>
    </w:pPr>
    <w:rPr>
      <w:rFonts w:ascii="Times New Roman" w:hAnsi="Times New Roman" w:eastAsia="宋体" w:cs="Times New Roman"/>
      <w:sz w:val="30"/>
      <w:lang w:val="en-US" w:eastAsia="zh-CN" w:bidi="ar-SA"/>
    </w:rPr>
  </w:style>
  <w:style w:type="paragraph" w:customStyle="1" w:styleId="2738">
    <w:name w:val="正文尾"/>
    <w:qFormat/>
    <w:uiPriority w:val="0"/>
    <w:pPr>
      <w:widowControl w:val="0"/>
      <w:adjustRightInd w:val="0"/>
      <w:spacing w:line="300" w:lineRule="auto"/>
      <w:ind w:left="3969"/>
      <w:jc w:val="center"/>
      <w:textAlignment w:val="baseline"/>
    </w:pPr>
    <w:rPr>
      <w:rFonts w:ascii="Times New Roman" w:hAnsi="Times New Roman" w:eastAsia="宋体" w:cs="Times New Roman"/>
      <w:sz w:val="28"/>
      <w:lang w:val="en-US" w:eastAsia="zh-CN" w:bidi="ar-SA"/>
    </w:rPr>
  </w:style>
  <w:style w:type="paragraph" w:customStyle="1" w:styleId="2739">
    <w:name w:val="样式 宋体 小四"/>
    <w:basedOn w:val="1"/>
    <w:qFormat/>
    <w:uiPriority w:val="0"/>
    <w:pPr>
      <w:widowControl w:val="0"/>
      <w:adjustRightInd w:val="0"/>
      <w:snapToGrid w:val="0"/>
      <w:spacing w:line="480" w:lineRule="exact"/>
      <w:ind w:firstLine="200" w:firstLineChars="200"/>
      <w:jc w:val="both"/>
    </w:pPr>
    <w:rPr>
      <w:rFonts w:cs="Times New Roman"/>
      <w:snapToGrid w:val="0"/>
      <w:spacing w:val="-2"/>
      <w:szCs w:val="20"/>
    </w:rPr>
  </w:style>
  <w:style w:type="paragraph" w:customStyle="1" w:styleId="2740">
    <w:name w:val="样式 样式 宋体 小四 左 + 首行缩进:  2 字符"/>
    <w:basedOn w:val="1"/>
    <w:qFormat/>
    <w:uiPriority w:val="0"/>
    <w:pPr>
      <w:widowControl w:val="0"/>
      <w:spacing w:line="360" w:lineRule="auto"/>
      <w:ind w:firstLine="200" w:firstLineChars="200"/>
    </w:pPr>
    <w:rPr>
      <w:rFonts w:ascii="Calibri" w:hAnsi="Calibri"/>
      <w:spacing w:val="-2"/>
      <w:szCs w:val="20"/>
    </w:rPr>
  </w:style>
  <w:style w:type="paragraph" w:customStyle="1" w:styleId="2741">
    <w:name w:val="我的样式"/>
    <w:basedOn w:val="1"/>
    <w:qFormat/>
    <w:uiPriority w:val="0"/>
    <w:pPr>
      <w:widowControl w:val="0"/>
      <w:spacing w:line="360" w:lineRule="auto"/>
      <w:ind w:firstLine="230" w:firstLineChars="230"/>
      <w:jc w:val="both"/>
    </w:pPr>
    <w:rPr>
      <w:rFonts w:hAnsi="Calibri" w:cs="Times New Roman"/>
      <w:spacing w:val="-2"/>
      <w:szCs w:val="20"/>
      <w:lang w:val="en-GB"/>
    </w:rPr>
  </w:style>
  <w:style w:type="paragraph" w:customStyle="1" w:styleId="2742">
    <w:name w:val="style2"/>
    <w:basedOn w:val="1"/>
    <w:qFormat/>
    <w:uiPriority w:val="0"/>
    <w:pPr>
      <w:spacing w:before="100" w:beforeAutospacing="1" w:after="100" w:afterAutospacing="1"/>
    </w:pPr>
    <w:rPr>
      <w:rFonts w:hint="eastAsia" w:cs="Times New Roman"/>
      <w:b/>
      <w:bCs/>
      <w:spacing w:val="-2"/>
      <w:sz w:val="36"/>
      <w:szCs w:val="36"/>
    </w:rPr>
  </w:style>
  <w:style w:type="paragraph" w:customStyle="1" w:styleId="2743">
    <w:name w:val="样式 标题 3 + 段前: 0.5 行"/>
    <w:basedOn w:val="5"/>
    <w:qFormat/>
    <w:uiPriority w:val="0"/>
    <w:pPr>
      <w:keepLines w:val="0"/>
      <w:widowControl w:val="0"/>
      <w:tabs>
        <w:tab w:val="left" w:pos="360"/>
        <w:tab w:val="left" w:pos="720"/>
        <w:tab w:val="left" w:pos="1260"/>
        <w:tab w:val="left" w:pos="4614"/>
        <w:tab w:val="left" w:pos="8634"/>
      </w:tabs>
      <w:snapToGrid w:val="0"/>
      <w:spacing w:before="156" w:beforeLines="100" w:beforeAutospacing="1" w:after="156" w:afterLines="50" w:afterAutospacing="1" w:line="240" w:lineRule="auto"/>
      <w:ind w:left="7784" w:firstLine="482"/>
      <w:jc w:val="both"/>
    </w:pPr>
    <w:rPr>
      <w:rFonts w:ascii="Times New Roman" w:hAnsi="Times New Roman"/>
      <w:b w:val="0"/>
      <w:bCs w:val="0"/>
      <w:kern w:val="2"/>
      <w:szCs w:val="20"/>
      <w:lang w:val="zh-CN"/>
    </w:rPr>
  </w:style>
  <w:style w:type="paragraph" w:customStyle="1" w:styleId="2744">
    <w:name w:val="表格 12"/>
    <w:basedOn w:val="1"/>
    <w:qFormat/>
    <w:uiPriority w:val="0"/>
    <w:pPr>
      <w:widowControl w:val="0"/>
      <w:autoSpaceDE w:val="0"/>
      <w:autoSpaceDN w:val="0"/>
      <w:adjustRightInd w:val="0"/>
      <w:jc w:val="center"/>
      <w:textAlignment w:val="baseline"/>
    </w:pPr>
    <w:rPr>
      <w:rFonts w:ascii="Calibri" w:hAnsi="Calibri" w:cs="Times New Roman"/>
      <w:spacing w:val="-2"/>
      <w:szCs w:val="20"/>
    </w:rPr>
  </w:style>
  <w:style w:type="paragraph" w:customStyle="1" w:styleId="2745">
    <w:name w:val="纯文本13"/>
    <w:basedOn w:val="1"/>
    <w:qFormat/>
    <w:uiPriority w:val="0"/>
    <w:pPr>
      <w:widowControl w:val="0"/>
      <w:adjustRightInd w:val="0"/>
      <w:jc w:val="both"/>
      <w:textAlignment w:val="baseline"/>
    </w:pPr>
    <w:rPr>
      <w:rFonts w:hAnsi="Courier New" w:cs="Times New Roman"/>
      <w:spacing w:val="-2"/>
      <w:sz w:val="28"/>
      <w:szCs w:val="20"/>
    </w:rPr>
  </w:style>
  <w:style w:type="paragraph" w:customStyle="1" w:styleId="2746">
    <w:name w:val="Char Char1 Char Char Char Char3"/>
    <w:basedOn w:val="1"/>
    <w:qFormat/>
    <w:uiPriority w:val="0"/>
    <w:rPr>
      <w:rFonts w:ascii="Calibri" w:hAnsi="Calibri" w:cs="Times New Roman"/>
      <w:spacing w:val="-2"/>
      <w:szCs w:val="20"/>
    </w:rPr>
  </w:style>
  <w:style w:type="paragraph" w:customStyle="1" w:styleId="2747">
    <w:name w:val="正文文本 21"/>
    <w:basedOn w:val="1"/>
    <w:qFormat/>
    <w:uiPriority w:val="0"/>
    <w:pPr>
      <w:widowControl w:val="0"/>
      <w:adjustRightInd w:val="0"/>
      <w:ind w:firstLine="600"/>
      <w:textAlignment w:val="baseline"/>
    </w:pPr>
    <w:rPr>
      <w:rFonts w:ascii="Calibri" w:hAnsi="Calibri" w:cs="Times New Roman"/>
      <w:spacing w:val="-2"/>
      <w:kern w:val="24"/>
      <w:sz w:val="30"/>
      <w:szCs w:val="20"/>
    </w:rPr>
  </w:style>
  <w:style w:type="paragraph" w:customStyle="1" w:styleId="2748">
    <w:name w:val="粗文"/>
    <w:basedOn w:val="1"/>
    <w:qFormat/>
    <w:uiPriority w:val="0"/>
    <w:pPr>
      <w:widowControl w:val="0"/>
      <w:spacing w:line="480" w:lineRule="exact"/>
      <w:ind w:firstLine="480" w:firstLineChars="200"/>
      <w:jc w:val="both"/>
    </w:pPr>
    <w:rPr>
      <w:rFonts w:ascii="Calibri" w:hAnsi="Calibri" w:cs="Times New Roman"/>
      <w:spacing w:val="-2"/>
      <w:sz w:val="28"/>
      <w:szCs w:val="21"/>
    </w:rPr>
  </w:style>
  <w:style w:type="character" w:customStyle="1" w:styleId="2749">
    <w:name w:val="z-窗体底端 Char1"/>
    <w:qFormat/>
    <w:uiPriority w:val="99"/>
    <w:rPr>
      <w:rFonts w:ascii="Arial" w:hAnsi="Arial" w:cs="Arial"/>
      <w:vanish/>
      <w:spacing w:val="-2"/>
      <w:sz w:val="16"/>
      <w:szCs w:val="16"/>
    </w:rPr>
  </w:style>
  <w:style w:type="character" w:customStyle="1" w:styleId="2750">
    <w:name w:val="z-窗体顶端 Char1"/>
    <w:qFormat/>
    <w:uiPriority w:val="0"/>
    <w:rPr>
      <w:rFonts w:ascii="Arial" w:hAnsi="Arial" w:cs="Arial"/>
      <w:vanish/>
      <w:spacing w:val="-2"/>
      <w:sz w:val="16"/>
      <w:szCs w:val="16"/>
    </w:rPr>
  </w:style>
  <w:style w:type="paragraph" w:customStyle="1" w:styleId="2751">
    <w:name w:val="_Style 72"/>
    <w:next w:val="1"/>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2752">
    <w:name w:val="引用 Char2"/>
    <w:qFormat/>
    <w:uiPriority w:val="0"/>
    <w:rPr>
      <w:i/>
      <w:iCs/>
      <w:color w:val="000000"/>
      <w:spacing w:val="-2"/>
      <w:sz w:val="28"/>
    </w:rPr>
  </w:style>
  <w:style w:type="paragraph" w:customStyle="1" w:styleId="2753">
    <w:name w:val="mstheme-vert-navtxt"/>
    <w:basedOn w:val="1"/>
    <w:qFormat/>
    <w:uiPriority w:val="0"/>
    <w:pPr>
      <w:spacing w:before="100" w:beforeAutospacing="1" w:after="100" w:afterAutospacing="1"/>
    </w:pPr>
    <w:rPr>
      <w:rFonts w:ascii="Times New Roman" w:hAnsi="Times New Roman" w:cs="Times New Roman"/>
      <w:color w:val="000000"/>
      <w:spacing w:val="-2"/>
      <w:szCs w:val="20"/>
    </w:rPr>
  </w:style>
  <w:style w:type="character" w:customStyle="1" w:styleId="2754">
    <w:name w:val="明显引用 Char2"/>
    <w:qFormat/>
    <w:uiPriority w:val="0"/>
    <w:rPr>
      <w:b/>
      <w:bCs/>
      <w:i/>
      <w:iCs/>
      <w:color w:val="4F81BD"/>
      <w:spacing w:val="-2"/>
      <w:sz w:val="28"/>
    </w:rPr>
  </w:style>
  <w:style w:type="paragraph" w:customStyle="1" w:styleId="2755">
    <w:name w:val="mstheme-navtxtnext-g"/>
    <w:basedOn w:val="1"/>
    <w:qFormat/>
    <w:uiPriority w:val="0"/>
    <w:pPr>
      <w:spacing w:before="100" w:beforeAutospacing="1" w:after="100" w:afterAutospacing="1"/>
    </w:pPr>
    <w:rPr>
      <w:rFonts w:ascii="Times New Roman" w:hAnsi="Times New Roman" w:cs="Times New Roman"/>
      <w:color w:val="0033CC"/>
      <w:spacing w:val="-2"/>
      <w:szCs w:val="20"/>
    </w:rPr>
  </w:style>
  <w:style w:type="paragraph" w:customStyle="1" w:styleId="2756">
    <w:name w:val="font"/>
    <w:basedOn w:val="1"/>
    <w:qFormat/>
    <w:uiPriority w:val="0"/>
    <w:pPr>
      <w:spacing w:before="100" w:beforeAutospacing="1" w:after="100" w:afterAutospacing="1"/>
    </w:pPr>
    <w:rPr>
      <w:rFonts w:ascii="Arial Unicode MS" w:hAnsi="Arial Unicode MS" w:eastAsia="Arial Unicode MS" w:cs="Arial Unicode MS"/>
      <w:spacing w:val="-2"/>
      <w:szCs w:val="20"/>
    </w:rPr>
  </w:style>
  <w:style w:type="paragraph" w:customStyle="1" w:styleId="2757">
    <w:name w:val="mstheme-topbar-font-g"/>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758">
    <w:name w:val="页面 8"/>
    <w:basedOn w:val="2698"/>
    <w:qFormat/>
    <w:uiPriority w:val="0"/>
    <w:rPr>
      <w:sz w:val="30"/>
    </w:rPr>
  </w:style>
  <w:style w:type="paragraph" w:customStyle="1" w:styleId="2759">
    <w:name w:val="页面 7"/>
    <w:basedOn w:val="1"/>
    <w:qFormat/>
    <w:uiPriority w:val="0"/>
    <w:pPr>
      <w:widowControl w:val="0"/>
      <w:autoSpaceDE w:val="0"/>
      <w:autoSpaceDN w:val="0"/>
      <w:adjustRightInd w:val="0"/>
      <w:spacing w:before="120" w:after="120"/>
      <w:jc w:val="center"/>
      <w:textAlignment w:val="baseline"/>
    </w:pPr>
    <w:rPr>
      <w:rFonts w:ascii="Calibri" w:hAnsi="Calibri" w:cs="Times New Roman"/>
      <w:spacing w:val="-2"/>
      <w:sz w:val="32"/>
      <w:szCs w:val="20"/>
    </w:rPr>
  </w:style>
  <w:style w:type="paragraph" w:customStyle="1" w:styleId="2760">
    <w:name w:val="正文 31"/>
    <w:basedOn w:val="2761"/>
    <w:qFormat/>
    <w:uiPriority w:val="0"/>
    <w:pPr>
      <w:spacing w:line="360" w:lineRule="auto"/>
      <w:jc w:val="left"/>
    </w:pPr>
    <w:rPr>
      <w:rFonts w:eastAsia="楷体"/>
    </w:rPr>
  </w:style>
  <w:style w:type="paragraph" w:customStyle="1" w:styleId="2761">
    <w:name w:val="正文 3"/>
    <w:basedOn w:val="1"/>
    <w:qFormat/>
    <w:uiPriority w:val="0"/>
    <w:pPr>
      <w:widowControl w:val="0"/>
      <w:autoSpaceDE w:val="0"/>
      <w:autoSpaceDN w:val="0"/>
      <w:adjustRightInd w:val="0"/>
      <w:spacing w:line="300" w:lineRule="auto"/>
      <w:ind w:firstLine="567"/>
      <w:jc w:val="both"/>
      <w:textAlignment w:val="baseline"/>
    </w:pPr>
    <w:rPr>
      <w:rFonts w:ascii="Calibri" w:hAnsi="Calibri" w:eastAsia="楷体_GB2312" w:cs="Times New Roman"/>
      <w:spacing w:val="-2"/>
      <w:sz w:val="28"/>
      <w:szCs w:val="20"/>
    </w:rPr>
  </w:style>
  <w:style w:type="paragraph" w:customStyle="1" w:styleId="2762">
    <w:name w:val="表格标题_报告"/>
    <w:basedOn w:val="1"/>
    <w:qFormat/>
    <w:uiPriority w:val="0"/>
    <w:pPr>
      <w:keepNext/>
      <w:widowControl w:val="0"/>
      <w:spacing w:before="156" w:beforeLines="50"/>
      <w:jc w:val="center"/>
    </w:pPr>
    <w:rPr>
      <w:rFonts w:ascii="黑体" w:hAnsi="Calibri" w:eastAsia="黑体" w:cs="Times New Roman"/>
      <w:spacing w:val="-2"/>
      <w:sz w:val="28"/>
      <w:szCs w:val="20"/>
    </w:rPr>
  </w:style>
  <w:style w:type="paragraph" w:customStyle="1" w:styleId="2763">
    <w:name w:val="标题 43"/>
    <w:basedOn w:val="6"/>
    <w:qFormat/>
    <w:uiPriority w:val="0"/>
    <w:pPr>
      <w:keepNext w:val="0"/>
      <w:keepLines w:val="0"/>
      <w:widowControl w:val="0"/>
      <w:tabs>
        <w:tab w:val="left" w:pos="945"/>
        <w:tab w:val="left" w:pos="1620"/>
      </w:tabs>
      <w:adjustRightInd w:val="0"/>
      <w:snapToGrid w:val="0"/>
      <w:spacing w:before="120" w:beforeLines="50" w:after="120" w:line="240" w:lineRule="auto"/>
      <w:ind w:firstLine="567" w:firstLineChars="200"/>
      <w:textAlignment w:val="baseline"/>
      <w:outlineLvl w:val="9"/>
    </w:pPr>
    <w:rPr>
      <w:rFonts w:ascii="Times New Roman" w:hAnsi="Times New Roman" w:eastAsia="隶书体" w:cs="Times New Roman"/>
      <w:b w:val="0"/>
      <w:bCs w:val="0"/>
      <w:sz w:val="30"/>
      <w:szCs w:val="20"/>
    </w:rPr>
  </w:style>
  <w:style w:type="paragraph" w:customStyle="1" w:styleId="2764">
    <w:name w:val="mstheme-navtxtup"/>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765">
    <w:name w:val="样式 标题 4H4Subsection + 黑色1"/>
    <w:basedOn w:val="6"/>
    <w:qFormat/>
    <w:uiPriority w:val="0"/>
    <w:pPr>
      <w:keepNext w:val="0"/>
      <w:keepLines w:val="0"/>
      <w:widowControl w:val="0"/>
      <w:tabs>
        <w:tab w:val="left" w:pos="945"/>
        <w:tab w:val="left" w:pos="1620"/>
        <w:tab w:val="left" w:pos="1680"/>
        <w:tab w:val="left" w:pos="4614"/>
        <w:tab w:val="left" w:pos="5940"/>
      </w:tabs>
      <w:adjustRightInd w:val="0"/>
      <w:snapToGrid w:val="0"/>
      <w:spacing w:before="120" w:beforeLines="50" w:after="0" w:line="360" w:lineRule="auto"/>
      <w:ind w:left="510" w:hanging="420"/>
      <w:jc w:val="both"/>
    </w:pPr>
    <w:rPr>
      <w:rFonts w:ascii="Times New Roman" w:hAnsi="Times New Roman" w:eastAsia="宋体" w:cs="Times New Roman"/>
      <w:color w:val="000000"/>
      <w:kern w:val="11"/>
      <w:sz w:val="24"/>
      <w:lang w:val="zh-CN"/>
    </w:rPr>
  </w:style>
  <w:style w:type="paragraph" w:customStyle="1" w:styleId="2766">
    <w:name w:val="麦志勤标题4"/>
    <w:basedOn w:val="6"/>
    <w:qFormat/>
    <w:uiPriority w:val="0"/>
    <w:pPr>
      <w:widowControl w:val="0"/>
      <w:tabs>
        <w:tab w:val="left" w:pos="945"/>
        <w:tab w:val="left" w:pos="1620"/>
      </w:tabs>
      <w:adjustRightInd w:val="0"/>
      <w:snapToGrid w:val="0"/>
      <w:spacing w:before="312" w:beforeLines="100" w:after="0" w:line="300" w:lineRule="auto"/>
      <w:ind w:firstLine="980" w:firstLineChars="200"/>
      <w:jc w:val="both"/>
    </w:pPr>
    <w:rPr>
      <w:rFonts w:ascii="黑体" w:hAnsi="Times New Roman" w:eastAsia="黑体" w:cs="Times New Roman"/>
      <w:b w:val="0"/>
      <w:bCs w:val="0"/>
      <w:snapToGrid w:val="0"/>
      <w:sz w:val="30"/>
      <w:szCs w:val="24"/>
      <w:lang w:val="zh-CN"/>
    </w:rPr>
  </w:style>
  <w:style w:type="paragraph" w:customStyle="1" w:styleId="2767">
    <w:name w:val="mstheme-navtxtup-g"/>
    <w:basedOn w:val="1"/>
    <w:qFormat/>
    <w:uiPriority w:val="0"/>
    <w:pPr>
      <w:spacing w:before="100" w:beforeAutospacing="1" w:after="100" w:afterAutospacing="1"/>
    </w:pPr>
    <w:rPr>
      <w:rFonts w:ascii="Times New Roman" w:hAnsi="Times New Roman" w:cs="Times New Roman"/>
      <w:color w:val="0033CC"/>
      <w:spacing w:val="-2"/>
      <w:szCs w:val="20"/>
    </w:rPr>
  </w:style>
  <w:style w:type="paragraph" w:customStyle="1" w:styleId="2768">
    <w:name w:val="样式 (符号) Bookman Old Style 小四 首行缩进:  0.85 厘米 行距: 1.5 倍行距"/>
    <w:basedOn w:val="1"/>
    <w:qFormat/>
    <w:uiPriority w:val="0"/>
    <w:pPr>
      <w:widowControl w:val="0"/>
      <w:spacing w:line="360" w:lineRule="auto"/>
      <w:ind w:firstLine="482"/>
      <w:jc w:val="both"/>
    </w:pPr>
    <w:rPr>
      <w:rFonts w:ascii="Calibri" w:hAnsi="Bookman Old Style"/>
      <w:spacing w:val="-2"/>
      <w:szCs w:val="20"/>
    </w:rPr>
  </w:style>
  <w:style w:type="paragraph" w:customStyle="1" w:styleId="2769">
    <w:name w:val="韩奇"/>
    <w:basedOn w:val="1"/>
    <w:qFormat/>
    <w:uiPriority w:val="0"/>
    <w:pPr>
      <w:widowControl w:val="0"/>
      <w:adjustRightInd w:val="0"/>
      <w:spacing w:line="500" w:lineRule="exact"/>
      <w:ind w:firstLine="200" w:firstLineChars="200"/>
      <w:jc w:val="both"/>
    </w:pPr>
    <w:rPr>
      <w:rFonts w:ascii="Calibri" w:hAnsi="Calibri" w:eastAsia="楷体_GB2312" w:cs="Times New Roman"/>
      <w:spacing w:val="-2"/>
      <w:sz w:val="28"/>
      <w:szCs w:val="20"/>
    </w:rPr>
  </w:style>
  <w:style w:type="paragraph" w:customStyle="1" w:styleId="2770">
    <w:name w:val="页面 5"/>
    <w:basedOn w:val="2698"/>
    <w:qFormat/>
    <w:uiPriority w:val="0"/>
    <w:rPr>
      <w:sz w:val="44"/>
    </w:rPr>
  </w:style>
  <w:style w:type="paragraph" w:customStyle="1" w:styleId="2771">
    <w:name w:val="目录 71"/>
    <w:basedOn w:val="13"/>
    <w:qFormat/>
    <w:uiPriority w:val="0"/>
    <w:pPr>
      <w:ind w:left="567" w:firstLine="425"/>
    </w:pPr>
    <w:rPr>
      <w:rFonts w:ascii="Calibri" w:hAnsi="Calibri" w:cs="Calibri"/>
      <w:spacing w:val="-2"/>
      <w:kern w:val="0"/>
      <w:szCs w:val="20"/>
    </w:rPr>
  </w:style>
  <w:style w:type="paragraph" w:customStyle="1" w:styleId="2772">
    <w:name w:val="目录4"/>
    <w:basedOn w:val="45"/>
    <w:next w:val="1"/>
    <w:qFormat/>
    <w:uiPriority w:val="0"/>
    <w:pPr>
      <w:tabs>
        <w:tab w:val="right" w:leader="dot" w:pos="8313"/>
      </w:tabs>
      <w:autoSpaceDE w:val="0"/>
      <w:autoSpaceDN w:val="0"/>
      <w:adjustRightInd w:val="0"/>
      <w:ind w:left="0" w:firstLine="1531"/>
      <w:jc w:val="both"/>
      <w:textAlignment w:val="baseline"/>
    </w:pPr>
    <w:rPr>
      <w:rFonts w:ascii="Calibri" w:hAnsi="Calibri" w:eastAsia="仿宋体" w:cs="Calibri"/>
      <w:i w:val="0"/>
      <w:iCs w:val="0"/>
      <w:spacing w:val="-2"/>
      <w:kern w:val="0"/>
      <w:sz w:val="28"/>
    </w:rPr>
  </w:style>
  <w:style w:type="paragraph" w:customStyle="1" w:styleId="2773">
    <w:name w:val="标题 53"/>
    <w:basedOn w:val="7"/>
    <w:qFormat/>
    <w:uiPriority w:val="0"/>
    <w:pPr>
      <w:keepNext w:val="0"/>
      <w:keepLines w:val="0"/>
      <w:tabs>
        <w:tab w:val="clear" w:pos="945"/>
        <w:tab w:val="clear" w:pos="1155"/>
        <w:tab w:val="clear" w:pos="2551"/>
        <w:tab w:val="clear" w:pos="8715"/>
      </w:tabs>
      <w:autoSpaceDE w:val="0"/>
      <w:autoSpaceDN w:val="0"/>
      <w:spacing w:before="120" w:after="120" w:line="240" w:lineRule="auto"/>
      <w:ind w:left="567" w:firstLine="0"/>
      <w:jc w:val="left"/>
      <w:textAlignment w:val="baseline"/>
      <w:outlineLvl w:val="9"/>
    </w:pPr>
    <w:rPr>
      <w:rFonts w:eastAsia="隶书体"/>
      <w:b w:val="0"/>
      <w:snapToGrid/>
    </w:rPr>
  </w:style>
  <w:style w:type="paragraph" w:customStyle="1" w:styleId="2774">
    <w:name w:val="表题1"/>
    <w:next w:val="309"/>
    <w:qFormat/>
    <w:uiPriority w:val="0"/>
    <w:pPr>
      <w:keepNext/>
      <w:keepLines/>
      <w:widowControl w:val="0"/>
      <w:topLinePunct/>
      <w:autoSpaceDE w:val="0"/>
      <w:autoSpaceDN w:val="0"/>
      <w:adjustRightInd w:val="0"/>
      <w:spacing w:line="360" w:lineRule="auto"/>
      <w:jc w:val="center"/>
      <w:textAlignment w:val="baseline"/>
    </w:pPr>
    <w:rPr>
      <w:rFonts w:ascii="Times New Roman" w:hAnsi="Times New Roman" w:eastAsia="仿宋体" w:cs="Times New Roman"/>
      <w:sz w:val="28"/>
      <w:lang w:val="en-US" w:eastAsia="zh-CN" w:bidi="ar-SA"/>
    </w:rPr>
  </w:style>
  <w:style w:type="paragraph" w:customStyle="1" w:styleId="2775">
    <w:name w:val="Char Char Char Char Char Char Char Char Char Char Char Char1 Char"/>
    <w:basedOn w:val="1"/>
    <w:qFormat/>
    <w:uiPriority w:val="0"/>
    <w:pPr>
      <w:widowControl w:val="0"/>
      <w:spacing w:line="360" w:lineRule="auto"/>
      <w:ind w:firstLine="200" w:firstLineChars="200"/>
      <w:jc w:val="both"/>
    </w:pPr>
    <w:rPr>
      <w:rFonts w:ascii="Calibri" w:hAnsi="Calibri" w:cs="Times New Roman"/>
      <w:spacing w:val="-2"/>
      <w:szCs w:val="20"/>
    </w:rPr>
  </w:style>
  <w:style w:type="paragraph" w:customStyle="1" w:styleId="2776">
    <w:name w:val="表格 22"/>
    <w:basedOn w:val="859"/>
    <w:qFormat/>
    <w:uiPriority w:val="0"/>
    <w:rPr>
      <w:rFonts w:eastAsia="仿宋体"/>
      <w:sz w:val="24"/>
    </w:rPr>
  </w:style>
  <w:style w:type="paragraph" w:customStyle="1" w:styleId="2777">
    <w:name w:val="表格+小五"/>
    <w:basedOn w:val="1"/>
    <w:qFormat/>
    <w:uiPriority w:val="0"/>
    <w:pPr>
      <w:widowControl w:val="0"/>
      <w:jc w:val="center"/>
    </w:pPr>
    <w:rPr>
      <w:rFonts w:ascii="Calibri" w:hAnsi="Calibri" w:cs="Times New Roman"/>
      <w:color w:val="000000"/>
      <w:spacing w:val="-2"/>
      <w:sz w:val="18"/>
      <w:szCs w:val="21"/>
    </w:rPr>
  </w:style>
  <w:style w:type="paragraph" w:customStyle="1" w:styleId="2778">
    <w:name w:val="Char Char Char Char Char Char Char Char Char Char Char Char Char6"/>
    <w:basedOn w:val="1"/>
    <w:qFormat/>
    <w:uiPriority w:val="0"/>
    <w:pPr>
      <w:widowControl w:val="0"/>
      <w:jc w:val="both"/>
    </w:pPr>
    <w:rPr>
      <w:rFonts w:ascii="Calibri" w:hAnsi="Calibri" w:cs="Times New Roman"/>
      <w:spacing w:val="-2"/>
      <w:sz w:val="28"/>
      <w:szCs w:val="21"/>
    </w:rPr>
  </w:style>
  <w:style w:type="paragraph" w:customStyle="1" w:styleId="2779">
    <w:name w:val="要点2"/>
    <w:basedOn w:val="2780"/>
    <w:qFormat/>
    <w:uiPriority w:val="0"/>
    <w:pPr>
      <w:tabs>
        <w:tab w:val="left" w:pos="360"/>
        <w:tab w:val="left" w:pos="945"/>
        <w:tab w:val="left" w:pos="1174"/>
      </w:tabs>
      <w:spacing w:before="62" w:beforeLines="20"/>
      <w:ind w:left="0" w:firstLine="454" w:firstLineChars="0"/>
    </w:pPr>
  </w:style>
  <w:style w:type="paragraph" w:customStyle="1" w:styleId="2780">
    <w:name w:val="要点13"/>
    <w:basedOn w:val="21"/>
    <w:qFormat/>
    <w:uiPriority w:val="0"/>
    <w:pPr>
      <w:widowControl w:val="0"/>
      <w:tabs>
        <w:tab w:val="left" w:pos="360"/>
        <w:tab w:val="left" w:pos="945"/>
      </w:tabs>
      <w:adjustRightInd w:val="0"/>
      <w:snapToGrid w:val="0"/>
      <w:spacing w:before="156" w:beforeLines="50" w:line="360" w:lineRule="exact"/>
      <w:ind w:left="945" w:right="567" w:rightChars="270" w:hanging="360" w:hangingChars="200"/>
      <w:jc w:val="both"/>
    </w:pPr>
    <w:rPr>
      <w:rFonts w:ascii="Times New Roman" w:hAnsi="Times New Roman" w:cs="Times New Roman"/>
      <w:sz w:val="20"/>
    </w:rPr>
  </w:style>
  <w:style w:type="paragraph" w:customStyle="1" w:styleId="2781">
    <w:name w:val="普通(Web)"/>
    <w:basedOn w:val="1"/>
    <w:qFormat/>
    <w:uiPriority w:val="0"/>
    <w:pPr>
      <w:spacing w:before="100" w:beforeAutospacing="1" w:after="100" w:afterAutospacing="1"/>
    </w:pPr>
    <w:rPr>
      <w:spacing w:val="-2"/>
      <w:szCs w:val="20"/>
    </w:rPr>
  </w:style>
  <w:style w:type="paragraph" w:customStyle="1" w:styleId="2782">
    <w:name w:val="正文0"/>
    <w:basedOn w:val="1"/>
    <w:qFormat/>
    <w:uiPriority w:val="0"/>
    <w:pPr>
      <w:widowControl w:val="0"/>
      <w:autoSpaceDE w:val="0"/>
      <w:autoSpaceDN w:val="0"/>
      <w:adjustRightInd w:val="0"/>
      <w:spacing w:line="360" w:lineRule="auto"/>
      <w:ind w:firstLine="567"/>
      <w:textAlignment w:val="baseline"/>
    </w:pPr>
    <w:rPr>
      <w:rFonts w:ascii="Calibri" w:hAnsi="Calibri" w:eastAsia="仿宋体" w:cs="Times New Roman"/>
      <w:spacing w:val="-2"/>
      <w:szCs w:val="20"/>
    </w:rPr>
  </w:style>
  <w:style w:type="paragraph" w:customStyle="1" w:styleId="2783">
    <w:name w:val="页面 6"/>
    <w:basedOn w:val="2698"/>
    <w:qFormat/>
    <w:uiPriority w:val="0"/>
    <w:rPr>
      <w:sz w:val="36"/>
    </w:rPr>
  </w:style>
  <w:style w:type="paragraph" w:customStyle="1" w:styleId="2784">
    <w:name w:val="图底"/>
    <w:basedOn w:val="1"/>
    <w:qFormat/>
    <w:uiPriority w:val="0"/>
    <w:pPr>
      <w:widowControl w:val="0"/>
      <w:kinsoku w:val="0"/>
      <w:wordWrap w:val="0"/>
      <w:overflowPunct w:val="0"/>
      <w:autoSpaceDE w:val="0"/>
      <w:autoSpaceDN w:val="0"/>
      <w:adjustRightInd w:val="0"/>
      <w:jc w:val="center"/>
      <w:textAlignment w:val="baseline"/>
    </w:pPr>
    <w:rPr>
      <w:rFonts w:ascii="Calibri" w:hAnsi="Calibri" w:cs="Times New Roman"/>
      <w:b/>
      <w:spacing w:val="-2"/>
      <w:szCs w:val="20"/>
    </w:rPr>
  </w:style>
  <w:style w:type="paragraph" w:customStyle="1" w:styleId="2785">
    <w:name w:val="表题 1"/>
    <w:qFormat/>
    <w:uiPriority w:val="0"/>
    <w:pPr>
      <w:widowControl w:val="0"/>
      <w:adjustRightInd w:val="0"/>
      <w:spacing w:before="120" w:after="120"/>
      <w:jc w:val="center"/>
      <w:textAlignment w:val="baseline"/>
    </w:pPr>
    <w:rPr>
      <w:rFonts w:ascii="Times New Roman" w:hAnsi="Times New Roman" w:eastAsia="宋体" w:cs="Times New Roman"/>
      <w:sz w:val="30"/>
      <w:lang w:val="en-US" w:eastAsia="zh-CN" w:bidi="ar-SA"/>
    </w:rPr>
  </w:style>
  <w:style w:type="paragraph" w:customStyle="1" w:styleId="2786">
    <w:name w:val="金光华表文字"/>
    <w:basedOn w:val="1"/>
    <w:qFormat/>
    <w:uiPriority w:val="0"/>
    <w:pPr>
      <w:spacing w:before="60" w:after="60"/>
      <w:jc w:val="center"/>
    </w:pPr>
    <w:rPr>
      <w:rFonts w:ascii="Calibri" w:hAnsi="Calibri" w:cs="Times New Roman"/>
      <w:spacing w:val="-2"/>
      <w:sz w:val="28"/>
      <w:szCs w:val="21"/>
    </w:rPr>
  </w:style>
  <w:style w:type="paragraph" w:customStyle="1" w:styleId="2787">
    <w:name w:val="前言"/>
    <w:basedOn w:val="1"/>
    <w:qFormat/>
    <w:uiPriority w:val="0"/>
    <w:pPr>
      <w:pageBreakBefore/>
      <w:widowControl w:val="0"/>
      <w:autoSpaceDE w:val="0"/>
      <w:autoSpaceDN w:val="0"/>
      <w:adjustRightInd w:val="0"/>
      <w:spacing w:line="288" w:lineRule="auto"/>
      <w:ind w:firstLine="454"/>
      <w:jc w:val="center"/>
      <w:textAlignment w:val="baseline"/>
    </w:pPr>
    <w:rPr>
      <w:rFonts w:ascii="黑体" w:hAnsi="Calibri" w:eastAsia="黑体" w:cs="Times New Roman"/>
      <w:spacing w:val="-2"/>
      <w:sz w:val="32"/>
      <w:szCs w:val="20"/>
    </w:rPr>
  </w:style>
  <w:style w:type="paragraph" w:customStyle="1" w:styleId="2788">
    <w:name w:val="样式 宋体 行距: 固定值 25 磅1"/>
    <w:basedOn w:val="1"/>
    <w:qFormat/>
    <w:uiPriority w:val="0"/>
    <w:pPr>
      <w:widowControl w:val="0"/>
      <w:tabs>
        <w:tab w:val="left" w:pos="4009"/>
        <w:tab w:val="left" w:pos="5254"/>
      </w:tabs>
      <w:spacing w:line="360" w:lineRule="auto"/>
      <w:ind w:firstLine="480" w:firstLineChars="200"/>
      <w:jc w:val="both"/>
    </w:pPr>
    <w:rPr>
      <w:spacing w:val="-2"/>
      <w:szCs w:val="20"/>
    </w:rPr>
  </w:style>
  <w:style w:type="paragraph" w:customStyle="1" w:styleId="2789">
    <w:name w:val="样式 样式 标题 4H4Subsection + 段前: 6 磅 段后: 6 磅 + 黑色"/>
    <w:basedOn w:val="2735"/>
    <w:qFormat/>
    <w:uiPriority w:val="0"/>
    <w:pPr>
      <w:ind w:left="0"/>
    </w:pPr>
    <w:rPr>
      <w:color w:val="000000"/>
    </w:rPr>
  </w:style>
  <w:style w:type="paragraph" w:customStyle="1" w:styleId="2790">
    <w:name w:val="段落2"/>
    <w:basedOn w:val="1"/>
    <w:qFormat/>
    <w:uiPriority w:val="0"/>
    <w:pPr>
      <w:widowControl w:val="0"/>
      <w:adjustRightInd w:val="0"/>
      <w:spacing w:line="440" w:lineRule="exact"/>
    </w:pPr>
    <w:rPr>
      <w:rFonts w:ascii="Calibri" w:hAnsi="Calibri" w:cs="Times New Roman"/>
      <w:spacing w:val="4"/>
      <w:sz w:val="28"/>
      <w:szCs w:val="20"/>
    </w:rPr>
  </w:style>
  <w:style w:type="paragraph" w:customStyle="1" w:styleId="2791">
    <w:name w:val="流程图文字"/>
    <w:basedOn w:val="1"/>
    <w:qFormat/>
    <w:uiPriority w:val="0"/>
    <w:pPr>
      <w:widowControl w:val="0"/>
      <w:spacing w:line="288" w:lineRule="auto"/>
      <w:jc w:val="center"/>
    </w:pPr>
    <w:rPr>
      <w:rFonts w:ascii="Calibri" w:hAnsi="Calibri" w:eastAsia="楷体_GB2312" w:cs="Times New Roman"/>
      <w:spacing w:val="-2"/>
      <w:sz w:val="28"/>
      <w:szCs w:val="20"/>
    </w:rPr>
  </w:style>
  <w:style w:type="paragraph" w:customStyle="1" w:styleId="2792">
    <w:name w:val="段落1"/>
    <w:basedOn w:val="1"/>
    <w:qFormat/>
    <w:uiPriority w:val="0"/>
    <w:pPr>
      <w:widowControl w:val="0"/>
      <w:adjustRightInd w:val="0"/>
      <w:spacing w:line="440" w:lineRule="exact"/>
      <w:ind w:firstLine="510"/>
      <w:jc w:val="both"/>
    </w:pPr>
    <w:rPr>
      <w:rFonts w:ascii="Calibri" w:hAnsi="Calibri" w:eastAsia="仿宋_GB2312" w:cs="Times New Roman"/>
      <w:spacing w:val="4"/>
      <w:sz w:val="28"/>
      <w:szCs w:val="20"/>
    </w:rPr>
  </w:style>
  <w:style w:type="paragraph" w:customStyle="1" w:styleId="2793">
    <w:name w:val="表的格式（小四）"/>
    <w:basedOn w:val="1"/>
    <w:qFormat/>
    <w:uiPriority w:val="0"/>
    <w:pPr>
      <w:widowControl w:val="0"/>
      <w:adjustRightInd w:val="0"/>
      <w:spacing w:line="360" w:lineRule="atLeast"/>
      <w:jc w:val="center"/>
    </w:pPr>
    <w:rPr>
      <w:rFonts w:ascii="Calibri" w:hAnsi="Calibri" w:cs="Times New Roman"/>
      <w:spacing w:val="-2"/>
      <w:szCs w:val="20"/>
    </w:rPr>
  </w:style>
  <w:style w:type="paragraph" w:customStyle="1" w:styleId="2794">
    <w:name w:val="Char Char Char Char Char Char Char3"/>
    <w:basedOn w:val="1"/>
    <w:qFormat/>
    <w:uiPriority w:val="0"/>
    <w:pPr>
      <w:widowControl w:val="0"/>
      <w:jc w:val="both"/>
    </w:pPr>
    <w:rPr>
      <w:rFonts w:ascii="Calibri" w:hAnsi="Calibri" w:cs="Times New Roman"/>
      <w:spacing w:val="-2"/>
      <w:sz w:val="28"/>
      <w:szCs w:val="20"/>
    </w:rPr>
  </w:style>
  <w:style w:type="paragraph" w:customStyle="1" w:styleId="2795">
    <w:name w:val="Char2 Char Char Char Char Char Char"/>
    <w:basedOn w:val="1"/>
    <w:qFormat/>
    <w:uiPriority w:val="0"/>
    <w:pPr>
      <w:widowControl w:val="0"/>
      <w:spacing w:line="360" w:lineRule="auto"/>
      <w:ind w:firstLine="200" w:firstLineChars="200"/>
      <w:jc w:val="both"/>
    </w:pPr>
    <w:rPr>
      <w:spacing w:val="-2"/>
      <w:szCs w:val="20"/>
    </w:rPr>
  </w:style>
  <w:style w:type="paragraph" w:customStyle="1" w:styleId="2796">
    <w:name w:val="unnamed2"/>
    <w:basedOn w:val="1"/>
    <w:qFormat/>
    <w:uiPriority w:val="0"/>
    <w:pPr>
      <w:spacing w:before="100" w:beforeAutospacing="1" w:after="100" w:afterAutospacing="1" w:line="360" w:lineRule="auto"/>
      <w:ind w:left="-2" w:leftChars="-1" w:firstLine="456" w:firstLineChars="190"/>
    </w:pPr>
    <w:rPr>
      <w:spacing w:val="-2"/>
      <w:szCs w:val="20"/>
    </w:rPr>
  </w:style>
  <w:style w:type="paragraph" w:customStyle="1" w:styleId="2797">
    <w:name w:val="表格 1"/>
    <w:basedOn w:val="1"/>
    <w:qFormat/>
    <w:uiPriority w:val="0"/>
    <w:pPr>
      <w:widowControl w:val="0"/>
      <w:autoSpaceDE w:val="0"/>
      <w:autoSpaceDN w:val="0"/>
      <w:adjustRightInd w:val="0"/>
      <w:spacing w:line="360" w:lineRule="auto"/>
      <w:ind w:left="-2" w:leftChars="-1" w:firstLine="456" w:firstLineChars="190"/>
      <w:jc w:val="center"/>
    </w:pPr>
    <w:rPr>
      <w:rFonts w:ascii="Calibri" w:hAnsi="Calibri" w:eastAsia="楷体_GB2312" w:cs="Times New Roman"/>
      <w:spacing w:val="-2"/>
      <w:sz w:val="28"/>
      <w:szCs w:val="20"/>
    </w:rPr>
  </w:style>
  <w:style w:type="paragraph" w:customStyle="1" w:styleId="2798">
    <w:name w:val="表、图名"/>
    <w:basedOn w:val="1"/>
    <w:qFormat/>
    <w:uiPriority w:val="0"/>
    <w:pPr>
      <w:widowControl w:val="0"/>
      <w:adjustRightInd w:val="0"/>
      <w:snapToGrid w:val="0"/>
      <w:ind w:left="-6"/>
      <w:jc w:val="center"/>
    </w:pPr>
    <w:rPr>
      <w:rFonts w:ascii="黑体" w:eastAsia="黑体" w:cs="Times New Roman"/>
      <w:color w:val="000000"/>
      <w:spacing w:val="-2"/>
      <w:sz w:val="28"/>
      <w:szCs w:val="18"/>
    </w:rPr>
  </w:style>
  <w:style w:type="paragraph" w:customStyle="1" w:styleId="2799">
    <w:name w:val="5文章(治)"/>
    <w:basedOn w:val="1"/>
    <w:qFormat/>
    <w:uiPriority w:val="0"/>
    <w:pPr>
      <w:widowControl w:val="0"/>
      <w:spacing w:line="360" w:lineRule="auto"/>
      <w:ind w:firstLine="560" w:firstLineChars="200"/>
      <w:jc w:val="both"/>
    </w:pPr>
    <w:rPr>
      <w:rFonts w:ascii="Calibri" w:hAnsi="Calibri" w:eastAsia="楷体_GB2312" w:cs="Times New Roman"/>
      <w:spacing w:val="-2"/>
      <w:sz w:val="28"/>
      <w:szCs w:val="20"/>
    </w:rPr>
  </w:style>
  <w:style w:type="paragraph" w:customStyle="1" w:styleId="2800">
    <w:name w:val="样式 样式 样式1 + 居中 + 五号"/>
    <w:basedOn w:val="1"/>
    <w:qFormat/>
    <w:uiPriority w:val="0"/>
    <w:pPr>
      <w:widowControl w:val="0"/>
      <w:ind w:left="-288" w:leftChars="-137" w:firstLine="288" w:firstLineChars="137"/>
      <w:jc w:val="center"/>
    </w:pPr>
    <w:rPr>
      <w:rFonts w:ascii="Calibri" w:hAnsi="Calibri"/>
      <w:spacing w:val="-2"/>
      <w:sz w:val="28"/>
      <w:szCs w:val="21"/>
    </w:rPr>
  </w:style>
  <w:style w:type="paragraph" w:customStyle="1" w:styleId="2801">
    <w:name w:val="页面 2"/>
    <w:basedOn w:val="2698"/>
    <w:qFormat/>
    <w:uiPriority w:val="0"/>
    <w:rPr>
      <w:sz w:val="72"/>
    </w:rPr>
  </w:style>
  <w:style w:type="paragraph" w:customStyle="1" w:styleId="2802">
    <w:name w:val="列表项目编号"/>
    <w:basedOn w:val="1"/>
    <w:qFormat/>
    <w:uiPriority w:val="0"/>
    <w:pPr>
      <w:widowControl w:val="0"/>
      <w:tabs>
        <w:tab w:val="left" w:pos="432"/>
      </w:tabs>
      <w:adjustRightInd w:val="0"/>
      <w:spacing w:line="360" w:lineRule="auto"/>
      <w:ind w:left="432" w:hanging="432"/>
      <w:jc w:val="both"/>
    </w:pPr>
    <w:rPr>
      <w:rFonts w:ascii="Calibri" w:hAnsi="Calibri" w:cs="Times New Roman"/>
      <w:spacing w:val="-2"/>
      <w:sz w:val="28"/>
      <w:szCs w:val="20"/>
    </w:rPr>
  </w:style>
  <w:style w:type="paragraph" w:customStyle="1" w:styleId="2803">
    <w:name w:val="正文 2"/>
    <w:basedOn w:val="1"/>
    <w:qFormat/>
    <w:uiPriority w:val="0"/>
    <w:pPr>
      <w:widowControl w:val="0"/>
      <w:autoSpaceDE w:val="0"/>
      <w:autoSpaceDN w:val="0"/>
      <w:adjustRightInd w:val="0"/>
      <w:spacing w:line="300" w:lineRule="auto"/>
      <w:ind w:firstLine="510"/>
      <w:jc w:val="both"/>
      <w:textAlignment w:val="baseline"/>
    </w:pPr>
    <w:rPr>
      <w:rFonts w:ascii="Calibri" w:hAnsi="Calibri" w:eastAsia="楷体_GB2312" w:cs="Times New Roman"/>
      <w:spacing w:val="-2"/>
      <w:szCs w:val="20"/>
    </w:rPr>
  </w:style>
  <w:style w:type="paragraph" w:customStyle="1" w:styleId="2804">
    <w:name w:val="INDEX"/>
    <w:basedOn w:val="1"/>
    <w:qFormat/>
    <w:uiPriority w:val="0"/>
    <w:pPr>
      <w:widowControl w:val="0"/>
      <w:adjustRightInd w:val="0"/>
      <w:spacing w:line="360" w:lineRule="atLeast"/>
      <w:ind w:left="720" w:hanging="720"/>
      <w:textAlignment w:val="baseline"/>
    </w:pPr>
    <w:rPr>
      <w:rFonts w:ascii="全真楷書" w:hAnsi="Calibri" w:eastAsia="全真楷書" w:cs="Dutch801 Rm BT"/>
      <w:spacing w:val="-2"/>
      <w:szCs w:val="20"/>
      <w:lang w:eastAsia="zh-TW"/>
    </w:rPr>
  </w:style>
  <w:style w:type="paragraph" w:customStyle="1" w:styleId="2805">
    <w:name w:val="标题 23"/>
    <w:basedOn w:val="4"/>
    <w:qFormat/>
    <w:uiPriority w:val="0"/>
    <w:pPr>
      <w:keepNext w:val="0"/>
      <w:widowControl w:val="0"/>
      <w:numPr>
        <w:ilvl w:val="0"/>
        <w:numId w:val="0"/>
      </w:numPr>
      <w:tabs>
        <w:tab w:val="left" w:pos="360"/>
        <w:tab w:val="left" w:pos="720"/>
        <w:tab w:val="left" w:pos="8092"/>
      </w:tabs>
      <w:snapToGrid w:val="0"/>
      <w:spacing w:before="50" w:after="50" w:line="360" w:lineRule="auto"/>
      <w:ind w:firstLine="980" w:firstLineChars="200"/>
      <w:outlineLvl w:val="9"/>
    </w:pPr>
    <w:rPr>
      <w:rFonts w:ascii="Times New Roman" w:hAnsi="Times New Roman" w:eastAsia="隶书体" w:cs="Times New Roman"/>
      <w:color w:val="FF0000"/>
      <w:sz w:val="36"/>
      <w:szCs w:val="20"/>
    </w:rPr>
  </w:style>
  <w:style w:type="paragraph" w:customStyle="1" w:styleId="2806">
    <w:name w:val="表题 12"/>
    <w:basedOn w:val="2737"/>
    <w:qFormat/>
    <w:uiPriority w:val="0"/>
    <w:rPr>
      <w:sz w:val="28"/>
    </w:rPr>
  </w:style>
  <w:style w:type="paragraph" w:customStyle="1" w:styleId="2807">
    <w:name w:val="表号"/>
    <w:qFormat/>
    <w:uiPriority w:val="0"/>
    <w:pPr>
      <w:widowControl w:val="0"/>
      <w:autoSpaceDE w:val="0"/>
      <w:autoSpaceDN w:val="0"/>
      <w:adjustRightInd w:val="0"/>
      <w:spacing w:before="120" w:after="120" w:line="288" w:lineRule="auto"/>
      <w:jc w:val="center"/>
      <w:textAlignment w:val="center"/>
    </w:pPr>
    <w:rPr>
      <w:rFonts w:ascii="Arial" w:hAnsi="Arial" w:eastAsia="楷体_GB2312" w:cs="Times New Roman"/>
      <w:sz w:val="24"/>
      <w:lang w:val="en-US" w:eastAsia="zh-CN" w:bidi="ar-SA"/>
    </w:rPr>
  </w:style>
  <w:style w:type="paragraph" w:customStyle="1" w:styleId="2808">
    <w:name w:val="表题 3"/>
    <w:basedOn w:val="2785"/>
    <w:qFormat/>
    <w:uiPriority w:val="0"/>
    <w:rPr>
      <w:sz w:val="24"/>
    </w:rPr>
  </w:style>
  <w:style w:type="paragraph" w:customStyle="1" w:styleId="2809">
    <w:name w:val="页面 1"/>
    <w:basedOn w:val="2698"/>
    <w:qFormat/>
    <w:uiPriority w:val="0"/>
    <w:rPr>
      <w:rFonts w:eastAsia="隶书"/>
      <w:sz w:val="84"/>
    </w:rPr>
  </w:style>
  <w:style w:type="paragraph" w:customStyle="1" w:styleId="2810">
    <w:name w:val="Char5 Char Char Char1 Char Char Char"/>
    <w:basedOn w:val="1"/>
    <w:qFormat/>
    <w:uiPriority w:val="0"/>
    <w:pPr>
      <w:widowControl w:val="0"/>
      <w:jc w:val="both"/>
    </w:pPr>
    <w:rPr>
      <w:rFonts w:ascii="Calibri" w:hAnsi="Calibri" w:cs="Times New Roman"/>
      <w:spacing w:val="-2"/>
      <w:sz w:val="28"/>
      <w:szCs w:val="20"/>
    </w:rPr>
  </w:style>
  <w:style w:type="paragraph" w:customStyle="1" w:styleId="2811">
    <w:name w:val="正文尾 1"/>
    <w:qFormat/>
    <w:uiPriority w:val="0"/>
    <w:pPr>
      <w:widowControl w:val="0"/>
      <w:adjustRightInd w:val="0"/>
      <w:spacing w:line="360" w:lineRule="auto"/>
      <w:ind w:left="3969"/>
      <w:jc w:val="center"/>
      <w:textAlignment w:val="baseline"/>
    </w:pPr>
    <w:rPr>
      <w:rFonts w:ascii="Times New Roman" w:hAnsi="Times New Roman" w:eastAsia="宋体" w:cs="Times New Roman"/>
      <w:sz w:val="28"/>
      <w:lang w:val="en-US" w:eastAsia="zh-CN" w:bidi="ar-SA"/>
    </w:rPr>
  </w:style>
  <w:style w:type="paragraph" w:customStyle="1" w:styleId="2812">
    <w:name w:val="表格 31"/>
    <w:qFormat/>
    <w:uiPriority w:val="0"/>
    <w:pPr>
      <w:widowControl w:val="0"/>
      <w:autoSpaceDE w:val="0"/>
      <w:autoSpaceDN w:val="0"/>
      <w:adjustRightInd w:val="0"/>
      <w:jc w:val="center"/>
      <w:textAlignment w:val="baseline"/>
    </w:pPr>
    <w:rPr>
      <w:rFonts w:ascii="Times New Roman" w:hAnsi="Times New Roman" w:eastAsia="楷体" w:cs="Times New Roman"/>
      <w:sz w:val="28"/>
      <w:lang w:val="en-US" w:eastAsia="zh-CN" w:bidi="ar-SA"/>
    </w:rPr>
  </w:style>
  <w:style w:type="paragraph" w:customStyle="1" w:styleId="2813">
    <w:name w:val="标题 33"/>
    <w:basedOn w:val="5"/>
    <w:qFormat/>
    <w:uiPriority w:val="0"/>
    <w:pPr>
      <w:keepNext w:val="0"/>
      <w:keepLines w:val="0"/>
      <w:widowControl w:val="0"/>
      <w:tabs>
        <w:tab w:val="left" w:pos="360"/>
        <w:tab w:val="left" w:pos="720"/>
      </w:tabs>
      <w:snapToGrid w:val="0"/>
      <w:spacing w:before="156" w:beforeLines="100" w:after="156" w:afterLines="50" w:line="360" w:lineRule="auto"/>
      <w:ind w:firstLine="567" w:firstLineChars="200"/>
      <w:jc w:val="both"/>
      <w:outlineLvl w:val="9"/>
    </w:pPr>
    <w:rPr>
      <w:rFonts w:ascii="Times New Roman" w:hAnsi="Times New Roman" w:eastAsia="隶书体" w:cs="Times New Roman"/>
      <w:b w:val="0"/>
      <w:snapToGrid w:val="0"/>
      <w:spacing w:val="4"/>
      <w:kern w:val="2"/>
      <w:szCs w:val="20"/>
    </w:rPr>
  </w:style>
  <w:style w:type="paragraph" w:customStyle="1" w:styleId="2814">
    <w:name w:val="标题 63"/>
    <w:basedOn w:val="8"/>
    <w:qFormat/>
    <w:uiPriority w:val="0"/>
    <w:pPr>
      <w:keepNext w:val="0"/>
      <w:keepLines w:val="0"/>
      <w:tabs>
        <w:tab w:val="clear" w:pos="945"/>
        <w:tab w:val="clear" w:pos="1155"/>
        <w:tab w:val="clear" w:pos="3260"/>
        <w:tab w:val="clear" w:pos="8715"/>
      </w:tabs>
      <w:autoSpaceDE w:val="0"/>
      <w:autoSpaceDN w:val="0"/>
      <w:snapToGrid/>
      <w:spacing w:before="120" w:after="120" w:line="240" w:lineRule="auto"/>
      <w:ind w:left="567" w:firstLine="0"/>
      <w:jc w:val="left"/>
      <w:textAlignment w:val="baseline"/>
      <w:outlineLvl w:val="9"/>
    </w:pPr>
    <w:rPr>
      <w:rFonts w:ascii="Times New Roman" w:hAnsi="Times New Roman" w:eastAsia="隶书体"/>
      <w:b w:val="0"/>
      <w:snapToGrid/>
    </w:rPr>
  </w:style>
  <w:style w:type="paragraph" w:customStyle="1" w:styleId="2815">
    <w:name w:val="样式 (符号) Bookman Old Style 小四 行距: 1.5 倍行距"/>
    <w:basedOn w:val="1"/>
    <w:qFormat/>
    <w:uiPriority w:val="0"/>
    <w:pPr>
      <w:widowControl w:val="0"/>
      <w:spacing w:line="360" w:lineRule="auto"/>
      <w:jc w:val="both"/>
    </w:pPr>
    <w:rPr>
      <w:rFonts w:ascii="Calibri" w:hAnsi="Bookman Old Style"/>
      <w:spacing w:val="-2"/>
      <w:szCs w:val="20"/>
    </w:rPr>
  </w:style>
  <w:style w:type="paragraph" w:customStyle="1" w:styleId="2816">
    <w:name w:val="样式 (符号) Bookman Old Style 小四 首行缩进:  0.63 厘米 行距: 1.5 倍行距"/>
    <w:basedOn w:val="1"/>
    <w:qFormat/>
    <w:uiPriority w:val="0"/>
    <w:pPr>
      <w:widowControl w:val="0"/>
      <w:spacing w:line="360" w:lineRule="auto"/>
      <w:ind w:firstLine="357"/>
      <w:jc w:val="both"/>
    </w:pPr>
    <w:rPr>
      <w:rFonts w:ascii="Calibri" w:hAnsi="Bookman Old Style"/>
      <w:spacing w:val="-2"/>
      <w:szCs w:val="20"/>
    </w:rPr>
  </w:style>
  <w:style w:type="paragraph" w:customStyle="1" w:styleId="2817">
    <w:name w:val="样式 标题 1Head 1wsa + 三号 加粗 居中 行距: 1.5 倍行距"/>
    <w:basedOn w:val="3"/>
    <w:qFormat/>
    <w:uiPriority w:val="0"/>
    <w:pPr>
      <w:keepNext w:val="0"/>
      <w:pageBreakBefore/>
      <w:tabs>
        <w:tab w:val="left" w:pos="4614"/>
      </w:tabs>
      <w:overflowPunct/>
      <w:autoSpaceDN w:val="0"/>
      <w:adjustRightInd w:val="0"/>
      <w:spacing w:before="0" w:after="0" w:line="360" w:lineRule="auto"/>
      <w:ind w:left="0" w:firstLine="0"/>
      <w:jc w:val="center"/>
      <w:textAlignment w:val="baseline"/>
    </w:pPr>
    <w:rPr>
      <w:rFonts w:eastAsia="宋体"/>
      <w:color w:val="auto"/>
      <w:kern w:val="2"/>
      <w:sz w:val="32"/>
      <w:lang w:val="zh-CN"/>
    </w:rPr>
  </w:style>
  <w:style w:type="paragraph" w:customStyle="1" w:styleId="2818">
    <w:name w:val="表标题8"/>
    <w:basedOn w:val="1"/>
    <w:qFormat/>
    <w:uiPriority w:val="0"/>
    <w:pPr>
      <w:keepNext/>
      <w:autoSpaceDE w:val="0"/>
      <w:autoSpaceDN w:val="0"/>
      <w:adjustRightInd w:val="0"/>
      <w:spacing w:before="180" w:after="120" w:line="408" w:lineRule="atLeast"/>
      <w:jc w:val="center"/>
      <w:textAlignment w:val="baseline"/>
    </w:pPr>
    <w:rPr>
      <w:rFonts w:ascii="Calibri" w:hAnsi="Calibri" w:cs="Times New Roman"/>
      <w:b/>
      <w:spacing w:val="2"/>
      <w:sz w:val="28"/>
      <w:szCs w:val="20"/>
    </w:rPr>
  </w:style>
  <w:style w:type="paragraph" w:customStyle="1" w:styleId="2819">
    <w:name w:val="表头 1"/>
    <w:basedOn w:val="1"/>
    <w:qFormat/>
    <w:uiPriority w:val="0"/>
    <w:pPr>
      <w:widowControl w:val="0"/>
      <w:spacing w:before="240" w:after="120"/>
      <w:jc w:val="center"/>
    </w:pPr>
    <w:rPr>
      <w:rFonts w:ascii="Calibri" w:hAnsi="Calibri" w:eastAsia="黑体" w:cs="Times New Roman"/>
      <w:spacing w:val="-2"/>
      <w:szCs w:val="20"/>
    </w:rPr>
  </w:style>
  <w:style w:type="paragraph" w:customStyle="1" w:styleId="2820">
    <w:name w:val="style1"/>
    <w:basedOn w:val="1"/>
    <w:qFormat/>
    <w:uiPriority w:val="0"/>
    <w:pPr>
      <w:spacing w:before="100" w:beforeAutospacing="1" w:after="100" w:afterAutospacing="1"/>
    </w:pPr>
    <w:rPr>
      <w:color w:val="333333"/>
      <w:spacing w:val="-2"/>
      <w:szCs w:val="20"/>
    </w:rPr>
  </w:style>
  <w:style w:type="paragraph" w:customStyle="1" w:styleId="2821">
    <w:name w:val="样式 标题 4H4Subsection + 黑色"/>
    <w:basedOn w:val="6"/>
    <w:qFormat/>
    <w:uiPriority w:val="0"/>
    <w:pPr>
      <w:keepNext w:val="0"/>
      <w:keepLines w:val="0"/>
      <w:widowControl w:val="0"/>
      <w:tabs>
        <w:tab w:val="left" w:pos="-480"/>
        <w:tab w:val="left" w:pos="945"/>
        <w:tab w:val="left" w:pos="1620"/>
        <w:tab w:val="left" w:pos="1680"/>
        <w:tab w:val="left" w:pos="4614"/>
        <w:tab w:val="left" w:pos="5940"/>
      </w:tabs>
      <w:adjustRightInd w:val="0"/>
      <w:snapToGrid w:val="0"/>
      <w:spacing w:before="120" w:beforeLines="50" w:after="0" w:line="360" w:lineRule="auto"/>
      <w:ind w:left="5940" w:firstLine="482" w:firstLineChars="200"/>
      <w:jc w:val="both"/>
    </w:pPr>
    <w:rPr>
      <w:rFonts w:ascii="Times New Roman" w:hAnsi="Times New Roman" w:eastAsia="宋体" w:cs="Times New Roman"/>
      <w:color w:val="000000"/>
      <w:kern w:val="2"/>
      <w:sz w:val="24"/>
      <w:lang w:val="zh-CN"/>
    </w:rPr>
  </w:style>
  <w:style w:type="paragraph" w:customStyle="1" w:styleId="2822">
    <w:name w:val="图表文字"/>
    <w:basedOn w:val="1"/>
    <w:qFormat/>
    <w:uiPriority w:val="0"/>
    <w:pPr>
      <w:adjustRightInd w:val="0"/>
      <w:spacing w:before="120" w:after="120"/>
      <w:jc w:val="center"/>
    </w:pPr>
    <w:rPr>
      <w:rFonts w:ascii="黑体" w:hAnsi="Calibri" w:eastAsia="黑体" w:cs="Times New Roman"/>
      <w:spacing w:val="-2"/>
      <w:sz w:val="28"/>
      <w:szCs w:val="20"/>
    </w:rPr>
  </w:style>
  <w:style w:type="paragraph" w:customStyle="1" w:styleId="2823">
    <w:name w:val="样式 标题 2H22nd levelh22Header 21SeHead wsa2Chapter Title..."/>
    <w:basedOn w:val="4"/>
    <w:qFormat/>
    <w:uiPriority w:val="0"/>
    <w:pPr>
      <w:widowControl w:val="0"/>
      <w:numPr>
        <w:ilvl w:val="0"/>
        <w:numId w:val="0"/>
      </w:numPr>
      <w:tabs>
        <w:tab w:val="left" w:pos="360"/>
        <w:tab w:val="left" w:pos="720"/>
        <w:tab w:val="left" w:pos="780"/>
        <w:tab w:val="left" w:pos="4614"/>
        <w:tab w:val="left" w:pos="6210"/>
        <w:tab w:val="left" w:pos="8092"/>
      </w:tabs>
      <w:snapToGrid w:val="0"/>
      <w:spacing w:before="100" w:beforeAutospacing="1" w:after="100" w:afterAutospacing="1" w:line="360" w:lineRule="auto"/>
      <w:ind w:left="6210" w:hanging="360"/>
    </w:pPr>
    <w:rPr>
      <w:rFonts w:ascii="Times New Roman" w:hAnsi="Times New Roman" w:eastAsia="宋体"/>
      <w:bCs/>
      <w:color w:val="FF0000"/>
      <w:szCs w:val="32"/>
      <w:lang w:val="zh-CN"/>
    </w:rPr>
  </w:style>
  <w:style w:type="paragraph" w:customStyle="1" w:styleId="2824">
    <w:name w:val="样式 标题 3B HeadH3ReHead 3 WSAh3标题 3 Char.. + 段前: 0 磅 行距: 1..."/>
    <w:basedOn w:val="5"/>
    <w:qFormat/>
    <w:uiPriority w:val="0"/>
    <w:pPr>
      <w:keepLines w:val="0"/>
      <w:widowControl w:val="0"/>
      <w:tabs>
        <w:tab w:val="left" w:pos="360"/>
        <w:tab w:val="left" w:pos="720"/>
        <w:tab w:val="left" w:pos="1260"/>
        <w:tab w:val="left" w:pos="4614"/>
        <w:tab w:val="left" w:pos="8634"/>
      </w:tabs>
      <w:snapToGrid w:val="0"/>
      <w:spacing w:before="156" w:beforeLines="100" w:beforeAutospacing="1" w:after="156" w:afterLines="50" w:afterAutospacing="1" w:line="360" w:lineRule="auto"/>
      <w:ind w:left="7784" w:hanging="284"/>
      <w:jc w:val="both"/>
    </w:pPr>
    <w:rPr>
      <w:rFonts w:ascii="Times New Roman" w:hAnsi="Times New Roman"/>
      <w:bCs w:val="0"/>
      <w:kern w:val="2"/>
      <w:szCs w:val="20"/>
      <w:lang w:val="zh-CN"/>
    </w:rPr>
  </w:style>
  <w:style w:type="paragraph" w:customStyle="1" w:styleId="2825">
    <w:name w:val="样式 行距: 1.5 倍行距"/>
    <w:basedOn w:val="1"/>
    <w:qFormat/>
    <w:uiPriority w:val="0"/>
    <w:pPr>
      <w:widowControl w:val="0"/>
      <w:adjustRightInd w:val="0"/>
      <w:snapToGrid w:val="0"/>
      <w:spacing w:line="360" w:lineRule="auto"/>
      <w:ind w:firstLine="504" w:firstLineChars="200"/>
      <w:jc w:val="both"/>
    </w:pPr>
    <w:rPr>
      <w:rFonts w:ascii="Calibri" w:hAnsi="Calibri"/>
      <w:color w:val="000000"/>
      <w:spacing w:val="6"/>
      <w:szCs w:val="20"/>
    </w:rPr>
  </w:style>
  <w:style w:type="paragraph" w:customStyle="1" w:styleId="2826">
    <w:name w:val="正文段"/>
    <w:basedOn w:val="1"/>
    <w:qFormat/>
    <w:uiPriority w:val="0"/>
    <w:pPr>
      <w:widowControl w:val="0"/>
      <w:spacing w:line="360" w:lineRule="auto"/>
      <w:ind w:firstLine="420"/>
      <w:jc w:val="both"/>
    </w:pPr>
    <w:rPr>
      <w:rFonts w:hAnsi="Calibri" w:cs="Times New Roman"/>
      <w:spacing w:val="-2"/>
      <w:szCs w:val="20"/>
    </w:rPr>
  </w:style>
  <w:style w:type="paragraph" w:customStyle="1" w:styleId="2827">
    <w:name w:val="Pa4"/>
    <w:basedOn w:val="1"/>
    <w:next w:val="1"/>
    <w:qFormat/>
    <w:uiPriority w:val="0"/>
    <w:pPr>
      <w:widowControl w:val="0"/>
      <w:autoSpaceDE w:val="0"/>
      <w:autoSpaceDN w:val="0"/>
      <w:adjustRightInd w:val="0"/>
      <w:spacing w:line="211" w:lineRule="atLeast"/>
    </w:pPr>
    <w:rPr>
      <w:rFonts w:ascii="Sim Sun" w:hAnsi="Calibri" w:eastAsia="Sim Sun" w:cs="Times New Roman"/>
      <w:spacing w:val="-2"/>
      <w:szCs w:val="20"/>
    </w:rPr>
  </w:style>
  <w:style w:type="paragraph" w:customStyle="1" w:styleId="2828">
    <w:name w:val="con14"/>
    <w:basedOn w:val="1"/>
    <w:qFormat/>
    <w:uiPriority w:val="0"/>
    <w:pPr>
      <w:spacing w:before="100" w:beforeAutospacing="1" w:after="100" w:afterAutospacing="1"/>
    </w:pPr>
    <w:rPr>
      <w:rFonts w:ascii="Arial Unicode MS" w:hAnsi="Arial Unicode MS" w:eastAsia="Arial Unicode MS" w:cs="Arial Unicode MS"/>
      <w:color w:val="000000"/>
      <w:spacing w:val="-2"/>
      <w:sz w:val="20"/>
      <w:szCs w:val="20"/>
    </w:rPr>
  </w:style>
  <w:style w:type="paragraph" w:customStyle="1" w:styleId="2829">
    <w:name w:val="mstheme-bannertxt"/>
    <w:basedOn w:val="1"/>
    <w:qFormat/>
    <w:uiPriority w:val="0"/>
    <w:pPr>
      <w:spacing w:before="100" w:beforeAutospacing="1" w:after="100" w:afterAutospacing="1"/>
    </w:pPr>
    <w:rPr>
      <w:rFonts w:ascii="Times New Roman" w:hAnsi="Times New Roman" w:cs="Times New Roman"/>
      <w:color w:val="0033CC"/>
      <w:spacing w:val="-2"/>
      <w:szCs w:val="20"/>
    </w:rPr>
  </w:style>
  <w:style w:type="paragraph" w:customStyle="1" w:styleId="2830">
    <w:name w:val="封面标准号2"/>
    <w:basedOn w:val="1"/>
    <w:qFormat/>
    <w:uiPriority w:val="0"/>
    <w:pPr>
      <w:kinsoku w:val="0"/>
      <w:overflowPunct w:val="0"/>
      <w:autoSpaceDE w:val="0"/>
      <w:autoSpaceDN w:val="0"/>
      <w:adjustRightInd w:val="0"/>
      <w:spacing w:before="357" w:line="280" w:lineRule="exact"/>
      <w:jc w:val="right"/>
      <w:textAlignment w:val="center"/>
    </w:pPr>
    <w:rPr>
      <w:rFonts w:ascii="Calibri" w:hAnsi="Calibri" w:cs="Times New Roman"/>
      <w:spacing w:val="-2"/>
      <w:szCs w:val="28"/>
    </w:rPr>
  </w:style>
  <w:style w:type="paragraph" w:customStyle="1" w:styleId="2831">
    <w:name w:val="纯文本11"/>
    <w:basedOn w:val="1"/>
    <w:qFormat/>
    <w:uiPriority w:val="0"/>
    <w:pPr>
      <w:widowControl w:val="0"/>
      <w:adjustRightInd w:val="0"/>
      <w:jc w:val="both"/>
      <w:textAlignment w:val="baseline"/>
    </w:pPr>
    <w:rPr>
      <w:rFonts w:hAnsi="Courier New" w:cs="Times New Roman"/>
      <w:spacing w:val="-2"/>
      <w:sz w:val="28"/>
      <w:szCs w:val="20"/>
    </w:rPr>
  </w:style>
  <w:style w:type="paragraph" w:customStyle="1" w:styleId="2832">
    <w:name w:val="1 Char Char Char Char"/>
    <w:basedOn w:val="1"/>
    <w:qFormat/>
    <w:uiPriority w:val="0"/>
    <w:pPr>
      <w:widowControl w:val="0"/>
      <w:jc w:val="both"/>
    </w:pPr>
    <w:rPr>
      <w:rFonts w:ascii="Calibri" w:hAnsi="Calibri" w:cs="Times New Roman"/>
      <w:spacing w:val="-2"/>
      <w:sz w:val="28"/>
      <w:szCs w:val="20"/>
    </w:rPr>
  </w:style>
  <w:style w:type="paragraph" w:customStyle="1" w:styleId="2833">
    <w:name w:val="样式 正文缩进1 + 首行缩进:  2 字符"/>
    <w:basedOn w:val="21"/>
    <w:qFormat/>
    <w:uiPriority w:val="0"/>
    <w:pPr>
      <w:widowControl w:val="0"/>
      <w:spacing w:line="360" w:lineRule="auto"/>
      <w:ind w:left="0" w:firstLine="480" w:firstLineChars="200"/>
      <w:jc w:val="both"/>
    </w:pPr>
    <w:rPr>
      <w:rFonts w:hAnsi="Times New Roman"/>
      <w:sz w:val="24"/>
    </w:rPr>
  </w:style>
  <w:style w:type="paragraph" w:customStyle="1" w:styleId="2834">
    <w:name w:val="样式 正文首行缩进:  2 字符 + 首行缩进:  2 字符"/>
    <w:basedOn w:val="1"/>
    <w:qFormat/>
    <w:uiPriority w:val="0"/>
    <w:pPr>
      <w:widowControl w:val="0"/>
      <w:spacing w:line="360" w:lineRule="auto"/>
      <w:ind w:firstLine="480" w:firstLineChars="200"/>
      <w:jc w:val="both"/>
    </w:pPr>
    <w:rPr>
      <w:rFonts w:ascii="Calibri" w:hAnsi="Calibri"/>
      <w:spacing w:val="-2"/>
      <w:szCs w:val="20"/>
    </w:rPr>
  </w:style>
  <w:style w:type="paragraph" w:customStyle="1" w:styleId="2835">
    <w:name w:val="表标题5"/>
    <w:basedOn w:val="1"/>
    <w:qFormat/>
    <w:uiPriority w:val="0"/>
    <w:pPr>
      <w:keepNext/>
      <w:autoSpaceDE w:val="0"/>
      <w:autoSpaceDN w:val="0"/>
      <w:adjustRightInd w:val="0"/>
      <w:spacing w:before="60" w:after="120" w:line="408" w:lineRule="atLeast"/>
      <w:ind w:firstLine="482"/>
      <w:jc w:val="center"/>
      <w:textAlignment w:val="baseline"/>
    </w:pPr>
    <w:rPr>
      <w:rFonts w:ascii="Calibri" w:hAnsi="Calibri" w:cs="Times New Roman"/>
      <w:b/>
      <w:spacing w:val="2"/>
      <w:sz w:val="28"/>
      <w:szCs w:val="20"/>
    </w:rPr>
  </w:style>
  <w:style w:type="paragraph" w:customStyle="1" w:styleId="2836">
    <w:name w:val="标准条文"/>
    <w:basedOn w:val="137"/>
    <w:next w:val="137"/>
    <w:qFormat/>
    <w:uiPriority w:val="0"/>
    <w:pPr>
      <w:widowControl w:val="0"/>
    </w:pPr>
    <w:rPr>
      <w:rFonts w:hint="default" w:ascii="Times New Roman" w:hAnsi="Times New Roman" w:cs="Times New Roman"/>
      <w:color w:val="auto"/>
      <w:szCs w:val="24"/>
    </w:rPr>
  </w:style>
  <w:style w:type="paragraph" w:customStyle="1" w:styleId="2837">
    <w:name w:val="Char8"/>
    <w:basedOn w:val="1"/>
    <w:qFormat/>
    <w:uiPriority w:val="0"/>
    <w:pPr>
      <w:widowControl w:val="0"/>
      <w:jc w:val="both"/>
    </w:pPr>
    <w:rPr>
      <w:rFonts w:ascii="Tahoma" w:hAnsi="Tahoma" w:cs="Times New Roman"/>
      <w:spacing w:val="-2"/>
      <w:szCs w:val="20"/>
    </w:rPr>
  </w:style>
  <w:style w:type="paragraph" w:customStyle="1" w:styleId="2838">
    <w:name w:val="表标题4"/>
    <w:basedOn w:val="1"/>
    <w:qFormat/>
    <w:uiPriority w:val="0"/>
    <w:pPr>
      <w:keepNext/>
      <w:widowControl w:val="0"/>
      <w:adjustRightInd w:val="0"/>
      <w:spacing w:before="60" w:after="60" w:line="397" w:lineRule="atLeast"/>
      <w:jc w:val="center"/>
      <w:textAlignment w:val="baseline"/>
    </w:pPr>
    <w:rPr>
      <w:rFonts w:ascii="Calibri" w:hAnsi="Calibri" w:cs="Times New Roman"/>
      <w:b/>
      <w:spacing w:val="-2"/>
      <w:szCs w:val="20"/>
    </w:rPr>
  </w:style>
  <w:style w:type="paragraph" w:customStyle="1" w:styleId="2839">
    <w:name w:val="mstheme-bannertxt-s"/>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40">
    <w:name w:val="页脚1"/>
    <w:basedOn w:val="1"/>
    <w:qFormat/>
    <w:uiPriority w:val="0"/>
    <w:pPr>
      <w:widowControl w:val="0"/>
      <w:adjustRightInd w:val="0"/>
      <w:spacing w:line="312" w:lineRule="auto"/>
      <w:ind w:firstLine="510"/>
      <w:jc w:val="center"/>
      <w:textAlignment w:val="baseline"/>
    </w:pPr>
    <w:rPr>
      <w:rFonts w:ascii="Calibri" w:hAnsi="Calibri" w:cs="Times New Roman"/>
      <w:b/>
      <w:i/>
      <w:spacing w:val="-2"/>
      <w:szCs w:val="20"/>
      <w:u w:val="single"/>
    </w:rPr>
  </w:style>
  <w:style w:type="paragraph" w:customStyle="1" w:styleId="2841">
    <w:name w:val="表标题3"/>
    <w:basedOn w:val="1"/>
    <w:qFormat/>
    <w:uiPriority w:val="0"/>
    <w:pPr>
      <w:keepNext/>
      <w:widowControl w:val="0"/>
      <w:adjustRightInd w:val="0"/>
      <w:spacing w:before="60" w:after="60" w:line="397" w:lineRule="atLeast"/>
      <w:jc w:val="center"/>
      <w:textAlignment w:val="baseline"/>
    </w:pPr>
    <w:rPr>
      <w:rFonts w:ascii="Calibri" w:hAnsi="Calibri" w:cs="Times New Roman"/>
      <w:b/>
      <w:spacing w:val="-2"/>
      <w:szCs w:val="20"/>
    </w:rPr>
  </w:style>
  <w:style w:type="paragraph" w:customStyle="1" w:styleId="2842">
    <w:name w:val="MFS正文 Char"/>
    <w:basedOn w:val="86"/>
    <w:qFormat/>
    <w:uiPriority w:val="0"/>
    <w:pPr>
      <w:widowControl w:val="0"/>
      <w:adjustRightInd w:val="0"/>
      <w:spacing w:before="93" w:after="120" w:line="360" w:lineRule="auto"/>
      <w:ind w:firstLine="200" w:firstLineChars="200"/>
      <w:jc w:val="both"/>
    </w:pPr>
    <w:rPr>
      <w:rFonts w:ascii="Calibri" w:hAnsi="Calibri" w:eastAsia="楷体_GB2312" w:cs="Times New Roman"/>
    </w:rPr>
  </w:style>
  <w:style w:type="paragraph" w:customStyle="1" w:styleId="2843">
    <w:name w:val="样四"/>
    <w:basedOn w:val="6"/>
    <w:qFormat/>
    <w:uiPriority w:val="0"/>
    <w:pPr>
      <w:widowControl w:val="0"/>
      <w:tabs>
        <w:tab w:val="left" w:pos="945"/>
        <w:tab w:val="left" w:pos="1620"/>
      </w:tabs>
      <w:snapToGrid w:val="0"/>
      <w:spacing w:before="240" w:beforeLines="50" w:after="312" w:afterLines="100" w:line="360" w:lineRule="auto"/>
      <w:ind w:firstLine="980" w:firstLineChars="200"/>
      <w:jc w:val="both"/>
    </w:pPr>
    <w:rPr>
      <w:rFonts w:ascii="Times New Roman" w:hAnsi="Times New Roman" w:eastAsia="宋体" w:cs="Times New Roman"/>
      <w:kern w:val="2"/>
      <w:lang w:val="zh-CN"/>
    </w:rPr>
  </w:style>
  <w:style w:type="paragraph" w:customStyle="1" w:styleId="2844">
    <w:name w:val="mstheme-horiz-navtxt"/>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45">
    <w:name w:val="00 标题4"/>
    <w:basedOn w:val="5"/>
    <w:qFormat/>
    <w:uiPriority w:val="0"/>
    <w:pPr>
      <w:widowControl w:val="0"/>
      <w:tabs>
        <w:tab w:val="left" w:pos="360"/>
        <w:tab w:val="left" w:pos="720"/>
      </w:tabs>
      <w:snapToGrid w:val="0"/>
      <w:spacing w:before="156" w:beforeLines="100" w:after="156" w:afterLines="50" w:line="240" w:lineRule="auto"/>
      <w:ind w:firstLine="980" w:firstLineChars="200"/>
      <w:jc w:val="both"/>
    </w:pPr>
    <w:rPr>
      <w:rFonts w:ascii="Times New Roman" w:hAnsi="Times New Roman" w:cs="Times New Roman"/>
      <w:bCs w:val="0"/>
      <w:kern w:val="2"/>
      <w:sz w:val="24"/>
      <w:lang w:val="zh-CN"/>
    </w:rPr>
  </w:style>
  <w:style w:type="paragraph" w:customStyle="1" w:styleId="2846">
    <w:name w:val="mstheme-navtxthome"/>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47">
    <w:name w:val="mstheme-navtxtprev"/>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48">
    <w:name w:val="mstheme-navtxtnext"/>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49">
    <w:name w:val="mstheme-label"/>
    <w:basedOn w:val="1"/>
    <w:qFormat/>
    <w:uiPriority w:val="0"/>
    <w:pPr>
      <w:spacing w:before="100" w:beforeAutospacing="1" w:after="100" w:afterAutospacing="1"/>
    </w:pPr>
    <w:rPr>
      <w:rFonts w:ascii="Times New Roman" w:hAnsi="Times New Roman" w:cs="Times New Roman"/>
      <w:color w:val="000000"/>
      <w:spacing w:val="-2"/>
      <w:sz w:val="16"/>
      <w:szCs w:val="16"/>
    </w:rPr>
  </w:style>
  <w:style w:type="paragraph" w:customStyle="1" w:styleId="2850">
    <w:name w:val="00 标题3"/>
    <w:basedOn w:val="1"/>
    <w:qFormat/>
    <w:uiPriority w:val="0"/>
    <w:pPr>
      <w:keepNext/>
      <w:keepLines/>
      <w:widowControl w:val="0"/>
      <w:spacing w:before="156" w:beforeLines="50" w:after="156" w:afterLines="50" w:line="300" w:lineRule="auto"/>
      <w:outlineLvl w:val="2"/>
    </w:pPr>
    <w:rPr>
      <w:rFonts w:ascii="Calibri" w:hAnsi="Calibri" w:eastAsia="黑体" w:cs="Times New Roman"/>
      <w:b/>
      <w:bCs/>
      <w:spacing w:val="-2"/>
      <w:sz w:val="28"/>
      <w:szCs w:val="32"/>
    </w:rPr>
  </w:style>
  <w:style w:type="paragraph" w:customStyle="1" w:styleId="2851">
    <w:name w:val="mstheme-horiz-navtxt-g"/>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52">
    <w:name w:val="mstheme-navtxthome-g"/>
    <w:basedOn w:val="1"/>
    <w:qFormat/>
    <w:uiPriority w:val="0"/>
    <w:pPr>
      <w:spacing w:before="100" w:beforeAutospacing="1" w:after="100" w:afterAutospacing="1"/>
    </w:pPr>
    <w:rPr>
      <w:rFonts w:ascii="Times New Roman" w:hAnsi="Times New Roman" w:cs="Times New Roman"/>
      <w:color w:val="0033CC"/>
      <w:spacing w:val="-2"/>
      <w:szCs w:val="20"/>
    </w:rPr>
  </w:style>
  <w:style w:type="paragraph" w:customStyle="1" w:styleId="2853">
    <w:name w:val="mstheme-navtxtprev-g"/>
    <w:basedOn w:val="1"/>
    <w:qFormat/>
    <w:uiPriority w:val="0"/>
    <w:pPr>
      <w:spacing w:before="100" w:beforeAutospacing="1" w:after="100" w:afterAutospacing="1"/>
    </w:pPr>
    <w:rPr>
      <w:rFonts w:ascii="Times New Roman" w:hAnsi="Times New Roman" w:cs="Times New Roman"/>
      <w:color w:val="0033CC"/>
      <w:spacing w:val="-2"/>
      <w:szCs w:val="20"/>
    </w:rPr>
  </w:style>
  <w:style w:type="paragraph" w:customStyle="1" w:styleId="2854">
    <w:name w:val="mstheme-vert-navtxt-g"/>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55">
    <w:name w:val="mstheme-vert-navtxt-gs"/>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56">
    <w:name w:val="mstheme-topbar-font"/>
    <w:basedOn w:val="1"/>
    <w:qFormat/>
    <w:uiPriority w:val="0"/>
    <w:pPr>
      <w:spacing w:before="100" w:beforeAutospacing="1" w:after="100" w:afterAutospacing="1"/>
    </w:pPr>
    <w:rPr>
      <w:rFonts w:ascii="Times New Roman" w:hAnsi="Times New Roman" w:cs="Times New Roman"/>
      <w:color w:val="000000"/>
      <w:spacing w:val="-2"/>
      <w:szCs w:val="20"/>
    </w:rPr>
  </w:style>
  <w:style w:type="paragraph" w:customStyle="1" w:styleId="2857">
    <w:name w:val="表格标题1"/>
    <w:basedOn w:val="1"/>
    <w:next w:val="1"/>
    <w:qFormat/>
    <w:uiPriority w:val="0"/>
    <w:pPr>
      <w:widowControl w:val="0"/>
      <w:adjustRightInd w:val="0"/>
      <w:snapToGrid w:val="0"/>
      <w:spacing w:before="156" w:beforeLines="50" w:after="62" w:afterLines="20" w:line="300" w:lineRule="auto"/>
      <w:ind w:right="238"/>
      <w:jc w:val="center"/>
    </w:pPr>
    <w:rPr>
      <w:rFonts w:cs="Times New Roman"/>
      <w:snapToGrid w:val="0"/>
      <w:spacing w:val="-2"/>
      <w:szCs w:val="20"/>
      <w:lang w:val="en-GB"/>
    </w:rPr>
  </w:style>
  <w:style w:type="paragraph" w:customStyle="1" w:styleId="2858">
    <w:name w:val="普通(网站)16"/>
    <w:basedOn w:val="1"/>
    <w:qFormat/>
    <w:uiPriority w:val="0"/>
    <w:pPr>
      <w:spacing w:before="100" w:beforeAutospacing="1" w:after="100" w:afterAutospacing="1"/>
    </w:pPr>
    <w:rPr>
      <w:rFonts w:cs="Times New Roman"/>
      <w:spacing w:val="-2"/>
      <w:szCs w:val="20"/>
    </w:rPr>
  </w:style>
  <w:style w:type="paragraph" w:customStyle="1" w:styleId="2859">
    <w:name w:val="标题-1"/>
    <w:basedOn w:val="3"/>
    <w:qFormat/>
    <w:uiPriority w:val="0"/>
    <w:pPr>
      <w:keepNext w:val="0"/>
      <w:keepLines/>
      <w:tabs>
        <w:tab w:val="left" w:pos="4614"/>
      </w:tabs>
      <w:overflowPunct/>
      <w:spacing w:before="0" w:after="0" w:line="360" w:lineRule="auto"/>
      <w:ind w:left="8" w:firstLine="0"/>
      <w:jc w:val="center"/>
    </w:pPr>
    <w:rPr>
      <w:rFonts w:ascii="Times New Roman" w:hAnsi="Times New Roman"/>
      <w:color w:val="auto"/>
      <w:sz w:val="32"/>
      <w:szCs w:val="20"/>
      <w:lang w:val="zh-CN"/>
    </w:rPr>
  </w:style>
  <w:style w:type="paragraph" w:customStyle="1" w:styleId="2860">
    <w:name w:val="标题-2"/>
    <w:basedOn w:val="4"/>
    <w:qFormat/>
    <w:uiPriority w:val="0"/>
    <w:pPr>
      <w:widowControl w:val="0"/>
      <w:numPr>
        <w:ilvl w:val="0"/>
        <w:numId w:val="0"/>
      </w:numPr>
      <w:tabs>
        <w:tab w:val="left" w:pos="-12"/>
        <w:tab w:val="left" w:pos="360"/>
        <w:tab w:val="left" w:pos="720"/>
        <w:tab w:val="left" w:pos="8092"/>
      </w:tabs>
      <w:snapToGrid w:val="0"/>
      <w:spacing w:before="240" w:after="120" w:line="360" w:lineRule="auto"/>
      <w:ind w:firstLine="980" w:firstLineChars="200"/>
    </w:pPr>
    <w:rPr>
      <w:rFonts w:ascii="Times New Roman" w:hAnsi="Times New Roman" w:eastAsia="宋体"/>
      <w:bCs/>
      <w:color w:val="FF0000"/>
      <w:sz w:val="24"/>
      <w:lang w:val="zh-CN"/>
    </w:rPr>
  </w:style>
  <w:style w:type="paragraph" w:customStyle="1" w:styleId="2861">
    <w:name w:val="Char1 Char Char Char3"/>
    <w:basedOn w:val="1"/>
    <w:qFormat/>
    <w:uiPriority w:val="0"/>
    <w:pPr>
      <w:widowControl w:val="0"/>
      <w:adjustRightInd w:val="0"/>
      <w:spacing w:line="360" w:lineRule="auto"/>
      <w:jc w:val="both"/>
    </w:pPr>
    <w:rPr>
      <w:rFonts w:ascii="Calibri" w:hAnsi="Calibri" w:cs="Times New Roman"/>
      <w:spacing w:val="-2"/>
      <w:szCs w:val="20"/>
    </w:rPr>
  </w:style>
  <w:style w:type="paragraph" w:customStyle="1" w:styleId="2862">
    <w:name w:val="真宗兴表格内容"/>
    <w:basedOn w:val="1"/>
    <w:qFormat/>
    <w:uiPriority w:val="0"/>
    <w:pPr>
      <w:widowControl w:val="0"/>
      <w:tabs>
        <w:tab w:val="left" w:pos="-2848"/>
      </w:tabs>
      <w:spacing w:before="62" w:beforeLines="20" w:after="62" w:afterLines="20"/>
      <w:jc w:val="center"/>
    </w:pPr>
    <w:rPr>
      <w:rFonts w:ascii="Calibri" w:hAnsi="Calibri" w:cs="Times New Roman"/>
      <w:spacing w:val="-2"/>
      <w:sz w:val="28"/>
      <w:szCs w:val="20"/>
      <w:lang w:val="zh-CN"/>
    </w:rPr>
  </w:style>
  <w:style w:type="paragraph" w:customStyle="1" w:styleId="2863">
    <w:name w:val="样式 首行缩进:  0.85 厘米 行距: 1.5 倍行距"/>
    <w:basedOn w:val="1"/>
    <w:qFormat/>
    <w:uiPriority w:val="0"/>
    <w:pPr>
      <w:tabs>
        <w:tab w:val="left" w:pos="480"/>
      </w:tabs>
      <w:spacing w:line="360" w:lineRule="auto"/>
      <w:ind w:left="480" w:hanging="480"/>
    </w:pPr>
    <w:rPr>
      <w:rFonts w:ascii="Calibri" w:hAnsi="Calibri"/>
      <w:spacing w:val="-2"/>
      <w:szCs w:val="20"/>
    </w:rPr>
  </w:style>
  <w:style w:type="paragraph" w:customStyle="1" w:styleId="2864">
    <w:name w:val="样式 列表 + 黑色 左侧:  0 厘米 悬挂缩进: 2 字符 段前: 0.5 行"/>
    <w:basedOn w:val="66"/>
    <w:qFormat/>
    <w:uiPriority w:val="0"/>
    <w:pPr>
      <w:spacing w:before="156" w:beforeLines="50"/>
      <w:ind w:left="420"/>
    </w:pPr>
    <w:rPr>
      <w:rFonts w:ascii="Calibri" w:hAnsi="Calibri" w:eastAsia="仿宋_GB2312"/>
      <w:color w:val="000000"/>
      <w:spacing w:val="-2"/>
      <w:kern w:val="0"/>
      <w:sz w:val="24"/>
      <w:szCs w:val="20"/>
      <w:lang w:val="zh-CN"/>
    </w:rPr>
  </w:style>
  <w:style w:type="paragraph" w:customStyle="1" w:styleId="2865">
    <w:name w:val="调查表正文"/>
    <w:qFormat/>
    <w:uiPriority w:val="0"/>
    <w:pPr>
      <w:ind w:firstLine="200" w:firstLineChars="200"/>
    </w:pPr>
    <w:rPr>
      <w:rFonts w:ascii="Times New Roman" w:hAnsi="Times New Roman" w:eastAsia="宋体" w:cs="Times New Roman"/>
      <w:color w:val="000000"/>
      <w:sz w:val="24"/>
      <w:lang w:val="en-US" w:eastAsia="zh-CN" w:bidi="ar-SA"/>
    </w:rPr>
  </w:style>
  <w:style w:type="paragraph" w:customStyle="1" w:styleId="2866">
    <w:name w:val="正文并立"/>
    <w:basedOn w:val="1"/>
    <w:qFormat/>
    <w:uiPriority w:val="0"/>
    <w:pPr>
      <w:widowControl w:val="0"/>
      <w:adjustRightInd w:val="0"/>
      <w:spacing w:line="408" w:lineRule="atLeast"/>
      <w:ind w:firstLine="601"/>
      <w:textAlignment w:val="baseline"/>
    </w:pPr>
    <w:rPr>
      <w:rFonts w:ascii="Calibri" w:hAnsi="Calibri" w:cs="Times New Roman"/>
      <w:spacing w:val="-2"/>
      <w:szCs w:val="20"/>
    </w:rPr>
  </w:style>
  <w:style w:type="paragraph" w:customStyle="1" w:styleId="2867">
    <w:name w:val="流程文字"/>
    <w:qFormat/>
    <w:uiPriority w:val="0"/>
    <w:pPr>
      <w:spacing w:line="440" w:lineRule="exact"/>
    </w:pPr>
    <w:rPr>
      <w:rFonts w:ascii="楷体_GB2312" w:hAnsi="Times New Roman" w:eastAsia="楷体_GB2312" w:cs="Times New Roman"/>
      <w:sz w:val="28"/>
      <w:lang w:val="en-US" w:eastAsia="zh-CN" w:bidi="ar-SA"/>
    </w:rPr>
  </w:style>
  <w:style w:type="paragraph" w:customStyle="1" w:styleId="2868">
    <w:name w:val="样式 表 + 蓝色"/>
    <w:basedOn w:val="316"/>
    <w:qFormat/>
    <w:uiPriority w:val="0"/>
    <w:pPr>
      <w:snapToGrid/>
      <w:spacing w:line="360" w:lineRule="auto"/>
    </w:pPr>
    <w:rPr>
      <w:rFonts w:ascii="宋体" w:hAnsi="宋体"/>
      <w:b/>
      <w:color w:val="0000FF"/>
      <w:spacing w:val="0"/>
      <w:kern w:val="0"/>
      <w:szCs w:val="24"/>
    </w:rPr>
  </w:style>
  <w:style w:type="paragraph" w:customStyle="1" w:styleId="2869">
    <w:name w:val="样式 标题 1Head 1wsah1 + 三号 黑色 段前: 12 磅 段后: 12 磅 行距: 1.5 倍行距"/>
    <w:basedOn w:val="3"/>
    <w:qFormat/>
    <w:uiPriority w:val="0"/>
    <w:pPr>
      <w:keepNext w:val="0"/>
      <w:keepLines/>
      <w:tabs>
        <w:tab w:val="left" w:pos="432"/>
        <w:tab w:val="left" w:pos="4614"/>
      </w:tabs>
      <w:overflowPunct/>
      <w:spacing w:before="340" w:after="240" w:line="578" w:lineRule="auto"/>
      <w:jc w:val="both"/>
    </w:pPr>
    <w:rPr>
      <w:rFonts w:ascii="Times New Roman" w:hAnsi="Times New Roman" w:eastAsia="宋体"/>
      <w:sz w:val="32"/>
      <w:szCs w:val="20"/>
      <w:lang w:val="en-GB"/>
    </w:rPr>
  </w:style>
  <w:style w:type="paragraph" w:customStyle="1" w:styleId="2870">
    <w:name w:val="表注文"/>
    <w:basedOn w:val="1"/>
    <w:qFormat/>
    <w:uiPriority w:val="0"/>
    <w:pPr>
      <w:widowControl w:val="0"/>
      <w:adjustRightInd w:val="0"/>
      <w:spacing w:after="100" w:line="314" w:lineRule="atLeast"/>
      <w:ind w:left="180" w:hanging="180"/>
      <w:textAlignment w:val="baseline"/>
    </w:pPr>
    <w:rPr>
      <w:rFonts w:ascii="Calibri" w:hAnsi="Calibri" w:cs="Times New Roman"/>
      <w:spacing w:val="-2"/>
      <w:sz w:val="18"/>
      <w:szCs w:val="20"/>
    </w:rPr>
  </w:style>
  <w:style w:type="paragraph" w:customStyle="1" w:styleId="2871">
    <w:name w:val="样式 (西文) 宋体 小四 段前: 6 磅 段后: 6 磅 行距: 多倍行距 1.25 字行 首行缩进:  2 字符"/>
    <w:basedOn w:val="1"/>
    <w:qFormat/>
    <w:uiPriority w:val="0"/>
    <w:pPr>
      <w:spacing w:before="120" w:after="120" w:line="300" w:lineRule="auto"/>
      <w:ind w:firstLine="480" w:firstLineChars="200"/>
    </w:pPr>
    <w:rPr>
      <w:spacing w:val="-2"/>
      <w:szCs w:val="20"/>
    </w:rPr>
  </w:style>
  <w:style w:type="paragraph" w:customStyle="1" w:styleId="2872">
    <w:name w:val="样式 标题 1 Char Char + 两端对齐 段前: 2 行 段后: 0.5 行"/>
    <w:basedOn w:val="3"/>
    <w:qFormat/>
    <w:uiPriority w:val="0"/>
    <w:pPr>
      <w:keepNext w:val="0"/>
      <w:tabs>
        <w:tab w:val="left" w:pos="425"/>
        <w:tab w:val="left" w:pos="4614"/>
      </w:tabs>
      <w:overflowPunct/>
      <w:spacing w:before="624" w:beforeLines="200" w:after="312" w:afterLines="100" w:line="500" w:lineRule="exact"/>
      <w:ind w:left="425" w:hanging="425"/>
      <w:jc w:val="both"/>
    </w:pPr>
    <w:rPr>
      <w:rFonts w:ascii="Times New Roman" w:hAnsi="Times New Roman" w:eastAsia="宋体"/>
      <w:color w:val="auto"/>
      <w:spacing w:val="4"/>
      <w:kern w:val="2"/>
      <w:sz w:val="32"/>
      <w:szCs w:val="20"/>
      <w:lang w:val="zh-CN"/>
    </w:rPr>
  </w:style>
  <w:style w:type="paragraph" w:customStyle="1" w:styleId="2873">
    <w:name w:val="Char81"/>
    <w:basedOn w:val="1"/>
    <w:qFormat/>
    <w:uiPriority w:val="0"/>
    <w:pPr>
      <w:widowControl w:val="0"/>
      <w:jc w:val="both"/>
    </w:pPr>
    <w:rPr>
      <w:rFonts w:ascii="Tahoma" w:hAnsi="Tahoma" w:cs="Times New Roman"/>
      <w:spacing w:val="-2"/>
      <w:szCs w:val="20"/>
    </w:rPr>
  </w:style>
  <w:style w:type="paragraph" w:customStyle="1" w:styleId="2874">
    <w:name w:val="样式 正文缩进正文（首行缩进两字）特点表正文正文非缩进正文对齐图表标题段1ALT+Z标题4四号缩进正文双..."/>
    <w:basedOn w:val="21"/>
    <w:qFormat/>
    <w:uiPriority w:val="0"/>
    <w:pPr>
      <w:autoSpaceDE w:val="0"/>
      <w:autoSpaceDN w:val="0"/>
      <w:adjustRightInd w:val="0"/>
      <w:snapToGrid w:val="0"/>
      <w:spacing w:before="156" w:beforeLines="50" w:after="156" w:afterLines="50" w:line="360" w:lineRule="auto"/>
      <w:ind w:left="0" w:firstLine="480" w:firstLineChars="200"/>
    </w:pPr>
    <w:rPr>
      <w:rFonts w:ascii="Times New Roman" w:hAnsi="Times New Roman" w:cs="Times New Roman"/>
      <w:sz w:val="24"/>
    </w:rPr>
  </w:style>
  <w:style w:type="paragraph" w:customStyle="1" w:styleId="2875">
    <w:name w:val="表格文字1"/>
    <w:basedOn w:val="1"/>
    <w:next w:val="1"/>
    <w:qFormat/>
    <w:uiPriority w:val="0"/>
    <w:pPr>
      <w:widowControl w:val="0"/>
      <w:adjustRightInd w:val="0"/>
      <w:snapToGrid w:val="0"/>
      <w:spacing w:line="300" w:lineRule="auto"/>
      <w:jc w:val="both"/>
    </w:pPr>
    <w:rPr>
      <w:rFonts w:cs="Times New Roman"/>
      <w:snapToGrid w:val="0"/>
      <w:spacing w:val="-2"/>
      <w:sz w:val="28"/>
      <w:szCs w:val="20"/>
    </w:rPr>
  </w:style>
  <w:style w:type="paragraph" w:customStyle="1" w:styleId="2876">
    <w:name w:val="麦志勤标题三"/>
    <w:basedOn w:val="5"/>
    <w:qFormat/>
    <w:uiPriority w:val="0"/>
    <w:pPr>
      <w:keepNext w:val="0"/>
      <w:keepLines w:val="0"/>
      <w:widowControl w:val="0"/>
      <w:tabs>
        <w:tab w:val="left" w:pos="360"/>
        <w:tab w:val="left" w:pos="720"/>
      </w:tabs>
      <w:snapToGrid w:val="0"/>
      <w:spacing w:before="312" w:beforeLines="100" w:after="120" w:afterLines="50" w:line="300" w:lineRule="auto"/>
      <w:ind w:firstLine="980" w:firstLineChars="200"/>
      <w:jc w:val="both"/>
    </w:pPr>
    <w:rPr>
      <w:rFonts w:ascii="黑体" w:eastAsia="黑体" w:cs="Times New Roman"/>
      <w:b w:val="0"/>
      <w:bCs w:val="0"/>
      <w:kern w:val="2"/>
      <w:lang w:val="zh-CN"/>
    </w:rPr>
  </w:style>
  <w:style w:type="paragraph" w:customStyle="1" w:styleId="2877">
    <w:name w:val="麦志勤表标题"/>
    <w:basedOn w:val="1"/>
    <w:qFormat/>
    <w:uiPriority w:val="0"/>
    <w:pPr>
      <w:widowControl w:val="0"/>
      <w:adjustRightInd w:val="0"/>
      <w:snapToGrid w:val="0"/>
      <w:spacing w:before="156" w:beforeLines="50" w:after="62" w:afterLines="20" w:line="300" w:lineRule="auto"/>
      <w:jc w:val="center"/>
      <w:textAlignment w:val="baseline"/>
    </w:pPr>
    <w:rPr>
      <w:rFonts w:cs="Times New Roman"/>
      <w:snapToGrid w:val="0"/>
      <w:spacing w:val="-2"/>
      <w:szCs w:val="28"/>
    </w:rPr>
  </w:style>
  <w:style w:type="paragraph" w:customStyle="1" w:styleId="2878">
    <w:name w:val="cauc-1"/>
    <w:next w:val="1"/>
    <w:qFormat/>
    <w:uiPriority w:val="0"/>
    <w:pPr>
      <w:pageBreakBefore/>
      <w:tabs>
        <w:tab w:val="left" w:pos="425"/>
      </w:tabs>
      <w:spacing w:before="312" w:beforeLines="100" w:after="156" w:afterLines="50" w:line="360" w:lineRule="auto"/>
      <w:ind w:left="425" w:hanging="425"/>
      <w:jc w:val="center"/>
      <w:outlineLvl w:val="0"/>
    </w:pPr>
    <w:rPr>
      <w:rFonts w:ascii="Times New Roman" w:hAnsi="Times New Roman" w:eastAsia="黑体" w:cs="Times New Roman"/>
      <w:b/>
      <w:kern w:val="2"/>
      <w:sz w:val="36"/>
      <w:szCs w:val="24"/>
      <w:lang w:val="en-US" w:eastAsia="zh-CN" w:bidi="ar-SA"/>
    </w:rPr>
  </w:style>
  <w:style w:type="paragraph" w:customStyle="1" w:styleId="2879">
    <w:name w:val="麦志勤标题6"/>
    <w:basedOn w:val="598"/>
    <w:qFormat/>
    <w:uiPriority w:val="0"/>
    <w:pPr>
      <w:spacing w:before="312" w:beforeLines="100"/>
    </w:pPr>
    <w:rPr>
      <w:rFonts w:ascii="黑体" w:hAnsi="Times New Roman" w:eastAsia="黑体"/>
      <w:b/>
      <w:kern w:val="0"/>
      <w:lang w:val="zh-CN"/>
    </w:rPr>
  </w:style>
  <w:style w:type="paragraph" w:customStyle="1" w:styleId="2880">
    <w:name w:val="麦志勤标题1"/>
    <w:basedOn w:val="34"/>
    <w:qFormat/>
    <w:uiPriority w:val="0"/>
    <w:pPr>
      <w:widowControl w:val="0"/>
      <w:adjustRightInd w:val="0"/>
      <w:spacing w:before="156" w:beforeLines="50" w:after="0" w:line="300" w:lineRule="auto"/>
      <w:ind w:right="0"/>
      <w:jc w:val="both"/>
    </w:pPr>
    <w:rPr>
      <w:rFonts w:ascii="Times New Roman" w:hAnsi="Times New Roman" w:eastAsia="黑体" w:cs="Times New Roman"/>
      <w:snapToGrid w:val="0"/>
      <w:sz w:val="44"/>
      <w:szCs w:val="24"/>
      <w:lang w:val="zh-CN"/>
    </w:rPr>
  </w:style>
  <w:style w:type="paragraph" w:customStyle="1" w:styleId="2881">
    <w:name w:val="真宗兴正文"/>
    <w:basedOn w:val="1"/>
    <w:qFormat/>
    <w:uiPriority w:val="0"/>
    <w:pPr>
      <w:widowControl w:val="0"/>
      <w:overflowPunct w:val="0"/>
      <w:autoSpaceDE w:val="0"/>
      <w:autoSpaceDN w:val="0"/>
      <w:adjustRightInd w:val="0"/>
      <w:snapToGrid w:val="0"/>
      <w:spacing w:before="93" w:beforeLines="30" w:after="93" w:afterLines="30" w:line="360" w:lineRule="auto"/>
      <w:ind w:firstLine="480" w:firstLineChars="200"/>
      <w:jc w:val="both"/>
      <w:textAlignment w:val="baseline"/>
    </w:pPr>
    <w:rPr>
      <w:rFonts w:ascii="Calibri" w:hAnsi="Calibri" w:cs="Times New Roman"/>
      <w:spacing w:val="-2"/>
      <w:szCs w:val="20"/>
    </w:rPr>
  </w:style>
  <w:style w:type="paragraph" w:customStyle="1" w:styleId="2882">
    <w:name w:val="麦志勤标题3"/>
    <w:basedOn w:val="31"/>
    <w:qFormat/>
    <w:uiPriority w:val="0"/>
    <w:pPr>
      <w:adjustRightInd w:val="0"/>
      <w:snapToGrid w:val="0"/>
      <w:spacing w:before="312" w:beforeLines="100" w:after="0" w:line="300" w:lineRule="auto"/>
    </w:pPr>
    <w:rPr>
      <w:rFonts w:ascii="黑体" w:eastAsia="黑体"/>
      <w:snapToGrid w:val="0"/>
      <w:kern w:val="0"/>
      <w:sz w:val="32"/>
      <w:szCs w:val="20"/>
    </w:rPr>
  </w:style>
  <w:style w:type="paragraph" w:customStyle="1" w:styleId="2883">
    <w:name w:val="ajaxdi1"/>
    <w:basedOn w:val="1"/>
    <w:qFormat/>
    <w:uiPriority w:val="0"/>
    <w:pPr>
      <w:spacing w:before="100" w:beforeAutospacing="1" w:after="100" w:afterAutospacing="1"/>
    </w:pPr>
    <w:rPr>
      <w:rFonts w:cs="Times New Roman"/>
      <w:spacing w:val="-2"/>
      <w:szCs w:val="20"/>
    </w:rPr>
  </w:style>
  <w:style w:type="paragraph" w:customStyle="1" w:styleId="2884">
    <w:name w:val="样式 首行缩进:  7 字符"/>
    <w:basedOn w:val="1"/>
    <w:qFormat/>
    <w:uiPriority w:val="0"/>
    <w:pPr>
      <w:widowControl w:val="0"/>
      <w:ind w:firstLine="2249" w:firstLineChars="700"/>
    </w:pPr>
    <w:rPr>
      <w:rFonts w:ascii="Calibri" w:hAnsi="Calibri"/>
      <w:spacing w:val="-2"/>
      <w:szCs w:val="20"/>
      <w:lang w:eastAsia="zh-TW"/>
    </w:rPr>
  </w:style>
  <w:style w:type="paragraph" w:customStyle="1" w:styleId="2885">
    <w:name w:val="日期11"/>
    <w:basedOn w:val="1"/>
    <w:next w:val="1"/>
    <w:qFormat/>
    <w:uiPriority w:val="0"/>
    <w:pPr>
      <w:widowControl w:val="0"/>
      <w:adjustRightInd w:val="0"/>
      <w:spacing w:line="312" w:lineRule="atLeast"/>
      <w:jc w:val="right"/>
      <w:textAlignment w:val="baseline"/>
    </w:pPr>
    <w:rPr>
      <w:rFonts w:ascii="楷体_GB2312" w:hAnsi="Calibri" w:cs="Times New Roman"/>
      <w:spacing w:val="-2"/>
      <w:szCs w:val="20"/>
    </w:rPr>
  </w:style>
  <w:style w:type="paragraph" w:customStyle="1" w:styleId="2886">
    <w:name w:val="新正文"/>
    <w:basedOn w:val="1"/>
    <w:qFormat/>
    <w:uiPriority w:val="0"/>
    <w:pPr>
      <w:spacing w:before="60" w:line="460" w:lineRule="exact"/>
      <w:ind w:firstLine="200" w:firstLineChars="200"/>
    </w:pPr>
    <w:rPr>
      <w:rFonts w:ascii="Calibri" w:hAnsi="Calibri" w:cs="Times New Roman"/>
      <w:spacing w:val="-2"/>
      <w:szCs w:val="20"/>
    </w:rPr>
  </w:style>
  <w:style w:type="paragraph" w:customStyle="1" w:styleId="2887">
    <w:name w:val="Char Char Char1 Char Char Char Char Char Char Char Char Char Char Char Char Char Char Char Char3"/>
    <w:basedOn w:val="1"/>
    <w:qFormat/>
    <w:uiPriority w:val="0"/>
    <w:pPr>
      <w:widowControl w:val="0"/>
      <w:spacing w:line="360" w:lineRule="auto"/>
      <w:ind w:firstLine="200" w:firstLineChars="200"/>
      <w:jc w:val="both"/>
    </w:pPr>
    <w:rPr>
      <w:spacing w:val="-2"/>
      <w:szCs w:val="20"/>
    </w:rPr>
  </w:style>
  <w:style w:type="paragraph" w:customStyle="1" w:styleId="2888">
    <w:name w:val="qptext"/>
    <w:basedOn w:val="1"/>
    <w:qFormat/>
    <w:uiPriority w:val="0"/>
    <w:pPr>
      <w:tabs>
        <w:tab w:val="left" w:pos="0"/>
      </w:tabs>
      <w:adjustRightInd w:val="0"/>
      <w:spacing w:line="400" w:lineRule="atLeast"/>
      <w:textAlignment w:val="baseline"/>
    </w:pPr>
    <w:rPr>
      <w:rFonts w:ascii="Calibri" w:hAnsi="Calibri" w:cs="Times New Roman"/>
      <w:spacing w:val="6"/>
      <w:szCs w:val="20"/>
    </w:rPr>
  </w:style>
  <w:style w:type="paragraph" w:customStyle="1" w:styleId="2889">
    <w:name w:val="宗兴4"/>
    <w:basedOn w:val="1"/>
    <w:qFormat/>
    <w:uiPriority w:val="0"/>
    <w:pPr>
      <w:keepNext/>
      <w:keepLines/>
      <w:widowControl w:val="0"/>
      <w:adjustRightInd w:val="0"/>
      <w:spacing w:before="156" w:beforeLines="50" w:after="156" w:afterLines="50" w:line="360" w:lineRule="auto"/>
      <w:jc w:val="both"/>
      <w:textAlignment w:val="baseline"/>
      <w:outlineLvl w:val="0"/>
    </w:pPr>
    <w:rPr>
      <w:rFonts w:ascii="Calibri" w:hAnsi="Calibri" w:cs="Times New Roman"/>
      <w:i/>
      <w:color w:val="000000"/>
      <w:spacing w:val="-2"/>
      <w:sz w:val="20"/>
      <w:szCs w:val="20"/>
    </w:rPr>
  </w:style>
  <w:style w:type="paragraph" w:customStyle="1" w:styleId="2890">
    <w:name w:val="样式 正文1 + 段前: 0.1 行"/>
    <w:basedOn w:val="1"/>
    <w:qFormat/>
    <w:uiPriority w:val="0"/>
    <w:pPr>
      <w:snapToGrid w:val="0"/>
      <w:spacing w:before="31" w:beforeLines="10" w:line="440" w:lineRule="atLeast"/>
      <w:ind w:firstLine="567"/>
    </w:pPr>
    <w:rPr>
      <w:rFonts w:ascii="Calibri" w:hAnsi="Calibri" w:cs="Times New Roman"/>
      <w:spacing w:val="-2"/>
      <w:szCs w:val="20"/>
    </w:rPr>
  </w:style>
  <w:style w:type="paragraph" w:customStyle="1" w:styleId="2891">
    <w:name w:val="样式 标题 3ReHead 3 WSAh3h3 Charh3 Char Char + 左侧:  0 厘米 悬挂缩进:..."/>
    <w:basedOn w:val="5"/>
    <w:qFormat/>
    <w:uiPriority w:val="0"/>
    <w:pPr>
      <w:widowControl w:val="0"/>
      <w:tabs>
        <w:tab w:val="left" w:pos="360"/>
        <w:tab w:val="left" w:pos="720"/>
      </w:tabs>
      <w:snapToGrid w:val="0"/>
      <w:spacing w:before="100" w:beforeLines="100" w:after="100" w:afterLines="50" w:line="360" w:lineRule="auto"/>
      <w:ind w:left="720" w:hanging="720" w:firstLineChars="200"/>
      <w:jc w:val="both"/>
    </w:pPr>
    <w:rPr>
      <w:rFonts w:ascii="Times New Roman" w:hAnsi="Times New Roman"/>
      <w:bCs w:val="0"/>
      <w:kern w:val="2"/>
      <w:sz w:val="24"/>
      <w:szCs w:val="20"/>
      <w:lang w:val="en-GB"/>
    </w:rPr>
  </w:style>
  <w:style w:type="paragraph" w:customStyle="1" w:styleId="2892">
    <w:name w:val="自定义 标题 1"/>
    <w:basedOn w:val="1"/>
    <w:qFormat/>
    <w:uiPriority w:val="0"/>
    <w:pPr>
      <w:keepNext/>
      <w:spacing w:before="312" w:beforeLines="100" w:after="312" w:afterLines="100" w:line="500" w:lineRule="exact"/>
      <w:jc w:val="center"/>
      <w:outlineLvl w:val="0"/>
    </w:pPr>
    <w:rPr>
      <w:rFonts w:ascii="Calibri" w:hAnsi="Calibri"/>
      <w:b/>
      <w:bCs/>
      <w:spacing w:val="4"/>
      <w:sz w:val="44"/>
      <w:szCs w:val="44"/>
    </w:rPr>
  </w:style>
  <w:style w:type="paragraph" w:customStyle="1" w:styleId="2893">
    <w:name w:val="纯文本12"/>
    <w:basedOn w:val="1"/>
    <w:qFormat/>
    <w:uiPriority w:val="0"/>
    <w:pPr>
      <w:widowControl w:val="0"/>
      <w:adjustRightInd w:val="0"/>
      <w:jc w:val="both"/>
      <w:textAlignment w:val="baseline"/>
    </w:pPr>
    <w:rPr>
      <w:rFonts w:hAnsi="Courier New" w:cs="Times New Roman"/>
      <w:spacing w:val="-2"/>
      <w:sz w:val="28"/>
      <w:szCs w:val="20"/>
    </w:rPr>
  </w:style>
  <w:style w:type="paragraph" w:customStyle="1" w:styleId="2894">
    <w:name w:val="Char Char4 Char Char"/>
    <w:basedOn w:val="1"/>
    <w:qFormat/>
    <w:uiPriority w:val="0"/>
    <w:pPr>
      <w:spacing w:after="160" w:line="240" w:lineRule="exact"/>
    </w:pPr>
    <w:rPr>
      <w:rFonts w:ascii="Verdana" w:hAnsi="Verdana" w:cs="Times New Roman"/>
      <w:spacing w:val="-2"/>
      <w:sz w:val="20"/>
      <w:szCs w:val="20"/>
      <w:lang w:eastAsia="en-US"/>
    </w:rPr>
  </w:style>
  <w:style w:type="paragraph" w:customStyle="1" w:styleId="2895">
    <w:name w:val="表格文字-居中"/>
    <w:basedOn w:val="7"/>
    <w:qFormat/>
    <w:uiPriority w:val="99"/>
    <w:pPr>
      <w:keepNext w:val="0"/>
      <w:keepLines w:val="0"/>
      <w:widowControl/>
      <w:tabs>
        <w:tab w:val="clear" w:pos="945"/>
        <w:tab w:val="clear" w:pos="1155"/>
        <w:tab w:val="clear" w:pos="2551"/>
        <w:tab w:val="clear" w:pos="8715"/>
      </w:tabs>
      <w:snapToGrid/>
      <w:spacing w:before="0" w:after="0" w:line="360" w:lineRule="exact"/>
      <w:ind w:left="0" w:firstLine="0"/>
      <w:jc w:val="center"/>
      <w:textAlignment w:val="center"/>
      <w:outlineLvl w:val="9"/>
    </w:pPr>
    <w:rPr>
      <w:b w:val="0"/>
      <w:snapToGrid/>
      <w:sz w:val="21"/>
      <w:szCs w:val="21"/>
    </w:rPr>
  </w:style>
  <w:style w:type="paragraph" w:customStyle="1" w:styleId="2896">
    <w:name w:val="表格备注"/>
    <w:basedOn w:val="9"/>
    <w:next w:val="86"/>
    <w:qFormat/>
    <w:uiPriority w:val="0"/>
    <w:pPr>
      <w:keepLines w:val="0"/>
      <w:tabs>
        <w:tab w:val="left" w:pos="560"/>
        <w:tab w:val="clear" w:pos="1296"/>
      </w:tabs>
      <w:spacing w:before="0" w:after="0" w:line="336" w:lineRule="auto"/>
      <w:ind w:left="0" w:firstLine="0"/>
      <w:jc w:val="center"/>
    </w:pPr>
    <w:rPr>
      <w:rFonts w:ascii="黑体"/>
      <w:b w:val="0"/>
      <w:bCs w:val="0"/>
      <w:snapToGrid/>
      <w:kern w:val="2"/>
      <w:sz w:val="21"/>
      <w:szCs w:val="21"/>
    </w:rPr>
  </w:style>
  <w:style w:type="character" w:customStyle="1" w:styleId="2897">
    <w:name w:val="p21"/>
    <w:qFormat/>
    <w:uiPriority w:val="0"/>
    <w:rPr>
      <w:rFonts w:ascii="楷体_GB2312" w:hAnsi="宋体" w:eastAsia="楷体_GB2312" w:cs="宋体"/>
      <w:kern w:val="2"/>
      <w:sz w:val="24"/>
      <w:szCs w:val="24"/>
      <w:lang w:val="en-US" w:eastAsia="zh-CN" w:bidi="ar-SA"/>
    </w:rPr>
  </w:style>
  <w:style w:type="character" w:customStyle="1" w:styleId="2898">
    <w:name w:val="标题 4 Char Char Char Char Char Char Char Char Char Char Char Char Char Char Char Char Char Char Char Char Char Char Char Char Char Char"/>
    <w:qFormat/>
    <w:uiPriority w:val="0"/>
    <w:rPr>
      <w:rFonts w:hint="default" w:ascii="Arial" w:hAnsi="Arial" w:eastAsia="宋体" w:cs="Times New Roman"/>
      <w:sz w:val="28"/>
      <w:szCs w:val="20"/>
    </w:rPr>
  </w:style>
  <w:style w:type="character" w:customStyle="1" w:styleId="2899">
    <w:name w:val="123YJ Char Char2"/>
    <w:qFormat/>
    <w:uiPriority w:val="0"/>
    <w:rPr>
      <w:rFonts w:eastAsia="宋体"/>
      <w:kern w:val="2"/>
      <w:sz w:val="18"/>
      <w:szCs w:val="18"/>
      <w:lang w:val="en-US" w:eastAsia="zh-CN" w:bidi="ar-SA"/>
    </w:rPr>
  </w:style>
  <w:style w:type="character" w:customStyle="1" w:styleId="2900">
    <w:name w:val="(use for figures) Char1"/>
    <w:qFormat/>
    <w:uiPriority w:val="0"/>
    <w:rPr>
      <w:rFonts w:ascii="Arial" w:hAnsi="Arial" w:eastAsia="黑体"/>
      <w:kern w:val="2"/>
      <w:sz w:val="24"/>
      <w:szCs w:val="24"/>
      <w:lang w:val="en-US" w:eastAsia="zh-CN" w:bidi="ar-SA"/>
    </w:rPr>
  </w:style>
  <w:style w:type="character" w:customStyle="1" w:styleId="2901">
    <w:name w:val="Char Char Char Char Char Char Char Char Char Char Char Char Char Char Char Char Char Char Char Char Char Char Char Char Char Char Char Char Char Char Char Char Char Char Char Char Char Char Char Char Char Char Char Char Char Char Char Char Char Char  C"/>
    <w:qFormat/>
    <w:uiPriority w:val="0"/>
    <w:rPr>
      <w:rFonts w:ascii="宋体" w:hAnsi="Courier New" w:eastAsia="宋体"/>
      <w:kern w:val="2"/>
      <w:sz w:val="21"/>
      <w:lang w:val="en-US" w:eastAsia="zh-CN" w:bidi="ar-SA"/>
    </w:rPr>
  </w:style>
  <w:style w:type="character" w:customStyle="1" w:styleId="2902">
    <w:name w:val="Char Char43"/>
    <w:qFormat/>
    <w:uiPriority w:val="0"/>
    <w:rPr>
      <w:rFonts w:ascii="Times New Roman" w:hAnsi="Times New Roman" w:eastAsia="宋体" w:cs="Times New Roman"/>
      <w:szCs w:val="24"/>
      <w:shd w:val="clear" w:color="auto" w:fill="000080"/>
    </w:rPr>
  </w:style>
  <w:style w:type="character" w:customStyle="1" w:styleId="2903">
    <w:name w:val="宁波至温州正文 Char Char"/>
    <w:qFormat/>
    <w:uiPriority w:val="0"/>
    <w:rPr>
      <w:rFonts w:eastAsia="宋体"/>
      <w:kern w:val="2"/>
      <w:sz w:val="26"/>
      <w:szCs w:val="24"/>
      <w:lang w:val="en-US" w:eastAsia="zh-CN" w:bidi="ar-SA"/>
    </w:rPr>
  </w:style>
  <w:style w:type="character" w:customStyle="1" w:styleId="2904">
    <w:name w:val="even Char3"/>
    <w:qFormat/>
    <w:uiPriority w:val="0"/>
    <w:rPr>
      <w:rFonts w:eastAsia="宋体"/>
      <w:kern w:val="2"/>
      <w:sz w:val="18"/>
      <w:szCs w:val="18"/>
      <w:lang w:val="en-US" w:eastAsia="zh-CN" w:bidi="ar-SA"/>
    </w:rPr>
  </w:style>
  <w:style w:type="character" w:customStyle="1" w:styleId="2905">
    <w:name w:val="标题 7表内5号 Char Char1"/>
    <w:qFormat/>
    <w:uiPriority w:val="0"/>
    <w:rPr>
      <w:rFonts w:eastAsia="黑体"/>
      <w:sz w:val="24"/>
      <w:lang w:val="en-US" w:eastAsia="zh-CN" w:bidi="ar-SA"/>
    </w:rPr>
  </w:style>
  <w:style w:type="character" w:customStyle="1" w:styleId="2906">
    <w:name w:val="hei141"/>
    <w:qFormat/>
    <w:uiPriority w:val="0"/>
    <w:rPr>
      <w:color w:val="000000"/>
      <w:sz w:val="21"/>
      <w:szCs w:val="21"/>
    </w:rPr>
  </w:style>
  <w:style w:type="character" w:customStyle="1" w:styleId="2907">
    <w:name w:val="theinfocontent1"/>
    <w:qFormat/>
    <w:uiPriority w:val="0"/>
    <w:rPr>
      <w:rFonts w:hint="default" w:ascii="ˎ̥" w:hAnsi="ˎ̥"/>
      <w:sz w:val="20"/>
      <w:szCs w:val="20"/>
    </w:rPr>
  </w:style>
  <w:style w:type="character" w:customStyle="1" w:styleId="2908">
    <w:name w:val="hyl21"/>
    <w:qFormat/>
    <w:uiPriority w:val="0"/>
    <w:rPr>
      <w:rFonts w:hint="default" w:ascii="̥_GB2312" w:hAnsi="̥_GB2312"/>
      <w:color w:val="000000"/>
      <w:sz w:val="30"/>
      <w:szCs w:val="30"/>
      <w:u w:val="none"/>
    </w:rPr>
  </w:style>
  <w:style w:type="character" w:customStyle="1" w:styleId="2909">
    <w:name w:val="标题3 Char Char"/>
    <w:qFormat/>
    <w:uiPriority w:val="0"/>
    <w:rPr>
      <w:rFonts w:hint="eastAsia" w:ascii="宋体" w:hAnsi="宋体" w:eastAsia="宋体"/>
      <w:b/>
      <w:bCs/>
      <w:sz w:val="32"/>
      <w:szCs w:val="32"/>
      <w:lang w:val="en-US" w:eastAsia="zh-CN" w:bidi="ar-SA"/>
    </w:rPr>
  </w:style>
  <w:style w:type="character" w:customStyle="1" w:styleId="2910">
    <w:name w:val="正文文本缩进 Char3"/>
    <w:qFormat/>
    <w:uiPriority w:val="99"/>
    <w:rPr>
      <w:rFonts w:eastAsia="宋体"/>
      <w:kern w:val="2"/>
      <w:sz w:val="24"/>
      <w:szCs w:val="24"/>
      <w:lang w:val="en-US" w:eastAsia="zh-CN" w:bidi="ar-SA"/>
    </w:rPr>
  </w:style>
  <w:style w:type="character" w:customStyle="1" w:styleId="2911">
    <w:name w:val="可研-标题 9 Char"/>
    <w:qFormat/>
    <w:uiPriority w:val="0"/>
    <w:rPr>
      <w:rFonts w:ascii="Arial" w:hAnsi="Arial" w:eastAsia="黑体"/>
      <w:snapToGrid w:val="0"/>
      <w:kern w:val="2"/>
      <w:sz w:val="21"/>
      <w:szCs w:val="21"/>
      <w:lang w:val="eu-ES" w:eastAsia="zh-CN" w:bidi="ar-SA"/>
    </w:rPr>
  </w:style>
  <w:style w:type="character" w:customStyle="1" w:styleId="2912">
    <w:name w:val="章1"/>
    <w:qFormat/>
    <w:uiPriority w:val="0"/>
    <w:rPr>
      <w:rFonts w:ascii="宋体" w:hAnsi="宋体" w:eastAsia="宋体"/>
      <w:b/>
      <w:spacing w:val="-8"/>
      <w:kern w:val="2"/>
      <w:sz w:val="30"/>
      <w:lang w:val="en-US" w:eastAsia="zh-CN" w:bidi="ar-SA"/>
    </w:rPr>
  </w:style>
  <w:style w:type="character" w:customStyle="1" w:styleId="2913">
    <w:name w:val="ggwenhao"/>
    <w:qFormat/>
    <w:uiPriority w:val="0"/>
  </w:style>
  <w:style w:type="character" w:customStyle="1" w:styleId="2914">
    <w:name w:val="标题2 Char Char"/>
    <w:qFormat/>
    <w:uiPriority w:val="0"/>
    <w:rPr>
      <w:rFonts w:ascii="Arial" w:hAnsi="Arial" w:eastAsia="黑体"/>
      <w:b/>
      <w:bCs/>
      <w:kern w:val="2"/>
      <w:sz w:val="32"/>
      <w:szCs w:val="32"/>
      <w:lang w:val="en-US" w:eastAsia="zh-CN" w:bidi="ar-SA"/>
    </w:rPr>
  </w:style>
  <w:style w:type="character" w:customStyle="1" w:styleId="2915">
    <w:name w:val="标题 4 Char Char Char Char Char Char Char Char Char Char Char Char Char Char Char Char Char Char Char Char Char Char Char Char Char"/>
    <w:qFormat/>
    <w:uiPriority w:val="0"/>
    <w:rPr>
      <w:rFonts w:hint="default" w:ascii="Arial" w:hAnsi="Arial" w:eastAsia="宋体" w:cs="Arial"/>
      <w:kern w:val="2"/>
      <w:sz w:val="28"/>
      <w:lang w:val="en-US" w:eastAsia="zh-CN" w:bidi="ar-SA"/>
    </w:rPr>
  </w:style>
  <w:style w:type="character" w:customStyle="1" w:styleId="2916">
    <w:name w:val="正文文本缩进 2 Char2"/>
    <w:qFormat/>
    <w:uiPriority w:val="99"/>
    <w:rPr>
      <w:kern w:val="2"/>
      <w:sz w:val="24"/>
      <w:szCs w:val="24"/>
    </w:rPr>
  </w:style>
  <w:style w:type="character" w:customStyle="1" w:styleId="2917">
    <w:name w:val="Char Char241"/>
    <w:qFormat/>
    <w:uiPriority w:val="0"/>
    <w:rPr>
      <w:rFonts w:eastAsia="宋体"/>
      <w:kern w:val="2"/>
      <w:sz w:val="18"/>
      <w:szCs w:val="18"/>
      <w:lang w:val="en-US" w:eastAsia="zh-CN" w:bidi="ar-SA"/>
    </w:rPr>
  </w:style>
  <w:style w:type="character" w:customStyle="1" w:styleId="2918">
    <w:name w:val="正文文本 Char3"/>
    <w:qFormat/>
    <w:uiPriority w:val="99"/>
    <w:rPr>
      <w:kern w:val="2"/>
      <w:sz w:val="24"/>
      <w:szCs w:val="24"/>
    </w:rPr>
  </w:style>
  <w:style w:type="character" w:customStyle="1" w:styleId="2919">
    <w:name w:val="zjgblk1"/>
    <w:qFormat/>
    <w:uiPriority w:val="0"/>
    <w:rPr>
      <w:rFonts w:hint="default"/>
      <w:color w:val="000000"/>
      <w:sz w:val="18"/>
      <w:szCs w:val="18"/>
      <w:u w:val="none"/>
    </w:rPr>
  </w:style>
  <w:style w:type="character" w:customStyle="1" w:styleId="2920">
    <w:name w:val="p2"/>
    <w:qFormat/>
    <w:uiPriority w:val="0"/>
    <w:rPr>
      <w:rFonts w:hint="eastAsia" w:ascii="宋体" w:hAnsi="宋体" w:eastAsia="宋体"/>
      <w:sz w:val="28"/>
      <w:szCs w:val="28"/>
      <w:lang w:val="en-US" w:eastAsia="en-US" w:bidi="ar-SA"/>
    </w:rPr>
  </w:style>
  <w:style w:type="character" w:customStyle="1" w:styleId="2921">
    <w:name w:val="unnamed11"/>
    <w:qFormat/>
    <w:uiPriority w:val="0"/>
    <w:rPr>
      <w:sz w:val="20"/>
      <w:szCs w:val="20"/>
    </w:rPr>
  </w:style>
  <w:style w:type="character" w:customStyle="1" w:styleId="2922">
    <w:name w:val="log11"/>
    <w:qFormat/>
    <w:uiPriority w:val="0"/>
    <w:rPr>
      <w:sz w:val="18"/>
      <w:szCs w:val="18"/>
      <w:u w:val="none"/>
    </w:rPr>
  </w:style>
  <w:style w:type="character" w:customStyle="1" w:styleId="2923">
    <w:name w:val="麦志勤表格标题 Char Char Char Char"/>
    <w:qFormat/>
    <w:uiPriority w:val="0"/>
    <w:rPr>
      <w:rFonts w:ascii="宋体" w:hAnsi="宋体" w:eastAsia="宋体"/>
      <w:color w:val="000000"/>
      <w:sz w:val="24"/>
      <w:szCs w:val="24"/>
      <w:lang w:bidi="ar-SA"/>
    </w:rPr>
  </w:style>
  <w:style w:type="character" w:customStyle="1" w:styleId="2924">
    <w:name w:val="newssize"/>
    <w:qFormat/>
    <w:uiPriority w:val="0"/>
  </w:style>
  <w:style w:type="character" w:customStyle="1" w:styleId="2925">
    <w:name w:val="表格用字 Char Char1"/>
    <w:qFormat/>
    <w:uiPriority w:val="0"/>
    <w:rPr>
      <w:rFonts w:ascii="宋体" w:eastAsia="仿宋_GB2312" w:cs="宋体"/>
      <w:bCs/>
      <w:kern w:val="2"/>
      <w:sz w:val="24"/>
      <w:szCs w:val="21"/>
      <w:lang w:val="en-US" w:eastAsia="zh-CN" w:bidi="ar-SA"/>
    </w:rPr>
  </w:style>
  <w:style w:type="character" w:customStyle="1" w:styleId="2926">
    <w:name w:val="标题 2 Char Char"/>
    <w:qFormat/>
    <w:uiPriority w:val="0"/>
    <w:rPr>
      <w:rFonts w:ascii="Cambria" w:hAnsi="Cambria" w:eastAsia="宋体" w:cs="Times New Roman"/>
      <w:b/>
      <w:bCs/>
      <w:kern w:val="2"/>
      <w:sz w:val="32"/>
      <w:szCs w:val="32"/>
      <w:lang w:val="en-US" w:eastAsia="zh-CN" w:bidi="ar-SA"/>
    </w:rPr>
  </w:style>
  <w:style w:type="character" w:customStyle="1" w:styleId="2927">
    <w:name w:val="f91"/>
    <w:qFormat/>
    <w:uiPriority w:val="0"/>
    <w:rPr>
      <w:sz w:val="18"/>
      <w:szCs w:val="18"/>
      <w:u w:val="none"/>
    </w:rPr>
  </w:style>
  <w:style w:type="character" w:customStyle="1" w:styleId="2928">
    <w:name w:val="麦志勤正文 Char Char Char Char Char"/>
    <w:qFormat/>
    <w:uiPriority w:val="0"/>
    <w:rPr>
      <w:rFonts w:ascii="宋体" w:hAnsi="宋体" w:eastAsia="宋体"/>
      <w:kern w:val="2"/>
      <w:sz w:val="24"/>
      <w:lang w:val="en-US" w:eastAsia="zh-CN" w:bidi="ar-SA"/>
    </w:rPr>
  </w:style>
  <w:style w:type="character" w:customStyle="1" w:styleId="2929">
    <w:name w:val="ehong1"/>
    <w:qFormat/>
    <w:uiPriority w:val="0"/>
    <w:rPr>
      <w:b/>
      <w:bCs/>
      <w:color w:val="FF3333"/>
      <w:sz w:val="20"/>
      <w:szCs w:val="20"/>
      <w:u w:val="none"/>
    </w:rPr>
  </w:style>
  <w:style w:type="character" w:customStyle="1" w:styleId="2930">
    <w:name w:val="Char Char29"/>
    <w:qFormat/>
    <w:uiPriority w:val="0"/>
    <w:rPr>
      <w:rFonts w:ascii="宋体" w:hAnsi="宋体" w:eastAsia="宋体" w:cs="Times New Roman"/>
      <w:kern w:val="0"/>
      <w:sz w:val="24"/>
      <w:szCs w:val="24"/>
    </w:rPr>
  </w:style>
  <w:style w:type="character" w:customStyle="1" w:styleId="2931">
    <w:name w:val="11 Char"/>
    <w:qFormat/>
    <w:uiPriority w:val="0"/>
    <w:rPr>
      <w:rFonts w:eastAsia="宋体"/>
      <w:b/>
      <w:bCs/>
      <w:kern w:val="44"/>
      <w:sz w:val="44"/>
      <w:szCs w:val="44"/>
      <w:lang w:val="en-US" w:eastAsia="zh-CN" w:bidi="ar-SA"/>
    </w:rPr>
  </w:style>
  <w:style w:type="character" w:customStyle="1" w:styleId="2932">
    <w:name w:val="normaltext1"/>
    <w:qFormat/>
    <w:uiPriority w:val="0"/>
    <w:rPr>
      <w:color w:val="000000"/>
      <w:sz w:val="23"/>
      <w:szCs w:val="23"/>
    </w:rPr>
  </w:style>
  <w:style w:type="character" w:customStyle="1" w:styleId="2933">
    <w:name w:val="表名 Char Char"/>
    <w:qFormat/>
    <w:uiPriority w:val="0"/>
    <w:rPr>
      <w:rFonts w:ascii="黑体" w:hAnsi="宋体" w:eastAsia="黑体"/>
      <w:kern w:val="2"/>
      <w:sz w:val="24"/>
      <w:szCs w:val="24"/>
    </w:rPr>
  </w:style>
  <w:style w:type="character" w:customStyle="1" w:styleId="2934">
    <w:name w:val="正文文字缩进 31 Char2"/>
    <w:qFormat/>
    <w:uiPriority w:val="0"/>
    <w:rPr>
      <w:rFonts w:eastAsia="宋体"/>
      <w:sz w:val="24"/>
      <w:lang w:val="en-US" w:eastAsia="zh-CN" w:bidi="ar-SA"/>
    </w:rPr>
  </w:style>
  <w:style w:type="character" w:customStyle="1" w:styleId="2935">
    <w:name w:val="中大正文 Char Char"/>
    <w:qFormat/>
    <w:uiPriority w:val="0"/>
    <w:rPr>
      <w:rFonts w:eastAsia="宋体"/>
      <w:sz w:val="21"/>
      <w:szCs w:val="24"/>
      <w:lang w:val="zh-CN" w:bidi="ar-SA"/>
    </w:rPr>
  </w:style>
  <w:style w:type="character" w:customStyle="1" w:styleId="2936">
    <w:name w:val="style8"/>
    <w:qFormat/>
    <w:uiPriority w:val="0"/>
  </w:style>
  <w:style w:type="character" w:customStyle="1" w:styleId="2937">
    <w:name w:val="明显参考2"/>
    <w:qFormat/>
    <w:uiPriority w:val="0"/>
    <w:rPr>
      <w:b/>
      <w:bCs/>
      <w:smallCaps/>
      <w:color w:val="C0504D"/>
      <w:spacing w:val="5"/>
      <w:u w:val="single"/>
    </w:rPr>
  </w:style>
  <w:style w:type="character" w:customStyle="1" w:styleId="2938">
    <w:name w:val="标题  Char"/>
    <w:qFormat/>
    <w:uiPriority w:val="0"/>
    <w:rPr>
      <w:rFonts w:ascii="楷体_GB2312" w:hAnsi="Arial" w:eastAsia="楷体_GB2312"/>
      <w:bCs/>
      <w:kern w:val="2"/>
      <w:sz w:val="28"/>
      <w:szCs w:val="28"/>
      <w:lang w:val="en-US" w:eastAsia="zh-CN" w:bidi="ar-SA"/>
    </w:rPr>
  </w:style>
  <w:style w:type="character" w:customStyle="1" w:styleId="2939">
    <w:name w:val="style131"/>
    <w:qFormat/>
    <w:uiPriority w:val="0"/>
    <w:rPr>
      <w:sz w:val="18"/>
      <w:szCs w:val="18"/>
    </w:rPr>
  </w:style>
  <w:style w:type="character" w:customStyle="1" w:styleId="2940">
    <w:name w:val="标题55 Char Char"/>
    <w:qFormat/>
    <w:uiPriority w:val="0"/>
    <w:rPr>
      <w:b/>
      <w:bCs/>
      <w:kern w:val="2"/>
      <w:sz w:val="28"/>
      <w:szCs w:val="28"/>
    </w:rPr>
  </w:style>
  <w:style w:type="character" w:customStyle="1" w:styleId="2941">
    <w:name w:val="neiwen1"/>
    <w:qFormat/>
    <w:uiPriority w:val="0"/>
    <w:rPr>
      <w:color w:val="000000"/>
      <w:sz w:val="20"/>
      <w:szCs w:val="20"/>
    </w:rPr>
  </w:style>
  <w:style w:type="character" w:customStyle="1" w:styleId="2942">
    <w:name w:val="样式 标题 2 + 红色 Char Char"/>
    <w:qFormat/>
    <w:uiPriority w:val="0"/>
    <w:rPr>
      <w:rFonts w:ascii="Arial" w:hAnsi="Arial" w:eastAsia="黑体"/>
      <w:b/>
      <w:bCs/>
      <w:color w:val="FF0000"/>
      <w:spacing w:val="-8"/>
      <w:kern w:val="2"/>
      <w:sz w:val="28"/>
      <w:szCs w:val="32"/>
      <w:lang w:val="en-US" w:eastAsia="zh-CN" w:bidi="ar-SA"/>
    </w:rPr>
  </w:style>
  <w:style w:type="character" w:customStyle="1" w:styleId="2943">
    <w:name w:val="ourfont2"/>
    <w:qFormat/>
    <w:uiPriority w:val="0"/>
  </w:style>
  <w:style w:type="character" w:customStyle="1" w:styleId="2944">
    <w:name w:val="l131"/>
    <w:qFormat/>
    <w:uiPriority w:val="0"/>
    <w:rPr>
      <w:sz w:val="18"/>
      <w:szCs w:val="18"/>
    </w:rPr>
  </w:style>
  <w:style w:type="character" w:customStyle="1" w:styleId="2945">
    <w:name w:val="Char Char211"/>
    <w:qFormat/>
    <w:uiPriority w:val="0"/>
    <w:rPr>
      <w:rFonts w:eastAsia="宋体"/>
      <w:kern w:val="2"/>
      <w:sz w:val="21"/>
      <w:szCs w:val="24"/>
      <w:lang w:val="en-US" w:eastAsia="zh-CN" w:bidi="ar-SA"/>
    </w:rPr>
  </w:style>
  <w:style w:type="character" w:customStyle="1" w:styleId="2946">
    <w:name w:val="批注框文本 Char3"/>
    <w:qFormat/>
    <w:uiPriority w:val="0"/>
    <w:rPr>
      <w:kern w:val="2"/>
      <w:sz w:val="18"/>
      <w:szCs w:val="18"/>
    </w:rPr>
  </w:style>
  <w:style w:type="character" w:customStyle="1" w:styleId="2947">
    <w:name w:val="style81"/>
    <w:qFormat/>
    <w:uiPriority w:val="0"/>
    <w:rPr>
      <w:color w:val="666666"/>
      <w:sz w:val="18"/>
      <w:szCs w:val="18"/>
    </w:rPr>
  </w:style>
  <w:style w:type="character" w:customStyle="1" w:styleId="2948">
    <w:name w:val="自正文1 Char Char1"/>
    <w:qFormat/>
    <w:uiPriority w:val="0"/>
    <w:rPr>
      <w:rFonts w:ascii="宋体"/>
      <w:kern w:val="24"/>
      <w:sz w:val="24"/>
      <w:szCs w:val="24"/>
    </w:rPr>
  </w:style>
  <w:style w:type="character" w:customStyle="1" w:styleId="2949">
    <w:name w:val="Char Char44"/>
    <w:qFormat/>
    <w:uiPriority w:val="0"/>
    <w:rPr>
      <w:rFonts w:ascii="Cambria" w:hAnsi="Cambria" w:eastAsia="宋体" w:cs="Times New Roman"/>
      <w:b/>
      <w:bCs/>
      <w:kern w:val="28"/>
      <w:sz w:val="32"/>
      <w:szCs w:val="32"/>
    </w:rPr>
  </w:style>
  <w:style w:type="character" w:customStyle="1" w:styleId="2950">
    <w:name w:val="标题 3 Char Char Char Char Char"/>
    <w:qFormat/>
    <w:uiPriority w:val="0"/>
    <w:rPr>
      <w:rFonts w:eastAsia="宋体"/>
      <w:b/>
      <w:bCs/>
      <w:kern w:val="2"/>
      <w:sz w:val="32"/>
      <w:szCs w:val="32"/>
      <w:lang w:val="en-US" w:eastAsia="zh-CN" w:bidi="ar-SA"/>
    </w:rPr>
  </w:style>
  <w:style w:type="character" w:customStyle="1" w:styleId="2951">
    <w:name w:val="题注 Char1 Char"/>
    <w:qFormat/>
    <w:uiPriority w:val="0"/>
    <w:rPr>
      <w:rFonts w:ascii="Arial" w:hAnsi="Arial" w:eastAsia="黑体" w:cs="Arial"/>
      <w:kern w:val="2"/>
      <w:lang w:val="en-US" w:eastAsia="zh-CN" w:bidi="ar-SA"/>
    </w:rPr>
  </w:style>
  <w:style w:type="character" w:customStyle="1" w:styleId="2952">
    <w:name w:val="表头 Char2"/>
    <w:qFormat/>
    <w:uiPriority w:val="0"/>
    <w:rPr>
      <w:rFonts w:ascii="黑体" w:hAnsi="宋体" w:eastAsia="黑体"/>
      <w:snapToGrid/>
      <w:spacing w:val="4"/>
      <w:sz w:val="24"/>
    </w:rPr>
  </w:style>
  <w:style w:type="character" w:customStyle="1" w:styleId="2953">
    <w:name w:val="line1301"/>
    <w:qFormat/>
    <w:uiPriority w:val="0"/>
  </w:style>
  <w:style w:type="character" w:customStyle="1" w:styleId="2954">
    <w:name w:val="标题 Char Char"/>
    <w:qFormat/>
    <w:uiPriority w:val="0"/>
    <w:rPr>
      <w:rFonts w:ascii="Cambria" w:hAnsi="Cambria" w:cs="Times New Roman"/>
      <w:b/>
      <w:bCs/>
      <w:kern w:val="2"/>
      <w:sz w:val="32"/>
      <w:szCs w:val="32"/>
    </w:rPr>
  </w:style>
  <w:style w:type="character" w:customStyle="1" w:styleId="2955">
    <w:name w:val="Char Char45"/>
    <w:qFormat/>
    <w:uiPriority w:val="0"/>
    <w:rPr>
      <w:rFonts w:ascii="Times New Roman" w:hAnsi="Times New Roman" w:eastAsia="宋体" w:cs="Times New Roman"/>
      <w:kern w:val="0"/>
      <w:sz w:val="24"/>
      <w:szCs w:val="20"/>
    </w:rPr>
  </w:style>
  <w:style w:type="character" w:customStyle="1" w:styleId="2956">
    <w:name w:val="图注 Char Char"/>
    <w:qFormat/>
    <w:uiPriority w:val="0"/>
    <w:rPr>
      <w:rFonts w:eastAsia="宋体"/>
      <w:color w:val="FF0000"/>
      <w:kern w:val="2"/>
      <w:sz w:val="28"/>
      <w:szCs w:val="24"/>
      <w:lang w:val="en-US" w:eastAsia="zh-CN" w:bidi="ar-SA"/>
    </w:rPr>
  </w:style>
  <w:style w:type="character" w:customStyle="1" w:styleId="2957">
    <w:name w:val="Char Char40"/>
    <w:qFormat/>
    <w:uiPriority w:val="0"/>
    <w:rPr>
      <w:rFonts w:ascii="Arial" w:hAnsi="Arial" w:eastAsia="宋体" w:cs="Times New Roman"/>
      <w:b/>
      <w:bCs/>
      <w:sz w:val="32"/>
      <w:szCs w:val="32"/>
    </w:rPr>
  </w:style>
  <w:style w:type="character" w:customStyle="1" w:styleId="2958">
    <w:name w:val="Char Char331"/>
    <w:qFormat/>
    <w:uiPriority w:val="0"/>
    <w:rPr>
      <w:rFonts w:ascii="Times New Roman" w:hAnsi="Times New Roman" w:eastAsia="宋体" w:cs="Times New Roman"/>
      <w:kern w:val="2"/>
      <w:sz w:val="18"/>
      <w:szCs w:val="18"/>
    </w:rPr>
  </w:style>
  <w:style w:type="character" w:customStyle="1" w:styleId="2959">
    <w:name w:val="font031"/>
    <w:qFormat/>
    <w:uiPriority w:val="0"/>
    <w:rPr>
      <w:rFonts w:hint="default"/>
      <w:sz w:val="26"/>
      <w:szCs w:val="26"/>
      <w:u w:val="none"/>
    </w:rPr>
  </w:style>
  <w:style w:type="character" w:customStyle="1" w:styleId="2960">
    <w:name w:val="不明显强调2"/>
    <w:qFormat/>
    <w:uiPriority w:val="0"/>
    <w:rPr>
      <w:i/>
      <w:iCs/>
      <w:color w:val="808080"/>
    </w:rPr>
  </w:style>
  <w:style w:type="character" w:customStyle="1" w:styleId="2961">
    <w:name w:val="样式5 Char Char Char Char Char"/>
    <w:qFormat/>
    <w:uiPriority w:val="0"/>
    <w:rPr>
      <w:rFonts w:eastAsia="宋体"/>
      <w:kern w:val="2"/>
      <w:sz w:val="24"/>
      <w:szCs w:val="24"/>
      <w:lang w:val="en-US" w:eastAsia="zh-CN" w:bidi="ar-SA"/>
    </w:rPr>
  </w:style>
  <w:style w:type="character" w:customStyle="1" w:styleId="2962">
    <w:name w:val="无节款 Char"/>
    <w:qFormat/>
    <w:uiPriority w:val="0"/>
    <w:rPr>
      <w:rFonts w:ascii="Arial" w:hAnsi="Arial" w:eastAsia="黑体"/>
      <w:kern w:val="2"/>
      <w:sz w:val="21"/>
      <w:lang w:val="en-US" w:eastAsia="zh-CN" w:bidi="ar-SA"/>
    </w:rPr>
  </w:style>
  <w:style w:type="character" w:customStyle="1" w:styleId="2963">
    <w:name w:val="9hei1"/>
    <w:qFormat/>
    <w:uiPriority w:val="0"/>
    <w:rPr>
      <w:rFonts w:hint="eastAsia" w:ascii="宋体" w:hAnsi="宋体" w:eastAsia="宋体"/>
      <w:color w:val="000000"/>
      <w:sz w:val="22"/>
      <w:szCs w:val="22"/>
      <w:u w:val="none"/>
    </w:rPr>
  </w:style>
  <w:style w:type="character" w:customStyle="1" w:styleId="2964">
    <w:name w:val="showheadtitleleft1"/>
    <w:qFormat/>
    <w:uiPriority w:val="0"/>
    <w:rPr>
      <w:color w:val="000000"/>
      <w:sz w:val="21"/>
      <w:szCs w:val="21"/>
      <w:u w:val="none"/>
    </w:rPr>
  </w:style>
  <w:style w:type="character" w:customStyle="1" w:styleId="2965">
    <w:name w:val="表格用字 +  六号 Char Char"/>
    <w:qFormat/>
    <w:uiPriority w:val="0"/>
    <w:rPr>
      <w:rFonts w:ascii="宋体" w:eastAsia="仿宋_GB2312" w:cs="宋体"/>
      <w:bCs/>
      <w:kern w:val="2"/>
      <w:sz w:val="15"/>
      <w:szCs w:val="21"/>
      <w:lang w:val="en-US" w:eastAsia="zh-CN" w:bidi="ar-SA"/>
    </w:rPr>
  </w:style>
  <w:style w:type="character" w:customStyle="1" w:styleId="2966">
    <w:name w:val="tx105pt1"/>
    <w:qFormat/>
    <w:uiPriority w:val="0"/>
    <w:rPr>
      <w:color w:val="000000"/>
      <w:sz w:val="18"/>
      <w:szCs w:val="18"/>
      <w:u w:val="none"/>
    </w:rPr>
  </w:style>
  <w:style w:type="character" w:customStyle="1" w:styleId="2967">
    <w:name w:val="even Char Char1"/>
    <w:qFormat/>
    <w:uiPriority w:val="0"/>
    <w:rPr>
      <w:rFonts w:eastAsia="宋体"/>
      <w:kern w:val="2"/>
      <w:sz w:val="18"/>
      <w:szCs w:val="18"/>
      <w:lang w:val="en-US" w:eastAsia="zh-CN" w:bidi="ar-SA"/>
    </w:rPr>
  </w:style>
  <w:style w:type="character" w:customStyle="1" w:styleId="2968">
    <w:name w:val="题注1 Char1"/>
    <w:qFormat/>
    <w:uiPriority w:val="0"/>
    <w:rPr>
      <w:rFonts w:eastAsia="宋体"/>
      <w:spacing w:val="-18"/>
      <w:kern w:val="11"/>
      <w:sz w:val="30"/>
      <w:szCs w:val="30"/>
      <w:lang w:val="en-US" w:eastAsia="zh-CN" w:bidi="ar-SA"/>
    </w:rPr>
  </w:style>
  <w:style w:type="character" w:customStyle="1" w:styleId="2969">
    <w:name w:val="重点文字 Char Char"/>
    <w:qFormat/>
    <w:uiPriority w:val="0"/>
    <w:rPr>
      <w:rFonts w:ascii="仿宋_GB2312" w:hAnsi="宋体" w:eastAsia="仿宋_GB2312" w:cs="宋体"/>
      <w:b/>
      <w:color w:val="FF0000"/>
      <w:sz w:val="28"/>
      <w:szCs w:val="28"/>
      <w:lang w:val="en-US" w:eastAsia="zh-CN" w:bidi="ar-SA"/>
    </w:rPr>
  </w:style>
  <w:style w:type="character" w:customStyle="1" w:styleId="2970">
    <w:name w:val="style211"/>
    <w:qFormat/>
    <w:uiPriority w:val="0"/>
    <w:rPr>
      <w:b/>
      <w:bCs/>
      <w:color w:val="009900"/>
      <w:sz w:val="45"/>
      <w:szCs w:val="45"/>
    </w:rPr>
  </w:style>
  <w:style w:type="character" w:customStyle="1" w:styleId="2971">
    <w:name w:val="Char Char181"/>
    <w:qFormat/>
    <w:uiPriority w:val="0"/>
    <w:rPr>
      <w:rFonts w:ascii="Cambria" w:hAnsi="Cambria" w:cs="Times New Roman"/>
      <w:kern w:val="2"/>
      <w:sz w:val="24"/>
      <w:szCs w:val="24"/>
    </w:rPr>
  </w:style>
  <w:style w:type="character" w:customStyle="1" w:styleId="2972">
    <w:name w:val="标题 1 Char Char Char Char Char Char Char Char"/>
    <w:qFormat/>
    <w:uiPriority w:val="0"/>
    <w:rPr>
      <w:sz w:val="24"/>
    </w:rPr>
  </w:style>
  <w:style w:type="character" w:customStyle="1" w:styleId="2973">
    <w:name w:val="d11"/>
    <w:qFormat/>
    <w:uiPriority w:val="0"/>
    <w:rPr>
      <w:rFonts w:ascii="宋体" w:hAnsi="宋体" w:eastAsia="宋体" w:cs="宋体"/>
      <w:kern w:val="2"/>
      <w:sz w:val="20"/>
      <w:szCs w:val="20"/>
      <w:lang w:val="en-US" w:eastAsia="zh-CN" w:bidi="ar-SA"/>
    </w:rPr>
  </w:style>
  <w:style w:type="character" w:customStyle="1" w:styleId="2974">
    <w:name w:val="H212 Char1"/>
    <w:qFormat/>
    <w:uiPriority w:val="0"/>
    <w:rPr>
      <w:rFonts w:ascii="宋体" w:hAnsi="宋体" w:eastAsia="宋体"/>
      <w:b/>
      <w:spacing w:val="-8"/>
      <w:kern w:val="2"/>
      <w:sz w:val="30"/>
      <w:lang w:val="en-US" w:eastAsia="zh-CN" w:bidi="ar-SA"/>
    </w:rPr>
  </w:style>
  <w:style w:type="character" w:customStyle="1" w:styleId="2975">
    <w:name w:val="123YJ Char Char3"/>
    <w:qFormat/>
    <w:uiPriority w:val="0"/>
    <w:rPr>
      <w:rFonts w:ascii="Times New Roman" w:hAnsi="Times New Roman" w:eastAsia="宋体" w:cs="Times New Roman"/>
      <w:sz w:val="18"/>
      <w:szCs w:val="18"/>
    </w:rPr>
  </w:style>
  <w:style w:type="character" w:customStyle="1" w:styleId="2976">
    <w:name w:val="cssa1"/>
    <w:qFormat/>
    <w:uiPriority w:val="0"/>
    <w:rPr>
      <w:rFonts w:ascii="楷体_GB2312" w:hAnsi="宋体" w:eastAsia="楷体_GB2312" w:cs="宋体"/>
      <w:kern w:val="2"/>
      <w:sz w:val="18"/>
      <w:szCs w:val="24"/>
      <w:lang w:val="en-US" w:eastAsia="zh-CN" w:bidi="ar-SA"/>
    </w:rPr>
  </w:style>
  <w:style w:type="character" w:customStyle="1" w:styleId="2977">
    <w:name w:val="tpc_content"/>
    <w:qFormat/>
    <w:uiPriority w:val="0"/>
  </w:style>
  <w:style w:type="character" w:customStyle="1" w:styleId="2978">
    <w:name w:val="Char Char261"/>
    <w:qFormat/>
    <w:uiPriority w:val="0"/>
    <w:rPr>
      <w:rFonts w:ascii="Times New Roman" w:hAnsi="Times New Roman" w:eastAsia="宋体" w:cs="Times New Roman"/>
      <w:b/>
      <w:kern w:val="2"/>
      <w:sz w:val="36"/>
      <w:szCs w:val="20"/>
    </w:rPr>
  </w:style>
  <w:style w:type="character" w:customStyle="1" w:styleId="2979">
    <w:name w:val="中大2级 Char"/>
    <w:qFormat/>
    <w:uiPriority w:val="0"/>
    <w:rPr>
      <w:rFonts w:hint="default" w:ascii="Times New Roman" w:hAnsi="Times New Roman" w:cs="Times New Roman"/>
      <w:b/>
      <w:bCs/>
      <w:kern w:val="2"/>
      <w:sz w:val="30"/>
      <w:szCs w:val="30"/>
    </w:rPr>
  </w:style>
  <w:style w:type="character" w:customStyle="1" w:styleId="2980">
    <w:name w:val="表格名称 Char Char Char"/>
    <w:qFormat/>
    <w:uiPriority w:val="0"/>
    <w:rPr>
      <w:rFonts w:hint="default" w:ascii="Times New Roman" w:hAnsi="Times New Roman" w:eastAsia="宋体" w:cs="Times New Roman"/>
      <w:bCs/>
      <w:sz w:val="24"/>
      <w:szCs w:val="20"/>
    </w:rPr>
  </w:style>
  <w:style w:type="character" w:customStyle="1" w:styleId="2981">
    <w:name w:val="标题 9 Char Char Char1"/>
    <w:qFormat/>
    <w:uiPriority w:val="0"/>
    <w:rPr>
      <w:rFonts w:ascii="Arial" w:hAnsi="Arial" w:eastAsia="黑体"/>
      <w:kern w:val="2"/>
      <w:sz w:val="21"/>
      <w:szCs w:val="21"/>
      <w:lang w:val="en-US" w:eastAsia="zh-CN" w:bidi="ar-SA"/>
    </w:rPr>
  </w:style>
  <w:style w:type="character" w:customStyle="1" w:styleId="2982">
    <w:name w:val="txt11"/>
    <w:qFormat/>
    <w:uiPriority w:val="0"/>
    <w:rPr>
      <w:rFonts w:hint="default" w:ascii="ˎ̥" w:hAnsi="ˎ̥"/>
      <w:sz w:val="21"/>
      <w:szCs w:val="21"/>
    </w:rPr>
  </w:style>
  <w:style w:type="character" w:customStyle="1" w:styleId="2983">
    <w:name w:val="条-成果 Char Char Char"/>
    <w:qFormat/>
    <w:uiPriority w:val="0"/>
    <w:rPr>
      <w:rFonts w:ascii="宋体" w:hAnsi="宋体" w:eastAsia="宋体" w:cs="宋体"/>
      <w:bCs/>
      <w:kern w:val="2"/>
      <w:sz w:val="24"/>
      <w:szCs w:val="30"/>
      <w:lang w:val="en-US" w:eastAsia="zh-CN" w:bidi="ar-SA"/>
    </w:rPr>
  </w:style>
  <w:style w:type="character" w:customStyle="1" w:styleId="2984">
    <w:name w:val="ca-11"/>
    <w:qFormat/>
    <w:uiPriority w:val="0"/>
    <w:rPr>
      <w:rFonts w:ascii="楷体_GB2312" w:hAnsi="宋体" w:eastAsia="楷体_GB2312" w:cs="宋体"/>
      <w:kern w:val="2"/>
      <w:sz w:val="24"/>
      <w:szCs w:val="24"/>
      <w:lang w:val="en-US" w:eastAsia="zh-CN" w:bidi="ar-SA"/>
    </w:rPr>
  </w:style>
  <w:style w:type="character" w:customStyle="1" w:styleId="2985">
    <w:name w:val="a91"/>
    <w:qFormat/>
    <w:uiPriority w:val="0"/>
    <w:rPr>
      <w:spacing w:val="560"/>
      <w:sz w:val="18"/>
      <w:szCs w:val="18"/>
    </w:rPr>
  </w:style>
  <w:style w:type="character" w:customStyle="1" w:styleId="2986">
    <w:name w:val="style231"/>
    <w:qFormat/>
    <w:uiPriority w:val="0"/>
    <w:rPr>
      <w:rFonts w:hint="eastAsia" w:ascii="宋体" w:hAnsi="宋体" w:eastAsia="宋体"/>
      <w:color w:val="000000"/>
      <w:sz w:val="18"/>
      <w:szCs w:val="18"/>
    </w:rPr>
  </w:style>
  <w:style w:type="character" w:customStyle="1" w:styleId="2987">
    <w:name w:val="Char Char27"/>
    <w:qFormat/>
    <w:uiPriority w:val="0"/>
    <w:rPr>
      <w:rFonts w:ascii="Arial" w:hAnsi="Arial" w:eastAsia="宋体" w:cs="Arial"/>
      <w:vanish/>
      <w:kern w:val="0"/>
      <w:sz w:val="16"/>
      <w:szCs w:val="16"/>
    </w:rPr>
  </w:style>
  <w:style w:type="character" w:customStyle="1" w:styleId="2988">
    <w:name w:val="明显强调2"/>
    <w:qFormat/>
    <w:uiPriority w:val="0"/>
    <w:rPr>
      <w:b/>
      <w:bCs/>
      <w:i/>
      <w:iCs/>
      <w:color w:val="4F81BD"/>
    </w:rPr>
  </w:style>
  <w:style w:type="character" w:customStyle="1" w:styleId="2989">
    <w:name w:val="麦志勤正文 Char Char Char Char"/>
    <w:qFormat/>
    <w:uiPriority w:val="0"/>
    <w:rPr>
      <w:rFonts w:ascii="宋体" w:hAnsi="宋体" w:eastAsia="宋体"/>
      <w:kern w:val="2"/>
      <w:sz w:val="24"/>
      <w:lang w:val="en-US" w:eastAsia="zh-CN" w:bidi="ar-SA"/>
    </w:rPr>
  </w:style>
  <w:style w:type="character" w:customStyle="1" w:styleId="2990">
    <w:name w:val="text-s1"/>
    <w:qFormat/>
    <w:uiPriority w:val="0"/>
    <w:rPr>
      <w:sz w:val="20"/>
      <w:szCs w:val="20"/>
    </w:rPr>
  </w:style>
  <w:style w:type="character" w:customStyle="1" w:styleId="2991">
    <w:name w:val="标题55 Char"/>
    <w:qFormat/>
    <w:uiPriority w:val="0"/>
    <w:rPr>
      <w:rFonts w:ascii="宋体" w:hAnsi="宋体" w:eastAsia="宋体"/>
      <w:b/>
      <w:bCs/>
      <w:kern w:val="2"/>
      <w:sz w:val="24"/>
      <w:szCs w:val="28"/>
      <w:lang w:val="en-US" w:eastAsia="zh-CN" w:bidi="ar-SA"/>
    </w:rPr>
  </w:style>
  <w:style w:type="character" w:customStyle="1" w:styleId="2992">
    <w:name w:val="(use for appendix) Char Char"/>
    <w:qFormat/>
    <w:uiPriority w:val="0"/>
    <w:rPr>
      <w:rFonts w:eastAsia="宋体"/>
      <w:b/>
      <w:bCs/>
      <w:kern w:val="2"/>
      <w:sz w:val="24"/>
      <w:szCs w:val="24"/>
      <w:lang w:val="en-US" w:eastAsia="zh-CN" w:bidi="ar-SA"/>
    </w:rPr>
  </w:style>
  <w:style w:type="character" w:customStyle="1" w:styleId="2993">
    <w:name w:val="样式 正文文本缩进 2正文文字缩进 2 + 四号 蓝色 Char Char"/>
    <w:qFormat/>
    <w:uiPriority w:val="0"/>
    <w:rPr>
      <w:rFonts w:eastAsia="宋体"/>
      <w:color w:val="0000FF"/>
      <w:sz w:val="24"/>
      <w:szCs w:val="24"/>
      <w:lang w:val="en-US" w:eastAsia="zh-CN" w:bidi="ar-SA"/>
    </w:rPr>
  </w:style>
  <w:style w:type="character" w:customStyle="1" w:styleId="2994">
    <w:name w:val="正文1 Char2"/>
    <w:qFormat/>
    <w:uiPriority w:val="0"/>
    <w:rPr>
      <w:rFonts w:hAnsi="宋体"/>
      <w:bCs/>
      <w:kern w:val="2"/>
      <w:sz w:val="24"/>
      <w:szCs w:val="24"/>
    </w:rPr>
  </w:style>
  <w:style w:type="character" w:customStyle="1" w:styleId="2995">
    <w:name w:val="注释 Char Char"/>
    <w:qFormat/>
    <w:uiPriority w:val="0"/>
    <w:rPr>
      <w:rFonts w:hint="eastAsia" w:ascii="宋体" w:hAnsi="宋体" w:eastAsia="宋体"/>
      <w:kern w:val="2"/>
      <w:sz w:val="21"/>
      <w:szCs w:val="24"/>
      <w:lang w:val="en-US" w:eastAsia="zh-CN" w:bidi="ar-SA"/>
    </w:rPr>
  </w:style>
  <w:style w:type="character" w:customStyle="1" w:styleId="2996">
    <w:name w:val="样式 11.5 磅"/>
    <w:qFormat/>
    <w:uiPriority w:val="0"/>
    <w:rPr>
      <w:sz w:val="24"/>
    </w:rPr>
  </w:style>
  <w:style w:type="character" w:customStyle="1" w:styleId="2997">
    <w:name w:val="unnamed21"/>
    <w:qFormat/>
    <w:uiPriority w:val="0"/>
    <w:rPr>
      <w:sz w:val="16"/>
      <w:szCs w:val="16"/>
    </w:rPr>
  </w:style>
  <w:style w:type="character" w:customStyle="1" w:styleId="2998">
    <w:name w:val="Char Char28"/>
    <w:qFormat/>
    <w:uiPriority w:val="0"/>
    <w:rPr>
      <w:rFonts w:ascii="Times New Roman" w:hAnsi="Times New Roman" w:eastAsia="宋体" w:cs="Times New Roman"/>
      <w:b/>
      <w:bCs/>
      <w:kern w:val="0"/>
      <w:sz w:val="24"/>
      <w:szCs w:val="20"/>
    </w:rPr>
  </w:style>
  <w:style w:type="character" w:customStyle="1" w:styleId="2999">
    <w:name w:val="Char Char361"/>
    <w:qFormat/>
    <w:uiPriority w:val="0"/>
    <w:rPr>
      <w:rFonts w:ascii="Times New Roman" w:hAnsi="Times New Roman" w:eastAsia="宋体" w:cs="Times New Roman"/>
      <w:szCs w:val="24"/>
    </w:rPr>
  </w:style>
  <w:style w:type="character" w:customStyle="1" w:styleId="3000">
    <w:name w:val="spelle"/>
    <w:qFormat/>
    <w:uiPriority w:val="0"/>
  </w:style>
  <w:style w:type="character" w:customStyle="1" w:styleId="3001">
    <w:name w:val="fs12"/>
    <w:qFormat/>
    <w:uiPriority w:val="0"/>
  </w:style>
  <w:style w:type="character" w:customStyle="1" w:styleId="3002">
    <w:name w:val="tx9pt1"/>
    <w:qFormat/>
    <w:uiPriority w:val="0"/>
    <w:rPr>
      <w:sz w:val="18"/>
      <w:szCs w:val="18"/>
      <w:u w:val="none"/>
    </w:rPr>
  </w:style>
  <w:style w:type="character" w:customStyle="1" w:styleId="3003">
    <w:name w:val="f10wen1"/>
    <w:qFormat/>
    <w:uiPriority w:val="0"/>
    <w:rPr>
      <w:spacing w:val="10"/>
      <w:sz w:val="20"/>
      <w:szCs w:val="20"/>
      <w:u w:val="none"/>
    </w:rPr>
  </w:style>
  <w:style w:type="character" w:customStyle="1" w:styleId="3004">
    <w:name w:val="章 Char Char"/>
    <w:qFormat/>
    <w:uiPriority w:val="0"/>
    <w:rPr>
      <w:rFonts w:ascii="宋体" w:hAnsi="宋体" w:eastAsia="宋体"/>
      <w:b/>
      <w:spacing w:val="-8"/>
      <w:kern w:val="2"/>
      <w:sz w:val="30"/>
      <w:lang w:val="en-US" w:eastAsia="zh-CN" w:bidi="ar-SA"/>
    </w:rPr>
  </w:style>
  <w:style w:type="character" w:customStyle="1" w:styleId="3005">
    <w:name w:val="正文文本 3 Char Char"/>
    <w:qFormat/>
    <w:uiPriority w:val="0"/>
    <w:rPr>
      <w:rFonts w:ascii="宋体" w:hAnsi="宋体" w:eastAsia="宋体"/>
      <w:bCs/>
      <w:kern w:val="2"/>
      <w:sz w:val="21"/>
      <w:szCs w:val="24"/>
      <w:lang w:val="en-US" w:eastAsia="zh-CN" w:bidi="ar-SA"/>
    </w:rPr>
  </w:style>
  <w:style w:type="character" w:customStyle="1" w:styleId="3006">
    <w:name w:val="样式 11.5 磅2"/>
    <w:qFormat/>
    <w:uiPriority w:val="0"/>
    <w:rPr>
      <w:sz w:val="24"/>
    </w:rPr>
  </w:style>
  <w:style w:type="character" w:customStyle="1" w:styleId="3007">
    <w:name w:val="黏贴 Char Char"/>
    <w:qFormat/>
    <w:uiPriority w:val="0"/>
    <w:rPr>
      <w:rFonts w:eastAsia="宋体"/>
      <w:kern w:val="2"/>
      <w:sz w:val="18"/>
      <w:szCs w:val="24"/>
      <w:lang w:val="en-US" w:eastAsia="zh-CN" w:bidi="ar-SA"/>
    </w:rPr>
  </w:style>
  <w:style w:type="character" w:customStyle="1" w:styleId="3008">
    <w:name w:val="datatitle1"/>
    <w:qFormat/>
    <w:uiPriority w:val="0"/>
    <w:rPr>
      <w:b/>
      <w:bCs/>
      <w:color w:val="10619F"/>
      <w:sz w:val="21"/>
      <w:szCs w:val="21"/>
    </w:rPr>
  </w:style>
  <w:style w:type="character" w:customStyle="1" w:styleId="3009">
    <w:name w:val="cnd"/>
    <w:qFormat/>
    <w:uiPriority w:val="0"/>
    <w:rPr>
      <w:rFonts w:ascii="楷体_GB2312" w:hAnsi="宋体" w:eastAsia="楷体_GB2312" w:cs="宋体"/>
      <w:kern w:val="2"/>
      <w:sz w:val="24"/>
      <w:szCs w:val="24"/>
      <w:lang w:val="en-US" w:eastAsia="zh-CN" w:bidi="ar-SA"/>
    </w:rPr>
  </w:style>
  <w:style w:type="character" w:customStyle="1" w:styleId="3010">
    <w:name w:val="Char14"/>
    <w:qFormat/>
    <w:uiPriority w:val="0"/>
    <w:rPr>
      <w:rFonts w:hint="default" w:ascii="Arial" w:hAnsi="Arial" w:eastAsia="黑体" w:cs="Arial"/>
      <w:b/>
      <w:spacing w:val="4"/>
      <w:sz w:val="24"/>
      <w:lang w:val="en-US" w:eastAsia="zh-CN"/>
    </w:rPr>
  </w:style>
  <w:style w:type="character" w:customStyle="1" w:styleId="3011">
    <w:name w:val="s"/>
    <w:qFormat/>
    <w:uiPriority w:val="0"/>
    <w:rPr>
      <w:rFonts w:ascii="楷体_GB2312" w:hAnsi="宋体" w:eastAsia="楷体_GB2312" w:cs="宋体"/>
      <w:kern w:val="2"/>
      <w:sz w:val="24"/>
      <w:szCs w:val="24"/>
      <w:lang w:val="en-US" w:eastAsia="zh-CN" w:bidi="ar-SA"/>
    </w:rPr>
  </w:style>
  <w:style w:type="character" w:customStyle="1" w:styleId="3012">
    <w:name w:val="自正文1 Char Char Char Char"/>
    <w:qFormat/>
    <w:uiPriority w:val="0"/>
    <w:rPr>
      <w:rFonts w:eastAsia="宋体"/>
      <w:color w:val="000000"/>
      <w:kern w:val="24"/>
      <w:sz w:val="26"/>
      <w:szCs w:val="28"/>
      <w:lang w:val="en-US" w:eastAsia="zh-CN" w:bidi="ar-SA"/>
    </w:rPr>
  </w:style>
  <w:style w:type="character" w:customStyle="1" w:styleId="3013">
    <w:name w:val="submenu1"/>
    <w:qFormat/>
    <w:uiPriority w:val="0"/>
    <w:rPr>
      <w:vanish/>
    </w:rPr>
  </w:style>
  <w:style w:type="character" w:customStyle="1" w:styleId="3014">
    <w:name w:val="Char Char351"/>
    <w:qFormat/>
    <w:uiPriority w:val="0"/>
    <w:rPr>
      <w:rFonts w:ascii="Times New Roman" w:hAnsi="Times New Roman" w:eastAsia="宋体" w:cs="Times New Roman"/>
      <w:sz w:val="18"/>
      <w:szCs w:val="18"/>
    </w:rPr>
  </w:style>
  <w:style w:type="character" w:customStyle="1" w:styleId="3015">
    <w:name w:val="占位符文本1"/>
    <w:qFormat/>
    <w:uiPriority w:val="0"/>
    <w:rPr>
      <w:color w:val="808080"/>
    </w:rPr>
  </w:style>
  <w:style w:type="character" w:customStyle="1" w:styleId="3016">
    <w:name w:val="font9p1"/>
    <w:qFormat/>
    <w:uiPriority w:val="0"/>
    <w:rPr>
      <w:sz w:val="18"/>
      <w:szCs w:val="18"/>
    </w:rPr>
  </w:style>
  <w:style w:type="character" w:customStyle="1" w:styleId="3017">
    <w:name w:val="Char Char172"/>
    <w:qFormat/>
    <w:uiPriority w:val="0"/>
    <w:rPr>
      <w:rFonts w:cs="Times New Roman"/>
      <w:b/>
      <w:bCs/>
      <w:kern w:val="44"/>
      <w:sz w:val="32"/>
      <w:szCs w:val="44"/>
    </w:rPr>
  </w:style>
  <w:style w:type="character" w:customStyle="1" w:styleId="3018">
    <w:name w:val="unnamed81"/>
    <w:qFormat/>
    <w:uiPriority w:val="0"/>
    <w:rPr>
      <w:rFonts w:ascii="宋体" w:hAnsi="宋体" w:eastAsia="宋体" w:cs="宋体"/>
      <w:color w:val="CC6633"/>
      <w:kern w:val="2"/>
      <w:sz w:val="18"/>
      <w:szCs w:val="18"/>
      <w:lang w:val="en-US" w:eastAsia="zh-CN" w:bidi="ar-SA"/>
    </w:rPr>
  </w:style>
  <w:style w:type="character" w:customStyle="1" w:styleId="3019">
    <w:name w:val="不明显参考2"/>
    <w:qFormat/>
    <w:uiPriority w:val="0"/>
    <w:rPr>
      <w:smallCaps/>
      <w:color w:val="C0504D"/>
      <w:u w:val="single"/>
    </w:rPr>
  </w:style>
  <w:style w:type="character" w:customStyle="1" w:styleId="3020">
    <w:name w:val="text_l1"/>
    <w:qFormat/>
    <w:uiPriority w:val="0"/>
    <w:rPr>
      <w:color w:val="000066"/>
      <w:sz w:val="18"/>
      <w:szCs w:val="18"/>
    </w:rPr>
  </w:style>
  <w:style w:type="character" w:customStyle="1" w:styleId="3021">
    <w:name w:val="pt11"/>
    <w:qFormat/>
    <w:uiPriority w:val="0"/>
    <w:rPr>
      <w:rFonts w:hint="default" w:ascii="ˎ̥" w:hAnsi="ˎ̥" w:eastAsia="楷体_GB2312" w:cs="宋体"/>
      <w:b/>
      <w:bCs/>
      <w:kern w:val="2"/>
      <w:sz w:val="22"/>
      <w:szCs w:val="22"/>
      <w:lang w:val="en-US" w:eastAsia="zh-CN" w:bidi="ar-SA"/>
    </w:rPr>
  </w:style>
  <w:style w:type="character" w:customStyle="1" w:styleId="3022">
    <w:name w:val="电镀表 Char Char"/>
    <w:qFormat/>
    <w:uiPriority w:val="0"/>
    <w:rPr>
      <w:rFonts w:ascii="宋体" w:hAnsi="宋体" w:eastAsia="宋体" w:cs="Arial Unicode MS"/>
      <w:color w:val="000000"/>
      <w:sz w:val="21"/>
      <w:szCs w:val="21"/>
      <w:lang w:val="en-US" w:eastAsia="zh-CN" w:bidi="ar-SA"/>
    </w:rPr>
  </w:style>
  <w:style w:type="character" w:customStyle="1" w:styleId="3023">
    <w:name w:val="样式 标题 1 Char Char + Arial 三号"/>
    <w:qFormat/>
    <w:uiPriority w:val="0"/>
    <w:rPr>
      <w:rFonts w:hint="default" w:ascii="Arial" w:hAnsi="Arial" w:eastAsia="宋体" w:cs="Arial"/>
      <w:b/>
      <w:bCs/>
      <w:kern w:val="44"/>
      <w:sz w:val="36"/>
      <w:szCs w:val="44"/>
      <w:lang w:val="en-US" w:eastAsia="zh-CN" w:bidi="ar-SA"/>
    </w:rPr>
  </w:style>
  <w:style w:type="character" w:customStyle="1" w:styleId="3024">
    <w:name w:val="Normal Char Char Char Char"/>
    <w:qFormat/>
    <w:uiPriority w:val="0"/>
    <w:rPr>
      <w:rFonts w:ascii="宋体" w:eastAsia="宋体"/>
      <w:kern w:val="2"/>
      <w:sz w:val="34"/>
      <w:szCs w:val="24"/>
      <w:lang w:val="en-US" w:eastAsia="zh-CN" w:bidi="ar-SA"/>
    </w:rPr>
  </w:style>
  <w:style w:type="character" w:customStyle="1" w:styleId="3025">
    <w:name w:val="正文小四 Char Char"/>
    <w:qFormat/>
    <w:uiPriority w:val="0"/>
    <w:rPr>
      <w:rFonts w:eastAsia="宋体" w:cs="宋体"/>
      <w:kern w:val="2"/>
      <w:sz w:val="24"/>
      <w:lang w:val="en-US" w:eastAsia="zh-CN" w:bidi="ar-SA"/>
    </w:rPr>
  </w:style>
  <w:style w:type="character" w:customStyle="1" w:styleId="3026">
    <w:name w:val="签名 Char2"/>
    <w:qFormat/>
    <w:uiPriority w:val="0"/>
    <w:rPr>
      <w:kern w:val="2"/>
      <w:sz w:val="24"/>
      <w:szCs w:val="24"/>
    </w:rPr>
  </w:style>
  <w:style w:type="character" w:customStyle="1" w:styleId="3027">
    <w:name w:val="样式 标题 4 + 楷体_GB2312 Char"/>
    <w:qFormat/>
    <w:uiPriority w:val="0"/>
    <w:rPr>
      <w:rFonts w:ascii="华文楷体" w:hAnsi="华文楷体" w:eastAsia="楷体_GB2312"/>
      <w:bCs/>
      <w:sz w:val="21"/>
      <w:szCs w:val="21"/>
      <w:lang w:val="en-US" w:eastAsia="zh-CN" w:bidi="ar-SA"/>
    </w:rPr>
  </w:style>
  <w:style w:type="character" w:customStyle="1" w:styleId="3028">
    <w:name w:val="Char Char251"/>
    <w:qFormat/>
    <w:uiPriority w:val="0"/>
    <w:rPr>
      <w:rFonts w:ascii="Cambria" w:hAnsi="Cambria" w:eastAsia="宋体" w:cs="Times New Roman"/>
      <w:b/>
      <w:kern w:val="28"/>
      <w:sz w:val="32"/>
      <w:szCs w:val="20"/>
    </w:rPr>
  </w:style>
  <w:style w:type="character" w:customStyle="1" w:styleId="3029">
    <w:name w:val="Char Char213"/>
    <w:qFormat/>
    <w:uiPriority w:val="0"/>
    <w:rPr>
      <w:rFonts w:hint="eastAsia" w:ascii="宋体" w:hAnsi="宋体" w:eastAsia="宋体"/>
      <w:sz w:val="24"/>
      <w:lang w:val="en-US" w:eastAsia="zh-CN" w:bidi="ar-SA"/>
    </w:rPr>
  </w:style>
  <w:style w:type="character" w:customStyle="1" w:styleId="3030">
    <w:name w:val="pt91"/>
    <w:qFormat/>
    <w:uiPriority w:val="0"/>
    <w:rPr>
      <w:rFonts w:hint="default"/>
      <w:color w:val="000000"/>
      <w:sz w:val="18"/>
      <w:szCs w:val="18"/>
    </w:rPr>
  </w:style>
  <w:style w:type="character" w:customStyle="1" w:styleId="3031">
    <w:name w:val="样式 11.5 磅1"/>
    <w:qFormat/>
    <w:uiPriority w:val="0"/>
    <w:rPr>
      <w:sz w:val="24"/>
    </w:rPr>
  </w:style>
  <w:style w:type="character" w:customStyle="1" w:styleId="3032">
    <w:name w:val="ss1"/>
    <w:qFormat/>
    <w:uiPriority w:val="0"/>
    <w:rPr>
      <w:color w:val="0066CC"/>
      <w:sz w:val="28"/>
      <w:szCs w:val="28"/>
    </w:rPr>
  </w:style>
  <w:style w:type="character" w:customStyle="1" w:styleId="3033">
    <w:name w:val="文档结构图 Char2"/>
    <w:qFormat/>
    <w:uiPriority w:val="0"/>
    <w:rPr>
      <w:kern w:val="2"/>
      <w:sz w:val="21"/>
      <w:szCs w:val="24"/>
      <w:shd w:val="clear" w:color="auto" w:fill="000080"/>
    </w:rPr>
  </w:style>
  <w:style w:type="character" w:customStyle="1" w:styleId="3034">
    <w:name w:val="Char Char191"/>
    <w:qFormat/>
    <w:uiPriority w:val="0"/>
    <w:rPr>
      <w:rFonts w:eastAsia="宋体"/>
      <w:kern w:val="2"/>
      <w:sz w:val="21"/>
      <w:szCs w:val="24"/>
      <w:lang w:val="en-US" w:eastAsia="zh-CN" w:bidi="ar-SA"/>
    </w:rPr>
  </w:style>
  <w:style w:type="character" w:customStyle="1" w:styleId="3035">
    <w:name w:val="sbody1"/>
    <w:qFormat/>
    <w:uiPriority w:val="0"/>
    <w:rPr>
      <w:sz w:val="14"/>
      <w:szCs w:val="14"/>
    </w:rPr>
  </w:style>
  <w:style w:type="character" w:customStyle="1" w:styleId="3036">
    <w:name w:val="表头 Char Char Char Char"/>
    <w:qFormat/>
    <w:uiPriority w:val="0"/>
    <w:rPr>
      <w:rFonts w:ascii="Times New Roman" w:hAnsi="Times New Roman" w:eastAsia="仿宋_GB2312" w:cs="Times New Roman"/>
      <w:b/>
      <w:kern w:val="0"/>
      <w:sz w:val="24"/>
      <w:szCs w:val="20"/>
    </w:rPr>
  </w:style>
  <w:style w:type="character" w:customStyle="1" w:styleId="3037">
    <w:name w:val="11号线四级目录 Char"/>
    <w:qFormat/>
    <w:uiPriority w:val="0"/>
    <w:rPr>
      <w:rFonts w:ascii="宋体" w:hAnsi="宋体" w:eastAsia="宋体" w:cs="宋体"/>
      <w:kern w:val="2"/>
      <w:sz w:val="28"/>
      <w:szCs w:val="28"/>
      <w:lang w:val="en-US" w:eastAsia="zh-CN" w:bidi="ar-SA"/>
    </w:rPr>
  </w:style>
  <w:style w:type="character" w:customStyle="1" w:styleId="3038">
    <w:name w:val="篇1"/>
    <w:qFormat/>
    <w:uiPriority w:val="0"/>
    <w:rPr>
      <w:rFonts w:ascii="宋体" w:hAnsi="宋体" w:eastAsia="宋体"/>
      <w:b/>
      <w:bCs/>
      <w:kern w:val="44"/>
      <w:sz w:val="32"/>
      <w:szCs w:val="44"/>
      <w:lang w:val="en-US" w:eastAsia="zh-CN" w:bidi="ar-SA"/>
    </w:rPr>
  </w:style>
  <w:style w:type="character" w:customStyle="1" w:styleId="3039">
    <w:name w:val="14fz1"/>
    <w:qFormat/>
    <w:uiPriority w:val="0"/>
    <w:rPr>
      <w:rFonts w:hint="default"/>
      <w:color w:val="000000"/>
      <w:sz w:val="32"/>
      <w:szCs w:val="32"/>
    </w:rPr>
  </w:style>
  <w:style w:type="character" w:customStyle="1" w:styleId="3040">
    <w:name w:val="summer正文编辑样式"/>
    <w:qFormat/>
    <w:uiPriority w:val="0"/>
    <w:rPr>
      <w:color w:val="0000FF"/>
      <w:kern w:val="0"/>
      <w:sz w:val="24"/>
    </w:rPr>
  </w:style>
  <w:style w:type="character" w:customStyle="1" w:styleId="3041">
    <w:name w:val="标题 4 Char Char Char Char Char Char Char Char Char Char Char Char Char Char Char Char Char Char Char Char Char Char Char Char Char1"/>
    <w:qFormat/>
    <w:uiPriority w:val="0"/>
    <w:rPr>
      <w:rFonts w:hint="default" w:ascii="Arial" w:hAnsi="Arial" w:eastAsia="宋体" w:cs="Times New Roman"/>
      <w:sz w:val="28"/>
      <w:szCs w:val="20"/>
    </w:rPr>
  </w:style>
  <w:style w:type="character" w:customStyle="1" w:styleId="3042">
    <w:name w:val="a11"/>
    <w:qFormat/>
    <w:uiPriority w:val="0"/>
    <w:rPr>
      <w:sz w:val="20"/>
      <w:szCs w:val="20"/>
    </w:rPr>
  </w:style>
  <w:style w:type="character" w:customStyle="1" w:styleId="3043">
    <w:name w:val="Char Char41"/>
    <w:qFormat/>
    <w:uiPriority w:val="0"/>
    <w:rPr>
      <w:rFonts w:ascii="Arial" w:hAnsi="Arial" w:eastAsia="宋体" w:cs="Arial"/>
      <w:vanish/>
      <w:kern w:val="0"/>
      <w:sz w:val="16"/>
      <w:szCs w:val="16"/>
    </w:rPr>
  </w:style>
  <w:style w:type="character" w:customStyle="1" w:styleId="3044">
    <w:name w:val="标题 4 Char Char Char Char Char Char Char Char Char Char Char Char Char Char Char Char Char Char Char Char Char Char Char"/>
    <w:qFormat/>
    <w:uiPriority w:val="0"/>
    <w:rPr>
      <w:rFonts w:hint="default" w:ascii="Arial" w:hAnsi="Arial" w:eastAsia="黑体" w:cs="Arial"/>
      <w:b/>
      <w:bCs/>
      <w:kern w:val="2"/>
      <w:sz w:val="28"/>
      <w:szCs w:val="28"/>
      <w:lang w:val="en-US" w:eastAsia="zh-CN" w:bidi="ar-SA"/>
    </w:rPr>
  </w:style>
  <w:style w:type="character" w:customStyle="1" w:styleId="3045">
    <w:name w:val="H9 Char2"/>
    <w:qFormat/>
    <w:uiPriority w:val="0"/>
    <w:rPr>
      <w:rFonts w:ascii="Arial" w:hAnsi="Arial" w:eastAsia="黑体"/>
      <w:kern w:val="2"/>
      <w:sz w:val="24"/>
      <w:szCs w:val="21"/>
      <w:lang w:val="en-US" w:eastAsia="zh-CN" w:bidi="ar-SA"/>
    </w:rPr>
  </w:style>
  <w:style w:type="character" w:customStyle="1" w:styleId="3046">
    <w:name w:val="nodetitle"/>
    <w:qFormat/>
    <w:uiPriority w:val="0"/>
    <w:rPr>
      <w:rFonts w:hint="default" w:ascii="ˎ̥" w:hAnsi="ˎ̥"/>
      <w:b/>
      <w:bCs/>
      <w:sz w:val="24"/>
      <w:szCs w:val="24"/>
    </w:rPr>
  </w:style>
  <w:style w:type="character" w:customStyle="1" w:styleId="3047">
    <w:name w:val="Char Char201"/>
    <w:qFormat/>
    <w:uiPriority w:val="0"/>
    <w:rPr>
      <w:rFonts w:ascii="宋体" w:hAnsi="宋体" w:eastAsia="宋体"/>
      <w:kern w:val="2"/>
      <w:sz w:val="24"/>
      <w:szCs w:val="28"/>
      <w:lang w:val="en-US" w:eastAsia="zh-CN" w:bidi="ar-SA"/>
    </w:rPr>
  </w:style>
  <w:style w:type="character" w:customStyle="1" w:styleId="3048">
    <w:name w:val="p16"/>
    <w:qFormat/>
    <w:uiPriority w:val="0"/>
    <w:rPr>
      <w:rFonts w:ascii="楷体_GB2312" w:hAnsi="宋体" w:eastAsia="楷体_GB2312" w:cs="宋体"/>
      <w:kern w:val="2"/>
      <w:sz w:val="24"/>
      <w:szCs w:val="24"/>
      <w:lang w:val="en-US" w:eastAsia="zh-CN" w:bidi="ar-SA"/>
    </w:rPr>
  </w:style>
  <w:style w:type="character" w:customStyle="1" w:styleId="3049">
    <w:name w:val="bt_time"/>
    <w:qFormat/>
    <w:uiPriority w:val="0"/>
    <w:rPr>
      <w:rFonts w:ascii="楷体_GB2312" w:hAnsi="宋体" w:eastAsia="楷体_GB2312" w:cs="宋体"/>
      <w:kern w:val="2"/>
      <w:sz w:val="24"/>
      <w:szCs w:val="24"/>
      <w:lang w:val="en-US" w:eastAsia="zh-CN" w:bidi="ar-SA"/>
    </w:rPr>
  </w:style>
  <w:style w:type="character" w:customStyle="1" w:styleId="3050">
    <w:name w:val="ourfont1"/>
    <w:qFormat/>
    <w:uiPriority w:val="0"/>
    <w:rPr>
      <w:color w:val="000000"/>
      <w:sz w:val="24"/>
      <w:szCs w:val="24"/>
    </w:rPr>
  </w:style>
  <w:style w:type="character" w:customStyle="1" w:styleId="3051">
    <w:name w:val="题注1 Char"/>
    <w:qFormat/>
    <w:uiPriority w:val="0"/>
    <w:rPr>
      <w:rFonts w:ascii="Times New Roman" w:hAnsi="Times New Roman" w:eastAsia="宋体" w:cs="Times New Roman"/>
      <w:sz w:val="24"/>
      <w:szCs w:val="24"/>
    </w:rPr>
  </w:style>
  <w:style w:type="character" w:customStyle="1" w:styleId="3052">
    <w:name w:val="徐萍样式1 Char Char"/>
    <w:qFormat/>
    <w:uiPriority w:val="0"/>
    <w:rPr>
      <w:rFonts w:eastAsia="宋体"/>
      <w:sz w:val="26"/>
      <w:szCs w:val="21"/>
      <w:lang w:val="en-US" w:eastAsia="zh-CN" w:bidi="ar-SA"/>
    </w:rPr>
  </w:style>
  <w:style w:type="character" w:customStyle="1" w:styleId="3053">
    <w:name w:val="ss"/>
    <w:qFormat/>
    <w:uiPriority w:val="0"/>
  </w:style>
  <w:style w:type="character" w:customStyle="1" w:styleId="3054">
    <w:name w:val="7说明正文 Char Char"/>
    <w:qFormat/>
    <w:uiPriority w:val="0"/>
    <w:rPr>
      <w:rFonts w:ascii="宋体" w:eastAsia="宋体"/>
      <w:kern w:val="2"/>
      <w:sz w:val="24"/>
      <w:szCs w:val="24"/>
      <w:lang w:val="en-US" w:eastAsia="zh-CN" w:bidi="ar-SA"/>
    </w:rPr>
  </w:style>
  <w:style w:type="character" w:customStyle="1" w:styleId="3055">
    <w:name w:val="f101"/>
    <w:qFormat/>
    <w:uiPriority w:val="0"/>
    <w:rPr>
      <w:sz w:val="20"/>
      <w:szCs w:val="20"/>
      <w:u w:val="none"/>
    </w:rPr>
  </w:style>
  <w:style w:type="character" w:customStyle="1" w:styleId="3056">
    <w:name w:val="条，(一) Char1"/>
    <w:qFormat/>
    <w:uiPriority w:val="0"/>
    <w:rPr>
      <w:rFonts w:ascii="Arial" w:hAnsi="Arial" w:eastAsia="黑体"/>
      <w:b/>
      <w:bCs/>
      <w:kern w:val="2"/>
      <w:sz w:val="28"/>
      <w:szCs w:val="28"/>
      <w:lang w:val="en-US" w:eastAsia="zh-CN" w:bidi="ar-SA"/>
    </w:rPr>
  </w:style>
  <w:style w:type="character" w:customStyle="1" w:styleId="3057">
    <w:name w:val="Char Char221"/>
    <w:qFormat/>
    <w:uiPriority w:val="0"/>
    <w:rPr>
      <w:color w:val="FF0000"/>
      <w:kern w:val="2"/>
      <w:sz w:val="24"/>
    </w:rPr>
  </w:style>
  <w:style w:type="character" w:customStyle="1" w:styleId="3058">
    <w:name w:val="word1"/>
    <w:qFormat/>
    <w:uiPriority w:val="0"/>
    <w:rPr>
      <w:rFonts w:hint="default" w:ascii="ˎ̥" w:hAnsi="ˎ̥"/>
      <w:color w:val="000000"/>
      <w:sz w:val="21"/>
      <w:u w:val="none"/>
    </w:rPr>
  </w:style>
  <w:style w:type="character" w:customStyle="1" w:styleId="3059">
    <w:name w:val="Char Char42"/>
    <w:qFormat/>
    <w:uiPriority w:val="0"/>
    <w:rPr>
      <w:rFonts w:ascii="宋体" w:hAnsi="Times New Roman" w:eastAsia="宋体" w:cs="Times New Roman"/>
      <w:szCs w:val="24"/>
    </w:rPr>
  </w:style>
  <w:style w:type="character" w:customStyle="1" w:styleId="3060">
    <w:name w:val="样式 首行缩进:  2 字符 Char Char Char Char"/>
    <w:qFormat/>
    <w:uiPriority w:val="0"/>
    <w:rPr>
      <w:rFonts w:eastAsia="宋体" w:cs="宋体"/>
      <w:kern w:val="2"/>
      <w:sz w:val="24"/>
      <w:lang w:val="en-US" w:eastAsia="zh-CN" w:bidi="ar-SA"/>
    </w:rPr>
  </w:style>
  <w:style w:type="character" w:customStyle="1" w:styleId="3061">
    <w:name w:val="showtitlemastertoolshref1"/>
    <w:qFormat/>
    <w:uiPriority w:val="0"/>
    <w:rPr>
      <w:color w:val="000000"/>
    </w:rPr>
  </w:style>
  <w:style w:type="character" w:customStyle="1" w:styleId="3062">
    <w:name w:val="cgray1"/>
    <w:qFormat/>
    <w:uiPriority w:val="0"/>
    <w:rPr>
      <w:color w:val="4F544D"/>
    </w:rPr>
  </w:style>
  <w:style w:type="character" w:customStyle="1" w:styleId="3063">
    <w:name w:val="样式 黑色"/>
    <w:qFormat/>
    <w:uiPriority w:val="0"/>
    <w:rPr>
      <w:rFonts w:hint="eastAsia" w:ascii="宋体" w:hAnsi="宋体" w:eastAsia="宋体"/>
      <w:color w:val="000000"/>
      <w:sz w:val="24"/>
      <w:szCs w:val="24"/>
      <w:lang w:val="en-US" w:eastAsia="en-US" w:bidi="ar-SA"/>
    </w:rPr>
  </w:style>
  <w:style w:type="character" w:customStyle="1" w:styleId="3064">
    <w:name w:val="正文标准格式张 Char Char"/>
    <w:qFormat/>
    <w:uiPriority w:val="0"/>
    <w:rPr>
      <w:rFonts w:ascii="宋体" w:hAnsi="宋体" w:eastAsia="宋体"/>
      <w:snapToGrid w:val="0"/>
      <w:sz w:val="24"/>
      <w:szCs w:val="24"/>
      <w:lang w:val="en-US" w:eastAsia="zh-CN" w:bidi="ar-SA"/>
    </w:rPr>
  </w:style>
  <w:style w:type="character" w:customStyle="1" w:styleId="3065">
    <w:name w:val="ht1"/>
    <w:qFormat/>
    <w:uiPriority w:val="0"/>
    <w:rPr>
      <w:rFonts w:ascii="黑体" w:hAnsi="宋体" w:eastAsia="黑体" w:cs="宋体"/>
      <w:b/>
      <w:bCs/>
      <w:kern w:val="2"/>
      <w:sz w:val="24"/>
      <w:szCs w:val="24"/>
      <w:lang w:val="en-US" w:eastAsia="zh-CN" w:bidi="ar-SA"/>
    </w:rPr>
  </w:style>
  <w:style w:type="character" w:customStyle="1" w:styleId="3066">
    <w:name w:val="标题 3 Char Char2"/>
    <w:qFormat/>
    <w:uiPriority w:val="0"/>
    <w:rPr>
      <w:rFonts w:eastAsia="宋体"/>
      <w:b/>
      <w:snapToGrid w:val="0"/>
      <w:spacing w:val="4"/>
      <w:sz w:val="28"/>
      <w:szCs w:val="28"/>
      <w:lang w:val="en-US" w:eastAsia="zh-CN" w:bidi="ar-SA"/>
    </w:rPr>
  </w:style>
  <w:style w:type="character" w:customStyle="1" w:styleId="3067">
    <w:name w:val="落款 Char Char1"/>
    <w:qFormat/>
    <w:uiPriority w:val="0"/>
    <w:rPr>
      <w:rFonts w:ascii="宋体"/>
      <w:sz w:val="24"/>
    </w:rPr>
  </w:style>
  <w:style w:type="character" w:customStyle="1" w:styleId="3068">
    <w:name w:val="正文4号 Char Char"/>
    <w:qFormat/>
    <w:uiPriority w:val="0"/>
    <w:rPr>
      <w:rFonts w:hint="default" w:ascii="Times New Roman" w:hAnsi="Times New Roman" w:eastAsia="宋体" w:cs="Times New Roman"/>
      <w:kern w:val="0"/>
      <w:szCs w:val="21"/>
    </w:rPr>
  </w:style>
  <w:style w:type="character" w:customStyle="1" w:styleId="3069">
    <w:name w:val="Char31"/>
    <w:qFormat/>
    <w:uiPriority w:val="0"/>
    <w:rPr>
      <w:rFonts w:ascii="Arial" w:hAnsi="Arial" w:eastAsia="黑体"/>
      <w:kern w:val="2"/>
      <w:lang w:val="en-US" w:eastAsia="zh-CN"/>
    </w:rPr>
  </w:style>
  <w:style w:type="character" w:customStyle="1" w:styleId="3070">
    <w:name w:val="f14b1"/>
    <w:qFormat/>
    <w:uiPriority w:val="0"/>
    <w:rPr>
      <w:b/>
      <w:bCs/>
      <w:sz w:val="21"/>
      <w:szCs w:val="21"/>
    </w:rPr>
  </w:style>
  <w:style w:type="character" w:customStyle="1" w:styleId="3071">
    <w:name w:val="bt1"/>
    <w:qFormat/>
    <w:uiPriority w:val="0"/>
    <w:rPr>
      <w:color w:val="000000"/>
    </w:rPr>
  </w:style>
  <w:style w:type="character" w:customStyle="1" w:styleId="3072">
    <w:name w:val="123YJ Char Char1"/>
    <w:qFormat/>
    <w:uiPriority w:val="0"/>
    <w:rPr>
      <w:rFonts w:eastAsia="宋体"/>
      <w:kern w:val="2"/>
      <w:sz w:val="18"/>
      <w:szCs w:val="18"/>
      <w:lang w:val="en-US" w:eastAsia="zh-CN" w:bidi="ar-SA"/>
    </w:rPr>
  </w:style>
  <w:style w:type="character" w:customStyle="1" w:styleId="3073">
    <w:name w:val="f9"/>
    <w:qFormat/>
    <w:uiPriority w:val="0"/>
  </w:style>
  <w:style w:type="character" w:customStyle="1" w:styleId="3074">
    <w:name w:val="s1"/>
    <w:qFormat/>
    <w:uiPriority w:val="0"/>
    <w:rPr>
      <w:sz w:val="18"/>
      <w:szCs w:val="18"/>
    </w:rPr>
  </w:style>
  <w:style w:type="character" w:customStyle="1" w:styleId="3075">
    <w:name w:val="Char Char231"/>
    <w:qFormat/>
    <w:uiPriority w:val="0"/>
    <w:rPr>
      <w:rFonts w:eastAsia="宋体"/>
      <w:kern w:val="2"/>
      <w:sz w:val="16"/>
      <w:szCs w:val="16"/>
      <w:lang w:val="en-US" w:eastAsia="zh-CN" w:bidi="ar-SA"/>
    </w:rPr>
  </w:style>
  <w:style w:type="character" w:customStyle="1" w:styleId="3076">
    <w:name w:val="even Char2"/>
    <w:qFormat/>
    <w:uiPriority w:val="0"/>
    <w:rPr>
      <w:rFonts w:eastAsia="宋体"/>
      <w:kern w:val="2"/>
      <w:sz w:val="24"/>
      <w:szCs w:val="24"/>
      <w:lang w:val="en-US" w:eastAsia="zh-CN" w:bidi="ar-SA"/>
    </w:rPr>
  </w:style>
  <w:style w:type="character" w:customStyle="1" w:styleId="3077">
    <w:name w:val="BOD 0 Char"/>
    <w:qFormat/>
    <w:uiPriority w:val="0"/>
    <w:rPr>
      <w:rFonts w:eastAsia="宋体"/>
      <w:sz w:val="28"/>
      <w:lang w:val="en-US" w:eastAsia="zh-CN" w:bidi="ar-SA"/>
    </w:rPr>
  </w:style>
  <w:style w:type="character" w:customStyle="1" w:styleId="3078">
    <w:name w:val="节，一 Char1"/>
    <w:qFormat/>
    <w:uiPriority w:val="0"/>
    <w:rPr>
      <w:rFonts w:eastAsia="宋体"/>
      <w:b/>
      <w:bCs/>
      <w:kern w:val="2"/>
      <w:sz w:val="28"/>
      <w:szCs w:val="32"/>
      <w:lang w:val="en-US" w:eastAsia="zh-CN" w:bidi="ar-SA"/>
    </w:rPr>
  </w:style>
  <w:style w:type="character" w:customStyle="1" w:styleId="3079">
    <w:name w:val="文档结构图 Char3"/>
    <w:qFormat/>
    <w:uiPriority w:val="0"/>
    <w:rPr>
      <w:rFonts w:ascii="宋体"/>
      <w:kern w:val="2"/>
      <w:sz w:val="18"/>
      <w:szCs w:val="18"/>
    </w:rPr>
  </w:style>
  <w:style w:type="character" w:customStyle="1" w:styleId="3080">
    <w:name w:val="样式1 Char2"/>
    <w:qFormat/>
    <w:uiPriority w:val="0"/>
    <w:rPr>
      <w:rFonts w:eastAsia="楷体_GB2312"/>
      <w:kern w:val="2"/>
      <w:sz w:val="28"/>
      <w:szCs w:val="28"/>
      <w:lang w:val="en-US" w:eastAsia="zh-CN" w:bidi="ar-SA"/>
    </w:rPr>
  </w:style>
  <w:style w:type="character" w:customStyle="1" w:styleId="3081">
    <w:name w:val="css-text3"/>
    <w:qFormat/>
    <w:uiPriority w:val="0"/>
  </w:style>
  <w:style w:type="character" w:customStyle="1" w:styleId="3082">
    <w:name w:val="正文文本 Char2"/>
    <w:qFormat/>
    <w:uiPriority w:val="0"/>
    <w:rPr>
      <w:rFonts w:eastAsia="宋体"/>
      <w:kern w:val="2"/>
      <w:sz w:val="21"/>
      <w:szCs w:val="24"/>
      <w:lang w:val="en-US" w:eastAsia="zh-CN" w:bidi="ar-SA"/>
    </w:rPr>
  </w:style>
  <w:style w:type="paragraph" w:customStyle="1" w:styleId="3083">
    <w:name w:val="样式 表格文字 + 左侧:  -0.5 字符"/>
    <w:basedOn w:val="46"/>
    <w:qFormat/>
    <w:uiPriority w:val="0"/>
    <w:pPr>
      <w:widowControl w:val="0"/>
      <w:ind w:hanging="6" w:hangingChars="6"/>
    </w:pPr>
    <w:rPr>
      <w:rFonts w:hAnsi="宋体" w:eastAsia="仿宋_GB2312"/>
      <w:bCs/>
      <w:kern w:val="2"/>
      <w:sz w:val="21"/>
      <w:szCs w:val="20"/>
    </w:rPr>
  </w:style>
  <w:style w:type="paragraph" w:customStyle="1" w:styleId="3084">
    <w:name w:val="样式 标题 3 + 左侧:  0 毫米 首行缩进:  0 毫米 行距: 最小值 25 磅"/>
    <w:basedOn w:val="5"/>
    <w:qFormat/>
    <w:uiPriority w:val="0"/>
    <w:pPr>
      <w:keepNext w:val="0"/>
      <w:keepLines w:val="0"/>
      <w:widowControl w:val="0"/>
      <w:tabs>
        <w:tab w:val="left" w:pos="360"/>
        <w:tab w:val="left" w:pos="720"/>
        <w:tab w:val="left" w:pos="1620"/>
        <w:tab w:val="left" w:pos="1740"/>
      </w:tabs>
      <w:snapToGrid w:val="0"/>
      <w:spacing w:before="0" w:beforeLines="100" w:after="0" w:afterLines="50" w:line="500" w:lineRule="atLeast"/>
      <w:ind w:left="1740" w:hanging="420" w:firstLineChars="200"/>
      <w:jc w:val="both"/>
    </w:pPr>
    <w:rPr>
      <w:rFonts w:ascii="Times New Roman" w:hAnsi="Times New Roman" w:eastAsia="仿宋_GB2312" w:cs="Times New Roman"/>
      <w:snapToGrid w:val="0"/>
      <w:spacing w:val="4"/>
      <w:kern w:val="2"/>
      <w:szCs w:val="20"/>
    </w:rPr>
  </w:style>
  <w:style w:type="paragraph" w:customStyle="1" w:styleId="3085">
    <w:name w:val="说明-正文"/>
    <w:basedOn w:val="1"/>
    <w:qFormat/>
    <w:uiPriority w:val="0"/>
    <w:pPr>
      <w:widowControl w:val="0"/>
      <w:ind w:firstLine="480" w:firstLineChars="200"/>
      <w:jc w:val="both"/>
    </w:pPr>
    <w:rPr>
      <w:rFonts w:hint="eastAsia" w:ascii="Times New Roman" w:hAnsi="Times New Roman" w:cs="Times New Roman"/>
      <w:kern w:val="2"/>
      <w:sz w:val="21"/>
      <w:szCs w:val="20"/>
    </w:rPr>
  </w:style>
  <w:style w:type="paragraph" w:customStyle="1" w:styleId="3086">
    <w:name w:val="Char Char Char Char Char Char12"/>
    <w:basedOn w:val="1"/>
    <w:qFormat/>
    <w:uiPriority w:val="0"/>
    <w:pPr>
      <w:widowControl w:val="0"/>
      <w:ind w:firstLine="200" w:firstLineChars="200"/>
      <w:jc w:val="both"/>
    </w:pPr>
    <w:rPr>
      <w:rFonts w:ascii="Times New Roman" w:hAnsi="Times New Roman" w:cs="Times New Roman"/>
      <w:kern w:val="2"/>
      <w:sz w:val="21"/>
      <w:szCs w:val="20"/>
    </w:rPr>
  </w:style>
  <w:style w:type="paragraph" w:customStyle="1" w:styleId="3087">
    <w:name w:val="正文－other2"/>
    <w:basedOn w:val="1"/>
    <w:qFormat/>
    <w:uiPriority w:val="0"/>
    <w:pPr>
      <w:widowControl w:val="0"/>
      <w:spacing w:line="400" w:lineRule="exact"/>
      <w:ind w:firstLine="480"/>
      <w:jc w:val="both"/>
    </w:pPr>
    <w:rPr>
      <w:rFonts w:ascii="Times New Roman" w:hAnsi="Times New Roman" w:cs="Times New Roman"/>
      <w:kern w:val="2"/>
      <w:sz w:val="21"/>
      <w:szCs w:val="20"/>
    </w:rPr>
  </w:style>
  <w:style w:type="paragraph" w:customStyle="1" w:styleId="3088">
    <w:name w:val="Char Char Char Char6"/>
    <w:basedOn w:val="1"/>
    <w:qFormat/>
    <w:uiPriority w:val="0"/>
    <w:pPr>
      <w:widowControl w:val="0"/>
      <w:spacing w:after="160" w:line="240" w:lineRule="exact"/>
      <w:jc w:val="both"/>
    </w:pPr>
    <w:rPr>
      <w:rFonts w:ascii="Verdana" w:hAnsi="Verdana" w:eastAsia="仿宋_GB2312" w:cs="Times New Roman"/>
      <w:sz w:val="21"/>
      <w:szCs w:val="20"/>
      <w:lang w:eastAsia="en-US"/>
    </w:rPr>
  </w:style>
  <w:style w:type="paragraph" w:customStyle="1" w:styleId="3089">
    <w:name w:val="普通(网站)11"/>
    <w:basedOn w:val="1"/>
    <w:qFormat/>
    <w:uiPriority w:val="0"/>
    <w:pPr>
      <w:widowControl w:val="0"/>
      <w:spacing w:before="100" w:beforeAutospacing="1" w:after="100" w:afterAutospacing="1"/>
      <w:ind w:firstLine="200" w:firstLineChars="200"/>
      <w:jc w:val="both"/>
    </w:pPr>
    <w:rPr>
      <w:rFonts w:cs="Times New Roman"/>
      <w:sz w:val="21"/>
    </w:rPr>
  </w:style>
  <w:style w:type="paragraph" w:customStyle="1" w:styleId="3090">
    <w:name w:val="我的表头"/>
    <w:basedOn w:val="1"/>
    <w:qFormat/>
    <w:uiPriority w:val="0"/>
    <w:pPr>
      <w:widowControl w:val="0"/>
      <w:spacing w:before="156"/>
      <w:jc w:val="center"/>
    </w:pPr>
    <w:rPr>
      <w:rFonts w:ascii="黑体" w:hAnsi="Times New Roman" w:eastAsia="黑体"/>
      <w:b/>
      <w:bCs/>
      <w:kern w:val="2"/>
      <w:sz w:val="21"/>
      <w:szCs w:val="20"/>
    </w:rPr>
  </w:style>
  <w:style w:type="paragraph" w:customStyle="1" w:styleId="3091">
    <w:name w:val="中大1级标题"/>
    <w:basedOn w:val="84"/>
    <w:qFormat/>
    <w:uiPriority w:val="0"/>
    <w:pPr>
      <w:adjustRightInd w:val="0"/>
      <w:snapToGrid w:val="0"/>
      <w:spacing w:before="312" w:beforeLines="100" w:after="312" w:afterLines="100"/>
      <w:ind w:firstLine="480" w:firstLineChars="200"/>
    </w:pPr>
    <w:rPr>
      <w:rFonts w:ascii="Times New Roman" w:hAnsi="Times New Roman" w:cs="Times New Roman"/>
      <w:kern w:val="28"/>
      <w:sz w:val="36"/>
      <w:szCs w:val="20"/>
      <w:shd w:val="clear" w:color="auto" w:fill="000080"/>
    </w:rPr>
  </w:style>
  <w:style w:type="paragraph" w:customStyle="1" w:styleId="3092">
    <w:name w:val="标题正4"/>
    <w:basedOn w:val="1"/>
    <w:qFormat/>
    <w:uiPriority w:val="0"/>
    <w:pPr>
      <w:widowControl w:val="0"/>
      <w:spacing w:line="300" w:lineRule="exact"/>
      <w:jc w:val="center"/>
    </w:pPr>
    <w:rPr>
      <w:rFonts w:ascii="Times New Roman" w:hAnsi="Times New Roman" w:cs="Times New Roman"/>
      <w:color w:val="000000"/>
      <w:kern w:val="2"/>
      <w:sz w:val="21"/>
    </w:rPr>
  </w:style>
  <w:style w:type="paragraph" w:customStyle="1" w:styleId="3093">
    <w:name w:val="主要负责人"/>
    <w:basedOn w:val="1"/>
    <w:next w:val="1"/>
    <w:qFormat/>
    <w:uiPriority w:val="0"/>
    <w:pPr>
      <w:widowControl w:val="0"/>
      <w:jc w:val="center"/>
    </w:pPr>
    <w:rPr>
      <w:rFonts w:ascii="Times New Roman" w:hAnsi="Times New Roman" w:cs="Times New Roman"/>
      <w:kern w:val="2"/>
      <w:sz w:val="36"/>
      <w:szCs w:val="36"/>
    </w:rPr>
  </w:style>
  <w:style w:type="paragraph" w:customStyle="1" w:styleId="3094">
    <w:name w:val="东方化工城表"/>
    <w:basedOn w:val="309"/>
    <w:qFormat/>
    <w:uiPriority w:val="0"/>
    <w:pPr>
      <w:tabs>
        <w:tab w:val="left" w:pos="0"/>
      </w:tabs>
      <w:topLinePunct w:val="0"/>
      <w:snapToGrid w:val="0"/>
      <w:spacing w:line="0" w:lineRule="atLeast"/>
    </w:pPr>
    <w:rPr>
      <w:rFonts w:ascii="Times New Roman" w:hAnsi="Times New Roman" w:cs="宋体"/>
      <w:sz w:val="18"/>
      <w:szCs w:val="18"/>
    </w:rPr>
  </w:style>
  <w:style w:type="paragraph" w:customStyle="1" w:styleId="3095">
    <w:name w:val="ysh"/>
    <w:basedOn w:val="3096"/>
    <w:qFormat/>
    <w:uiPriority w:val="0"/>
    <w:pPr>
      <w:ind w:firstLine="400" w:firstLineChars="200"/>
    </w:pPr>
    <w:rPr>
      <w:color w:val="000000"/>
    </w:rPr>
  </w:style>
  <w:style w:type="paragraph" w:customStyle="1" w:styleId="3096">
    <w:name w:val="ysh表标"/>
    <w:basedOn w:val="1"/>
    <w:qFormat/>
    <w:uiPriority w:val="0"/>
    <w:pPr>
      <w:widowControl w:val="0"/>
      <w:spacing w:before="156" w:beforeLines="50" w:line="300" w:lineRule="auto"/>
      <w:jc w:val="center"/>
    </w:pPr>
    <w:rPr>
      <w:rFonts w:cs="Times New Roman"/>
      <w:b/>
      <w:kern w:val="2"/>
      <w:sz w:val="21"/>
      <w:szCs w:val="20"/>
    </w:rPr>
  </w:style>
  <w:style w:type="paragraph" w:customStyle="1" w:styleId="3097">
    <w:name w:val="Normal (Web)1"/>
    <w:basedOn w:val="1"/>
    <w:qFormat/>
    <w:uiPriority w:val="0"/>
    <w:pPr>
      <w:widowControl w:val="0"/>
      <w:spacing w:before="100" w:beforeAutospacing="1" w:after="100" w:afterAutospacing="1"/>
      <w:jc w:val="both"/>
    </w:pPr>
    <w:rPr>
      <w:rFonts w:cs="Times New Roman"/>
      <w:sz w:val="21"/>
    </w:rPr>
  </w:style>
  <w:style w:type="paragraph" w:customStyle="1" w:styleId="3098">
    <w:name w:val="条题"/>
    <w:basedOn w:val="21"/>
    <w:next w:val="21"/>
    <w:qFormat/>
    <w:uiPriority w:val="0"/>
    <w:pPr>
      <w:tabs>
        <w:tab w:val="left" w:pos="360"/>
      </w:tabs>
      <w:adjustRightInd w:val="0"/>
      <w:snapToGrid w:val="0"/>
      <w:spacing w:before="156" w:beforeLines="50" w:line="360" w:lineRule="atLeast"/>
      <w:ind w:left="360" w:hanging="360"/>
      <w:textAlignment w:val="baseline"/>
    </w:pPr>
    <w:rPr>
      <w:rFonts w:ascii="Times New Roman" w:hAnsi="Times New Roman" w:cs="Times New Roman"/>
      <w:bCs/>
      <w:sz w:val="24"/>
    </w:rPr>
  </w:style>
  <w:style w:type="paragraph" w:customStyle="1" w:styleId="3099">
    <w:name w:val="样式 样式 标题 2章宋三一、标题 1.1Title 22 headlinehheadlineS&amp;R2ERMH2...1 + 段...1"/>
    <w:basedOn w:val="3100"/>
    <w:qFormat/>
    <w:uiPriority w:val="0"/>
    <w:pPr>
      <w:tabs>
        <w:tab w:val="left" w:pos="0"/>
        <w:tab w:val="left" w:pos="360"/>
        <w:tab w:val="left" w:pos="720"/>
        <w:tab w:val="left" w:pos="8092"/>
      </w:tabs>
      <w:spacing w:before="127" w:beforeLines="0"/>
    </w:pPr>
    <w:rPr>
      <w:rFonts w:cs="宋体"/>
      <w:szCs w:val="20"/>
    </w:rPr>
  </w:style>
  <w:style w:type="paragraph" w:customStyle="1" w:styleId="3100">
    <w:name w:val="样式 标题 2章宋三一、标题 1.1Title 22 headlinehheadlineS&amp;R2ERMH2...1"/>
    <w:basedOn w:val="4"/>
    <w:qFormat/>
    <w:uiPriority w:val="0"/>
    <w:pPr>
      <w:keepNext w:val="0"/>
      <w:widowControl w:val="0"/>
      <w:numPr>
        <w:ilvl w:val="0"/>
        <w:numId w:val="0"/>
      </w:numPr>
      <w:tabs>
        <w:tab w:val="left" w:pos="0"/>
        <w:tab w:val="left" w:pos="360"/>
        <w:tab w:val="left" w:pos="720"/>
        <w:tab w:val="left" w:pos="8092"/>
      </w:tabs>
      <w:snapToGrid w:val="0"/>
      <w:spacing w:before="93" w:beforeLines="30" w:after="0" w:line="240" w:lineRule="auto"/>
      <w:ind w:firstLine="980" w:firstLineChars="200"/>
    </w:pPr>
    <w:rPr>
      <w:rFonts w:eastAsia="宋体" w:cs="Times New Roman"/>
      <w:bCs/>
      <w:color w:val="FF0000"/>
      <w:kern w:val="2"/>
      <w:sz w:val="24"/>
      <w:szCs w:val="28"/>
      <w:lang w:val="zh-CN"/>
    </w:rPr>
  </w:style>
  <w:style w:type="paragraph" w:customStyle="1" w:styleId="3101">
    <w:name w:val="样式 标题 2 + 左 段前: 0磅 段后: 7.8 磅 行距: 1.5 倍行距"/>
    <w:basedOn w:val="4"/>
    <w:qFormat/>
    <w:uiPriority w:val="0"/>
    <w:pPr>
      <w:keepNext w:val="0"/>
      <w:widowControl w:val="0"/>
      <w:numPr>
        <w:ilvl w:val="0"/>
        <w:numId w:val="0"/>
      </w:numPr>
      <w:tabs>
        <w:tab w:val="left" w:pos="0"/>
        <w:tab w:val="left" w:pos="360"/>
        <w:tab w:val="left" w:pos="720"/>
        <w:tab w:val="left" w:pos="8092"/>
      </w:tabs>
      <w:snapToGrid w:val="0"/>
      <w:spacing w:before="156" w:after="156" w:line="240" w:lineRule="auto"/>
      <w:ind w:firstLine="980" w:firstLineChars="200"/>
    </w:pPr>
    <w:rPr>
      <w:rFonts w:ascii="黑体" w:hAnsi="Times New Roman" w:eastAsia="宋体"/>
      <w:color w:val="FF0000"/>
      <w:kern w:val="2"/>
      <w:szCs w:val="32"/>
      <w:lang w:val="zh-CN"/>
    </w:rPr>
  </w:style>
  <w:style w:type="paragraph" w:customStyle="1" w:styleId="3102">
    <w:name w:val="文件册号"/>
    <w:basedOn w:val="1"/>
    <w:next w:val="1"/>
    <w:qFormat/>
    <w:uiPriority w:val="0"/>
    <w:pPr>
      <w:widowControl w:val="0"/>
      <w:spacing w:line="800" w:lineRule="atLeast"/>
      <w:jc w:val="center"/>
    </w:pPr>
    <w:rPr>
      <w:rFonts w:ascii="Times New Roman" w:hAnsi="Times New Roman" w:cs="Times New Roman"/>
      <w:kern w:val="2"/>
      <w:sz w:val="52"/>
      <w:szCs w:val="52"/>
    </w:rPr>
  </w:style>
  <w:style w:type="paragraph" w:customStyle="1" w:styleId="3103">
    <w:name w:val="selinna正文"/>
    <w:basedOn w:val="598"/>
    <w:qFormat/>
    <w:uiPriority w:val="0"/>
    <w:pPr>
      <w:spacing w:beforeLines="0"/>
      <w:ind w:firstLine="480"/>
    </w:pPr>
    <w:rPr>
      <w:rFonts w:cs="宋体"/>
      <w:sz w:val="21"/>
      <w:szCs w:val="24"/>
      <w:lang w:val="zh-CN"/>
    </w:rPr>
  </w:style>
  <w:style w:type="paragraph" w:customStyle="1" w:styleId="3104">
    <w:name w:val="1.1.1.1"/>
    <w:basedOn w:val="5"/>
    <w:next w:val="1"/>
    <w:qFormat/>
    <w:uiPriority w:val="0"/>
    <w:pPr>
      <w:keepNext w:val="0"/>
      <w:keepLines w:val="0"/>
      <w:widowControl w:val="0"/>
      <w:tabs>
        <w:tab w:val="left" w:pos="0"/>
        <w:tab w:val="left" w:pos="360"/>
        <w:tab w:val="left" w:pos="720"/>
      </w:tabs>
      <w:snapToGrid w:val="0"/>
      <w:spacing w:before="0" w:beforeLines="100" w:after="120" w:afterLines="50" w:line="300" w:lineRule="auto"/>
      <w:ind w:firstLine="980" w:firstLineChars="200"/>
      <w:jc w:val="both"/>
      <w:outlineLvl w:val="0"/>
    </w:pPr>
    <w:rPr>
      <w:rFonts w:ascii="Arial" w:hAnsi="Arial" w:eastAsia="仿宋_GB2312" w:cs="Arial"/>
      <w:b w:val="0"/>
      <w:bCs w:val="0"/>
      <w:spacing w:val="10"/>
      <w:kern w:val="2"/>
      <w:sz w:val="24"/>
      <w:szCs w:val="24"/>
    </w:rPr>
  </w:style>
  <w:style w:type="paragraph" w:customStyle="1" w:styleId="3105">
    <w:name w:val="标题 4(1).H41.1.1.1标题 4.1.1.1.1标题 4 Char款四级标题，黑粗，小四，序号h..."/>
    <w:basedOn w:val="6"/>
    <w:qFormat/>
    <w:uiPriority w:val="0"/>
    <w:pPr>
      <w:keepNext w:val="0"/>
      <w:keepLines w:val="0"/>
      <w:widowControl w:val="0"/>
      <w:tabs>
        <w:tab w:val="left" w:pos="361"/>
        <w:tab w:val="left" w:pos="945"/>
        <w:tab w:val="left" w:pos="1224"/>
        <w:tab w:val="left" w:pos="1620"/>
        <w:tab w:val="left" w:pos="4614"/>
      </w:tabs>
      <w:adjustRightInd w:val="0"/>
      <w:snapToGrid w:val="0"/>
      <w:spacing w:before="120" w:beforeLines="50" w:after="0" w:line="240" w:lineRule="auto"/>
      <w:ind w:left="361" w:leftChars="200" w:hanging="360" w:hangingChars="200"/>
      <w:jc w:val="both"/>
    </w:pPr>
    <w:rPr>
      <w:rFonts w:ascii="Times New Roman" w:hAnsi="Times New Roman" w:eastAsia="宋体" w:cs="宋体"/>
      <w:bCs w:val="0"/>
      <w:kern w:val="2"/>
      <w:szCs w:val="20"/>
    </w:rPr>
  </w:style>
  <w:style w:type="paragraph" w:customStyle="1" w:styleId="3106">
    <w:name w:val="修改"/>
    <w:basedOn w:val="1090"/>
    <w:qFormat/>
    <w:uiPriority w:val="0"/>
    <w:pPr>
      <w:tabs>
        <w:tab w:val="clear" w:pos="1440"/>
      </w:tabs>
      <w:snapToGrid/>
      <w:ind w:left="0" w:leftChars="0" w:firstLine="480" w:firstLineChars="200"/>
      <w:textAlignment w:val="auto"/>
    </w:pPr>
    <w:rPr>
      <w:i/>
      <w:sz w:val="21"/>
      <w:szCs w:val="20"/>
      <w:u w:val="wave"/>
      <w:lang w:val="en-US"/>
    </w:rPr>
  </w:style>
  <w:style w:type="paragraph" w:customStyle="1" w:styleId="3107">
    <w:name w:val="CM58"/>
    <w:basedOn w:val="137"/>
    <w:next w:val="137"/>
    <w:qFormat/>
    <w:uiPriority w:val="0"/>
    <w:pPr>
      <w:widowControl w:val="0"/>
    </w:pPr>
    <w:rPr>
      <w:rFonts w:hint="default" w:ascii="黑体" w:hAnsi="Times New Roman" w:eastAsia="黑体" w:cs="黑体"/>
      <w:szCs w:val="24"/>
    </w:rPr>
  </w:style>
  <w:style w:type="paragraph" w:customStyle="1" w:styleId="3108">
    <w:name w:val="紧缩内容"/>
    <w:basedOn w:val="1"/>
    <w:qFormat/>
    <w:uiPriority w:val="0"/>
    <w:pPr>
      <w:widowControl w:val="0"/>
      <w:adjustRightInd w:val="0"/>
      <w:spacing w:before="156" w:beforeLines="50" w:line="400" w:lineRule="atLeast"/>
      <w:ind w:left="851"/>
      <w:jc w:val="both"/>
    </w:pPr>
    <w:rPr>
      <w:rFonts w:ascii="Times New Roman" w:hAnsi="Times New Roman" w:cs="Times New Roman"/>
      <w:sz w:val="21"/>
      <w:szCs w:val="20"/>
    </w:rPr>
  </w:style>
  <w:style w:type="paragraph" w:customStyle="1" w:styleId="3109">
    <w:name w:val="Char Char Char Char Char Char Char Char Char Char Char Char Char Char Char Char Char Char Char Char Char Char Char Char Char Char Char Char Char Char Char Char Char Char Char Char Char Char Char Char Char Char Char"/>
    <w:basedOn w:val="1"/>
    <w:next w:val="1"/>
    <w:qFormat/>
    <w:uiPriority w:val="0"/>
    <w:pPr>
      <w:widowControl w:val="0"/>
      <w:jc w:val="both"/>
    </w:pPr>
    <w:rPr>
      <w:rFonts w:ascii="Times New Roman" w:hAnsi="Times New Roman" w:cs="Times New Roman"/>
      <w:kern w:val="2"/>
      <w:sz w:val="21"/>
    </w:rPr>
  </w:style>
  <w:style w:type="paragraph" w:customStyle="1" w:styleId="3110">
    <w:name w:val="CM3"/>
    <w:basedOn w:val="1"/>
    <w:next w:val="1"/>
    <w:qFormat/>
    <w:uiPriority w:val="0"/>
    <w:pPr>
      <w:widowControl w:val="0"/>
      <w:autoSpaceDE w:val="0"/>
      <w:autoSpaceDN w:val="0"/>
      <w:adjustRightInd w:val="0"/>
      <w:spacing w:line="463" w:lineRule="atLeast"/>
      <w:jc w:val="both"/>
    </w:pPr>
    <w:rPr>
      <w:rFonts w:ascii="Times New Roman" w:hAnsi="Times New Roman" w:cs="Times New Roman"/>
      <w:sz w:val="21"/>
    </w:rPr>
  </w:style>
  <w:style w:type="paragraph" w:customStyle="1" w:styleId="3111">
    <w:name w:val="环小四表尾"/>
    <w:qFormat/>
    <w:uiPriority w:val="0"/>
    <w:pPr>
      <w:spacing w:line="560" w:lineRule="exact"/>
      <w:jc w:val="right"/>
    </w:pPr>
    <w:rPr>
      <w:rFonts w:ascii="宋体" w:hAnsi="Times New Roman" w:eastAsia="宋体" w:cs="Times New Roman"/>
      <w:b/>
      <w:bCs/>
      <w:szCs w:val="21"/>
      <w:lang w:val="en-US" w:eastAsia="zh-CN" w:bidi="ar-SA"/>
    </w:rPr>
  </w:style>
  <w:style w:type="paragraph" w:customStyle="1" w:styleId="3112">
    <w:name w:val="正文22磅"/>
    <w:basedOn w:val="1"/>
    <w:qFormat/>
    <w:uiPriority w:val="0"/>
    <w:pPr>
      <w:widowControl w:val="0"/>
      <w:spacing w:line="420" w:lineRule="exact"/>
      <w:ind w:firstLine="480"/>
      <w:jc w:val="both"/>
    </w:pPr>
    <w:rPr>
      <w:rFonts w:ascii="Times New Roman" w:hAnsi="Times New Roman" w:cs="Times New Roman"/>
      <w:kern w:val="2"/>
      <w:sz w:val="21"/>
    </w:rPr>
  </w:style>
  <w:style w:type="paragraph" w:customStyle="1" w:styleId="3113">
    <w:name w:val="报告样式4"/>
    <w:basedOn w:val="21"/>
    <w:qFormat/>
    <w:uiPriority w:val="0"/>
    <w:pPr>
      <w:adjustRightInd w:val="0"/>
      <w:snapToGrid w:val="0"/>
      <w:spacing w:before="156" w:beforeLines="50" w:line="360" w:lineRule="atLeast"/>
      <w:ind w:left="0" w:firstLine="720"/>
      <w:textAlignment w:val="baseline"/>
    </w:pPr>
    <w:rPr>
      <w:rFonts w:ascii="Times New Roman" w:hAnsi="Times New Roman" w:cs="Times New Roman"/>
      <w:bCs/>
      <w:sz w:val="24"/>
      <w:szCs w:val="22"/>
    </w:rPr>
  </w:style>
  <w:style w:type="paragraph" w:customStyle="1" w:styleId="3114">
    <w:name w:val="姜文清定义的四级标题"/>
    <w:basedOn w:val="46"/>
    <w:qFormat/>
    <w:uiPriority w:val="0"/>
    <w:pPr>
      <w:widowControl w:val="0"/>
      <w:adjustRightInd w:val="0"/>
      <w:spacing w:before="60" w:line="520" w:lineRule="exact"/>
      <w:ind w:firstLine="510" w:firstLineChars="200"/>
      <w:jc w:val="both"/>
    </w:pPr>
    <w:rPr>
      <w:rFonts w:ascii="Times New Roman" w:hAnsi="Times New Roman" w:eastAsia="黑体"/>
      <w:bCs/>
      <w:kern w:val="2"/>
      <w:sz w:val="21"/>
      <w:szCs w:val="20"/>
    </w:rPr>
  </w:style>
  <w:style w:type="paragraph" w:customStyle="1" w:styleId="3115">
    <w:name w:val="font15"/>
    <w:basedOn w:val="1"/>
    <w:qFormat/>
    <w:uiPriority w:val="0"/>
    <w:pPr>
      <w:widowControl w:val="0"/>
      <w:spacing w:before="100" w:beforeAutospacing="1" w:after="100" w:afterAutospacing="1"/>
      <w:jc w:val="both"/>
    </w:pPr>
    <w:rPr>
      <w:rFonts w:ascii="Times New Roman" w:hAnsi="Times New Roman" w:cs="Times New Roman"/>
      <w:color w:val="FF0000"/>
      <w:sz w:val="20"/>
      <w:szCs w:val="20"/>
    </w:rPr>
  </w:style>
  <w:style w:type="paragraph" w:customStyle="1" w:styleId="3116">
    <w:name w:val="样式 标题 1 + 红色 Char Char Char Char"/>
    <w:basedOn w:val="3"/>
    <w:qFormat/>
    <w:uiPriority w:val="0"/>
    <w:pPr>
      <w:keepNext w:val="0"/>
      <w:keepLines/>
      <w:tabs>
        <w:tab w:val="left" w:pos="567"/>
        <w:tab w:val="left" w:pos="4614"/>
      </w:tabs>
      <w:overflowPunct/>
      <w:adjustRightInd w:val="0"/>
      <w:spacing w:before="156" w:after="156" w:line="576" w:lineRule="auto"/>
      <w:ind w:left="0" w:firstLine="0"/>
      <w:jc w:val="center"/>
    </w:pPr>
    <w:rPr>
      <w:rFonts w:cs="仿宋_GB2312"/>
      <w:bCs w:val="0"/>
      <w:color w:val="FF0000"/>
      <w:sz w:val="32"/>
      <w:szCs w:val="44"/>
    </w:rPr>
  </w:style>
  <w:style w:type="paragraph" w:customStyle="1" w:styleId="3117">
    <w:name w:val="正文样式一"/>
    <w:basedOn w:val="1"/>
    <w:qFormat/>
    <w:uiPriority w:val="0"/>
    <w:pPr>
      <w:widowControl w:val="0"/>
      <w:spacing w:line="400" w:lineRule="atLeast"/>
      <w:ind w:firstLine="510"/>
      <w:jc w:val="both"/>
      <w:textAlignment w:val="baseline"/>
    </w:pPr>
    <w:rPr>
      <w:rFonts w:ascii="Times New Roman" w:hAnsi="Times New Roman" w:cs="Times New Roman"/>
      <w:kern w:val="2"/>
      <w:sz w:val="21"/>
      <w:szCs w:val="20"/>
    </w:rPr>
  </w:style>
  <w:style w:type="paragraph" w:customStyle="1" w:styleId="3118">
    <w:name w:val="日期13"/>
    <w:basedOn w:val="1"/>
    <w:next w:val="1"/>
    <w:qFormat/>
    <w:uiPriority w:val="0"/>
    <w:pPr>
      <w:widowControl w:val="0"/>
      <w:adjustRightInd w:val="0"/>
      <w:jc w:val="both"/>
    </w:pPr>
    <w:rPr>
      <w:rFonts w:ascii="Times New Roman" w:hAnsi="Times New Roman" w:cs="Times New Roman"/>
      <w:kern w:val="2"/>
      <w:sz w:val="21"/>
      <w:szCs w:val="20"/>
    </w:rPr>
  </w:style>
  <w:style w:type="paragraph" w:customStyle="1" w:styleId="3119">
    <w:name w:val="小四表文左齐"/>
    <w:basedOn w:val="1"/>
    <w:qFormat/>
    <w:uiPriority w:val="0"/>
    <w:pPr>
      <w:widowControl w:val="0"/>
      <w:jc w:val="center"/>
    </w:pPr>
    <w:rPr>
      <w:rFonts w:ascii="仿宋_GB2312" w:hAnsi="Times New Roman" w:eastAsia="仿宋_GB2312" w:cs="Times New Roman"/>
      <w:kern w:val="2"/>
      <w:sz w:val="21"/>
    </w:rPr>
  </w:style>
  <w:style w:type="paragraph" w:customStyle="1" w:styleId="3120">
    <w:name w:val="样式 样式 正文内容 + 首行缩进:  1.92 字符 + 首行缩进:  1.92 字符"/>
    <w:basedOn w:val="1"/>
    <w:qFormat/>
    <w:uiPriority w:val="0"/>
    <w:pPr>
      <w:widowControl w:val="0"/>
      <w:spacing w:before="100" w:beforeAutospacing="1" w:after="100" w:afterAutospacing="1"/>
      <w:ind w:firstLine="192" w:firstLineChars="192"/>
      <w:jc w:val="both"/>
    </w:pPr>
    <w:rPr>
      <w:rFonts w:ascii="Times New Roman" w:hAnsi="Times New Roman"/>
      <w:kern w:val="2"/>
      <w:sz w:val="21"/>
      <w:szCs w:val="20"/>
    </w:rPr>
  </w:style>
  <w:style w:type="paragraph" w:customStyle="1" w:styleId="3121">
    <w:name w:val="样式129"/>
    <w:basedOn w:val="1"/>
    <w:qFormat/>
    <w:uiPriority w:val="0"/>
    <w:pPr>
      <w:widowControl w:val="0"/>
      <w:adjustRightInd w:val="0"/>
      <w:spacing w:line="260" w:lineRule="exact"/>
      <w:jc w:val="center"/>
    </w:pPr>
    <w:rPr>
      <w:rFonts w:ascii="Times New Roman" w:hAnsi="Times New Roman" w:cs="Times New Roman"/>
      <w:bCs/>
      <w:color w:val="000000"/>
      <w:sz w:val="20"/>
      <w:szCs w:val="13"/>
      <w:lang w:val="zh-CN"/>
    </w:rPr>
  </w:style>
  <w:style w:type="paragraph" w:customStyle="1" w:styleId="3122">
    <w:name w:val="普通(网站)3"/>
    <w:basedOn w:val="1"/>
    <w:qFormat/>
    <w:uiPriority w:val="0"/>
    <w:pPr>
      <w:widowControl w:val="0"/>
      <w:spacing w:before="100" w:beforeAutospacing="1" w:after="100" w:afterAutospacing="1"/>
      <w:jc w:val="both"/>
    </w:pPr>
    <w:rPr>
      <w:rFonts w:ascii="Times New Roman" w:hAnsi="Times New Roman" w:cs="Times New Roman"/>
      <w:kern w:val="2"/>
      <w:sz w:val="21"/>
    </w:rPr>
  </w:style>
  <w:style w:type="paragraph" w:customStyle="1" w:styleId="3123">
    <w:name w:val="样式 样式 标题 2 + 加粗 段前: 1 行 + 四号 首行缩进:  0 厘米"/>
    <w:basedOn w:val="1"/>
    <w:qFormat/>
    <w:uiPriority w:val="0"/>
    <w:pPr>
      <w:keepNext/>
      <w:keepLines/>
      <w:widowControl w:val="0"/>
      <w:spacing w:before="320" w:after="200"/>
      <w:ind w:firstLine="567"/>
      <w:jc w:val="both"/>
    </w:pPr>
    <w:rPr>
      <w:rFonts w:hint="eastAsia" w:ascii="Times New Roman" w:hAnsi="Times New Roman" w:cs="Times New Roman"/>
      <w:b/>
      <w:kern w:val="2"/>
      <w:sz w:val="28"/>
      <w:szCs w:val="20"/>
    </w:rPr>
  </w:style>
  <w:style w:type="paragraph" w:customStyle="1" w:styleId="3124">
    <w:name w:val="标题 4 黑体 四号 行距: 1.5 倍行距"/>
    <w:basedOn w:val="1"/>
    <w:qFormat/>
    <w:uiPriority w:val="0"/>
    <w:pPr>
      <w:widowControl w:val="0"/>
      <w:jc w:val="both"/>
      <w:outlineLvl w:val="2"/>
    </w:pPr>
    <w:rPr>
      <w:rFonts w:ascii="Times New Roman" w:hAnsi="Times New Roman" w:cs="Times New Roman"/>
      <w:kern w:val="2"/>
      <w:sz w:val="26"/>
      <w:szCs w:val="26"/>
    </w:rPr>
  </w:style>
  <w:style w:type="paragraph" w:customStyle="1" w:styleId="3125">
    <w:name w:val="样式 标题 1 + 红色 Char"/>
    <w:basedOn w:val="3"/>
    <w:qFormat/>
    <w:uiPriority w:val="0"/>
    <w:pPr>
      <w:keepNext w:val="0"/>
      <w:keepLines/>
      <w:tabs>
        <w:tab w:val="left" w:pos="567"/>
        <w:tab w:val="left" w:pos="4614"/>
      </w:tabs>
      <w:overflowPunct/>
      <w:adjustRightInd w:val="0"/>
      <w:spacing w:before="156" w:after="156" w:line="576" w:lineRule="auto"/>
      <w:ind w:left="0" w:firstLine="0"/>
      <w:jc w:val="center"/>
    </w:pPr>
    <w:rPr>
      <w:rFonts w:cs="仿宋_GB2312"/>
      <w:bCs w:val="0"/>
      <w:color w:val="FF0000"/>
      <w:sz w:val="32"/>
      <w:szCs w:val="44"/>
    </w:rPr>
  </w:style>
  <w:style w:type="paragraph" w:customStyle="1" w:styleId="3126">
    <w:name w:val="表头编号"/>
    <w:basedOn w:val="1"/>
    <w:qFormat/>
    <w:uiPriority w:val="0"/>
    <w:pPr>
      <w:widowControl w:val="0"/>
      <w:adjustRightInd w:val="0"/>
      <w:snapToGrid w:val="0"/>
      <w:ind w:right="-3" w:rightChars="-1" w:firstLine="420" w:firstLineChars="200"/>
      <w:jc w:val="center"/>
    </w:pPr>
    <w:rPr>
      <w:rFonts w:cs="Times New Roman"/>
      <w:color w:val="000000"/>
      <w:sz w:val="21"/>
      <w:szCs w:val="20"/>
    </w:rPr>
  </w:style>
  <w:style w:type="paragraph" w:customStyle="1" w:styleId="3127">
    <w:name w:val="Char Char Char Char Char Char2 Char Char Char2 Char"/>
    <w:basedOn w:val="1"/>
    <w:qFormat/>
    <w:uiPriority w:val="0"/>
    <w:pPr>
      <w:widowControl w:val="0"/>
      <w:jc w:val="both"/>
    </w:pPr>
    <w:rPr>
      <w:rFonts w:ascii="Times New Roman" w:hAnsi="Times New Roman" w:cs="Times New Roman"/>
      <w:kern w:val="2"/>
      <w:sz w:val="21"/>
    </w:rPr>
  </w:style>
  <w:style w:type="paragraph" w:customStyle="1" w:styleId="3128">
    <w:name w:val="新丰正文"/>
    <w:basedOn w:val="21"/>
    <w:qFormat/>
    <w:uiPriority w:val="0"/>
    <w:pPr>
      <w:adjustRightInd w:val="0"/>
      <w:snapToGrid w:val="0"/>
      <w:spacing w:before="156" w:beforeLines="50" w:line="324" w:lineRule="auto"/>
      <w:ind w:left="0" w:firstLine="200"/>
      <w:textAlignment w:val="baseline"/>
    </w:pPr>
    <w:rPr>
      <w:rFonts w:ascii="Times New Roman" w:hAnsi="Times New Roman" w:cs="Times New Roman"/>
      <w:sz w:val="21"/>
    </w:rPr>
  </w:style>
  <w:style w:type="paragraph" w:customStyle="1" w:styleId="3129">
    <w:name w:val="c"/>
    <w:qFormat/>
    <w:uiPriority w:val="0"/>
    <w:pPr>
      <w:widowControl w:val="0"/>
      <w:autoSpaceDE w:val="0"/>
      <w:autoSpaceDN w:val="0"/>
      <w:adjustRightInd w:val="0"/>
      <w:spacing w:line="360" w:lineRule="atLeast"/>
      <w:jc w:val="both"/>
    </w:pPr>
    <w:rPr>
      <w:rFonts w:ascii="Arial" w:hAnsi="Arial" w:eastAsia="宋体" w:cs="Times New Roman"/>
      <w:sz w:val="24"/>
      <w:lang w:val="en-US" w:eastAsia="zh-CN" w:bidi="ar-SA"/>
    </w:rPr>
  </w:style>
  <w:style w:type="paragraph" w:customStyle="1" w:styleId="3130">
    <w:name w:val="Char1 Char Char Char1 Char Char Char"/>
    <w:basedOn w:val="1"/>
    <w:qFormat/>
    <w:uiPriority w:val="0"/>
    <w:pPr>
      <w:widowControl w:val="0"/>
      <w:ind w:firstLine="200" w:firstLineChars="200"/>
      <w:jc w:val="both"/>
    </w:pPr>
    <w:rPr>
      <w:kern w:val="2"/>
      <w:sz w:val="21"/>
    </w:rPr>
  </w:style>
  <w:style w:type="paragraph" w:customStyle="1" w:styleId="3131">
    <w:name w:val="selinna标3"/>
    <w:basedOn w:val="1"/>
    <w:qFormat/>
    <w:uiPriority w:val="0"/>
    <w:pPr>
      <w:widowControl w:val="0"/>
      <w:adjustRightInd w:val="0"/>
      <w:snapToGrid w:val="0"/>
      <w:spacing w:before="156" w:beforeLines="50" w:line="300" w:lineRule="auto"/>
      <w:ind w:firstLine="200" w:firstLineChars="200"/>
      <w:jc w:val="both"/>
      <w:outlineLvl w:val="2"/>
    </w:pPr>
    <w:rPr>
      <w:rFonts w:cs="Times New Roman"/>
      <w:b/>
      <w:bCs/>
      <w:kern w:val="2"/>
      <w:sz w:val="32"/>
      <w:szCs w:val="32"/>
    </w:rPr>
  </w:style>
  <w:style w:type="paragraph" w:customStyle="1" w:styleId="3132">
    <w:name w:val="+正文"/>
    <w:basedOn w:val="1"/>
    <w:qFormat/>
    <w:uiPriority w:val="0"/>
    <w:pPr>
      <w:widowControl w:val="0"/>
      <w:jc w:val="both"/>
    </w:pPr>
    <w:rPr>
      <w:rFonts w:ascii="Times New Roman" w:hAnsi="Times New Roman" w:cs="Times New Roman"/>
      <w:kern w:val="2"/>
      <w:sz w:val="28"/>
    </w:rPr>
  </w:style>
  <w:style w:type="paragraph" w:customStyle="1" w:styleId="3133">
    <w:name w:val="样式 样式 样式 样式 (西文) 仿宋_GB2312 (中文) 仿宋_GB2312 加粗 段前: 0.5 行 段后: 6 磅 行...1"/>
    <w:basedOn w:val="1"/>
    <w:qFormat/>
    <w:uiPriority w:val="0"/>
    <w:pPr>
      <w:widowControl w:val="0"/>
      <w:spacing w:after="156" w:afterLines="50" w:line="300" w:lineRule="auto"/>
      <w:jc w:val="both"/>
    </w:pPr>
    <w:rPr>
      <w:rFonts w:ascii="Times New Roman" w:hAnsi="Times New Roman" w:eastAsia="仿宋_GB2312" w:cs="Times New Roman"/>
      <w:b/>
      <w:bCs/>
      <w:kern w:val="2"/>
      <w:sz w:val="28"/>
      <w:szCs w:val="20"/>
    </w:rPr>
  </w:style>
  <w:style w:type="paragraph" w:customStyle="1" w:styleId="3134">
    <w:name w:val="样式 宋体 小四 首行缩进:  0.85 厘米 行距: 1.5 倍行距"/>
    <w:basedOn w:val="1"/>
    <w:qFormat/>
    <w:uiPriority w:val="0"/>
    <w:pPr>
      <w:widowControl w:val="0"/>
      <w:ind w:firstLine="482"/>
      <w:jc w:val="both"/>
    </w:pPr>
    <w:rPr>
      <w:kern w:val="2"/>
      <w:sz w:val="21"/>
      <w:szCs w:val="20"/>
    </w:rPr>
  </w:style>
  <w:style w:type="paragraph" w:customStyle="1" w:styleId="3135">
    <w:name w:val="样式 宋体 首行缩进:  2 字符 行距: 最小值 23 磅"/>
    <w:basedOn w:val="1"/>
    <w:qFormat/>
    <w:uiPriority w:val="0"/>
    <w:pPr>
      <w:widowControl w:val="0"/>
      <w:spacing w:line="400" w:lineRule="atLeast"/>
      <w:jc w:val="center"/>
    </w:pPr>
    <w:rPr>
      <w:rFonts w:cs="Times New Roman"/>
      <w:b/>
      <w:kern w:val="2"/>
      <w:sz w:val="21"/>
      <w:szCs w:val="20"/>
    </w:rPr>
  </w:style>
  <w:style w:type="paragraph" w:customStyle="1" w:styleId="3136">
    <w:name w:val="正文文本缩进 212"/>
    <w:basedOn w:val="1"/>
    <w:qFormat/>
    <w:uiPriority w:val="0"/>
    <w:pPr>
      <w:widowControl w:val="0"/>
      <w:adjustRightInd w:val="0"/>
      <w:spacing w:after="120" w:line="400" w:lineRule="exact"/>
      <w:ind w:firstLine="525" w:firstLineChars="200"/>
      <w:jc w:val="both"/>
    </w:pPr>
    <w:rPr>
      <w:rFonts w:hAnsi="Times New Roman" w:cs="Times New Roman"/>
      <w:spacing w:val="16"/>
      <w:kern w:val="2"/>
      <w:sz w:val="21"/>
      <w:szCs w:val="20"/>
    </w:rPr>
  </w:style>
  <w:style w:type="paragraph" w:customStyle="1" w:styleId="3137">
    <w:name w:val="selinna标1"/>
    <w:basedOn w:val="2701"/>
    <w:qFormat/>
    <w:uiPriority w:val="0"/>
    <w:pPr>
      <w:tabs>
        <w:tab w:val="left" w:pos="0"/>
      </w:tabs>
      <w:spacing w:before="156" w:beforeLines="50"/>
      <w:jc w:val="center"/>
    </w:pPr>
    <w:rPr>
      <w:rFonts w:ascii="宋体" w:hAnsi="宋体" w:eastAsia="宋体"/>
      <w:bCs w:val="0"/>
      <w:color w:val="auto"/>
      <w:kern w:val="44"/>
      <w:sz w:val="36"/>
      <w:lang w:val="en-US"/>
    </w:rPr>
  </w:style>
  <w:style w:type="paragraph" w:customStyle="1" w:styleId="3138">
    <w:name w:val="样式 样式 标题 3 + 黑体 小四 非加粗 段前: 0.5 行 段后: 0 磅 行距: 多倍行距 1.73 字行 + 非加粗"/>
    <w:basedOn w:val="3139"/>
    <w:qFormat/>
    <w:uiPriority w:val="0"/>
    <w:pPr>
      <w:tabs>
        <w:tab w:val="left" w:pos="0"/>
        <w:tab w:val="left" w:pos="360"/>
        <w:tab w:val="left" w:pos="720"/>
        <w:tab w:val="left" w:pos="1620"/>
      </w:tabs>
    </w:pPr>
  </w:style>
  <w:style w:type="paragraph" w:customStyle="1" w:styleId="3139">
    <w:name w:val="样式 标题 3 + 黑体 小四 非加粗 段前: 0.5 行 段后: 0 磅 行距: 多倍行距 1.73 字行"/>
    <w:basedOn w:val="5"/>
    <w:qFormat/>
    <w:uiPriority w:val="0"/>
    <w:pPr>
      <w:keepNext w:val="0"/>
      <w:keepLines w:val="0"/>
      <w:widowControl w:val="0"/>
      <w:tabs>
        <w:tab w:val="left" w:pos="0"/>
        <w:tab w:val="left" w:pos="360"/>
        <w:tab w:val="left" w:pos="720"/>
        <w:tab w:val="left" w:pos="1620"/>
      </w:tabs>
      <w:snapToGrid w:val="0"/>
      <w:spacing w:before="0" w:beforeLines="100" w:after="0" w:afterLines="50" w:line="413" w:lineRule="auto"/>
      <w:ind w:left="1620" w:firstLine="420" w:firstLineChars="200"/>
      <w:jc w:val="both"/>
    </w:pPr>
    <w:rPr>
      <w:rFonts w:ascii="黑体" w:hAnsi="仿宋_GB2312" w:eastAsia="黑体" w:cs="Times New Roman"/>
      <w:b w:val="0"/>
      <w:snapToGrid w:val="0"/>
      <w:spacing w:val="4"/>
      <w:kern w:val="2"/>
      <w:szCs w:val="20"/>
    </w:rPr>
  </w:style>
  <w:style w:type="paragraph" w:customStyle="1" w:styleId="3140">
    <w:name w:val="样式 标题 3 + 段前: 11.3 磅 段后: 11.3 磅"/>
    <w:basedOn w:val="5"/>
    <w:qFormat/>
    <w:uiPriority w:val="0"/>
    <w:pPr>
      <w:keepNext w:val="0"/>
      <w:keepLines w:val="0"/>
      <w:widowControl w:val="0"/>
      <w:tabs>
        <w:tab w:val="left" w:pos="360"/>
        <w:tab w:val="left" w:pos="720"/>
        <w:tab w:val="left" w:pos="840"/>
      </w:tabs>
      <w:snapToGrid w:val="0"/>
      <w:spacing w:before="0" w:beforeLines="100" w:after="0" w:afterLines="50" w:line="240" w:lineRule="auto"/>
      <w:ind w:firstLine="980" w:firstLineChars="200"/>
      <w:jc w:val="both"/>
    </w:pPr>
    <w:rPr>
      <w:rFonts w:ascii="Times New Roman" w:hAnsi="Times New Roman"/>
      <w:bCs w:val="0"/>
      <w:kern w:val="2"/>
      <w:szCs w:val="24"/>
    </w:rPr>
  </w:style>
  <w:style w:type="paragraph" w:customStyle="1" w:styleId="3141">
    <w:name w:val="表目录"/>
    <w:basedOn w:val="1"/>
    <w:qFormat/>
    <w:uiPriority w:val="0"/>
    <w:pPr>
      <w:widowControl w:val="0"/>
      <w:adjustRightInd w:val="0"/>
      <w:snapToGrid w:val="0"/>
      <w:jc w:val="both"/>
    </w:pPr>
    <w:rPr>
      <w:rFonts w:ascii="黑体" w:eastAsia="黑体" w:cs="Times New Roman"/>
      <w:kern w:val="2"/>
      <w:sz w:val="21"/>
      <w:szCs w:val="21"/>
    </w:rPr>
  </w:style>
  <w:style w:type="paragraph" w:customStyle="1" w:styleId="3142">
    <w:name w:val="1-1-1"/>
    <w:basedOn w:val="1"/>
    <w:qFormat/>
    <w:uiPriority w:val="0"/>
    <w:pPr>
      <w:widowControl w:val="0"/>
      <w:ind w:firstLine="420"/>
      <w:jc w:val="both"/>
    </w:pPr>
    <w:rPr>
      <w:rFonts w:ascii="Times New Roman" w:hAnsi="Times New Roman" w:cs="Times New Roman"/>
      <w:color w:val="FF0000"/>
      <w:kern w:val="2"/>
      <w:sz w:val="21"/>
    </w:rPr>
  </w:style>
  <w:style w:type="paragraph" w:customStyle="1" w:styleId="3143">
    <w:name w:val="广州二级标题"/>
    <w:basedOn w:val="1"/>
    <w:next w:val="1"/>
    <w:qFormat/>
    <w:uiPriority w:val="0"/>
    <w:pPr>
      <w:widowControl w:val="0"/>
      <w:spacing w:before="156" w:beforeLines="50" w:after="156" w:afterLines="50"/>
      <w:jc w:val="both"/>
    </w:pPr>
    <w:rPr>
      <w:rFonts w:ascii="黑体" w:hAnsi="Times New Roman" w:cs="Times New Roman"/>
      <w:kern w:val="2"/>
      <w:sz w:val="32"/>
      <w:szCs w:val="36"/>
    </w:rPr>
  </w:style>
  <w:style w:type="paragraph" w:customStyle="1" w:styleId="3144">
    <w:name w:val="小注"/>
    <w:basedOn w:val="1"/>
    <w:qFormat/>
    <w:uiPriority w:val="0"/>
    <w:pPr>
      <w:widowControl w:val="0"/>
      <w:tabs>
        <w:tab w:val="left" w:pos="360"/>
        <w:tab w:val="left" w:pos="425"/>
        <w:tab w:val="left" w:pos="1415"/>
      </w:tabs>
      <w:adjustRightInd w:val="0"/>
      <w:ind w:firstLine="200" w:firstLineChars="200"/>
      <w:jc w:val="both"/>
    </w:pPr>
    <w:rPr>
      <w:rFonts w:ascii="Times New Roman" w:hAnsi="Times New Roman" w:cs="Times New Roman"/>
      <w:spacing w:val="10"/>
      <w:sz w:val="18"/>
    </w:rPr>
  </w:style>
  <w:style w:type="paragraph" w:customStyle="1" w:styleId="3145">
    <w:name w:val="样式 样式 样式 样式 样式 样式 样式8 + 首行缩进:  2 字符 + 首行缩进:  2 字符 + 首行缩进:  2 字符1...1"/>
    <w:basedOn w:val="1"/>
    <w:qFormat/>
    <w:uiPriority w:val="0"/>
    <w:pPr>
      <w:widowControl w:val="0"/>
      <w:ind w:firstLine="482"/>
      <w:jc w:val="both"/>
    </w:pPr>
    <w:rPr>
      <w:rFonts w:ascii="Times New Roman" w:hAnsi="Times New Roman" w:eastAsia="仿宋_GB2312" w:cs="Times New Roman"/>
      <w:b/>
      <w:bCs/>
      <w:color w:val="FF0000"/>
      <w:kern w:val="2"/>
      <w:sz w:val="21"/>
      <w:szCs w:val="20"/>
    </w:rPr>
  </w:style>
  <w:style w:type="paragraph" w:customStyle="1" w:styleId="3146">
    <w:name w:val="PP 行"/>
    <w:basedOn w:val="58"/>
    <w:qFormat/>
    <w:uiPriority w:val="0"/>
    <w:pPr>
      <w:spacing w:line="240" w:lineRule="auto"/>
      <w:ind w:firstLine="0"/>
      <w:jc w:val="both"/>
    </w:pPr>
    <w:rPr>
      <w:sz w:val="21"/>
      <w:szCs w:val="24"/>
    </w:rPr>
  </w:style>
  <w:style w:type="paragraph" w:customStyle="1" w:styleId="3147">
    <w:name w:val="Comment Subject"/>
    <w:basedOn w:val="28"/>
    <w:next w:val="28"/>
    <w:qFormat/>
    <w:uiPriority w:val="99"/>
    <w:pPr>
      <w:widowControl w:val="0"/>
    </w:pPr>
    <w:rPr>
      <w:rFonts w:ascii="Times New Roman" w:hAnsi="Times New Roman" w:cs="Times New Roman"/>
      <w:b/>
      <w:kern w:val="2"/>
      <w:szCs w:val="24"/>
    </w:rPr>
  </w:style>
  <w:style w:type="paragraph" w:customStyle="1" w:styleId="3148">
    <w:name w:val="默认段落字体 Para Char Char Char Char Char Char Char Char Char Char Char Char Char Char Char Char Char Char Char"/>
    <w:basedOn w:val="1"/>
    <w:qFormat/>
    <w:uiPriority w:val="0"/>
    <w:pPr>
      <w:widowControl w:val="0"/>
      <w:spacing w:line="480" w:lineRule="exact"/>
      <w:ind w:firstLine="200" w:firstLineChars="200"/>
      <w:jc w:val="both"/>
    </w:pPr>
    <w:rPr>
      <w:kern w:val="2"/>
      <w:sz w:val="28"/>
    </w:rPr>
  </w:style>
  <w:style w:type="paragraph" w:customStyle="1" w:styleId="3149">
    <w:name w:val="生物质发电正文"/>
    <w:basedOn w:val="1"/>
    <w:qFormat/>
    <w:uiPriority w:val="0"/>
    <w:pPr>
      <w:widowControl w:val="0"/>
      <w:suppressAutoHyphens/>
      <w:adjustRightInd w:val="0"/>
      <w:snapToGrid w:val="0"/>
      <w:spacing w:line="324" w:lineRule="auto"/>
      <w:ind w:firstLine="200" w:firstLineChars="200"/>
      <w:jc w:val="both"/>
      <w:textAlignment w:val="baseline"/>
    </w:pPr>
    <w:rPr>
      <w:rFonts w:cs="Times New Roman"/>
      <w:bCs/>
      <w:sz w:val="21"/>
    </w:rPr>
  </w:style>
  <w:style w:type="paragraph" w:customStyle="1" w:styleId="3150">
    <w:name w:val="表12.1"/>
    <w:basedOn w:val="1"/>
    <w:qFormat/>
    <w:uiPriority w:val="0"/>
    <w:pPr>
      <w:widowControl w:val="0"/>
      <w:tabs>
        <w:tab w:val="left" w:pos="2160"/>
      </w:tabs>
      <w:ind w:left="1320" w:right="17" w:rightChars="8" w:hanging="420"/>
      <w:jc w:val="center"/>
    </w:pPr>
    <w:rPr>
      <w:rFonts w:ascii="Times New Roman" w:hAnsi="Times New Roman" w:cs="Times New Roman"/>
      <w:color w:val="000000"/>
      <w:kern w:val="2"/>
      <w:sz w:val="21"/>
    </w:rPr>
  </w:style>
  <w:style w:type="paragraph" w:customStyle="1" w:styleId="3151">
    <w:name w:val="表文 Char Char"/>
    <w:basedOn w:val="1"/>
    <w:qFormat/>
    <w:uiPriority w:val="0"/>
    <w:pPr>
      <w:widowControl w:val="0"/>
      <w:overflowPunct w:val="0"/>
      <w:adjustRightInd w:val="0"/>
      <w:snapToGrid w:val="0"/>
      <w:jc w:val="center"/>
      <w:textAlignment w:val="baseline"/>
    </w:pPr>
    <w:rPr>
      <w:rFonts w:ascii="Times New Roman" w:hAnsi="Times New Roman" w:cs="Times New Roman"/>
      <w:kern w:val="2"/>
      <w:sz w:val="21"/>
      <w:szCs w:val="20"/>
    </w:rPr>
  </w:style>
  <w:style w:type="paragraph" w:customStyle="1" w:styleId="3152">
    <w:name w:val="附录表标题"/>
    <w:next w:val="1"/>
    <w:qFormat/>
    <w:uiPriority w:val="0"/>
    <w:pPr>
      <w:tabs>
        <w:tab w:val="left" w:pos="900"/>
      </w:tabs>
      <w:ind w:left="900" w:hanging="360"/>
      <w:jc w:val="center"/>
      <w:textAlignment w:val="baseline"/>
    </w:pPr>
    <w:rPr>
      <w:rFonts w:ascii="黑体" w:hAnsi="Times New Roman" w:eastAsia="黑体" w:cs="Times New Roman"/>
      <w:kern w:val="21"/>
      <w:sz w:val="21"/>
      <w:lang w:val="en-US" w:eastAsia="zh-CN" w:bidi="ar-SA"/>
    </w:rPr>
  </w:style>
  <w:style w:type="paragraph" w:customStyle="1" w:styleId="3153">
    <w:name w:val="封面其它文字"/>
    <w:basedOn w:val="1"/>
    <w:qFormat/>
    <w:uiPriority w:val="0"/>
    <w:pPr>
      <w:keepNext/>
      <w:keepLines/>
      <w:widowControl w:val="0"/>
      <w:jc w:val="center"/>
      <w:outlineLvl w:val="0"/>
    </w:pPr>
    <w:rPr>
      <w:rFonts w:ascii="Times New Roman" w:hAnsi="Times New Roman" w:cs="Times New Roman"/>
      <w:kern w:val="2"/>
      <w:sz w:val="36"/>
      <w:szCs w:val="20"/>
    </w:rPr>
  </w:style>
  <w:style w:type="paragraph" w:customStyle="1" w:styleId="3154">
    <w:name w:val="重点文字"/>
    <w:basedOn w:val="1"/>
    <w:next w:val="1"/>
    <w:qFormat/>
    <w:uiPriority w:val="0"/>
    <w:pPr>
      <w:widowControl w:val="0"/>
      <w:spacing w:before="100" w:beforeAutospacing="1" w:after="100" w:afterAutospacing="1"/>
      <w:jc w:val="both"/>
    </w:pPr>
    <w:rPr>
      <w:rFonts w:ascii="仿宋_GB2312" w:hAnsi="Times New Roman" w:eastAsia="仿宋_GB2312" w:cs="Times New Roman"/>
      <w:b/>
      <w:color w:val="FF0000"/>
      <w:kern w:val="2"/>
      <w:sz w:val="28"/>
      <w:szCs w:val="28"/>
    </w:rPr>
  </w:style>
  <w:style w:type="paragraph" w:customStyle="1" w:styleId="3155">
    <w:name w:val="表题格式"/>
    <w:basedOn w:val="1"/>
    <w:qFormat/>
    <w:uiPriority w:val="0"/>
    <w:pPr>
      <w:widowControl w:val="0"/>
      <w:spacing w:line="440" w:lineRule="exact"/>
      <w:ind w:firstLine="377" w:firstLineChars="377"/>
      <w:jc w:val="both"/>
    </w:pPr>
    <w:rPr>
      <w:rFonts w:ascii="Times New Roman" w:hAnsi="Times New Roman" w:eastAsia="黑体" w:cs="Times New Roman"/>
      <w:kern w:val="2"/>
      <w:sz w:val="21"/>
      <w:szCs w:val="20"/>
    </w:rPr>
  </w:style>
  <w:style w:type="paragraph" w:customStyle="1" w:styleId="3156">
    <w:name w:val="Balloon Text1"/>
    <w:basedOn w:val="1"/>
    <w:qFormat/>
    <w:uiPriority w:val="0"/>
    <w:pPr>
      <w:widowControl w:val="0"/>
      <w:jc w:val="both"/>
    </w:pPr>
    <w:rPr>
      <w:rFonts w:ascii="Times New Roman" w:hAnsi="Times New Roman" w:cs="Times New Roman"/>
      <w:kern w:val="2"/>
      <w:sz w:val="18"/>
      <w:szCs w:val="18"/>
    </w:rPr>
  </w:style>
  <w:style w:type="paragraph" w:customStyle="1" w:styleId="3157">
    <w:name w:val="标题4-1"/>
    <w:basedOn w:val="84"/>
    <w:qFormat/>
    <w:uiPriority w:val="0"/>
    <w:pPr>
      <w:tabs>
        <w:tab w:val="left" w:pos="750"/>
      </w:tabs>
      <w:adjustRightInd w:val="0"/>
      <w:snapToGrid w:val="0"/>
      <w:spacing w:before="120" w:after="120"/>
      <w:ind w:left="750" w:hanging="390" w:firstLineChars="225"/>
      <w:jc w:val="left"/>
    </w:pPr>
    <w:rPr>
      <w:rFonts w:ascii="Times New Roman" w:hAnsi="Times New Roman" w:cs="Times New Roman"/>
      <w:b w:val="0"/>
      <w:kern w:val="2"/>
      <w:sz w:val="24"/>
      <w:szCs w:val="24"/>
      <w:shd w:val="clear" w:color="auto" w:fill="000080"/>
    </w:rPr>
  </w:style>
  <w:style w:type="paragraph" w:customStyle="1" w:styleId="3158">
    <w:name w:val="样式 样式 样式 标题 2 + 段前: 0.3 行 段后: 0.3 行 行距: 1.5 倍行距 + 段前: 0.5 行 段后: ..."/>
    <w:basedOn w:val="1"/>
    <w:qFormat/>
    <w:uiPriority w:val="0"/>
    <w:pPr>
      <w:keepNext/>
      <w:keepLines/>
      <w:widowControl w:val="0"/>
      <w:tabs>
        <w:tab w:val="left" w:pos="1500"/>
        <w:tab w:val="left" w:pos="1709"/>
      </w:tabs>
      <w:spacing w:before="156" w:beforeLines="50" w:after="156" w:afterLines="50"/>
      <w:ind w:left="1500" w:hanging="1080"/>
      <w:jc w:val="both"/>
      <w:outlineLvl w:val="1"/>
    </w:pPr>
    <w:rPr>
      <w:rFonts w:ascii="Arial" w:hAnsi="Arial" w:eastAsia="黑体"/>
      <w:sz w:val="32"/>
      <w:szCs w:val="20"/>
    </w:rPr>
  </w:style>
  <w:style w:type="paragraph" w:customStyle="1" w:styleId="3159">
    <w:name w:val="ysh标3"/>
    <w:basedOn w:val="2876"/>
    <w:qFormat/>
    <w:uiPriority w:val="0"/>
    <w:pPr>
      <w:snapToGrid/>
      <w:spacing w:after="312" w:afterLines="100" w:line="240" w:lineRule="auto"/>
      <w:ind w:left="1080" w:hanging="720"/>
    </w:pPr>
    <w:rPr>
      <w:rFonts w:ascii="宋体" w:eastAsia="宋体"/>
      <w:bCs/>
      <w:sz w:val="28"/>
      <w:lang w:val="en-US"/>
    </w:rPr>
  </w:style>
  <w:style w:type="paragraph" w:customStyle="1" w:styleId="3160">
    <w:name w:val="样式 样式 样式 标题 3标题 33 + 段前: 0.5 行 + 段前: 0.5 行 + 段前: 6 磅 段后: 0.5 行"/>
    <w:basedOn w:val="1"/>
    <w:qFormat/>
    <w:uiPriority w:val="0"/>
    <w:pPr>
      <w:keepNext/>
      <w:keepLines/>
      <w:widowControl w:val="0"/>
      <w:jc w:val="both"/>
      <w:outlineLvl w:val="2"/>
    </w:pPr>
    <w:rPr>
      <w:rFonts w:ascii="黑体" w:eastAsia="黑体" w:cs="Times New Roman"/>
      <w:snapToGrid w:val="0"/>
      <w:color w:val="FF0000"/>
      <w:sz w:val="21"/>
      <w:szCs w:val="20"/>
    </w:rPr>
  </w:style>
  <w:style w:type="paragraph" w:customStyle="1" w:styleId="3161">
    <w:name w:val="图表说明"/>
    <w:basedOn w:val="1"/>
    <w:qFormat/>
    <w:uiPriority w:val="0"/>
    <w:pPr>
      <w:widowControl w:val="0"/>
      <w:spacing w:line="400" w:lineRule="exact"/>
      <w:ind w:left="558" w:firstLine="3600" w:firstLineChars="1500"/>
      <w:jc w:val="both"/>
    </w:pPr>
    <w:rPr>
      <w:rFonts w:ascii="Times New Roman" w:hAnsi="Times New Roman" w:cs="Times New Roman"/>
      <w:b/>
      <w:sz w:val="21"/>
      <w:szCs w:val="20"/>
      <w:lang w:val="zh-CN"/>
    </w:rPr>
  </w:style>
  <w:style w:type="paragraph" w:customStyle="1" w:styleId="3162">
    <w:name w:val="样式100"/>
    <w:basedOn w:val="1"/>
    <w:qFormat/>
    <w:uiPriority w:val="0"/>
    <w:pPr>
      <w:widowControl w:val="0"/>
      <w:spacing w:line="520" w:lineRule="exact"/>
      <w:ind w:firstLine="480" w:firstLineChars="200"/>
      <w:jc w:val="both"/>
    </w:pPr>
    <w:rPr>
      <w:rFonts w:eastAsia="仿宋_GB2312" w:cs="Times New Roman"/>
      <w:kern w:val="11"/>
      <w:sz w:val="21"/>
      <w:lang w:val="zh-CN"/>
    </w:rPr>
  </w:style>
  <w:style w:type="paragraph" w:customStyle="1" w:styleId="3163">
    <w:name w:val="样式 标题 3 + 左侧:  0 毫米 悬挂缩进: 7.09 字符 行距: 最小值 25 磅"/>
    <w:basedOn w:val="5"/>
    <w:qFormat/>
    <w:uiPriority w:val="0"/>
    <w:pPr>
      <w:keepNext w:val="0"/>
      <w:keepLines w:val="0"/>
      <w:widowControl w:val="0"/>
      <w:tabs>
        <w:tab w:val="left" w:pos="360"/>
        <w:tab w:val="left" w:pos="720"/>
        <w:tab w:val="left" w:pos="1620"/>
        <w:tab w:val="left" w:pos="1740"/>
      </w:tabs>
      <w:snapToGrid w:val="0"/>
      <w:spacing w:before="0" w:beforeLines="100" w:after="0" w:afterLines="50" w:line="500" w:lineRule="atLeast"/>
      <w:ind w:left="709" w:hanging="709" w:firstLineChars="200"/>
      <w:jc w:val="both"/>
    </w:pPr>
    <w:rPr>
      <w:rFonts w:ascii="Times New Roman" w:hAnsi="Times New Roman" w:eastAsia="仿宋_GB2312" w:cs="Times New Roman"/>
      <w:snapToGrid w:val="0"/>
      <w:spacing w:val="4"/>
      <w:kern w:val="2"/>
      <w:szCs w:val="20"/>
    </w:rPr>
  </w:style>
  <w:style w:type="paragraph" w:customStyle="1" w:styleId="3164">
    <w:name w:val="可研正文"/>
    <w:basedOn w:val="21"/>
    <w:qFormat/>
    <w:uiPriority w:val="0"/>
    <w:pPr>
      <w:tabs>
        <w:tab w:val="center" w:pos="567"/>
        <w:tab w:val="left" w:pos="1134"/>
        <w:tab w:val="right" w:leader="middleDot" w:pos="7938"/>
      </w:tabs>
      <w:adjustRightInd w:val="0"/>
      <w:snapToGrid w:val="0"/>
      <w:spacing w:before="156" w:beforeLines="50" w:line="360" w:lineRule="atLeast"/>
      <w:ind w:left="0" w:firstLine="504"/>
      <w:textAlignment w:val="baseline"/>
    </w:pPr>
    <w:rPr>
      <w:rFonts w:ascii="仿宋_GB2312" w:hAnsi="Times New Roman" w:eastAsia="仿宋_GB2312" w:cs="Times New Roman"/>
      <w:snapToGrid w:val="0"/>
      <w:spacing w:val="-14"/>
    </w:rPr>
  </w:style>
  <w:style w:type="paragraph" w:customStyle="1" w:styleId="3165">
    <w:name w:val="ysh表注"/>
    <w:basedOn w:val="598"/>
    <w:qFormat/>
    <w:uiPriority w:val="0"/>
    <w:pPr>
      <w:spacing w:beforeLines="0"/>
      <w:jc w:val="left"/>
    </w:pPr>
    <w:rPr>
      <w:rFonts w:cs="宋体"/>
      <w:sz w:val="18"/>
      <w:szCs w:val="24"/>
      <w:lang w:val="zh-CN"/>
    </w:rPr>
  </w:style>
  <w:style w:type="paragraph" w:customStyle="1" w:styleId="3166">
    <w:name w:val="表头名称"/>
    <w:basedOn w:val="21"/>
    <w:qFormat/>
    <w:uiPriority w:val="0"/>
    <w:pPr>
      <w:autoSpaceDE w:val="0"/>
      <w:autoSpaceDN w:val="0"/>
      <w:adjustRightInd w:val="0"/>
      <w:snapToGrid w:val="0"/>
      <w:spacing w:before="156" w:beforeLines="50"/>
      <w:ind w:left="0" w:firstLine="1080" w:firstLineChars="450"/>
      <w:textAlignment w:val="baseline"/>
    </w:pPr>
    <w:rPr>
      <w:rFonts w:cs="Times New Roman"/>
      <w:color w:val="000000"/>
      <w:sz w:val="24"/>
    </w:rPr>
  </w:style>
  <w:style w:type="paragraph" w:customStyle="1" w:styleId="3167">
    <w:name w:val="公式样式1"/>
    <w:basedOn w:val="1"/>
    <w:qFormat/>
    <w:uiPriority w:val="0"/>
    <w:pPr>
      <w:widowControl w:val="0"/>
      <w:ind w:firstLine="235"/>
      <w:jc w:val="both"/>
    </w:pPr>
    <w:rPr>
      <w:rFonts w:ascii="Times New Roman" w:hAnsi="Times New Roman" w:cs="Times New Roman"/>
      <w:kern w:val="2"/>
      <w:sz w:val="21"/>
    </w:rPr>
  </w:style>
  <w:style w:type="paragraph" w:customStyle="1" w:styleId="3168">
    <w:name w:val="样式 标题 2节标题 1.1 + 五号 居中 左侧:  0 厘米 行距: 单倍行距"/>
    <w:basedOn w:val="4"/>
    <w:qFormat/>
    <w:uiPriority w:val="0"/>
    <w:pPr>
      <w:keepNext w:val="0"/>
      <w:widowControl w:val="0"/>
      <w:numPr>
        <w:ilvl w:val="0"/>
        <w:numId w:val="0"/>
      </w:numPr>
      <w:tabs>
        <w:tab w:val="left" w:pos="360"/>
        <w:tab w:val="left" w:pos="720"/>
        <w:tab w:val="left" w:pos="1320"/>
        <w:tab w:val="left" w:pos="1620"/>
        <w:tab w:val="left" w:pos="8092"/>
      </w:tabs>
      <w:snapToGrid w:val="0"/>
      <w:spacing w:before="0" w:after="0" w:line="240" w:lineRule="auto"/>
      <w:ind w:left="1620" w:hanging="360" w:firstLineChars="200"/>
      <w:jc w:val="center"/>
    </w:pPr>
    <w:rPr>
      <w:rFonts w:ascii="黑体" w:hAnsi="Times New Roman" w:eastAsia="宋体"/>
      <w:b w:val="0"/>
      <w:bCs/>
      <w:color w:val="FF0000"/>
      <w:kern w:val="2"/>
      <w:sz w:val="21"/>
      <w:szCs w:val="20"/>
      <w:lang w:val="zh-CN"/>
    </w:rPr>
  </w:style>
  <w:style w:type="paragraph" w:customStyle="1" w:styleId="3169">
    <w:name w:val="表格文本 小五 居中"/>
    <w:basedOn w:val="1"/>
    <w:qFormat/>
    <w:uiPriority w:val="0"/>
    <w:pPr>
      <w:widowControl w:val="0"/>
      <w:adjustRightInd w:val="0"/>
      <w:snapToGrid w:val="0"/>
      <w:spacing w:line="360" w:lineRule="exact"/>
      <w:jc w:val="center"/>
    </w:pPr>
    <w:rPr>
      <w:rFonts w:ascii="Times New Roman" w:hAnsi="Times New Roman"/>
      <w:spacing w:val="-16"/>
      <w:kern w:val="2"/>
      <w:sz w:val="21"/>
      <w:szCs w:val="21"/>
    </w:rPr>
  </w:style>
  <w:style w:type="paragraph" w:customStyle="1" w:styleId="3170">
    <w:name w:val="表格文字居中"/>
    <w:basedOn w:val="1"/>
    <w:next w:val="86"/>
    <w:qFormat/>
    <w:uiPriority w:val="0"/>
    <w:pPr>
      <w:keepNext/>
      <w:widowControl w:val="0"/>
      <w:tabs>
        <w:tab w:val="left" w:pos="628"/>
        <w:tab w:val="left" w:pos="1727"/>
        <w:tab w:val="left" w:pos="1884"/>
      </w:tabs>
      <w:adjustRightInd w:val="0"/>
      <w:snapToGrid w:val="0"/>
      <w:jc w:val="center"/>
    </w:pPr>
    <w:rPr>
      <w:rFonts w:cs="Times New Roman"/>
      <w:color w:val="000000"/>
      <w:sz w:val="21"/>
      <w:szCs w:val="20"/>
    </w:rPr>
  </w:style>
  <w:style w:type="paragraph" w:customStyle="1" w:styleId="3171">
    <w:name w:val="正文 + 13 磅"/>
    <w:basedOn w:val="1"/>
    <w:qFormat/>
    <w:uiPriority w:val="0"/>
    <w:pPr>
      <w:widowControl w:val="0"/>
      <w:tabs>
        <w:tab w:val="left" w:pos="540"/>
        <w:tab w:val="left" w:pos="720"/>
      </w:tabs>
      <w:ind w:firstLine="419" w:firstLineChars="150"/>
      <w:jc w:val="both"/>
    </w:pPr>
    <w:rPr>
      <w:rFonts w:ascii="Times New Roman" w:hAnsi="Times New Roman" w:cs="Times New Roman"/>
      <w:kern w:val="2"/>
      <w:sz w:val="26"/>
      <w:szCs w:val="26"/>
    </w:rPr>
  </w:style>
  <w:style w:type="paragraph" w:customStyle="1" w:styleId="3172">
    <w:name w:val="编号1."/>
    <w:basedOn w:val="1"/>
    <w:qFormat/>
    <w:uiPriority w:val="0"/>
    <w:pPr>
      <w:widowControl w:val="0"/>
      <w:tabs>
        <w:tab w:val="left" w:pos="547"/>
        <w:tab w:val="left" w:pos="1080"/>
      </w:tabs>
      <w:spacing w:line="480" w:lineRule="atLeast"/>
      <w:ind w:firstLine="547"/>
      <w:jc w:val="both"/>
    </w:pPr>
    <w:rPr>
      <w:rFonts w:ascii="Times New Roman" w:hAnsi="Times New Roman" w:cs="Times New Roman"/>
      <w:kern w:val="2"/>
      <w:sz w:val="28"/>
    </w:rPr>
  </w:style>
  <w:style w:type="paragraph" w:customStyle="1" w:styleId="3173">
    <w:name w:val="样式 样式 (西文) 仿宋_GB2312 (中文) 仿宋_GB2312 + (西文) Times New Roman 首行缩进...1"/>
    <w:basedOn w:val="3174"/>
    <w:qFormat/>
    <w:uiPriority w:val="0"/>
    <w:pPr>
      <w:spacing w:after="156" w:afterLines="50"/>
    </w:pPr>
    <w:rPr>
      <w:rFonts w:ascii="Times New Roman"/>
      <w:szCs w:val="20"/>
    </w:rPr>
  </w:style>
  <w:style w:type="paragraph" w:customStyle="1" w:styleId="3174">
    <w:name w:val="样式 (西文) 仿宋_GB2312 (中文) 仿宋_GB2312"/>
    <w:basedOn w:val="1"/>
    <w:qFormat/>
    <w:uiPriority w:val="0"/>
    <w:pPr>
      <w:widowControl w:val="0"/>
      <w:spacing w:after="312" w:afterLines="100" w:line="300" w:lineRule="auto"/>
      <w:jc w:val="both"/>
    </w:pPr>
    <w:rPr>
      <w:rFonts w:ascii="仿宋_GB2312" w:hAnsi="Times New Roman" w:eastAsia="仿宋_GB2312" w:cs="Times New Roman"/>
      <w:kern w:val="2"/>
      <w:sz w:val="28"/>
      <w:szCs w:val="30"/>
    </w:rPr>
  </w:style>
  <w:style w:type="paragraph" w:customStyle="1" w:styleId="3175">
    <w:name w:val="Char Char4 Char Char Char Char"/>
    <w:basedOn w:val="1"/>
    <w:qFormat/>
    <w:uiPriority w:val="0"/>
    <w:pPr>
      <w:widowControl w:val="0"/>
      <w:jc w:val="both"/>
    </w:pPr>
    <w:rPr>
      <w:rFonts w:ascii="Times New Roman" w:hAnsi="Times New Roman" w:cs="Times New Roman"/>
      <w:kern w:val="2"/>
      <w:sz w:val="21"/>
    </w:rPr>
  </w:style>
  <w:style w:type="paragraph" w:customStyle="1" w:styleId="3176">
    <w:name w:val="表格居中"/>
    <w:basedOn w:val="1"/>
    <w:qFormat/>
    <w:uiPriority w:val="0"/>
    <w:pPr>
      <w:widowControl w:val="0"/>
      <w:spacing w:line="360" w:lineRule="atLeast"/>
      <w:jc w:val="center"/>
    </w:pPr>
    <w:rPr>
      <w:rFonts w:ascii="Times New Roman" w:hAnsi="Times New Roman" w:cs="Times New Roman"/>
      <w:kern w:val="2"/>
      <w:sz w:val="18"/>
    </w:rPr>
  </w:style>
  <w:style w:type="paragraph" w:customStyle="1" w:styleId="3177">
    <w:name w:val="检索8"/>
    <w:basedOn w:val="3178"/>
    <w:qFormat/>
    <w:uiPriority w:val="0"/>
    <w:pPr>
      <w:ind w:left="2155"/>
    </w:pPr>
    <w:rPr>
      <w:color w:val="800000"/>
    </w:rPr>
  </w:style>
  <w:style w:type="paragraph" w:customStyle="1" w:styleId="3178">
    <w:name w:val="检索1"/>
    <w:qFormat/>
    <w:uiPriority w:val="0"/>
    <w:pPr>
      <w:widowControl w:val="0"/>
      <w:kinsoku w:val="0"/>
      <w:wordWrap w:val="0"/>
      <w:overflowPunct w:val="0"/>
      <w:autoSpaceDE w:val="0"/>
      <w:autoSpaceDN w:val="0"/>
      <w:adjustRightInd w:val="0"/>
      <w:spacing w:line="240" w:lineRule="atLeast"/>
      <w:ind w:left="170" w:hanging="170"/>
      <w:jc w:val="both"/>
      <w:textAlignment w:val="center"/>
    </w:pPr>
    <w:rPr>
      <w:rFonts w:ascii="Times New Roman" w:hAnsi="Times New Roman" w:eastAsia="宋体" w:cs="Times New Roman"/>
      <w:color w:val="000000"/>
      <w:sz w:val="21"/>
      <w:lang w:val="en-US" w:eastAsia="zh-CN" w:bidi="ar-SA"/>
    </w:rPr>
  </w:style>
  <w:style w:type="paragraph" w:customStyle="1" w:styleId="3179">
    <w:name w:val="表格，宋五"/>
    <w:qFormat/>
    <w:uiPriority w:val="0"/>
    <w:pPr>
      <w:keepNext/>
      <w:jc w:val="both"/>
    </w:pPr>
    <w:rPr>
      <w:rFonts w:ascii="Times New Roman" w:hAnsi="Times New Roman" w:eastAsia="宋体" w:cs="Times New Roman"/>
      <w:sz w:val="21"/>
      <w:lang w:val="en-US" w:eastAsia="zh-CN" w:bidi="ar-SA"/>
    </w:rPr>
  </w:style>
  <w:style w:type="paragraph" w:customStyle="1" w:styleId="3180">
    <w:name w:val="00正文"/>
    <w:basedOn w:val="1"/>
    <w:qFormat/>
    <w:uiPriority w:val="0"/>
    <w:pPr>
      <w:widowControl w:val="0"/>
      <w:adjustRightInd w:val="0"/>
      <w:snapToGrid w:val="0"/>
      <w:ind w:right="-125" w:rightChars="-52"/>
      <w:jc w:val="both"/>
    </w:pPr>
    <w:rPr>
      <w:rFonts w:ascii="Times New Roman" w:hAnsi="Times New Roman" w:cs="Times New Roman"/>
      <w:sz w:val="21"/>
      <w:szCs w:val="28"/>
    </w:rPr>
  </w:style>
  <w:style w:type="paragraph" w:customStyle="1" w:styleId="3181">
    <w:name w:val="样式 首行缩进:  1 字符"/>
    <w:basedOn w:val="1"/>
    <w:qFormat/>
    <w:uiPriority w:val="0"/>
    <w:pPr>
      <w:widowControl w:val="0"/>
      <w:spacing w:line="498" w:lineRule="atLeast"/>
      <w:ind w:firstLine="100" w:firstLineChars="100"/>
      <w:jc w:val="both"/>
    </w:pPr>
    <w:rPr>
      <w:rFonts w:ascii="Times New Roman" w:hAnsi="Times New Roman" w:cs="Times New Roman"/>
      <w:kern w:val="2"/>
      <w:sz w:val="21"/>
      <w:szCs w:val="20"/>
    </w:rPr>
  </w:style>
  <w:style w:type="paragraph" w:customStyle="1" w:styleId="3182">
    <w:name w:val="selinna表注"/>
    <w:basedOn w:val="1"/>
    <w:qFormat/>
    <w:uiPriority w:val="0"/>
    <w:pPr>
      <w:widowControl w:val="0"/>
      <w:adjustRightInd w:val="0"/>
      <w:snapToGrid w:val="0"/>
      <w:spacing w:line="320" w:lineRule="atLeast"/>
      <w:ind w:firstLine="525" w:firstLineChars="250"/>
      <w:jc w:val="both"/>
    </w:pPr>
    <w:rPr>
      <w:rFonts w:cs="Times New Roman"/>
      <w:kern w:val="2"/>
      <w:sz w:val="18"/>
      <w:szCs w:val="21"/>
    </w:rPr>
  </w:style>
  <w:style w:type="paragraph" w:customStyle="1" w:styleId="3183">
    <w:name w:val="Char Char Char13"/>
    <w:basedOn w:val="1"/>
    <w:qFormat/>
    <w:uiPriority w:val="0"/>
    <w:pPr>
      <w:keepNext/>
      <w:widowControl w:val="0"/>
      <w:tabs>
        <w:tab w:val="left" w:pos="425"/>
      </w:tabs>
      <w:autoSpaceDE w:val="0"/>
      <w:autoSpaceDN w:val="0"/>
      <w:adjustRightInd w:val="0"/>
      <w:spacing w:before="80" w:after="80"/>
      <w:ind w:hanging="425"/>
      <w:jc w:val="both"/>
    </w:pPr>
    <w:rPr>
      <w:rFonts w:ascii="Arial" w:hAnsi="Arial" w:cs="Arial"/>
      <w:kern w:val="2"/>
      <w:sz w:val="20"/>
      <w:szCs w:val="20"/>
    </w:rPr>
  </w:style>
  <w:style w:type="paragraph" w:customStyle="1" w:styleId="3184">
    <w:name w:val="表格标题采用"/>
    <w:basedOn w:val="34"/>
    <w:qFormat/>
    <w:uiPriority w:val="0"/>
    <w:pPr>
      <w:widowControl w:val="0"/>
      <w:spacing w:before="0" w:after="0" w:line="240" w:lineRule="auto"/>
      <w:ind w:right="0" w:firstLine="200" w:firstLineChars="200"/>
      <w:jc w:val="center"/>
    </w:pPr>
    <w:rPr>
      <w:rFonts w:cs="Times New Roman"/>
      <w:b/>
      <w:kern w:val="2"/>
      <w:sz w:val="21"/>
      <w:szCs w:val="21"/>
      <w:lang w:val="zh-CN"/>
    </w:rPr>
  </w:style>
  <w:style w:type="paragraph" w:customStyle="1" w:styleId="3185">
    <w:name w:val="表体宋旭峰"/>
    <w:basedOn w:val="1"/>
    <w:qFormat/>
    <w:uiPriority w:val="0"/>
    <w:pPr>
      <w:widowControl w:val="0"/>
      <w:tabs>
        <w:tab w:val="left" w:pos="3685"/>
      </w:tabs>
      <w:overflowPunct w:val="0"/>
      <w:spacing w:line="280" w:lineRule="exact"/>
      <w:jc w:val="center"/>
      <w:textAlignment w:val="baseline"/>
    </w:pPr>
    <w:rPr>
      <w:rFonts w:hAnsi="Courier New" w:cs="Courier New"/>
      <w:snapToGrid w:val="0"/>
      <w:sz w:val="18"/>
      <w:szCs w:val="18"/>
    </w:rPr>
  </w:style>
  <w:style w:type="paragraph" w:customStyle="1" w:styleId="3186">
    <w:name w:val="Char Char5 Char"/>
    <w:basedOn w:val="1"/>
    <w:qFormat/>
    <w:uiPriority w:val="0"/>
    <w:pPr>
      <w:widowControl w:val="0"/>
      <w:ind w:firstLine="200" w:firstLineChars="200"/>
      <w:jc w:val="both"/>
    </w:pPr>
    <w:rPr>
      <w:kern w:val="2"/>
      <w:sz w:val="21"/>
    </w:rPr>
  </w:style>
  <w:style w:type="paragraph" w:customStyle="1" w:styleId="3187">
    <w:name w:val="图表内文字"/>
    <w:basedOn w:val="1"/>
    <w:qFormat/>
    <w:uiPriority w:val="0"/>
    <w:pPr>
      <w:widowControl w:val="0"/>
      <w:spacing w:line="240" w:lineRule="atLeast"/>
      <w:jc w:val="center"/>
    </w:pPr>
    <w:rPr>
      <w:rFonts w:ascii="Times New Roman" w:hAnsi="Times New Roman" w:cs="Times New Roman"/>
      <w:kern w:val="2"/>
      <w:sz w:val="21"/>
      <w:szCs w:val="21"/>
    </w:rPr>
  </w:style>
  <w:style w:type="paragraph" w:customStyle="1" w:styleId="3188">
    <w:name w:val="表格，五宋"/>
    <w:qFormat/>
    <w:uiPriority w:val="0"/>
    <w:pPr>
      <w:adjustRightInd w:val="0"/>
      <w:spacing w:line="360" w:lineRule="exact"/>
      <w:jc w:val="center"/>
    </w:pPr>
    <w:rPr>
      <w:rFonts w:ascii="Times New Roman" w:hAnsi="Times New Roman" w:eastAsia="宋体" w:cs="Times New Roman"/>
      <w:sz w:val="21"/>
      <w:lang w:val="en-US" w:eastAsia="zh-CN" w:bidi="ar-SA"/>
    </w:rPr>
  </w:style>
  <w:style w:type="paragraph" w:customStyle="1" w:styleId="3189">
    <w:name w:val="样式 标题 3 + 宋体 行距: 单倍行距"/>
    <w:basedOn w:val="5"/>
    <w:next w:val="1"/>
    <w:qFormat/>
    <w:uiPriority w:val="0"/>
    <w:pPr>
      <w:keepNext w:val="0"/>
      <w:keepLines w:val="0"/>
      <w:widowControl w:val="0"/>
      <w:tabs>
        <w:tab w:val="left" w:pos="360"/>
        <w:tab w:val="left" w:pos="720"/>
      </w:tabs>
      <w:snapToGrid w:val="0"/>
      <w:spacing w:before="0" w:beforeLines="100" w:after="0" w:afterLines="50" w:line="240" w:lineRule="auto"/>
      <w:ind w:firstLine="980" w:firstLineChars="200"/>
      <w:jc w:val="both"/>
    </w:pPr>
    <w:rPr>
      <w:b w:val="0"/>
      <w:kern w:val="2"/>
      <w:sz w:val="24"/>
      <w:szCs w:val="24"/>
    </w:rPr>
  </w:style>
  <w:style w:type="paragraph" w:customStyle="1" w:styleId="3190">
    <w:name w:val="样式 左"/>
    <w:basedOn w:val="1"/>
    <w:qFormat/>
    <w:uiPriority w:val="0"/>
    <w:pPr>
      <w:widowControl w:val="0"/>
      <w:ind w:right="100" w:rightChars="100" w:firstLine="200" w:firstLineChars="200"/>
      <w:jc w:val="both"/>
    </w:pPr>
    <w:rPr>
      <w:rFonts w:ascii="Plotter" w:hAnsi="Plotter"/>
      <w:kern w:val="2"/>
      <w:sz w:val="21"/>
      <w:szCs w:val="20"/>
    </w:rPr>
  </w:style>
  <w:style w:type="paragraph" w:customStyle="1" w:styleId="3191">
    <w:name w:val="Char Char Char Char Char Char Char Char Char Char Char Char Char1 Char Char Char Char Char Char Char Char Char Char Char Char Char Char Char Char Char Char Char3"/>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192">
    <w:name w:val="样式 (西文) 仿宋_GB2312 (中文) 仿宋_GB2312 黑色 悬挂缩进: 3 字符 段前: 0.5 行 行距..."/>
    <w:basedOn w:val="1"/>
    <w:qFormat/>
    <w:uiPriority w:val="0"/>
    <w:pPr>
      <w:widowControl w:val="0"/>
      <w:spacing w:after="312" w:afterLines="100" w:line="300" w:lineRule="auto"/>
      <w:ind w:left="475" w:leftChars="175" w:hanging="300" w:hangingChars="300"/>
      <w:jc w:val="both"/>
    </w:pPr>
    <w:rPr>
      <w:rFonts w:ascii="仿宋_GB2312" w:hAnsi="Times New Roman" w:eastAsia="仿宋_GB2312" w:cs="Times New Roman"/>
      <w:color w:val="000000"/>
      <w:kern w:val="2"/>
      <w:sz w:val="28"/>
      <w:szCs w:val="20"/>
    </w:rPr>
  </w:style>
  <w:style w:type="paragraph" w:customStyle="1" w:styleId="3193">
    <w:name w:val="ysh标4"/>
    <w:basedOn w:val="683"/>
    <w:qFormat/>
    <w:uiPriority w:val="0"/>
    <w:pPr>
      <w:tabs>
        <w:tab w:val="left" w:pos="360"/>
        <w:tab w:val="left" w:pos="720"/>
      </w:tabs>
      <w:adjustRightInd/>
      <w:snapToGrid/>
      <w:spacing w:before="156" w:beforeLines="50" w:afterLines="50" w:line="240" w:lineRule="auto"/>
      <w:ind w:left="1080" w:hanging="720"/>
    </w:pPr>
    <w:rPr>
      <w:rFonts w:ascii="宋体" w:eastAsia="宋体"/>
      <w:bCs/>
      <w:sz w:val="24"/>
      <w:szCs w:val="24"/>
    </w:rPr>
  </w:style>
  <w:style w:type="paragraph" w:customStyle="1" w:styleId="3194">
    <w:name w:val="Char Char8 Char"/>
    <w:basedOn w:val="1"/>
    <w:qFormat/>
    <w:uiPriority w:val="0"/>
    <w:pPr>
      <w:widowControl w:val="0"/>
      <w:ind w:firstLine="200" w:firstLineChars="200"/>
      <w:jc w:val="both"/>
    </w:pPr>
    <w:rPr>
      <w:kern w:val="2"/>
      <w:sz w:val="21"/>
    </w:rPr>
  </w:style>
  <w:style w:type="paragraph" w:customStyle="1" w:styleId="3195">
    <w:name w:val="自正文1 Char Char"/>
    <w:basedOn w:val="1"/>
    <w:qFormat/>
    <w:uiPriority w:val="0"/>
    <w:pPr>
      <w:widowControl w:val="0"/>
      <w:tabs>
        <w:tab w:val="left" w:pos="0"/>
      </w:tabs>
      <w:adjustRightInd w:val="0"/>
      <w:snapToGrid w:val="0"/>
      <w:spacing w:line="400" w:lineRule="exact"/>
      <w:ind w:firstLine="480" w:firstLineChars="200"/>
      <w:jc w:val="both"/>
      <w:textAlignment w:val="baseline"/>
    </w:pPr>
    <w:rPr>
      <w:rFonts w:hAnsi="Times New Roman" w:cs="Times New Roman"/>
      <w:kern w:val="24"/>
      <w:sz w:val="21"/>
    </w:rPr>
  </w:style>
  <w:style w:type="paragraph" w:customStyle="1" w:styleId="3196">
    <w:name w:val="文本文字"/>
    <w:basedOn w:val="1"/>
    <w:next w:val="1"/>
    <w:qFormat/>
    <w:uiPriority w:val="0"/>
    <w:pPr>
      <w:widowControl w:val="0"/>
      <w:tabs>
        <w:tab w:val="left" w:pos="2488"/>
        <w:tab w:val="left" w:pos="9000"/>
        <w:tab w:val="left" w:pos="12420"/>
      </w:tabs>
      <w:ind w:right="3165" w:rightChars="1507" w:firstLine="480" w:firstLineChars="200"/>
      <w:jc w:val="both"/>
    </w:pPr>
    <w:rPr>
      <w:kern w:val="2"/>
      <w:sz w:val="21"/>
      <w:szCs w:val="20"/>
    </w:rPr>
  </w:style>
  <w:style w:type="paragraph" w:customStyle="1" w:styleId="3197">
    <w:name w:val="东方工业区表"/>
    <w:basedOn w:val="1"/>
    <w:qFormat/>
    <w:uiPriority w:val="0"/>
    <w:pPr>
      <w:widowControl w:val="0"/>
      <w:tabs>
        <w:tab w:val="left" w:pos="0"/>
      </w:tabs>
      <w:adjustRightInd w:val="0"/>
      <w:snapToGrid w:val="0"/>
      <w:spacing w:line="0" w:lineRule="atLeast"/>
      <w:jc w:val="center"/>
      <w:textAlignment w:val="baseline"/>
    </w:pPr>
    <w:rPr>
      <w:rFonts w:ascii="Times New Roman" w:hAnsi="Times New Roman" w:cs="Times New Roman"/>
      <w:sz w:val="21"/>
      <w:szCs w:val="18"/>
    </w:rPr>
  </w:style>
  <w:style w:type="paragraph" w:customStyle="1" w:styleId="3198">
    <w:name w:val="样式 宋体 11.5 磅 加粗 居中"/>
    <w:basedOn w:val="1"/>
    <w:qFormat/>
    <w:uiPriority w:val="0"/>
    <w:pPr>
      <w:widowControl w:val="0"/>
      <w:jc w:val="center"/>
    </w:pPr>
    <w:rPr>
      <w:b/>
      <w:bCs/>
      <w:sz w:val="21"/>
      <w:szCs w:val="20"/>
    </w:rPr>
  </w:style>
  <w:style w:type="paragraph" w:customStyle="1" w:styleId="3199">
    <w:name w:val="样式 标题 3标题 3 Char Char标题 3 Char1H3Heading 3 - old标题 3 Char C..."/>
    <w:basedOn w:val="5"/>
    <w:qFormat/>
    <w:uiPriority w:val="0"/>
    <w:pPr>
      <w:keepNext w:val="0"/>
      <w:keepLines w:val="0"/>
      <w:widowControl w:val="0"/>
      <w:tabs>
        <w:tab w:val="left" w:pos="360"/>
        <w:tab w:val="left" w:pos="720"/>
        <w:tab w:val="left" w:pos="4621"/>
      </w:tabs>
      <w:snapToGrid w:val="0"/>
      <w:spacing w:before="240" w:beforeLines="100" w:after="120" w:afterLines="50" w:line="240" w:lineRule="auto"/>
      <w:ind w:left="1476" w:hanging="1476" w:firstLineChars="200"/>
      <w:jc w:val="both"/>
    </w:pPr>
    <w:rPr>
      <w:rFonts w:ascii="Arial" w:hAnsi="Arial" w:eastAsia="楷体_GB2312"/>
      <w:b w:val="0"/>
      <w:kern w:val="2"/>
      <w:sz w:val="24"/>
      <w:szCs w:val="24"/>
    </w:rPr>
  </w:style>
  <w:style w:type="paragraph" w:customStyle="1" w:styleId="3200">
    <w:name w:val="范表格1"/>
    <w:basedOn w:val="1"/>
    <w:next w:val="1"/>
    <w:qFormat/>
    <w:uiPriority w:val="0"/>
    <w:pPr>
      <w:widowControl w:val="0"/>
      <w:spacing w:before="60" w:after="60"/>
      <w:jc w:val="center"/>
    </w:pPr>
    <w:rPr>
      <w:rFonts w:ascii="Times New Roman" w:hAnsi="Times New Roman" w:cs="Times New Roman"/>
      <w:sz w:val="21"/>
      <w:szCs w:val="20"/>
    </w:rPr>
  </w:style>
  <w:style w:type="paragraph" w:customStyle="1" w:styleId="3201">
    <w:name w:val="样式53"/>
    <w:basedOn w:val="1"/>
    <w:qFormat/>
    <w:uiPriority w:val="0"/>
    <w:pPr>
      <w:widowControl w:val="0"/>
      <w:adjustRightInd w:val="0"/>
      <w:spacing w:before="214"/>
      <w:jc w:val="center"/>
    </w:pPr>
    <w:rPr>
      <w:rFonts w:ascii="黑体" w:eastAsia="黑体" w:cs="Times New Roman"/>
      <w:b/>
      <w:bCs/>
      <w:color w:val="000000"/>
      <w:sz w:val="20"/>
      <w:szCs w:val="21"/>
      <w:lang w:val="zh-CN"/>
    </w:rPr>
  </w:style>
  <w:style w:type="paragraph" w:customStyle="1" w:styleId="3202">
    <w:name w:val="环小四内容"/>
    <w:basedOn w:val="1"/>
    <w:qFormat/>
    <w:uiPriority w:val="0"/>
    <w:pPr>
      <w:widowControl w:val="0"/>
      <w:ind w:firstLine="200" w:firstLineChars="200"/>
      <w:jc w:val="both"/>
    </w:pPr>
    <w:rPr>
      <w:rFonts w:cs="Times New Roman"/>
      <w:sz w:val="21"/>
      <w:lang w:val="zh-CN"/>
    </w:rPr>
  </w:style>
  <w:style w:type="paragraph" w:customStyle="1" w:styleId="3203">
    <w:name w:val="p9"/>
    <w:basedOn w:val="1"/>
    <w:qFormat/>
    <w:uiPriority w:val="0"/>
    <w:pPr>
      <w:spacing w:before="100" w:beforeAutospacing="1" w:after="100" w:afterAutospacing="1" w:line="320" w:lineRule="atLeast"/>
    </w:pPr>
    <w:rPr>
      <w:rFonts w:ascii="Arial Unicode MS" w:hAnsi="Arial Unicode MS" w:eastAsia="Arial Unicode MS" w:cs="Times New Roman"/>
      <w:sz w:val="18"/>
    </w:rPr>
  </w:style>
  <w:style w:type="paragraph" w:customStyle="1" w:styleId="3204">
    <w:name w:val="样式187"/>
    <w:basedOn w:val="3205"/>
    <w:qFormat/>
    <w:uiPriority w:val="0"/>
  </w:style>
  <w:style w:type="paragraph" w:customStyle="1" w:styleId="3205">
    <w:name w:val="样式 正文文本缩进 2正文文本缩进 2 Char Char Char Char正文文本缩进 2 Char Char + 黑色2"/>
    <w:basedOn w:val="36"/>
    <w:qFormat/>
    <w:uiPriority w:val="0"/>
    <w:pPr>
      <w:widowControl w:val="0"/>
      <w:snapToGrid/>
      <w:spacing w:line="360" w:lineRule="atLeast"/>
      <w:ind w:firstLine="480" w:firstLineChars="0"/>
      <w:textAlignment w:val="baseline"/>
    </w:pPr>
    <w:rPr>
      <w:rFonts w:hAnsi="Times New Roman" w:cs="Times New Roman"/>
      <w:sz w:val="24"/>
      <w:lang w:val="zh-CN"/>
    </w:rPr>
  </w:style>
  <w:style w:type="paragraph" w:customStyle="1" w:styleId="3206">
    <w:name w:val="Char Char Char Char Char Char Char Char Char Char Char Char Char Char Char Char Char Char Char Char Char Char Char Char Char Char Char1 Char Char Char Char Char Char"/>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207">
    <w:name w:val="样式51"/>
    <w:basedOn w:val="1"/>
    <w:qFormat/>
    <w:uiPriority w:val="0"/>
    <w:pPr>
      <w:widowControl w:val="0"/>
      <w:spacing w:line="520" w:lineRule="exact"/>
      <w:ind w:firstLine="480" w:firstLineChars="200"/>
      <w:jc w:val="both"/>
    </w:pPr>
    <w:rPr>
      <w:rFonts w:cs="Times New Roman"/>
      <w:kern w:val="18"/>
      <w:sz w:val="21"/>
      <w:lang w:val="zh-CN"/>
    </w:rPr>
  </w:style>
  <w:style w:type="paragraph" w:customStyle="1" w:styleId="3208">
    <w:name w:val="Char Char Char Char Char Char Char4"/>
    <w:basedOn w:val="1"/>
    <w:qFormat/>
    <w:uiPriority w:val="0"/>
    <w:pPr>
      <w:spacing w:after="160" w:line="240" w:lineRule="exact"/>
    </w:pPr>
    <w:rPr>
      <w:rFonts w:ascii="Verdana" w:hAnsi="Verdana" w:cs="Times New Roman"/>
      <w:sz w:val="20"/>
      <w:szCs w:val="32"/>
      <w:lang w:eastAsia="en-US"/>
    </w:rPr>
  </w:style>
  <w:style w:type="paragraph" w:customStyle="1" w:styleId="3209">
    <w:name w:val="Char Char Char Char Char Char Char Char Char Char Char Char Char Char Char Char Char Char Char2"/>
    <w:basedOn w:val="1"/>
    <w:qFormat/>
    <w:uiPriority w:val="0"/>
    <w:pPr>
      <w:widowControl w:val="0"/>
      <w:spacing w:after="160" w:line="240" w:lineRule="exact"/>
      <w:jc w:val="both"/>
    </w:pPr>
    <w:rPr>
      <w:rFonts w:ascii="Arial" w:hAnsi="Arial" w:eastAsia="Times New Roman" w:cs="Verdana"/>
      <w:b/>
      <w:kern w:val="2"/>
      <w:sz w:val="21"/>
      <w:lang w:eastAsia="en-US"/>
    </w:rPr>
  </w:style>
  <w:style w:type="paragraph" w:customStyle="1" w:styleId="3210">
    <w:name w:val="数列"/>
    <w:basedOn w:val="21"/>
    <w:qFormat/>
    <w:uiPriority w:val="0"/>
    <w:pPr>
      <w:tabs>
        <w:tab w:val="left" w:pos="709"/>
        <w:tab w:val="left" w:pos="1560"/>
      </w:tabs>
      <w:adjustRightInd w:val="0"/>
      <w:snapToGrid w:val="0"/>
      <w:spacing w:before="156" w:beforeLines="50" w:line="440" w:lineRule="exact"/>
      <w:ind w:left="709" w:hanging="709"/>
      <w:textAlignment w:val="baseline"/>
    </w:pPr>
    <w:rPr>
      <w:rFonts w:ascii="Times New Roman" w:hAnsi="Times New Roman" w:eastAsia="仿宋_GB2312" w:cs="Times New Roman"/>
      <w:spacing w:val="50"/>
    </w:rPr>
  </w:style>
  <w:style w:type="paragraph" w:customStyle="1" w:styleId="3211">
    <w:name w:val="文件编号"/>
    <w:basedOn w:val="1"/>
    <w:next w:val="1"/>
    <w:qFormat/>
    <w:uiPriority w:val="0"/>
    <w:pPr>
      <w:widowControl w:val="0"/>
      <w:jc w:val="center"/>
    </w:pPr>
    <w:rPr>
      <w:rFonts w:ascii="黑体" w:hAnsi="Times New Roman" w:eastAsia="黑体" w:cs="Times New Roman"/>
      <w:kern w:val="2"/>
      <w:sz w:val="44"/>
      <w:szCs w:val="44"/>
    </w:rPr>
  </w:style>
  <w:style w:type="paragraph" w:customStyle="1" w:styleId="3212">
    <w:name w:val="检索3"/>
    <w:basedOn w:val="3178"/>
    <w:qFormat/>
    <w:uiPriority w:val="0"/>
    <w:pPr>
      <w:ind w:left="737"/>
    </w:pPr>
    <w:rPr>
      <w:color w:val="800000"/>
    </w:rPr>
  </w:style>
  <w:style w:type="paragraph" w:customStyle="1" w:styleId="3213">
    <w:name w:val="框图文字1"/>
    <w:basedOn w:val="1"/>
    <w:qFormat/>
    <w:uiPriority w:val="0"/>
    <w:pPr>
      <w:widowControl w:val="0"/>
      <w:adjustRightInd w:val="0"/>
      <w:snapToGrid w:val="0"/>
      <w:spacing w:before="78" w:beforeLines="25"/>
      <w:jc w:val="center"/>
    </w:pPr>
    <w:rPr>
      <w:rFonts w:ascii="Times New Roman" w:hAnsi="Times New Roman" w:cs="Times New Roman"/>
      <w:kern w:val="2"/>
      <w:sz w:val="18"/>
      <w:szCs w:val="18"/>
    </w:rPr>
  </w:style>
  <w:style w:type="paragraph" w:customStyle="1" w:styleId="3214">
    <w:name w:val="木瓜子1"/>
    <w:basedOn w:val="1"/>
    <w:qFormat/>
    <w:uiPriority w:val="0"/>
    <w:pPr>
      <w:widowControl w:val="0"/>
      <w:ind w:firstLine="200" w:firstLineChars="200"/>
      <w:jc w:val="both"/>
    </w:pPr>
    <w:rPr>
      <w:rFonts w:ascii="Times New Roman" w:hAnsi="Times New Roman" w:cs="Times New Roman"/>
      <w:b/>
      <w:kern w:val="2"/>
      <w:sz w:val="32"/>
    </w:rPr>
  </w:style>
  <w:style w:type="paragraph" w:customStyle="1" w:styleId="3215">
    <w:name w:val="字元 字元 Char Char 字元 字元14"/>
    <w:basedOn w:val="1"/>
    <w:qFormat/>
    <w:uiPriority w:val="0"/>
    <w:pPr>
      <w:widowControl w:val="0"/>
      <w:jc w:val="both"/>
    </w:pPr>
    <w:rPr>
      <w:rFonts w:ascii="Times New Roman" w:hAnsi="Times New Roman" w:cs="Times New Roman"/>
      <w:kern w:val="2"/>
      <w:sz w:val="21"/>
    </w:rPr>
  </w:style>
  <w:style w:type="paragraph" w:customStyle="1" w:styleId="3216">
    <w:name w:val="水保正文"/>
    <w:basedOn w:val="1"/>
    <w:qFormat/>
    <w:uiPriority w:val="0"/>
    <w:pPr>
      <w:widowControl w:val="0"/>
      <w:ind w:firstLine="200" w:firstLineChars="200"/>
      <w:jc w:val="both"/>
    </w:pPr>
    <w:rPr>
      <w:kern w:val="2"/>
      <w:sz w:val="21"/>
    </w:rPr>
  </w:style>
  <w:style w:type="paragraph" w:customStyle="1" w:styleId="3217">
    <w:name w:val="样式 标题 3 + 小四 黑色1 Char Char"/>
    <w:basedOn w:val="5"/>
    <w:qFormat/>
    <w:uiPriority w:val="0"/>
    <w:pPr>
      <w:keepNext w:val="0"/>
      <w:keepLines w:val="0"/>
      <w:widowControl w:val="0"/>
      <w:tabs>
        <w:tab w:val="left" w:pos="360"/>
        <w:tab w:val="left" w:pos="720"/>
        <w:tab w:val="left" w:pos="4621"/>
      </w:tabs>
      <w:snapToGrid w:val="0"/>
      <w:spacing w:before="0" w:beforeLines="100" w:after="120" w:afterLines="50" w:line="480" w:lineRule="exact"/>
      <w:ind w:firstLine="420" w:firstLineChars="200"/>
      <w:jc w:val="both"/>
    </w:pPr>
    <w:rPr>
      <w:rFonts w:ascii="Times New Roman" w:hAnsi="Times New Roman" w:cs="Times New Roman"/>
      <w:b w:val="0"/>
      <w:kern w:val="2"/>
      <w:sz w:val="24"/>
    </w:rPr>
  </w:style>
  <w:style w:type="paragraph" w:customStyle="1" w:styleId="3218">
    <w:name w:val="样式 标题 2 + 浅蓝 段前: 1 行"/>
    <w:basedOn w:val="4"/>
    <w:qFormat/>
    <w:uiPriority w:val="0"/>
    <w:pPr>
      <w:keepNext w:val="0"/>
      <w:widowControl w:val="0"/>
      <w:numPr>
        <w:ilvl w:val="0"/>
        <w:numId w:val="0"/>
      </w:numPr>
      <w:tabs>
        <w:tab w:val="left" w:pos="360"/>
        <w:tab w:val="left" w:pos="630"/>
        <w:tab w:val="left" w:pos="720"/>
        <w:tab w:val="left" w:pos="8092"/>
      </w:tabs>
      <w:snapToGrid w:val="0"/>
      <w:spacing w:before="320" w:after="160" w:line="240" w:lineRule="auto"/>
      <w:ind w:firstLine="567" w:firstLineChars="200"/>
    </w:pPr>
    <w:rPr>
      <w:rFonts w:hint="eastAsia" w:cs="Times New Roman"/>
      <w:b w:val="0"/>
      <w:color w:val="FF0000"/>
      <w:kern w:val="2"/>
      <w:sz w:val="28"/>
      <w:szCs w:val="20"/>
      <w:lang w:val="zh-CN"/>
    </w:rPr>
  </w:style>
  <w:style w:type="paragraph" w:customStyle="1" w:styleId="3219">
    <w:name w:val="样式 样式 样式 样式 (西文) 仿宋_GB2312 (中文) 仿宋_GB2312 加粗 段前: 0.5 行 段后: 6 磅 行..."/>
    <w:basedOn w:val="1"/>
    <w:qFormat/>
    <w:uiPriority w:val="0"/>
    <w:pPr>
      <w:widowControl w:val="0"/>
      <w:spacing w:after="156" w:afterLines="50" w:line="300" w:lineRule="auto"/>
      <w:jc w:val="both"/>
    </w:pPr>
    <w:rPr>
      <w:rFonts w:ascii="Times New Roman" w:hAnsi="Times New Roman" w:eastAsia="仿宋_GB2312" w:cs="Times New Roman"/>
      <w:b/>
      <w:bCs/>
      <w:kern w:val="2"/>
      <w:sz w:val="28"/>
      <w:szCs w:val="20"/>
    </w:rPr>
  </w:style>
  <w:style w:type="paragraph" w:customStyle="1" w:styleId="3220">
    <w:name w:val="表格字体"/>
    <w:basedOn w:val="1"/>
    <w:qFormat/>
    <w:uiPriority w:val="0"/>
    <w:pPr>
      <w:widowControl w:val="0"/>
      <w:adjustRightInd w:val="0"/>
      <w:spacing w:before="62" w:beforeLines="20"/>
      <w:jc w:val="center"/>
    </w:pPr>
    <w:rPr>
      <w:rFonts w:ascii="Times New Roman" w:hAnsi="Times New Roman" w:cs="Times New Roman"/>
      <w:sz w:val="20"/>
      <w:szCs w:val="21"/>
      <w:lang w:val="zh-CN"/>
    </w:rPr>
  </w:style>
  <w:style w:type="paragraph" w:customStyle="1" w:styleId="3221">
    <w:name w:val="Char Char Char Char Char Char4"/>
    <w:basedOn w:val="1"/>
    <w:qFormat/>
    <w:uiPriority w:val="0"/>
    <w:pPr>
      <w:widowControl w:val="0"/>
      <w:jc w:val="both"/>
    </w:pPr>
    <w:rPr>
      <w:rFonts w:ascii="Times New Roman" w:hAnsi="Times New Roman" w:cs="Times New Roman"/>
      <w:kern w:val="2"/>
      <w:sz w:val="21"/>
    </w:rPr>
  </w:style>
  <w:style w:type="paragraph" w:customStyle="1" w:styleId="3222">
    <w:name w:val="表格文本 五号 居中 单倍行距"/>
    <w:basedOn w:val="1"/>
    <w:qFormat/>
    <w:uiPriority w:val="0"/>
    <w:pPr>
      <w:keepNext/>
      <w:widowControl w:val="0"/>
      <w:adjustRightInd w:val="0"/>
      <w:snapToGrid w:val="0"/>
      <w:jc w:val="center"/>
    </w:pPr>
    <w:rPr>
      <w:rFonts w:ascii="Times New Roman" w:hAnsi="Times New Roman" w:cs="Times New Roman"/>
      <w:color w:val="FF0000"/>
      <w:sz w:val="21"/>
    </w:rPr>
  </w:style>
  <w:style w:type="paragraph" w:customStyle="1" w:styleId="3223">
    <w:name w:val="Char1 Char Char Char Char Char Char2"/>
    <w:basedOn w:val="1"/>
    <w:qFormat/>
    <w:uiPriority w:val="0"/>
    <w:pPr>
      <w:widowControl w:val="0"/>
      <w:ind w:firstLine="200" w:firstLineChars="200"/>
      <w:jc w:val="both"/>
    </w:pPr>
    <w:rPr>
      <w:kern w:val="2"/>
      <w:sz w:val="21"/>
    </w:rPr>
  </w:style>
  <w:style w:type="paragraph" w:customStyle="1" w:styleId="3224">
    <w:name w:val="检索4"/>
    <w:basedOn w:val="3178"/>
    <w:qFormat/>
    <w:uiPriority w:val="0"/>
    <w:pPr>
      <w:ind w:left="1021"/>
    </w:pPr>
    <w:rPr>
      <w:color w:val="FF0000"/>
    </w:rPr>
  </w:style>
  <w:style w:type="paragraph" w:customStyle="1" w:styleId="3225">
    <w:name w:val="编号(1)"/>
    <w:basedOn w:val="1"/>
    <w:qFormat/>
    <w:uiPriority w:val="0"/>
    <w:pPr>
      <w:widowControl w:val="0"/>
      <w:tabs>
        <w:tab w:val="left" w:pos="547"/>
        <w:tab w:val="left" w:pos="907"/>
        <w:tab w:val="left" w:pos="1080"/>
      </w:tabs>
      <w:spacing w:line="480" w:lineRule="atLeast"/>
      <w:ind w:firstLine="547"/>
      <w:jc w:val="both"/>
    </w:pPr>
    <w:rPr>
      <w:rFonts w:ascii="Times New Roman" w:hAnsi="Times New Roman" w:cs="Times New Roman"/>
      <w:kern w:val="2"/>
      <w:sz w:val="28"/>
    </w:rPr>
  </w:style>
  <w:style w:type="paragraph" w:customStyle="1" w:styleId="3226">
    <w:name w:val="样式 正文文字 + 首行缩进:  2 字符"/>
    <w:basedOn w:val="34"/>
    <w:qFormat/>
    <w:uiPriority w:val="0"/>
    <w:pPr>
      <w:widowControl w:val="0"/>
      <w:snapToGrid/>
      <w:spacing w:before="0" w:after="0" w:line="240" w:lineRule="auto"/>
      <w:ind w:right="0" w:firstLine="560" w:firstLineChars="200"/>
      <w:jc w:val="both"/>
    </w:pPr>
    <w:rPr>
      <w:kern w:val="2"/>
      <w:sz w:val="28"/>
    </w:rPr>
  </w:style>
  <w:style w:type="paragraph" w:customStyle="1" w:styleId="3227">
    <w:name w:val="b-b3"/>
    <w:basedOn w:val="5"/>
    <w:next w:val="1"/>
    <w:qFormat/>
    <w:uiPriority w:val="0"/>
    <w:pPr>
      <w:keepNext w:val="0"/>
      <w:keepLines w:val="0"/>
      <w:widowControl w:val="0"/>
      <w:tabs>
        <w:tab w:val="left" w:pos="360"/>
        <w:tab w:val="left" w:pos="737"/>
      </w:tabs>
      <w:snapToGrid w:val="0"/>
      <w:spacing w:before="0" w:beforeLines="100" w:after="0" w:afterLines="50" w:line="240" w:lineRule="auto"/>
      <w:ind w:firstLine="980" w:firstLineChars="200"/>
      <w:jc w:val="both"/>
      <w:outlineLvl w:val="9"/>
    </w:pPr>
    <w:rPr>
      <w:rFonts w:eastAsia="仿宋_GB2312" w:cs="Times New Roman"/>
      <w:b w:val="0"/>
      <w:kern w:val="2"/>
      <w:szCs w:val="20"/>
    </w:rPr>
  </w:style>
  <w:style w:type="paragraph" w:customStyle="1" w:styleId="3228">
    <w:name w:val="正文 lsp"/>
    <w:basedOn w:val="1"/>
    <w:qFormat/>
    <w:uiPriority w:val="0"/>
    <w:pPr>
      <w:widowControl w:val="0"/>
      <w:ind w:firstLine="480" w:firstLineChars="200"/>
      <w:jc w:val="both"/>
    </w:pPr>
    <w:rPr>
      <w:rFonts w:hAnsi="Times New Roman" w:cs="Times New Roman"/>
      <w:kern w:val="2"/>
      <w:sz w:val="21"/>
    </w:rPr>
  </w:style>
  <w:style w:type="paragraph" w:customStyle="1" w:styleId="3229">
    <w:name w:val="正文首行缩进0.85"/>
    <w:basedOn w:val="1"/>
    <w:qFormat/>
    <w:uiPriority w:val="0"/>
    <w:pPr>
      <w:widowControl w:val="0"/>
      <w:tabs>
        <w:tab w:val="left" w:pos="900"/>
      </w:tabs>
      <w:ind w:firstLine="480" w:firstLineChars="200"/>
      <w:jc w:val="both"/>
    </w:pPr>
    <w:rPr>
      <w:rFonts w:ascii="Times New Roman" w:hAnsi="Times New Roman" w:cs="Times New Roman"/>
      <w:color w:val="000000"/>
      <w:kern w:val="2"/>
      <w:sz w:val="21"/>
      <w:lang w:val="zh-CN"/>
    </w:rPr>
  </w:style>
  <w:style w:type="paragraph" w:customStyle="1" w:styleId="3230">
    <w:name w:val="样式89"/>
    <w:basedOn w:val="1"/>
    <w:qFormat/>
    <w:uiPriority w:val="0"/>
    <w:pPr>
      <w:widowControl w:val="0"/>
      <w:adjustRightInd w:val="0"/>
      <w:spacing w:before="214"/>
      <w:jc w:val="center"/>
    </w:pPr>
    <w:rPr>
      <w:rFonts w:ascii="黑体" w:eastAsia="黑体" w:cs="Times New Roman"/>
      <w:b/>
      <w:bCs/>
      <w:color w:val="000000"/>
      <w:sz w:val="20"/>
      <w:szCs w:val="21"/>
      <w:lang w:val="zh-CN"/>
    </w:rPr>
  </w:style>
  <w:style w:type="paragraph" w:customStyle="1" w:styleId="3231">
    <w:name w:val="样式 表格文字居中 Char + 自动设置"/>
    <w:qFormat/>
    <w:uiPriority w:val="0"/>
    <w:pPr>
      <w:tabs>
        <w:tab w:val="left" w:pos="628"/>
        <w:tab w:val="left" w:pos="1727"/>
        <w:tab w:val="left" w:pos="1884"/>
        <w:tab w:val="left" w:pos="2660"/>
        <w:tab w:val="left" w:pos="5460"/>
      </w:tabs>
    </w:pPr>
    <w:rPr>
      <w:rFonts w:ascii="Times New Roman" w:hAnsi="Times New Roman" w:eastAsia="宋体" w:cs="Times New Roman"/>
      <w:color w:val="000000"/>
      <w:lang w:val="en-US" w:eastAsia="zh-CN" w:bidi="ar-SA"/>
    </w:rPr>
  </w:style>
  <w:style w:type="paragraph" w:customStyle="1" w:styleId="3232">
    <w:name w:val="3标题(治)"/>
    <w:basedOn w:val="5"/>
    <w:qFormat/>
    <w:uiPriority w:val="0"/>
    <w:pPr>
      <w:keepNext w:val="0"/>
      <w:keepLines w:val="0"/>
      <w:widowControl w:val="0"/>
      <w:tabs>
        <w:tab w:val="left" w:pos="360"/>
        <w:tab w:val="left" w:pos="720"/>
        <w:tab w:val="left" w:pos="840"/>
      </w:tabs>
      <w:snapToGrid w:val="0"/>
      <w:spacing w:before="0" w:beforeLines="100" w:after="0" w:afterLines="50" w:line="240" w:lineRule="auto"/>
      <w:ind w:firstLine="980" w:firstLineChars="200"/>
      <w:jc w:val="both"/>
    </w:pPr>
    <w:rPr>
      <w:rFonts w:ascii="Times New Roman" w:hAnsi="Times New Roman" w:eastAsia="仿宋_GB2312" w:cs="Times New Roman"/>
      <w:b w:val="0"/>
      <w:bCs w:val="0"/>
      <w:kern w:val="2"/>
      <w:szCs w:val="24"/>
    </w:rPr>
  </w:style>
  <w:style w:type="paragraph" w:customStyle="1" w:styleId="3233">
    <w:name w:val="样式 标题 1 + 浅蓝 首行缩进:  0 厘米"/>
    <w:basedOn w:val="3"/>
    <w:qFormat/>
    <w:uiPriority w:val="0"/>
    <w:pPr>
      <w:keepNext w:val="0"/>
      <w:keepLines/>
      <w:tabs>
        <w:tab w:val="left" w:pos="567"/>
        <w:tab w:val="left" w:pos="4614"/>
      </w:tabs>
      <w:overflowPunct/>
      <w:adjustRightInd w:val="0"/>
      <w:spacing w:before="156" w:after="156" w:line="576" w:lineRule="auto"/>
      <w:ind w:left="0" w:firstLine="0"/>
      <w:jc w:val="center"/>
    </w:pPr>
    <w:rPr>
      <w:rFonts w:hint="eastAsia" w:ascii="Times New Roman" w:hAnsi="Times New Roman" w:eastAsia="宋体" w:cs="仿宋_GB2312"/>
      <w:color w:val="auto"/>
      <w:sz w:val="32"/>
      <w:szCs w:val="36"/>
    </w:rPr>
  </w:style>
  <w:style w:type="paragraph" w:customStyle="1" w:styleId="3234">
    <w:name w:val="真宗兴表格标题"/>
    <w:basedOn w:val="1"/>
    <w:qFormat/>
    <w:uiPriority w:val="0"/>
    <w:pPr>
      <w:widowControl w:val="0"/>
      <w:spacing w:before="93" w:line="400" w:lineRule="atLeast"/>
      <w:ind w:firstLine="480" w:firstLineChars="200"/>
      <w:jc w:val="center"/>
    </w:pPr>
    <w:rPr>
      <w:rFonts w:ascii="黑体" w:hAnsi="Times New Roman" w:eastAsia="黑体" w:cs="Times New Roman"/>
      <w:sz w:val="21"/>
      <w:lang w:val="zh-CN"/>
    </w:rPr>
  </w:style>
  <w:style w:type="paragraph" w:customStyle="1" w:styleId="3235">
    <w:name w:val="正文＋黑体"/>
    <w:basedOn w:val="1"/>
    <w:qFormat/>
    <w:uiPriority w:val="0"/>
    <w:pPr>
      <w:widowControl w:val="0"/>
      <w:spacing w:before="156" w:beforeLines="50" w:after="156" w:afterLines="50"/>
      <w:ind w:firstLine="480" w:firstLineChars="200"/>
      <w:jc w:val="both"/>
    </w:pPr>
    <w:rPr>
      <w:rFonts w:ascii="Arial" w:hAnsi="Arial" w:eastAsia="黑体" w:cs="Times New Roman"/>
      <w:kern w:val="2"/>
      <w:sz w:val="21"/>
    </w:rPr>
  </w:style>
  <w:style w:type="paragraph" w:customStyle="1" w:styleId="3236">
    <w:name w:val="样式 标题 1篇标题22 + 小二 黑色"/>
    <w:basedOn w:val="3"/>
    <w:qFormat/>
    <w:uiPriority w:val="0"/>
    <w:pPr>
      <w:keepNext w:val="0"/>
      <w:keepLines/>
      <w:tabs>
        <w:tab w:val="left" w:pos="567"/>
        <w:tab w:val="left" w:pos="4614"/>
      </w:tabs>
      <w:overflowPunct/>
      <w:adjustRightInd w:val="0"/>
      <w:spacing w:before="156" w:after="156" w:line="576" w:lineRule="auto"/>
      <w:ind w:left="0" w:firstLine="0"/>
      <w:jc w:val="center"/>
    </w:pPr>
    <w:rPr>
      <w:rFonts w:ascii="Times New Roman" w:hAnsi="Times New Roman" w:cs="仿宋_GB2312"/>
      <w:bCs w:val="0"/>
      <w:szCs w:val="44"/>
    </w:rPr>
  </w:style>
  <w:style w:type="paragraph" w:customStyle="1" w:styleId="3237">
    <w:name w:val="c_"/>
    <w:qFormat/>
    <w:uiPriority w:val="0"/>
    <w:pPr>
      <w:widowControl w:val="0"/>
      <w:autoSpaceDE w:val="0"/>
      <w:autoSpaceDN w:val="0"/>
      <w:adjustRightInd w:val="0"/>
      <w:jc w:val="both"/>
    </w:pPr>
    <w:rPr>
      <w:rFonts w:ascii="五" w:hAnsi="Times New Roman" w:eastAsia="五" w:cs="Times New Roman"/>
      <w:sz w:val="24"/>
      <w:lang w:val="en-US" w:eastAsia="zh-CN" w:bidi="ar-SA"/>
    </w:rPr>
  </w:style>
  <w:style w:type="paragraph" w:customStyle="1" w:styleId="3238">
    <w:name w:val="宗兴3"/>
    <w:basedOn w:val="5"/>
    <w:qFormat/>
    <w:uiPriority w:val="0"/>
    <w:pPr>
      <w:keepNext w:val="0"/>
      <w:keepLines w:val="0"/>
      <w:widowControl w:val="0"/>
      <w:tabs>
        <w:tab w:val="left" w:pos="360"/>
        <w:tab w:val="left" w:pos="720"/>
      </w:tabs>
      <w:snapToGrid w:val="0"/>
      <w:spacing w:before="0" w:beforeLines="100" w:after="120" w:afterLines="50" w:line="400" w:lineRule="exact"/>
      <w:ind w:firstLine="980" w:firstLineChars="200"/>
      <w:jc w:val="both"/>
    </w:pPr>
    <w:rPr>
      <w:rFonts w:ascii="Times New Roman" w:hAnsi="Times New Roman" w:cs="Times New Roman"/>
      <w:b w:val="0"/>
      <w:kern w:val="2"/>
    </w:rPr>
  </w:style>
  <w:style w:type="paragraph" w:customStyle="1" w:styleId="3239">
    <w:name w:val="样式 报告 + 首行缩进:  2 字符 段前: 3 磅 段后: 3 磅"/>
    <w:basedOn w:val="1"/>
    <w:qFormat/>
    <w:uiPriority w:val="0"/>
    <w:pPr>
      <w:widowControl w:val="0"/>
      <w:overflowPunct w:val="0"/>
      <w:autoSpaceDE w:val="0"/>
      <w:autoSpaceDN w:val="0"/>
      <w:adjustRightInd w:val="0"/>
      <w:spacing w:before="60" w:after="60" w:line="400" w:lineRule="atLeast"/>
      <w:ind w:firstLine="480" w:firstLineChars="200"/>
      <w:jc w:val="both"/>
    </w:pPr>
    <w:rPr>
      <w:rFonts w:ascii="Times New Roman" w:hAnsi="Times New Roman"/>
      <w:sz w:val="21"/>
    </w:rPr>
  </w:style>
  <w:style w:type="paragraph" w:customStyle="1" w:styleId="3240">
    <w:name w:val="p14_l"/>
    <w:basedOn w:val="1"/>
    <w:qFormat/>
    <w:uiPriority w:val="0"/>
    <w:pPr>
      <w:widowControl w:val="0"/>
      <w:spacing w:before="100" w:beforeAutospacing="1" w:after="100" w:afterAutospacing="1"/>
      <w:jc w:val="both"/>
    </w:pPr>
    <w:rPr>
      <w:rFonts w:ascii="Times New Roman" w:hAnsi="Times New Roman" w:cs="Times New Roman"/>
      <w:color w:val="484848"/>
      <w:kern w:val="2"/>
      <w:sz w:val="23"/>
      <w:szCs w:val="23"/>
    </w:rPr>
  </w:style>
  <w:style w:type="paragraph" w:customStyle="1" w:styleId="3241">
    <w:name w:val="标题后正文"/>
    <w:basedOn w:val="1"/>
    <w:qFormat/>
    <w:uiPriority w:val="0"/>
    <w:pPr>
      <w:widowControl w:val="0"/>
      <w:adjustRightInd w:val="0"/>
      <w:ind w:firstLine="200" w:firstLineChars="200"/>
      <w:jc w:val="both"/>
      <w:textAlignment w:val="baseline"/>
    </w:pPr>
    <w:rPr>
      <w:rFonts w:ascii="Arial" w:hAnsi="Arial" w:cs="Times New Roman"/>
      <w:snapToGrid w:val="0"/>
      <w:kern w:val="28"/>
      <w:sz w:val="21"/>
      <w:szCs w:val="20"/>
    </w:rPr>
  </w:style>
  <w:style w:type="paragraph" w:customStyle="1" w:styleId="3242">
    <w:name w:val="正文部分"/>
    <w:basedOn w:val="34"/>
    <w:qFormat/>
    <w:uiPriority w:val="0"/>
    <w:pPr>
      <w:widowControl w:val="0"/>
      <w:adjustRightInd w:val="0"/>
      <w:spacing w:before="0" w:after="0" w:line="460" w:lineRule="exact"/>
      <w:ind w:right="0" w:firstLine="200" w:firstLineChars="200"/>
      <w:jc w:val="both"/>
      <w:textAlignment w:val="baseline"/>
    </w:pPr>
    <w:rPr>
      <w:kern w:val="24"/>
      <w:sz w:val="21"/>
      <w:szCs w:val="24"/>
    </w:rPr>
  </w:style>
  <w:style w:type="paragraph" w:customStyle="1" w:styleId="3243">
    <w:name w:val="_Style 22"/>
    <w:basedOn w:val="1"/>
    <w:qFormat/>
    <w:uiPriority w:val="0"/>
    <w:pPr>
      <w:widowControl w:val="0"/>
      <w:jc w:val="both"/>
    </w:pPr>
    <w:rPr>
      <w:rFonts w:ascii="Times New Roman" w:hAnsi="Times New Roman" w:cs="Times New Roman"/>
      <w:kern w:val="2"/>
      <w:sz w:val="21"/>
    </w:rPr>
  </w:style>
  <w:style w:type="paragraph" w:customStyle="1" w:styleId="3244">
    <w:name w:val="中大4级2"/>
    <w:basedOn w:val="1631"/>
    <w:qFormat/>
    <w:uiPriority w:val="0"/>
    <w:pPr>
      <w:keepNext w:val="0"/>
      <w:keepLines w:val="0"/>
      <w:spacing w:beforeLines="0" w:afterLines="0" w:line="240" w:lineRule="auto"/>
      <w:outlineLvl w:val="3"/>
    </w:pPr>
    <w:rPr>
      <w:rFonts w:eastAsia="仿宋_GB2312"/>
      <w:bCs/>
      <w:sz w:val="24"/>
      <w:szCs w:val="24"/>
    </w:rPr>
  </w:style>
  <w:style w:type="paragraph" w:customStyle="1" w:styleId="3245">
    <w:name w:val="样式0表换行"/>
    <w:basedOn w:val="1"/>
    <w:qFormat/>
    <w:uiPriority w:val="0"/>
    <w:pPr>
      <w:widowControl w:val="0"/>
      <w:spacing w:line="300" w:lineRule="auto"/>
      <w:jc w:val="center"/>
    </w:pPr>
    <w:rPr>
      <w:rFonts w:ascii="Times New Roman" w:hAnsi="Times New Roman" w:cs="Times New Roman"/>
      <w:kern w:val="2"/>
      <w:sz w:val="21"/>
      <w:szCs w:val="20"/>
    </w:rPr>
  </w:style>
  <w:style w:type="paragraph" w:customStyle="1" w:styleId="3246">
    <w:name w:val="热电厂正文"/>
    <w:basedOn w:val="1"/>
    <w:qFormat/>
    <w:uiPriority w:val="0"/>
    <w:pPr>
      <w:widowControl w:val="0"/>
      <w:spacing w:line="440" w:lineRule="exact"/>
      <w:ind w:firstLine="480" w:firstLineChars="200"/>
      <w:jc w:val="both"/>
    </w:pPr>
    <w:rPr>
      <w:rFonts w:ascii="Times New Roman" w:hAnsi="Times New Roman" w:cs="Times New Roman"/>
      <w:kern w:val="2"/>
      <w:sz w:val="21"/>
    </w:rPr>
  </w:style>
  <w:style w:type="paragraph" w:customStyle="1" w:styleId="3247">
    <w:name w:val="列出段落2"/>
    <w:basedOn w:val="1"/>
    <w:qFormat/>
    <w:uiPriority w:val="0"/>
    <w:pPr>
      <w:widowControl w:val="0"/>
      <w:ind w:firstLine="420"/>
      <w:jc w:val="both"/>
    </w:pPr>
    <w:rPr>
      <w:rFonts w:ascii="Times New Roman" w:hAnsi="Times New Roman" w:cs="Times New Roman"/>
      <w:kern w:val="2"/>
      <w:sz w:val="21"/>
    </w:rPr>
  </w:style>
  <w:style w:type="paragraph" w:customStyle="1" w:styleId="3248">
    <w:name w:val="樣式3"/>
    <w:basedOn w:val="1"/>
    <w:qFormat/>
    <w:uiPriority w:val="0"/>
    <w:pPr>
      <w:widowControl w:val="0"/>
      <w:adjustRightInd w:val="0"/>
      <w:snapToGrid w:val="0"/>
      <w:ind w:left="-96"/>
      <w:jc w:val="center"/>
    </w:pPr>
    <w:rPr>
      <w:rFonts w:cs="Times New Roman"/>
      <w:color w:val="000000"/>
      <w:kern w:val="2"/>
      <w:sz w:val="21"/>
      <w:szCs w:val="21"/>
    </w:rPr>
  </w:style>
  <w:style w:type="paragraph" w:customStyle="1" w:styleId="3249">
    <w:name w:val="样式 样式 标题 3 + 黑体 四号 段前: 0 磅 段后: 0 磅 行距: 1.5 倍行距 + 段前: 0.5 行"/>
    <w:basedOn w:val="1"/>
    <w:qFormat/>
    <w:uiPriority w:val="0"/>
    <w:pPr>
      <w:keepNext/>
      <w:keepLines/>
      <w:widowControl w:val="0"/>
      <w:spacing w:before="156" w:beforeLines="50"/>
      <w:jc w:val="both"/>
      <w:outlineLvl w:val="2"/>
    </w:pPr>
    <w:rPr>
      <w:rFonts w:ascii="黑体" w:hAnsi="Times New Roman" w:eastAsia="黑体"/>
      <w:b/>
      <w:bCs/>
      <w:sz w:val="21"/>
      <w:szCs w:val="20"/>
      <w:lang w:val="zh-CN"/>
    </w:rPr>
  </w:style>
  <w:style w:type="paragraph" w:customStyle="1" w:styleId="3250">
    <w:name w:val="ysh标1"/>
    <w:basedOn w:val="1"/>
    <w:qFormat/>
    <w:uiPriority w:val="0"/>
    <w:pPr>
      <w:widowControl w:val="0"/>
      <w:spacing w:before="312" w:beforeLines="100"/>
      <w:ind w:firstLine="200" w:firstLineChars="200"/>
      <w:jc w:val="center"/>
    </w:pPr>
    <w:rPr>
      <w:rFonts w:cs="Times New Roman"/>
      <w:b/>
      <w:kern w:val="2"/>
      <w:sz w:val="44"/>
      <w:szCs w:val="32"/>
    </w:rPr>
  </w:style>
  <w:style w:type="paragraph" w:customStyle="1" w:styleId="3251">
    <w:name w:val="调研内容"/>
    <w:basedOn w:val="1"/>
    <w:qFormat/>
    <w:uiPriority w:val="0"/>
    <w:pPr>
      <w:widowControl w:val="0"/>
      <w:jc w:val="both"/>
    </w:pPr>
    <w:rPr>
      <w:rFonts w:ascii="Times New Roman" w:hAnsi="Times New Roman" w:cs="Times New Roman"/>
      <w:kern w:val="2"/>
      <w:sz w:val="21"/>
      <w:szCs w:val="20"/>
    </w:rPr>
  </w:style>
  <w:style w:type="paragraph" w:customStyle="1" w:styleId="3252">
    <w:name w:val="_Style 90"/>
    <w:basedOn w:val="1"/>
    <w:next w:val="76"/>
    <w:qFormat/>
    <w:uiPriority w:val="0"/>
    <w:pPr>
      <w:widowControl w:val="0"/>
      <w:ind w:firstLine="480" w:firstLineChars="200"/>
      <w:jc w:val="both"/>
    </w:pPr>
    <w:rPr>
      <w:rFonts w:hint="eastAsia" w:ascii="Times New Roman" w:hAnsi="Times New Roman" w:cs="Times New Roman"/>
      <w:kern w:val="2"/>
      <w:sz w:val="21"/>
      <w:szCs w:val="20"/>
    </w:rPr>
  </w:style>
  <w:style w:type="paragraph" w:customStyle="1" w:styleId="3253">
    <w:name w:val="Char Char Char1 Char Char Char Char Char Char Char Char Char Char Char Char Char Char Char Char1"/>
    <w:basedOn w:val="1"/>
    <w:qFormat/>
    <w:uiPriority w:val="0"/>
    <w:pPr>
      <w:widowControl w:val="0"/>
      <w:spacing w:line="360" w:lineRule="auto"/>
      <w:ind w:firstLine="200" w:firstLineChars="200"/>
      <w:jc w:val="both"/>
    </w:pPr>
    <w:rPr>
      <w:kern w:val="2"/>
    </w:rPr>
  </w:style>
  <w:style w:type="paragraph" w:customStyle="1" w:styleId="3254">
    <w:name w:val="项目"/>
    <w:basedOn w:val="1"/>
    <w:qFormat/>
    <w:uiPriority w:val="0"/>
    <w:pPr>
      <w:widowControl w:val="0"/>
      <w:adjustRightInd w:val="0"/>
      <w:spacing w:before="60" w:line="320" w:lineRule="atLeast"/>
      <w:ind w:left="400" w:leftChars="400"/>
      <w:jc w:val="both"/>
    </w:pPr>
    <w:rPr>
      <w:rFonts w:ascii="Times New Roman" w:hAnsi="Times New Roman" w:cs="Times New Roman"/>
      <w:sz w:val="21"/>
      <w:szCs w:val="20"/>
    </w:rPr>
  </w:style>
  <w:style w:type="paragraph" w:customStyle="1" w:styleId="3255">
    <w:name w:val="标准文本 居中 单倍行距 Char"/>
    <w:basedOn w:val="1"/>
    <w:qFormat/>
    <w:uiPriority w:val="0"/>
    <w:pPr>
      <w:widowControl w:val="0"/>
      <w:adjustRightInd w:val="0"/>
      <w:snapToGrid w:val="0"/>
      <w:spacing w:line="480" w:lineRule="exact"/>
      <w:jc w:val="center"/>
    </w:pPr>
    <w:rPr>
      <w:color w:val="000000"/>
      <w:kern w:val="2"/>
      <w:sz w:val="21"/>
    </w:rPr>
  </w:style>
  <w:style w:type="paragraph" w:customStyle="1" w:styleId="3256">
    <w:name w:val="样式 样式 (符号) 宋体 二号 加粗 黑色 居中 行距: 1.5 倍行距 + 加粗1"/>
    <w:basedOn w:val="3257"/>
    <w:qFormat/>
    <w:uiPriority w:val="0"/>
    <w:rPr>
      <w:b w:val="0"/>
      <w:bCs w:val="0"/>
    </w:rPr>
  </w:style>
  <w:style w:type="paragraph" w:customStyle="1" w:styleId="3257">
    <w:name w:val="样式 (符号) 宋体 二号 加粗 黑色 居中 行距: 1.5 倍行距"/>
    <w:basedOn w:val="84"/>
    <w:qFormat/>
    <w:uiPriority w:val="0"/>
    <w:pPr>
      <w:adjustRightInd w:val="0"/>
      <w:snapToGrid w:val="0"/>
      <w:ind w:firstLine="480" w:firstLineChars="200"/>
    </w:pPr>
    <w:rPr>
      <w:rFonts w:ascii="Times New Roman" w:hAnsi="宋体"/>
      <w:kern w:val="2"/>
      <w:sz w:val="44"/>
      <w:szCs w:val="24"/>
      <w:shd w:val="clear" w:color="auto" w:fill="000080"/>
    </w:rPr>
  </w:style>
  <w:style w:type="paragraph" w:customStyle="1" w:styleId="3258">
    <w:name w:val="正文文本缩进 216"/>
    <w:basedOn w:val="1"/>
    <w:qFormat/>
    <w:uiPriority w:val="0"/>
    <w:pPr>
      <w:widowControl w:val="0"/>
      <w:adjustRightInd w:val="0"/>
      <w:spacing w:after="120" w:line="400" w:lineRule="exact"/>
      <w:ind w:firstLine="525" w:firstLineChars="200"/>
      <w:jc w:val="both"/>
    </w:pPr>
    <w:rPr>
      <w:rFonts w:hAnsi="Times New Roman" w:cs="Times New Roman"/>
      <w:spacing w:val="16"/>
      <w:kern w:val="2"/>
      <w:sz w:val="21"/>
      <w:szCs w:val="20"/>
    </w:rPr>
  </w:style>
  <w:style w:type="paragraph" w:customStyle="1" w:styleId="3259">
    <w:name w:val="批注框文本11"/>
    <w:basedOn w:val="1"/>
    <w:qFormat/>
    <w:uiPriority w:val="0"/>
    <w:pPr>
      <w:widowControl w:val="0"/>
      <w:jc w:val="both"/>
    </w:pPr>
    <w:rPr>
      <w:rFonts w:ascii="Times New Roman" w:hAnsi="Times New Roman" w:cs="Times New Roman"/>
      <w:kern w:val="2"/>
      <w:sz w:val="18"/>
      <w:szCs w:val="18"/>
    </w:rPr>
  </w:style>
  <w:style w:type="paragraph" w:customStyle="1" w:styleId="3260">
    <w:name w:val="样式 标题 1 + 加粗 首行缩进:  0 厘米"/>
    <w:basedOn w:val="3"/>
    <w:qFormat/>
    <w:uiPriority w:val="0"/>
    <w:pPr>
      <w:keepNext w:val="0"/>
      <w:keepLines/>
      <w:tabs>
        <w:tab w:val="left" w:pos="567"/>
        <w:tab w:val="left" w:pos="4614"/>
      </w:tabs>
      <w:overflowPunct/>
      <w:adjustRightInd w:val="0"/>
      <w:spacing w:before="240" w:after="360" w:line="240" w:lineRule="auto"/>
      <w:ind w:left="0" w:firstLine="0"/>
      <w:jc w:val="center"/>
    </w:pPr>
    <w:rPr>
      <w:rFonts w:hint="eastAsia" w:ascii="Times New Roman" w:hAnsi="Times New Roman" w:eastAsia="宋体" w:cs="仿宋_GB2312"/>
      <w:color w:val="auto"/>
      <w:sz w:val="32"/>
      <w:szCs w:val="36"/>
    </w:rPr>
  </w:style>
  <w:style w:type="paragraph" w:customStyle="1" w:styleId="3261">
    <w:name w:val="正文1 加粗"/>
    <w:basedOn w:val="1"/>
    <w:qFormat/>
    <w:uiPriority w:val="0"/>
    <w:pPr>
      <w:widowControl w:val="0"/>
      <w:snapToGrid w:val="0"/>
      <w:spacing w:before="93"/>
      <w:ind w:firstLine="482" w:firstLineChars="200"/>
      <w:jc w:val="both"/>
    </w:pPr>
    <w:rPr>
      <w:rFonts w:ascii="Times New Roman" w:hAnsi="Times New Roman" w:cs="Times New Roman"/>
      <w:b/>
      <w:sz w:val="21"/>
      <w:szCs w:val="28"/>
      <w:lang w:val="zh-CN"/>
    </w:rPr>
  </w:style>
  <w:style w:type="paragraph" w:customStyle="1" w:styleId="3262">
    <w:name w:val="byline"/>
    <w:basedOn w:val="1"/>
    <w:qFormat/>
    <w:uiPriority w:val="0"/>
    <w:pPr>
      <w:widowControl w:val="0"/>
      <w:adjustRightInd w:val="0"/>
      <w:snapToGrid w:val="0"/>
      <w:spacing w:before="100" w:beforeAutospacing="1" w:after="100" w:afterAutospacing="1" w:line="300" w:lineRule="auto"/>
      <w:jc w:val="both"/>
    </w:pPr>
    <w:rPr>
      <w:rFonts w:ascii="Verdana" w:hAnsi="Verdana" w:cs="Times New Roman"/>
      <w:i/>
      <w:iCs/>
      <w:snapToGrid w:val="0"/>
      <w:color w:val="000000"/>
      <w:sz w:val="21"/>
      <w:szCs w:val="18"/>
    </w:rPr>
  </w:style>
  <w:style w:type="paragraph" w:customStyle="1" w:styleId="3263">
    <w:name w:val="样式 样式 样式 样式 样式 (西文) 仿宋_GB2312 (中文) 仿宋_GB2312 加粗 段前: 0.5 行 段后: 6 ..."/>
    <w:basedOn w:val="3133"/>
    <w:qFormat/>
    <w:uiPriority w:val="0"/>
  </w:style>
  <w:style w:type="paragraph" w:customStyle="1" w:styleId="3264">
    <w:name w:val="dir"/>
    <w:basedOn w:val="1"/>
    <w:qFormat/>
    <w:uiPriority w:val="0"/>
    <w:pPr>
      <w:widowControl w:val="0"/>
      <w:spacing w:before="100" w:beforeAutospacing="1" w:after="100" w:afterAutospacing="1"/>
      <w:jc w:val="both"/>
    </w:pPr>
    <w:rPr>
      <w:rFonts w:hint="eastAsia" w:cs="Times New Roman"/>
      <w:b/>
      <w:bCs/>
      <w:sz w:val="22"/>
      <w:szCs w:val="22"/>
    </w:rPr>
  </w:style>
  <w:style w:type="paragraph" w:customStyle="1" w:styleId="3265">
    <w:name w:val="样式 标题 2H2Heading 2 HiddenHeading 2 CCBSHD2节2nd levelh22...1"/>
    <w:basedOn w:val="1"/>
    <w:next w:val="34"/>
    <w:qFormat/>
    <w:uiPriority w:val="0"/>
    <w:pPr>
      <w:widowControl w:val="0"/>
      <w:adjustRightInd w:val="0"/>
      <w:spacing w:line="480" w:lineRule="exact"/>
      <w:jc w:val="both"/>
      <w:textAlignment w:val="baseline"/>
    </w:pPr>
    <w:rPr>
      <w:rFonts w:ascii="Times New Roman" w:hAnsi="Times New Roman"/>
      <w:sz w:val="28"/>
      <w:szCs w:val="20"/>
    </w:rPr>
  </w:style>
  <w:style w:type="paragraph" w:customStyle="1" w:styleId="3266">
    <w:name w:val="环小四1.1（二级）"/>
    <w:qFormat/>
    <w:uiPriority w:val="0"/>
    <w:pPr>
      <w:widowControl w:val="0"/>
      <w:outlineLvl w:val="1"/>
    </w:pPr>
    <w:rPr>
      <w:rFonts w:ascii="宋体" w:hAnsi="宋体" w:eastAsia="宋体" w:cs="Times New Roman"/>
      <w:b/>
      <w:bCs/>
      <w:sz w:val="24"/>
      <w:szCs w:val="24"/>
      <w:lang w:val="zh-CN" w:eastAsia="zh-CN" w:bidi="ar-SA"/>
    </w:rPr>
  </w:style>
  <w:style w:type="paragraph" w:customStyle="1" w:styleId="3267">
    <w:name w:val="普通(网站)12"/>
    <w:basedOn w:val="1"/>
    <w:qFormat/>
    <w:uiPriority w:val="0"/>
    <w:pPr>
      <w:widowControl w:val="0"/>
      <w:spacing w:before="100" w:beforeAutospacing="1" w:after="100" w:afterAutospacing="1"/>
      <w:ind w:firstLine="200" w:firstLineChars="200"/>
      <w:jc w:val="both"/>
    </w:pPr>
    <w:rPr>
      <w:rFonts w:cs="Times New Roman"/>
      <w:sz w:val="21"/>
    </w:rPr>
  </w:style>
  <w:style w:type="paragraph" w:customStyle="1" w:styleId="3268">
    <w:name w:val="样式 样式 标题 2 + 段前: 0.5 行"/>
    <w:basedOn w:val="1"/>
    <w:qFormat/>
    <w:uiPriority w:val="0"/>
    <w:pPr>
      <w:keepNext/>
      <w:keepLines/>
      <w:widowControl w:val="0"/>
      <w:spacing w:before="156" w:beforeLines="50"/>
      <w:jc w:val="both"/>
      <w:outlineLvl w:val="1"/>
    </w:pPr>
    <w:rPr>
      <w:rFonts w:ascii="Arial" w:hAnsi="Arial" w:eastAsia="仿宋_GB2312"/>
      <w:bCs/>
      <w:spacing w:val="20"/>
      <w:kern w:val="2"/>
      <w:sz w:val="28"/>
      <w:szCs w:val="20"/>
    </w:rPr>
  </w:style>
  <w:style w:type="paragraph" w:customStyle="1" w:styleId="3269">
    <w:name w:val="（1）"/>
    <w:basedOn w:val="1"/>
    <w:qFormat/>
    <w:uiPriority w:val="0"/>
    <w:pPr>
      <w:widowControl w:val="0"/>
      <w:jc w:val="both"/>
    </w:pPr>
    <w:rPr>
      <w:rFonts w:ascii="仿宋_GB2312" w:eastAsia="仿宋_GB2312" w:cs="Times New Roman"/>
      <w:bCs/>
      <w:sz w:val="28"/>
      <w:szCs w:val="28"/>
    </w:rPr>
  </w:style>
  <w:style w:type="paragraph" w:customStyle="1" w:styleId="3270">
    <w:name w:val="样式 样式7 + 小四"/>
    <w:basedOn w:val="436"/>
    <w:qFormat/>
    <w:uiPriority w:val="0"/>
    <w:pPr>
      <w:keepNext/>
      <w:keepLines/>
      <w:widowControl/>
      <w:adjustRightInd w:val="0"/>
      <w:snapToGrid w:val="0"/>
      <w:spacing w:before="260" w:after="260" w:line="480" w:lineRule="exact"/>
      <w:ind w:firstLine="0" w:firstLineChars="0"/>
      <w:jc w:val="left"/>
      <w:textAlignment w:val="baseline"/>
      <w:outlineLvl w:val="2"/>
    </w:pPr>
    <w:rPr>
      <w:rFonts w:hint="eastAsia"/>
      <w:b/>
      <w:color w:val="000000"/>
      <w:sz w:val="21"/>
      <w:szCs w:val="20"/>
    </w:rPr>
  </w:style>
  <w:style w:type="paragraph" w:customStyle="1" w:styleId="3271">
    <w:name w:val="表格群窝里"/>
    <w:basedOn w:val="1"/>
    <w:qFormat/>
    <w:uiPriority w:val="0"/>
    <w:pPr>
      <w:widowControl w:val="0"/>
      <w:adjustRightInd w:val="0"/>
      <w:jc w:val="center"/>
    </w:pPr>
    <w:rPr>
      <w:rFonts w:ascii="Times New Roman" w:cs="Times New Roman"/>
      <w:sz w:val="21"/>
      <w:szCs w:val="21"/>
    </w:rPr>
  </w:style>
  <w:style w:type="paragraph" w:customStyle="1" w:styleId="3272">
    <w:name w:val="Char5"/>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8"/>
    </w:rPr>
  </w:style>
  <w:style w:type="paragraph" w:customStyle="1" w:styleId="3273">
    <w:name w:val="Char Char3 Char Char"/>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274">
    <w:name w:val="Char1 Char Char2 Char Char Char Char Char Char Char Char Char Char Char Char Char Char Char Char Char Char Char Char Char1"/>
    <w:basedOn w:val="1"/>
    <w:qFormat/>
    <w:uiPriority w:val="0"/>
    <w:pPr>
      <w:widowControl w:val="0"/>
      <w:spacing w:after="160" w:line="240" w:lineRule="exact"/>
      <w:jc w:val="both"/>
    </w:pPr>
    <w:rPr>
      <w:rFonts w:ascii="Verdana" w:hAnsi="Verdana" w:eastAsia="仿宋_GB2312" w:cs="Times New Roman"/>
      <w:sz w:val="30"/>
      <w:szCs w:val="30"/>
      <w:lang w:eastAsia="en-US"/>
    </w:rPr>
  </w:style>
  <w:style w:type="paragraph" w:customStyle="1" w:styleId="3275">
    <w:name w:val="样式 表格内容自定 + 右"/>
    <w:basedOn w:val="3276"/>
    <w:qFormat/>
    <w:uiPriority w:val="0"/>
    <w:pPr>
      <w:spacing w:line="240" w:lineRule="exact"/>
      <w:jc w:val="right"/>
    </w:pPr>
    <w:rPr>
      <w:rFonts w:cs="宋体"/>
      <w:szCs w:val="20"/>
    </w:rPr>
  </w:style>
  <w:style w:type="paragraph" w:customStyle="1" w:styleId="3276">
    <w:name w:val="表格内容自定"/>
    <w:basedOn w:val="1"/>
    <w:qFormat/>
    <w:uiPriority w:val="0"/>
    <w:pPr>
      <w:widowControl w:val="0"/>
      <w:spacing w:line="280" w:lineRule="exact"/>
      <w:jc w:val="center"/>
    </w:pPr>
    <w:rPr>
      <w:rFonts w:ascii="Times New Roman" w:hAnsi="Times New Roman" w:cs="Times New Roman"/>
      <w:sz w:val="18"/>
      <w:szCs w:val="21"/>
    </w:rPr>
  </w:style>
  <w:style w:type="paragraph" w:customStyle="1" w:styleId="3277">
    <w:name w:val="样式正文"/>
    <w:basedOn w:val="1"/>
    <w:qFormat/>
    <w:uiPriority w:val="0"/>
    <w:pPr>
      <w:widowControl w:val="0"/>
      <w:spacing w:line="300" w:lineRule="auto"/>
      <w:ind w:firstLine="200" w:firstLineChars="200"/>
      <w:jc w:val="both"/>
    </w:pPr>
    <w:rPr>
      <w:rFonts w:ascii="Times New Roman" w:hAnsi="Times New Roman" w:cs="Times New Roman"/>
      <w:kern w:val="2"/>
      <w:sz w:val="21"/>
    </w:rPr>
  </w:style>
  <w:style w:type="paragraph" w:customStyle="1" w:styleId="3278">
    <w:name w:val="二级标题（宗兴）"/>
    <w:basedOn w:val="4"/>
    <w:qFormat/>
    <w:uiPriority w:val="0"/>
    <w:pPr>
      <w:keepNext w:val="0"/>
      <w:widowControl w:val="0"/>
      <w:numPr>
        <w:ilvl w:val="0"/>
        <w:numId w:val="0"/>
      </w:numPr>
      <w:tabs>
        <w:tab w:val="left" w:pos="0"/>
        <w:tab w:val="left" w:pos="360"/>
        <w:tab w:val="left" w:pos="720"/>
        <w:tab w:val="left" w:pos="8092"/>
      </w:tabs>
      <w:snapToGrid w:val="0"/>
      <w:spacing w:before="440" w:after="440" w:line="400" w:lineRule="exact"/>
      <w:ind w:firstLine="980" w:firstLineChars="200"/>
    </w:pPr>
    <w:rPr>
      <w:rFonts w:cs="Times New Roman"/>
      <w:bCs/>
      <w:color w:val="FF0000"/>
      <w:szCs w:val="32"/>
    </w:rPr>
  </w:style>
  <w:style w:type="paragraph" w:customStyle="1" w:styleId="3279">
    <w:name w:val="样式 标题 3 + 左侧:  0 厘米 悬挂缩进: 7.2 字符 段前: 4.65 磅 段后: 6 磅 行距: 固定值 ..."/>
    <w:basedOn w:val="5"/>
    <w:qFormat/>
    <w:uiPriority w:val="0"/>
    <w:pPr>
      <w:keepNext w:val="0"/>
      <w:keepLines w:val="0"/>
      <w:widowControl w:val="0"/>
      <w:tabs>
        <w:tab w:val="left" w:pos="360"/>
        <w:tab w:val="left" w:pos="720"/>
        <w:tab w:val="left" w:pos="4621"/>
      </w:tabs>
      <w:snapToGrid w:val="0"/>
      <w:spacing w:before="93" w:beforeLines="100" w:after="156" w:afterLines="50" w:line="440" w:lineRule="exact"/>
      <w:ind w:left="720" w:firstLine="980" w:firstLineChars="200"/>
      <w:jc w:val="both"/>
    </w:pPr>
    <w:rPr>
      <w:rFonts w:ascii="Times New Roman" w:hAnsi="Times New Roman" w:eastAsia="仿宋_GB2312" w:cs="Times New Roman"/>
      <w:bCs w:val="0"/>
      <w:kern w:val="2"/>
      <w:sz w:val="26"/>
      <w:szCs w:val="24"/>
    </w:rPr>
  </w:style>
  <w:style w:type="paragraph" w:customStyle="1" w:styleId="3280">
    <w:name w:val="样式 样式3 + 首行缩进:  2 字符"/>
    <w:basedOn w:val="1"/>
    <w:qFormat/>
    <w:uiPriority w:val="0"/>
    <w:pPr>
      <w:widowControl w:val="0"/>
      <w:ind w:firstLine="480"/>
      <w:jc w:val="both"/>
    </w:pPr>
    <w:rPr>
      <w:rFonts w:ascii="Times" w:hAnsi="Times" w:eastAsia="仿宋_GB2312" w:cs="Times New Roman"/>
      <w:kern w:val="2"/>
      <w:sz w:val="21"/>
      <w:szCs w:val="20"/>
    </w:rPr>
  </w:style>
  <w:style w:type="paragraph" w:customStyle="1" w:styleId="3281">
    <w:name w:val="Char Char Char Char Char Char Char Char Char Char Char Char Char1 Char Char Char Char Char Char Char Char Char Char Char Char Char Char Char Char Char Char Char1"/>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282">
    <w:name w:val="条文本"/>
    <w:basedOn w:val="21"/>
    <w:qFormat/>
    <w:uiPriority w:val="0"/>
    <w:pPr>
      <w:adjustRightInd w:val="0"/>
      <w:snapToGrid w:val="0"/>
      <w:spacing w:before="93" w:beforeLines="30" w:after="93" w:afterLines="30"/>
      <w:ind w:left="723" w:leftChars="723"/>
      <w:textAlignment w:val="baseline"/>
    </w:pPr>
    <w:rPr>
      <w:rFonts w:ascii="新宋体" w:hAnsi="Times New Roman" w:eastAsia="新宋体" w:cs="Times New Roman"/>
      <w:w w:val="90"/>
      <w:sz w:val="22"/>
    </w:rPr>
  </w:style>
  <w:style w:type="paragraph" w:customStyle="1" w:styleId="3283">
    <w:name w:val="Char Char Char Char Char Char Char Char Char Char Char Char Char Char Char Char Char Char Char Char Char Char Char Char"/>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284">
    <w:name w:val="表芯"/>
    <w:basedOn w:val="1"/>
    <w:next w:val="1"/>
    <w:qFormat/>
    <w:uiPriority w:val="0"/>
    <w:pPr>
      <w:keepNext/>
      <w:widowControl w:val="0"/>
      <w:adjustRightInd w:val="0"/>
      <w:spacing w:before="20" w:line="0" w:lineRule="atLeast"/>
      <w:jc w:val="center"/>
      <w:textAlignment w:val="baseline"/>
    </w:pPr>
    <w:rPr>
      <w:rFonts w:cs="Times New Roman"/>
      <w:bCs/>
      <w:kern w:val="21"/>
      <w:sz w:val="21"/>
      <w:szCs w:val="20"/>
    </w:rPr>
  </w:style>
  <w:style w:type="paragraph" w:customStyle="1" w:styleId="3285">
    <w:name w:val="样式 黑色 首行缩进:  2 字符3"/>
    <w:basedOn w:val="1"/>
    <w:qFormat/>
    <w:uiPriority w:val="0"/>
    <w:pPr>
      <w:widowControl w:val="0"/>
      <w:spacing w:line="520" w:lineRule="exact"/>
      <w:ind w:firstLine="520" w:firstLineChars="200"/>
      <w:jc w:val="both"/>
    </w:pPr>
    <w:rPr>
      <w:rFonts w:ascii="Times New Roman" w:hAnsi="Times New Roman" w:cs="Times New Roman"/>
      <w:color w:val="000000"/>
      <w:sz w:val="28"/>
      <w:szCs w:val="20"/>
      <w:lang w:val="zh-CN"/>
    </w:rPr>
  </w:style>
  <w:style w:type="paragraph" w:customStyle="1" w:styleId="3286">
    <w:name w:val="环小四1.1.1（三级）"/>
    <w:qFormat/>
    <w:uiPriority w:val="0"/>
    <w:pPr>
      <w:widowControl w:val="0"/>
      <w:outlineLvl w:val="2"/>
    </w:pPr>
    <w:rPr>
      <w:rFonts w:ascii="宋体" w:hAnsi="宋体" w:eastAsia="楷体_GB2312" w:cs="Times New Roman"/>
      <w:b/>
      <w:bCs/>
      <w:color w:val="000000"/>
      <w:kern w:val="24"/>
      <w:sz w:val="24"/>
      <w:szCs w:val="24"/>
      <w:lang w:val="en-US" w:eastAsia="zh-CN" w:bidi="ar-SA"/>
    </w:rPr>
  </w:style>
  <w:style w:type="paragraph" w:customStyle="1" w:styleId="3287">
    <w:name w:val="样式 标题 2 + 四号 行距: 固定值 18 磅"/>
    <w:basedOn w:val="4"/>
    <w:qFormat/>
    <w:uiPriority w:val="0"/>
    <w:pPr>
      <w:keepNext w:val="0"/>
      <w:widowControl w:val="0"/>
      <w:numPr>
        <w:ilvl w:val="0"/>
        <w:numId w:val="0"/>
      </w:numPr>
      <w:tabs>
        <w:tab w:val="left" w:pos="360"/>
        <w:tab w:val="left" w:pos="630"/>
        <w:tab w:val="left" w:pos="720"/>
        <w:tab w:val="left" w:pos="8092"/>
      </w:tabs>
      <w:snapToGrid w:val="0"/>
      <w:spacing w:before="100" w:beforeAutospacing="1" w:after="100" w:afterAutospacing="1" w:line="240" w:lineRule="auto"/>
      <w:ind w:firstLine="980" w:firstLineChars="200"/>
    </w:pPr>
    <w:rPr>
      <w:rFonts w:eastAsia="宋体"/>
      <w:b w:val="0"/>
      <w:color w:val="FF0000"/>
      <w:kern w:val="2"/>
      <w:sz w:val="28"/>
      <w:szCs w:val="20"/>
      <w:lang w:val="zh-CN"/>
    </w:rPr>
  </w:style>
  <w:style w:type="paragraph" w:customStyle="1" w:styleId="3288">
    <w:name w:val="样式 样式 小三 加粗 居中 + 非加粗"/>
    <w:basedOn w:val="3289"/>
    <w:qFormat/>
    <w:uiPriority w:val="0"/>
  </w:style>
  <w:style w:type="paragraph" w:customStyle="1" w:styleId="3289">
    <w:name w:val="样式 小三 加粗 居中"/>
    <w:basedOn w:val="84"/>
    <w:qFormat/>
    <w:uiPriority w:val="0"/>
    <w:pPr>
      <w:adjustRightInd w:val="0"/>
      <w:snapToGrid w:val="0"/>
      <w:ind w:firstLine="480" w:firstLineChars="200"/>
    </w:pPr>
    <w:rPr>
      <w:rFonts w:ascii="Times New Roman" w:hAnsi="Times New Roman"/>
      <w:kern w:val="2"/>
      <w:szCs w:val="24"/>
      <w:shd w:val="clear" w:color="auto" w:fill="000080"/>
    </w:rPr>
  </w:style>
  <w:style w:type="paragraph" w:customStyle="1" w:styleId="3290">
    <w:name w:val="样式175"/>
    <w:basedOn w:val="1"/>
    <w:qFormat/>
    <w:uiPriority w:val="0"/>
    <w:pPr>
      <w:widowControl w:val="0"/>
      <w:tabs>
        <w:tab w:val="left" w:pos="780"/>
      </w:tabs>
      <w:adjustRightInd w:val="0"/>
      <w:spacing w:line="320" w:lineRule="exact"/>
      <w:jc w:val="center"/>
    </w:pPr>
    <w:rPr>
      <w:rFonts w:cs="Times New Roman"/>
      <w:color w:val="000000"/>
      <w:sz w:val="20"/>
      <w:szCs w:val="20"/>
      <w:lang w:val="zh-CN"/>
    </w:rPr>
  </w:style>
  <w:style w:type="paragraph" w:customStyle="1" w:styleId="3291">
    <w:name w:val="东方工业区"/>
    <w:basedOn w:val="934"/>
    <w:qFormat/>
    <w:uiPriority w:val="0"/>
    <w:rPr>
      <w:rFonts w:cs="Times New Roman"/>
      <w:sz w:val="21"/>
      <w:szCs w:val="24"/>
      <w:lang w:val="zh-CN"/>
    </w:rPr>
  </w:style>
  <w:style w:type="paragraph" w:customStyle="1" w:styleId="3292">
    <w:name w:val="样式 样式 小四 行距: 1.5 倍行距 首行缩进:  2 字符1 + 首行缩进:  2 字符1"/>
    <w:basedOn w:val="1"/>
    <w:qFormat/>
    <w:uiPriority w:val="0"/>
    <w:pPr>
      <w:widowControl w:val="0"/>
      <w:ind w:firstLine="200" w:firstLineChars="200"/>
      <w:jc w:val="both"/>
    </w:pPr>
    <w:rPr>
      <w:rFonts w:ascii="Times New Roman" w:hAnsi="Times New Roman"/>
      <w:kern w:val="2"/>
      <w:sz w:val="21"/>
      <w:szCs w:val="20"/>
    </w:rPr>
  </w:style>
  <w:style w:type="paragraph" w:customStyle="1" w:styleId="3293">
    <w:name w:val="样式 10 磅 居中"/>
    <w:basedOn w:val="1"/>
    <w:qFormat/>
    <w:uiPriority w:val="0"/>
    <w:pPr>
      <w:widowControl w:val="0"/>
      <w:jc w:val="center"/>
    </w:pPr>
    <w:rPr>
      <w:rFonts w:ascii="Times New Roman" w:hAnsi="Times New Roman"/>
      <w:sz w:val="21"/>
      <w:szCs w:val="20"/>
    </w:rPr>
  </w:style>
  <w:style w:type="paragraph" w:customStyle="1" w:styleId="3294">
    <w:name w:val="Char Char Char Char Char Char Char Char Char2"/>
    <w:basedOn w:val="1"/>
    <w:qFormat/>
    <w:uiPriority w:val="0"/>
    <w:pPr>
      <w:widowControl w:val="0"/>
      <w:jc w:val="both"/>
    </w:pPr>
    <w:rPr>
      <w:rFonts w:ascii="Times New Roman" w:hAnsi="Times New Roman" w:cs="Times New Roman"/>
      <w:kern w:val="2"/>
    </w:rPr>
  </w:style>
  <w:style w:type="paragraph" w:customStyle="1" w:styleId="3295">
    <w:name w:val="普通文字2"/>
    <w:basedOn w:val="46"/>
    <w:qFormat/>
    <w:uiPriority w:val="0"/>
    <w:pPr>
      <w:widowControl w:val="0"/>
      <w:adjustRightInd w:val="0"/>
      <w:snapToGrid w:val="0"/>
      <w:spacing w:line="300" w:lineRule="auto"/>
      <w:ind w:firstLine="560" w:firstLineChars="200"/>
      <w:jc w:val="both"/>
    </w:pPr>
    <w:rPr>
      <w:rFonts w:ascii="Times New Roman" w:hAnsi="Times New Roman"/>
      <w:bCs/>
      <w:kern w:val="2"/>
      <w:sz w:val="28"/>
      <w:szCs w:val="20"/>
    </w:rPr>
  </w:style>
  <w:style w:type="paragraph" w:customStyle="1" w:styleId="3296">
    <w:name w:val="Char Char Char2 Char Char"/>
    <w:basedOn w:val="1"/>
    <w:qFormat/>
    <w:uiPriority w:val="0"/>
    <w:pPr>
      <w:widowControl w:val="0"/>
      <w:ind w:firstLine="200" w:firstLineChars="200"/>
      <w:jc w:val="both"/>
    </w:pPr>
    <w:rPr>
      <w:kern w:val="2"/>
      <w:sz w:val="21"/>
    </w:rPr>
  </w:style>
  <w:style w:type="paragraph" w:customStyle="1" w:styleId="3297">
    <w:name w:val="Char22"/>
    <w:basedOn w:val="1"/>
    <w:qFormat/>
    <w:uiPriority w:val="0"/>
    <w:pPr>
      <w:widowControl w:val="0"/>
      <w:jc w:val="both"/>
    </w:pPr>
    <w:rPr>
      <w:rFonts w:ascii="Tahoma" w:hAnsi="Tahoma" w:cs="Times New Roman"/>
      <w:kern w:val="2"/>
      <w:sz w:val="21"/>
      <w:szCs w:val="20"/>
    </w:rPr>
  </w:style>
  <w:style w:type="paragraph" w:customStyle="1" w:styleId="3298">
    <w:name w:val="默认段落字体 Para Char Char Char Char Char Char Char Char Char Char Char Char Char Char Char Char Char Char Char Char Char Char Char Char Char Char Char Char Char Char Char"/>
    <w:basedOn w:val="1"/>
    <w:qFormat/>
    <w:uiPriority w:val="0"/>
    <w:pPr>
      <w:widowControl w:val="0"/>
      <w:spacing w:line="520" w:lineRule="exact"/>
      <w:jc w:val="center"/>
    </w:pPr>
    <w:rPr>
      <w:rFonts w:ascii="Arial" w:hAnsi="Arial" w:eastAsia="仿宋_GB2312" w:cs="Times New Roman"/>
      <w:kern w:val="2"/>
      <w:sz w:val="28"/>
      <w:szCs w:val="28"/>
    </w:rPr>
  </w:style>
  <w:style w:type="paragraph" w:customStyle="1" w:styleId="3299">
    <w:name w:val="样式 样式 (西文) 仿宋_GB2312 (中文) 仿宋_GB2312 (符号) 宋体 段前: 0.5 行 行距: 1.5 倍...."/>
    <w:basedOn w:val="1"/>
    <w:qFormat/>
    <w:uiPriority w:val="0"/>
    <w:pPr>
      <w:widowControl w:val="0"/>
      <w:spacing w:after="312" w:afterLines="100" w:line="300" w:lineRule="auto"/>
      <w:jc w:val="both"/>
    </w:pPr>
    <w:rPr>
      <w:rFonts w:ascii="仿宋_GB2312" w:hAnsi="Times New Roman" w:eastAsia="仿宋_GB2312" w:cs="Times New Roman"/>
      <w:kern w:val="2"/>
      <w:sz w:val="28"/>
      <w:szCs w:val="20"/>
    </w:rPr>
  </w:style>
  <w:style w:type="paragraph" w:customStyle="1" w:styleId="3300">
    <w:name w:val="样式141"/>
    <w:basedOn w:val="1"/>
    <w:qFormat/>
    <w:uiPriority w:val="0"/>
    <w:pPr>
      <w:keepNext/>
      <w:keepLines/>
      <w:widowControl w:val="0"/>
      <w:adjustRightInd w:val="0"/>
      <w:spacing w:before="120" w:after="120" w:line="520" w:lineRule="exact"/>
      <w:jc w:val="both"/>
      <w:outlineLvl w:val="3"/>
    </w:pPr>
    <w:rPr>
      <w:rFonts w:ascii="Times New Roman" w:hAnsi="Times New Roman" w:eastAsia="黑体" w:cs="Times New Roman"/>
      <w:color w:val="000000"/>
      <w:sz w:val="21"/>
      <w:lang w:val="en-AU"/>
    </w:rPr>
  </w:style>
  <w:style w:type="paragraph" w:customStyle="1" w:styleId="3301">
    <w:name w:val="Char Char2 Char Char Char Char Char Char Char"/>
    <w:basedOn w:val="1"/>
    <w:qFormat/>
    <w:uiPriority w:val="0"/>
    <w:pPr>
      <w:widowControl w:val="0"/>
      <w:ind w:firstLine="200" w:firstLineChars="200"/>
      <w:jc w:val="both"/>
    </w:pPr>
    <w:rPr>
      <w:kern w:val="2"/>
      <w:sz w:val="21"/>
    </w:rPr>
  </w:style>
  <w:style w:type="paragraph" w:customStyle="1" w:styleId="3302">
    <w:name w:val="样式 样式 样式 仿宋_GB2312 段前: 0.5 行 段后: 6 磅 行距: 1.5 倍行距 + 首行缩进:  2 字符 段..."/>
    <w:basedOn w:val="1"/>
    <w:qFormat/>
    <w:uiPriority w:val="0"/>
    <w:pPr>
      <w:widowControl w:val="0"/>
      <w:spacing w:after="156" w:afterLines="50" w:line="300" w:lineRule="auto"/>
      <w:jc w:val="both"/>
    </w:pPr>
    <w:rPr>
      <w:rFonts w:ascii="Times New Roman" w:hAnsi="Times New Roman" w:eastAsia="仿宋_GB2312" w:cs="Times New Roman"/>
      <w:kern w:val="2"/>
      <w:sz w:val="28"/>
      <w:szCs w:val="20"/>
    </w:rPr>
  </w:style>
  <w:style w:type="paragraph" w:customStyle="1" w:styleId="3303">
    <w:name w:val="表格中"/>
    <w:basedOn w:val="66"/>
    <w:qFormat/>
    <w:uiPriority w:val="0"/>
    <w:pPr>
      <w:spacing w:before="156" w:beforeLines="50"/>
      <w:ind w:left="0"/>
      <w:jc w:val="center"/>
      <w:outlineLvl w:val="5"/>
    </w:pPr>
    <w:rPr>
      <w:rFonts w:ascii="黑体" w:eastAsia="黑体"/>
      <w:szCs w:val="21"/>
      <w:lang w:val="zh-CN"/>
    </w:rPr>
  </w:style>
  <w:style w:type="paragraph" w:customStyle="1" w:styleId="3304">
    <w:name w:val="样式 11.5 磅 行距: 1.5 倍行距2"/>
    <w:basedOn w:val="1"/>
    <w:qFormat/>
    <w:uiPriority w:val="0"/>
    <w:pPr>
      <w:widowControl w:val="0"/>
      <w:ind w:firstLine="460" w:firstLineChars="200"/>
      <w:jc w:val="both"/>
    </w:pPr>
    <w:rPr>
      <w:rFonts w:ascii="Times New Roman" w:hAnsi="Times New Roman"/>
      <w:kern w:val="2"/>
      <w:sz w:val="21"/>
      <w:szCs w:val="20"/>
    </w:rPr>
  </w:style>
  <w:style w:type="paragraph" w:customStyle="1" w:styleId="3305">
    <w:name w:val="样式 样式 样式 小四 行距: 1.5 倍行距 首行缩进:  2 字符1 + 首行缩进:  2 字符1 + 首行缩进:  2 字符"/>
    <w:basedOn w:val="3292"/>
    <w:qFormat/>
    <w:uiPriority w:val="0"/>
    <w:pPr>
      <w:spacing w:line="360" w:lineRule="auto"/>
    </w:pPr>
  </w:style>
  <w:style w:type="paragraph" w:customStyle="1" w:styleId="3306">
    <w:name w:val="委托单位"/>
    <w:basedOn w:val="1"/>
    <w:qFormat/>
    <w:uiPriority w:val="0"/>
    <w:pPr>
      <w:widowControl w:val="0"/>
      <w:spacing w:before="7800" w:beforeLines="2500" w:after="156" w:afterLines="50"/>
      <w:ind w:left="300" w:leftChars="300"/>
      <w:jc w:val="both"/>
    </w:pPr>
    <w:rPr>
      <w:rFonts w:ascii="Times New Roman" w:hAnsi="Times New Roman" w:eastAsia="楷体_GB2312" w:cs="Times New Roman"/>
      <w:b/>
      <w:kern w:val="2"/>
      <w:sz w:val="36"/>
      <w:szCs w:val="28"/>
      <w:lang w:val="zh-CN"/>
    </w:rPr>
  </w:style>
  <w:style w:type="paragraph" w:customStyle="1" w:styleId="3307">
    <w:name w:val="样式 标题 4标题 4 Char Char标题 4 Char + 小四 加粗1"/>
    <w:basedOn w:val="6"/>
    <w:qFormat/>
    <w:uiPriority w:val="0"/>
    <w:pPr>
      <w:widowControl w:val="0"/>
      <w:tabs>
        <w:tab w:val="left" w:pos="851"/>
        <w:tab w:val="left" w:pos="945"/>
        <w:tab w:val="left" w:pos="1620"/>
      </w:tabs>
      <w:adjustRightInd w:val="0"/>
      <w:snapToGrid w:val="0"/>
      <w:spacing w:before="156" w:beforeLines="50" w:after="156" w:line="520" w:lineRule="atLeast"/>
      <w:ind w:firstLine="980" w:firstLineChars="200"/>
      <w:jc w:val="both"/>
    </w:pPr>
    <w:rPr>
      <w:rFonts w:hint="eastAsia" w:ascii="Times New Roman" w:hAnsi="Times New Roman" w:eastAsia="宋体" w:cs="宋体"/>
      <w:kern w:val="2"/>
      <w:sz w:val="21"/>
      <w:szCs w:val="20"/>
    </w:rPr>
  </w:style>
  <w:style w:type="paragraph" w:customStyle="1" w:styleId="3308">
    <w:name w:val="论文5号样式"/>
    <w:basedOn w:val="1"/>
    <w:qFormat/>
    <w:uiPriority w:val="0"/>
    <w:pPr>
      <w:widowControl w:val="0"/>
      <w:tabs>
        <w:tab w:val="left" w:pos="1440"/>
      </w:tabs>
      <w:ind w:left="1440" w:hanging="360"/>
      <w:jc w:val="both"/>
    </w:pPr>
    <w:rPr>
      <w:rFonts w:ascii="Times New Roman" w:hAnsi="Times New Roman" w:cs="Times New Roman"/>
      <w:b/>
      <w:kern w:val="2"/>
      <w:sz w:val="28"/>
    </w:rPr>
  </w:style>
  <w:style w:type="paragraph" w:customStyle="1" w:styleId="3309">
    <w:name w:val="标题一、"/>
    <w:basedOn w:val="1"/>
    <w:qFormat/>
    <w:uiPriority w:val="0"/>
    <w:pPr>
      <w:widowControl w:val="0"/>
      <w:adjustRightInd w:val="0"/>
      <w:spacing w:before="140" w:after="140"/>
      <w:jc w:val="both"/>
      <w:textAlignment w:val="baseline"/>
      <w:outlineLvl w:val="1"/>
    </w:pPr>
    <w:rPr>
      <w:rFonts w:ascii="Times New Roman" w:hAnsi="Times New Roman" w:eastAsia="仿宋_GB2312" w:cs="Times New Roman"/>
      <w:b/>
      <w:sz w:val="32"/>
      <w:szCs w:val="20"/>
    </w:rPr>
  </w:style>
  <w:style w:type="paragraph" w:customStyle="1" w:styleId="3310">
    <w:name w:val="编编本"/>
    <w:basedOn w:val="1"/>
    <w:qFormat/>
    <w:uiPriority w:val="0"/>
    <w:pPr>
      <w:widowControl w:val="0"/>
      <w:tabs>
        <w:tab w:val="left" w:pos="1174"/>
      </w:tabs>
      <w:spacing w:before="93" w:beforeLines="30" w:after="93" w:afterLines="30"/>
      <w:ind w:firstLine="454"/>
      <w:jc w:val="both"/>
    </w:pPr>
    <w:rPr>
      <w:rFonts w:ascii="新宋体" w:hAnsi="Times New Roman" w:eastAsia="新宋体" w:cs="Times New Roman"/>
      <w:w w:val="90"/>
      <w:kern w:val="2"/>
      <w:sz w:val="22"/>
      <w:szCs w:val="20"/>
    </w:rPr>
  </w:style>
  <w:style w:type="paragraph" w:customStyle="1" w:styleId="3311">
    <w:name w:val="样式 正文缩进Body text ident 1特点 + 首行缩进:  0.85 厘米 行距: 多倍行距 1.2 字行"/>
    <w:basedOn w:val="21"/>
    <w:qFormat/>
    <w:uiPriority w:val="0"/>
    <w:pPr>
      <w:adjustRightInd w:val="0"/>
      <w:snapToGrid w:val="0"/>
      <w:spacing w:before="156" w:beforeLines="50" w:line="360" w:lineRule="atLeast"/>
      <w:ind w:left="0" w:firstLine="482"/>
      <w:textAlignment w:val="baseline"/>
    </w:pPr>
    <w:rPr>
      <w:rFonts w:ascii="Times New Roman" w:hAnsi="Times New Roman"/>
      <w:sz w:val="24"/>
    </w:rPr>
  </w:style>
  <w:style w:type="paragraph" w:customStyle="1" w:styleId="3312">
    <w:name w:val="样式 首行缩进:  2 字符 行距: 1.5 倍行距"/>
    <w:basedOn w:val="1"/>
    <w:qFormat/>
    <w:uiPriority w:val="0"/>
    <w:pPr>
      <w:widowControl w:val="0"/>
      <w:spacing w:line="400" w:lineRule="exact"/>
      <w:ind w:firstLine="200" w:firstLineChars="200"/>
      <w:jc w:val="both"/>
    </w:pPr>
    <w:rPr>
      <w:rFonts w:ascii="Times New Roman" w:hAnsi="Times New Roman" w:cs="Times New Roman"/>
      <w:kern w:val="2"/>
      <w:sz w:val="21"/>
      <w:szCs w:val="20"/>
    </w:rPr>
  </w:style>
  <w:style w:type="paragraph" w:customStyle="1" w:styleId="3313">
    <w:name w:val="样式 标题 3标题 3 Char Char Char节，一一黑四（一）条，（一）标题3 Char Char Cha...2"/>
    <w:basedOn w:val="5"/>
    <w:qFormat/>
    <w:uiPriority w:val="0"/>
    <w:pPr>
      <w:keepNext w:val="0"/>
      <w:keepLines w:val="0"/>
      <w:widowControl w:val="0"/>
      <w:tabs>
        <w:tab w:val="left" w:pos="360"/>
        <w:tab w:val="left" w:pos="720"/>
        <w:tab w:val="left" w:pos="1740"/>
      </w:tabs>
      <w:snapToGrid w:val="0"/>
      <w:spacing w:before="93" w:beforeLines="30" w:after="0" w:afterLines="50" w:line="240" w:lineRule="auto"/>
      <w:ind w:hanging="420" w:firstLineChars="200"/>
      <w:jc w:val="both"/>
    </w:pPr>
    <w:rPr>
      <w:rFonts w:ascii="Times New Roman" w:hAnsi="Times New Roman" w:cs="Times New Roman"/>
      <w:kern w:val="2"/>
    </w:rPr>
  </w:style>
  <w:style w:type="paragraph" w:customStyle="1" w:styleId="3314">
    <w:name w:val="正文一"/>
    <w:basedOn w:val="1"/>
    <w:qFormat/>
    <w:uiPriority w:val="0"/>
    <w:pPr>
      <w:widowControl w:val="0"/>
      <w:ind w:firstLine="200" w:firstLineChars="200"/>
      <w:jc w:val="both"/>
    </w:pPr>
    <w:rPr>
      <w:rFonts w:ascii="Times New Roman" w:hAnsi="Times New Roman" w:cs="Times New Roman"/>
      <w:kern w:val="2"/>
      <w:sz w:val="28"/>
    </w:rPr>
  </w:style>
  <w:style w:type="paragraph" w:customStyle="1" w:styleId="3315">
    <w:name w:val="表后段落"/>
    <w:basedOn w:val="1"/>
    <w:next w:val="1"/>
    <w:qFormat/>
    <w:uiPriority w:val="0"/>
    <w:pPr>
      <w:widowControl w:val="0"/>
      <w:spacing w:before="240"/>
      <w:ind w:firstLine="200" w:firstLineChars="200"/>
      <w:jc w:val="both"/>
    </w:pPr>
    <w:rPr>
      <w:rFonts w:ascii="Arial" w:hAnsi="Arial" w:cs="Times New Roman"/>
      <w:kern w:val="2"/>
      <w:sz w:val="21"/>
    </w:rPr>
  </w:style>
  <w:style w:type="paragraph" w:customStyle="1" w:styleId="3316">
    <w:name w:val="样式 正文文本缩进 2 + 黑色 行距: 固定值 12 磅"/>
    <w:basedOn w:val="36"/>
    <w:qFormat/>
    <w:uiPriority w:val="0"/>
    <w:pPr>
      <w:widowControl w:val="0"/>
      <w:snapToGrid/>
      <w:spacing w:line="360" w:lineRule="atLeast"/>
      <w:ind w:firstLine="480" w:firstLineChars="0"/>
      <w:textAlignment w:val="baseline"/>
    </w:pPr>
    <w:rPr>
      <w:rFonts w:hAnsi="Times New Roman" w:cs="Times New Roman"/>
      <w:sz w:val="24"/>
      <w:lang w:val="zh-CN"/>
    </w:rPr>
  </w:style>
  <w:style w:type="paragraph" w:customStyle="1" w:styleId="3317">
    <w:name w:val="Char Char Char Char Char Char Char Char Char Char6"/>
    <w:basedOn w:val="1"/>
    <w:qFormat/>
    <w:uiPriority w:val="0"/>
    <w:pPr>
      <w:widowControl w:val="0"/>
      <w:adjustRightInd w:val="0"/>
      <w:spacing w:line="360" w:lineRule="auto"/>
      <w:ind w:firstLine="540" w:firstLineChars="225"/>
    </w:pPr>
    <w:rPr>
      <w:kern w:val="2"/>
    </w:rPr>
  </w:style>
  <w:style w:type="paragraph" w:customStyle="1" w:styleId="3318">
    <w:name w:val="宗兴图名"/>
    <w:basedOn w:val="3120"/>
    <w:qFormat/>
    <w:uiPriority w:val="0"/>
    <w:pPr>
      <w:spacing w:before="93" w:beforeAutospacing="0" w:after="93" w:afterAutospacing="0"/>
      <w:ind w:firstLine="0" w:firstLineChars="0"/>
      <w:jc w:val="center"/>
    </w:pPr>
    <w:rPr>
      <w:rFonts w:ascii="黑体" w:eastAsia="黑体"/>
    </w:rPr>
  </w:style>
  <w:style w:type="paragraph" w:customStyle="1" w:styleId="3319">
    <w:name w:val="正文33"/>
    <w:basedOn w:val="1"/>
    <w:qFormat/>
    <w:uiPriority w:val="0"/>
    <w:pPr>
      <w:widowControl w:val="0"/>
      <w:snapToGrid w:val="0"/>
      <w:spacing w:after="120" w:line="324" w:lineRule="auto"/>
      <w:ind w:firstLine="480" w:firstLineChars="200"/>
      <w:jc w:val="both"/>
    </w:pPr>
    <w:rPr>
      <w:rFonts w:ascii="Arial" w:hAnsi="Arial" w:cs="Times New Roman"/>
      <w:bCs/>
      <w:sz w:val="21"/>
      <w:lang w:val="eu-ES"/>
    </w:rPr>
  </w:style>
  <w:style w:type="paragraph" w:customStyle="1" w:styleId="3320">
    <w:name w:val="样式 11.5 磅 行距: 1.5 倍行距4"/>
    <w:basedOn w:val="1"/>
    <w:qFormat/>
    <w:uiPriority w:val="0"/>
    <w:pPr>
      <w:widowControl w:val="0"/>
      <w:ind w:firstLine="460" w:firstLineChars="200"/>
      <w:jc w:val="both"/>
    </w:pPr>
    <w:rPr>
      <w:rFonts w:ascii="Times New Roman" w:hAnsi="Times New Roman"/>
      <w:kern w:val="2"/>
      <w:sz w:val="21"/>
      <w:szCs w:val="20"/>
    </w:rPr>
  </w:style>
  <w:style w:type="paragraph" w:customStyle="1" w:styleId="3321">
    <w:name w:val="样式 (中文) 仿宋_GB2312 四号 黑色 首行缩进:  2 字符 行距: 固定值 23 磅"/>
    <w:basedOn w:val="1"/>
    <w:qFormat/>
    <w:uiPriority w:val="0"/>
    <w:pPr>
      <w:widowControl w:val="0"/>
      <w:spacing w:before="120" w:line="400" w:lineRule="exact"/>
      <w:ind w:firstLine="200" w:firstLineChars="200"/>
      <w:jc w:val="both"/>
    </w:pPr>
    <w:rPr>
      <w:rFonts w:ascii="Times New Roman" w:hAnsi="Times New Roman" w:cs="Times New Roman"/>
      <w:color w:val="000000"/>
      <w:kern w:val="2"/>
      <w:sz w:val="21"/>
      <w:szCs w:val="20"/>
    </w:rPr>
  </w:style>
  <w:style w:type="paragraph" w:customStyle="1" w:styleId="3322">
    <w:name w:val="表格用字 Char Char"/>
    <w:basedOn w:val="76"/>
    <w:qFormat/>
    <w:uiPriority w:val="0"/>
    <w:pPr>
      <w:spacing w:after="0" w:line="0" w:lineRule="atLeast"/>
    </w:pPr>
    <w:rPr>
      <w:rFonts w:hint="eastAsia" w:ascii="宋体" w:hAnsi="宋体" w:eastAsia="仿宋_GB2312"/>
      <w:sz w:val="24"/>
      <w:szCs w:val="20"/>
    </w:rPr>
  </w:style>
  <w:style w:type="paragraph" w:customStyle="1" w:styleId="3323">
    <w:name w:val="列表标题"/>
    <w:basedOn w:val="1"/>
    <w:next w:val="1"/>
    <w:qFormat/>
    <w:uiPriority w:val="0"/>
    <w:pPr>
      <w:widowControl w:val="0"/>
      <w:jc w:val="center"/>
    </w:pPr>
    <w:rPr>
      <w:rFonts w:ascii="Times New Roman" w:hAnsi="Times New Roman" w:cs="Times New Roman"/>
      <w:kern w:val="2"/>
      <w:sz w:val="21"/>
      <w:szCs w:val="20"/>
    </w:rPr>
  </w:style>
  <w:style w:type="paragraph" w:customStyle="1" w:styleId="3324">
    <w:name w:val="样式166"/>
    <w:basedOn w:val="1"/>
    <w:qFormat/>
    <w:uiPriority w:val="0"/>
    <w:pPr>
      <w:widowControl w:val="0"/>
      <w:tabs>
        <w:tab w:val="left" w:pos="780"/>
      </w:tabs>
      <w:adjustRightInd w:val="0"/>
      <w:spacing w:line="320" w:lineRule="exact"/>
      <w:jc w:val="center"/>
    </w:pPr>
    <w:rPr>
      <w:rFonts w:cs="Times New Roman"/>
      <w:color w:val="000000"/>
      <w:sz w:val="21"/>
      <w:szCs w:val="20"/>
    </w:rPr>
  </w:style>
  <w:style w:type="paragraph" w:customStyle="1" w:styleId="3325">
    <w:name w:val="字元 字元 Char Char 字元 字元13"/>
    <w:basedOn w:val="1"/>
    <w:qFormat/>
    <w:uiPriority w:val="0"/>
    <w:pPr>
      <w:widowControl w:val="0"/>
      <w:jc w:val="both"/>
    </w:pPr>
    <w:rPr>
      <w:rFonts w:ascii="Times New Roman" w:hAnsi="Times New Roman" w:cs="Times New Roman"/>
      <w:kern w:val="2"/>
      <w:sz w:val="21"/>
    </w:rPr>
  </w:style>
  <w:style w:type="paragraph" w:customStyle="1" w:styleId="3326">
    <w:name w:val="Char Char Char Char Char Char Char Char Char1 Char"/>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8"/>
    </w:rPr>
  </w:style>
  <w:style w:type="paragraph" w:customStyle="1" w:styleId="3327">
    <w:name w:val="2中大2级标题"/>
    <w:basedOn w:val="4"/>
    <w:qFormat/>
    <w:uiPriority w:val="0"/>
    <w:pPr>
      <w:keepNext w:val="0"/>
      <w:widowControl w:val="0"/>
      <w:numPr>
        <w:ilvl w:val="0"/>
        <w:numId w:val="0"/>
      </w:numPr>
      <w:tabs>
        <w:tab w:val="left" w:pos="0"/>
        <w:tab w:val="left" w:pos="360"/>
        <w:tab w:val="left" w:pos="720"/>
        <w:tab w:val="left" w:pos="8092"/>
      </w:tabs>
      <w:snapToGrid w:val="0"/>
      <w:spacing w:before="0" w:after="0" w:line="240" w:lineRule="auto"/>
      <w:ind w:firstLine="980" w:firstLineChars="200"/>
    </w:pPr>
    <w:rPr>
      <w:rFonts w:ascii="Times New Roman" w:hAnsi="Times New Roman" w:eastAsia="宋体" w:cs="Times New Roman"/>
      <w:bCs/>
      <w:color w:val="FF0000"/>
      <w:szCs w:val="32"/>
    </w:rPr>
  </w:style>
  <w:style w:type="paragraph" w:customStyle="1" w:styleId="3328">
    <w:name w:val="font22"/>
    <w:basedOn w:val="1"/>
    <w:qFormat/>
    <w:uiPriority w:val="0"/>
    <w:pPr>
      <w:widowControl w:val="0"/>
      <w:spacing w:before="100" w:beforeAutospacing="1" w:after="100" w:afterAutospacing="1"/>
      <w:jc w:val="both"/>
    </w:pPr>
    <w:rPr>
      <w:rFonts w:ascii="Times New Roman" w:hAnsi="Times New Roman" w:cs="Times New Roman"/>
      <w:kern w:val="2"/>
      <w:sz w:val="21"/>
    </w:rPr>
  </w:style>
  <w:style w:type="paragraph" w:customStyle="1" w:styleId="3329">
    <w:name w:val="标题4."/>
    <w:basedOn w:val="6"/>
    <w:qFormat/>
    <w:uiPriority w:val="0"/>
    <w:pPr>
      <w:widowControl w:val="0"/>
      <w:tabs>
        <w:tab w:val="left" w:pos="945"/>
        <w:tab w:val="left" w:pos="1620"/>
        <w:tab w:val="left" w:pos="1800"/>
      </w:tabs>
      <w:adjustRightInd w:val="0"/>
      <w:snapToGrid w:val="0"/>
      <w:spacing w:before="156" w:beforeLines="50" w:after="156" w:line="312" w:lineRule="auto"/>
      <w:ind w:left="851" w:hanging="851" w:firstLineChars="200"/>
      <w:jc w:val="both"/>
    </w:pPr>
    <w:rPr>
      <w:rFonts w:ascii="Times New Roman" w:hAnsi="Times New Roman" w:eastAsia="宋体" w:cs="宋体"/>
      <w:bCs w:val="0"/>
      <w:kern w:val="2"/>
      <w:szCs w:val="20"/>
    </w:rPr>
  </w:style>
  <w:style w:type="paragraph" w:customStyle="1" w:styleId="3330">
    <w:name w:val="数字表格"/>
    <w:basedOn w:val="1"/>
    <w:qFormat/>
    <w:uiPriority w:val="0"/>
    <w:pPr>
      <w:widowControl w:val="0"/>
      <w:ind w:left="720" w:right="-2" w:rightChars="-1" w:hanging="720" w:hangingChars="300"/>
      <w:jc w:val="center"/>
    </w:pPr>
    <w:rPr>
      <w:rFonts w:cs="Times New Roman"/>
      <w:sz w:val="21"/>
      <w:szCs w:val="16"/>
    </w:rPr>
  </w:style>
  <w:style w:type="paragraph" w:customStyle="1" w:styleId="3331">
    <w:name w:val="z"/>
    <w:basedOn w:val="3"/>
    <w:qFormat/>
    <w:uiPriority w:val="0"/>
    <w:pPr>
      <w:keepNext w:val="0"/>
      <w:keepLines/>
      <w:tabs>
        <w:tab w:val="left" w:pos="960"/>
        <w:tab w:val="left" w:pos="4614"/>
      </w:tabs>
      <w:overflowPunct/>
      <w:adjustRightInd w:val="0"/>
      <w:spacing w:before="156" w:after="156" w:line="240" w:lineRule="auto"/>
      <w:ind w:left="0" w:firstLine="0"/>
      <w:jc w:val="center"/>
    </w:pPr>
    <w:rPr>
      <w:rFonts w:hAnsi="Times New Roman" w:eastAsia="宋体" w:cs="仿宋_GB2312"/>
      <w:b w:val="0"/>
      <w:bCs w:val="0"/>
      <w:color w:val="auto"/>
      <w:sz w:val="28"/>
      <w:szCs w:val="28"/>
    </w:rPr>
  </w:style>
  <w:style w:type="paragraph" w:customStyle="1" w:styleId="3332">
    <w:name w:val="Char4"/>
    <w:basedOn w:val="86"/>
    <w:next w:val="1"/>
    <w:qFormat/>
    <w:uiPriority w:val="0"/>
    <w:pPr>
      <w:spacing w:after="120" w:line="360" w:lineRule="auto"/>
      <w:ind w:firstLine="480" w:firstLineChars="200"/>
    </w:pPr>
    <w:rPr>
      <w:rFonts w:ascii="Verdana" w:hAnsi="Verdana"/>
      <w:kern w:val="2"/>
      <w:sz w:val="21"/>
      <w:lang w:eastAsia="en-US"/>
    </w:rPr>
  </w:style>
  <w:style w:type="paragraph" w:customStyle="1" w:styleId="3333">
    <w:name w:val="aa"/>
    <w:basedOn w:val="1"/>
    <w:qFormat/>
    <w:uiPriority w:val="0"/>
    <w:pPr>
      <w:widowControl w:val="0"/>
      <w:jc w:val="both"/>
    </w:pPr>
    <w:rPr>
      <w:rFonts w:ascii="Times New Roman" w:hAnsi="Times New Roman" w:cs="Times New Roman"/>
      <w:kern w:val="2"/>
      <w:sz w:val="21"/>
    </w:rPr>
  </w:style>
  <w:style w:type="paragraph" w:customStyle="1" w:styleId="3334">
    <w:name w:val="题注图"/>
    <w:basedOn w:val="22"/>
    <w:qFormat/>
    <w:uiPriority w:val="0"/>
    <w:pPr>
      <w:adjustRightInd w:val="0"/>
      <w:snapToGrid w:val="0"/>
      <w:spacing w:before="152" w:after="360" w:line="300" w:lineRule="auto"/>
      <w:ind w:firstLine="480" w:firstLineChars="200"/>
      <w:jc w:val="center"/>
    </w:pPr>
    <w:rPr>
      <w:rFonts w:ascii="Times New Roman" w:hAnsi="Times New Roman" w:eastAsia="仿宋_GB2312" w:cs="Times New Roman"/>
      <w:b/>
      <w:color w:val="000000"/>
      <w:kern w:val="2"/>
      <w:sz w:val="21"/>
      <w:lang w:val="zh-CN"/>
    </w:rPr>
  </w:style>
  <w:style w:type="paragraph" w:customStyle="1" w:styleId="3335">
    <w:name w:val="封面 3"/>
    <w:qFormat/>
    <w:uiPriority w:val="0"/>
    <w:pPr>
      <w:keepNext/>
      <w:widowControl w:val="0"/>
      <w:spacing w:before="120" w:after="120" w:line="400" w:lineRule="exact"/>
      <w:jc w:val="center"/>
    </w:pPr>
    <w:rPr>
      <w:rFonts w:ascii="Times New Roman" w:hAnsi="Times New Roman" w:eastAsia="宋体" w:cs="Times New Roman"/>
      <w:sz w:val="36"/>
      <w:lang w:val="en-US" w:eastAsia="zh-CN" w:bidi="ar-SA"/>
    </w:rPr>
  </w:style>
  <w:style w:type="paragraph" w:customStyle="1" w:styleId="3336">
    <w:name w:val="czg样式"/>
    <w:basedOn w:val="1"/>
    <w:qFormat/>
    <w:uiPriority w:val="0"/>
    <w:pPr>
      <w:widowControl w:val="0"/>
      <w:ind w:firstLine="200" w:firstLineChars="200"/>
      <w:jc w:val="both"/>
    </w:pPr>
    <w:rPr>
      <w:rFonts w:hAnsi="Times New Roman" w:cs="Times New Roman"/>
      <w:color w:val="000000"/>
      <w:kern w:val="2"/>
      <w:sz w:val="28"/>
      <w:szCs w:val="28"/>
    </w:rPr>
  </w:style>
  <w:style w:type="paragraph" w:customStyle="1" w:styleId="3337">
    <w:name w:val="样式 样式 标题 2 + 左侧:  2 字符 + 首行缩进:  2 字符1"/>
    <w:basedOn w:val="1"/>
    <w:qFormat/>
    <w:uiPriority w:val="0"/>
    <w:pPr>
      <w:keepNext/>
      <w:keepLines/>
      <w:widowControl w:val="0"/>
      <w:spacing w:before="260" w:after="260" w:line="416" w:lineRule="atLeast"/>
      <w:ind w:firstLine="640" w:firstLineChars="200"/>
      <w:jc w:val="both"/>
    </w:pPr>
    <w:rPr>
      <w:rFonts w:hint="eastAsia" w:ascii="Arial" w:hAnsi="Arial" w:eastAsia="黑体" w:cs="Times New Roman"/>
      <w:b/>
      <w:kern w:val="2"/>
      <w:sz w:val="28"/>
      <w:szCs w:val="20"/>
    </w:rPr>
  </w:style>
  <w:style w:type="paragraph" w:customStyle="1" w:styleId="3338">
    <w:name w:val="标题1－0909"/>
    <w:basedOn w:val="1"/>
    <w:qFormat/>
    <w:uiPriority w:val="0"/>
    <w:pPr>
      <w:keepNext/>
      <w:keepLines/>
      <w:widowControl w:val="0"/>
      <w:tabs>
        <w:tab w:val="left" w:pos="1020"/>
        <w:tab w:val="left" w:pos="1049"/>
      </w:tabs>
      <w:adjustRightInd w:val="0"/>
      <w:snapToGrid w:val="0"/>
      <w:spacing w:before="624" w:beforeLines="200" w:after="120" w:line="400" w:lineRule="exact"/>
      <w:ind w:left="1049" w:hanging="851"/>
      <w:jc w:val="center"/>
      <w:outlineLvl w:val="0"/>
    </w:pPr>
    <w:rPr>
      <w:rFonts w:ascii="Times New Roman" w:hAnsi="Times New Roman" w:eastAsia="黑体" w:cs="Times New Roman"/>
      <w:b/>
      <w:bCs/>
      <w:kern w:val="44"/>
      <w:sz w:val="32"/>
      <w:szCs w:val="20"/>
    </w:rPr>
  </w:style>
  <w:style w:type="paragraph" w:customStyle="1" w:styleId="3339">
    <w:name w:val="四级无标题条"/>
    <w:basedOn w:val="1"/>
    <w:qFormat/>
    <w:uiPriority w:val="0"/>
    <w:pPr>
      <w:widowControl w:val="0"/>
      <w:jc w:val="both"/>
    </w:pPr>
    <w:rPr>
      <w:rFonts w:ascii="Times New Roman" w:hAnsi="Times New Roman" w:cs="Times New Roman"/>
      <w:kern w:val="2"/>
      <w:sz w:val="21"/>
      <w:szCs w:val="20"/>
    </w:rPr>
  </w:style>
  <w:style w:type="paragraph" w:customStyle="1" w:styleId="3340">
    <w:name w:val="正文文本缩进 211"/>
    <w:basedOn w:val="1"/>
    <w:qFormat/>
    <w:uiPriority w:val="0"/>
    <w:pPr>
      <w:widowControl w:val="0"/>
      <w:adjustRightInd w:val="0"/>
      <w:spacing w:after="120" w:line="400" w:lineRule="exact"/>
      <w:ind w:firstLine="525" w:firstLineChars="200"/>
      <w:jc w:val="both"/>
    </w:pPr>
    <w:rPr>
      <w:rFonts w:hAnsi="Times New Roman" w:cs="Times New Roman"/>
      <w:spacing w:val="16"/>
      <w:kern w:val="2"/>
      <w:sz w:val="21"/>
      <w:szCs w:val="20"/>
    </w:rPr>
  </w:style>
  <w:style w:type="paragraph" w:customStyle="1" w:styleId="3341">
    <w:name w:val="txt"/>
    <w:basedOn w:val="1"/>
    <w:qFormat/>
    <w:uiPriority w:val="0"/>
    <w:pPr>
      <w:widowControl w:val="0"/>
      <w:spacing w:before="100" w:beforeAutospacing="1" w:after="100" w:afterAutospacing="1"/>
      <w:jc w:val="both"/>
    </w:pPr>
    <w:rPr>
      <w:rFonts w:ascii="Arial Unicode MS" w:hAnsi="Arial Unicode MS" w:eastAsia="Arial Unicode MS" w:cs="Arial Unicode MS"/>
      <w:sz w:val="21"/>
    </w:rPr>
  </w:style>
  <w:style w:type="paragraph" w:customStyle="1" w:styleId="3342">
    <w:name w:val="样式 标题 3 +"/>
    <w:basedOn w:val="5"/>
    <w:qFormat/>
    <w:uiPriority w:val="0"/>
    <w:pPr>
      <w:keepNext w:val="0"/>
      <w:keepLines w:val="0"/>
      <w:widowControl w:val="0"/>
      <w:tabs>
        <w:tab w:val="left" w:pos="360"/>
        <w:tab w:val="left" w:pos="720"/>
        <w:tab w:val="left" w:pos="840"/>
      </w:tabs>
      <w:snapToGrid w:val="0"/>
      <w:spacing w:before="0" w:beforeLines="100" w:after="0" w:afterLines="50" w:line="240" w:lineRule="auto"/>
      <w:ind w:firstLine="980" w:firstLineChars="200"/>
      <w:jc w:val="both"/>
    </w:pPr>
    <w:rPr>
      <w:rFonts w:ascii="Times New Roman" w:hAnsi="Times New Roman" w:cs="Times New Roman"/>
      <w:b w:val="0"/>
      <w:kern w:val="2"/>
    </w:rPr>
  </w:style>
  <w:style w:type="paragraph" w:customStyle="1" w:styleId="3343">
    <w:name w:val="样式 标题 1篇标题 1 Char标题 1 11 ghostgghost1 ghost1g1ghost11 ..."/>
    <w:basedOn w:val="3"/>
    <w:qFormat/>
    <w:uiPriority w:val="0"/>
    <w:pPr>
      <w:keepNext w:val="0"/>
      <w:keepLines/>
      <w:tabs>
        <w:tab w:val="left" w:pos="567"/>
        <w:tab w:val="left" w:pos="4614"/>
      </w:tabs>
      <w:overflowPunct/>
      <w:adjustRightInd w:val="0"/>
      <w:spacing w:before="312" w:beforeLines="100" w:after="156" w:line="480" w:lineRule="auto"/>
      <w:ind w:left="0" w:firstLine="0"/>
      <w:jc w:val="center"/>
    </w:pPr>
    <w:rPr>
      <w:rFonts w:ascii="黑体" w:hAnsi="Times New Roman"/>
      <w:bCs w:val="0"/>
      <w:color w:val="auto"/>
      <w:sz w:val="32"/>
      <w:szCs w:val="36"/>
    </w:rPr>
  </w:style>
  <w:style w:type="paragraph" w:customStyle="1" w:styleId="3344">
    <w:name w:val="表格5号字"/>
    <w:basedOn w:val="1"/>
    <w:qFormat/>
    <w:uiPriority w:val="0"/>
    <w:pPr>
      <w:widowControl w:val="0"/>
      <w:adjustRightInd w:val="0"/>
      <w:snapToGrid w:val="0"/>
      <w:spacing w:line="240" w:lineRule="exact"/>
      <w:jc w:val="center"/>
    </w:pPr>
    <w:rPr>
      <w:rFonts w:cs="Times New Roman"/>
      <w:sz w:val="28"/>
      <w:szCs w:val="28"/>
    </w:rPr>
  </w:style>
  <w:style w:type="paragraph" w:customStyle="1" w:styleId="3345">
    <w:name w:val="样式 样式41 + 加粗 红色"/>
    <w:basedOn w:val="1"/>
    <w:qFormat/>
    <w:uiPriority w:val="0"/>
    <w:pPr>
      <w:widowControl w:val="0"/>
      <w:jc w:val="both"/>
    </w:pPr>
    <w:rPr>
      <w:rFonts w:ascii="Times New Roman" w:hAnsi="Times New Roman" w:eastAsia="楷体_GB2312" w:cs="Times New Roman"/>
      <w:b/>
      <w:bCs/>
      <w:color w:val="FF0000"/>
      <w:kern w:val="2"/>
      <w:sz w:val="21"/>
    </w:rPr>
  </w:style>
  <w:style w:type="paragraph" w:customStyle="1" w:styleId="3346">
    <w:name w:val="发文文号"/>
    <w:basedOn w:val="1"/>
    <w:qFormat/>
    <w:uiPriority w:val="0"/>
    <w:pPr>
      <w:widowControl w:val="0"/>
      <w:jc w:val="both"/>
    </w:pPr>
    <w:rPr>
      <w:rFonts w:ascii="Times New Roman" w:hAnsi="Times New Roman" w:eastAsia="仿宋_GB2312" w:cs="Times New Roman"/>
      <w:kern w:val="2"/>
      <w:sz w:val="32"/>
      <w:szCs w:val="20"/>
    </w:rPr>
  </w:style>
  <w:style w:type="paragraph" w:customStyle="1" w:styleId="3347">
    <w:name w:val="默认段落字体 Para Char Char Char Char Char Char Char Char Char Char Char Char Char Char Char Char"/>
    <w:basedOn w:val="1"/>
    <w:qFormat/>
    <w:uiPriority w:val="0"/>
    <w:pPr>
      <w:widowControl w:val="0"/>
      <w:spacing w:line="480" w:lineRule="exact"/>
      <w:ind w:firstLine="200" w:firstLineChars="200"/>
      <w:jc w:val="both"/>
    </w:pPr>
    <w:rPr>
      <w:kern w:val="2"/>
      <w:sz w:val="28"/>
    </w:rPr>
  </w:style>
  <w:style w:type="paragraph" w:customStyle="1" w:styleId="3348">
    <w:name w:val="样式93"/>
    <w:basedOn w:val="1"/>
    <w:qFormat/>
    <w:uiPriority w:val="0"/>
    <w:pPr>
      <w:widowControl w:val="0"/>
      <w:spacing w:line="520" w:lineRule="exact"/>
      <w:ind w:firstLine="480" w:firstLineChars="200"/>
      <w:jc w:val="both"/>
    </w:pPr>
    <w:rPr>
      <w:rFonts w:eastAsia="仿宋_GB2312" w:cs="Times New Roman"/>
      <w:kern w:val="11"/>
      <w:sz w:val="21"/>
      <w:lang w:val="zh-CN"/>
    </w:rPr>
  </w:style>
  <w:style w:type="paragraph" w:customStyle="1" w:styleId="3349">
    <w:name w:val="Char Char Char Char Char Char Char Char Char Char Char Char Char1 Char Char Char Char Char Char Char Char Char Char Char Char Char Char Char Char Char Char Char2"/>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350">
    <w:name w:val="一般正文 + 首行缩进:  2 字符 Char Char"/>
    <w:basedOn w:val="1"/>
    <w:qFormat/>
    <w:uiPriority w:val="0"/>
    <w:pPr>
      <w:widowControl w:val="0"/>
      <w:adjustRightInd w:val="0"/>
      <w:snapToGrid w:val="0"/>
      <w:spacing w:before="62" w:beforeLines="20" w:line="324" w:lineRule="auto"/>
      <w:ind w:firstLine="200" w:firstLineChars="200"/>
      <w:jc w:val="both"/>
    </w:pPr>
    <w:rPr>
      <w:rFonts w:ascii="Times New Roman" w:hAnsi="Times New Roman"/>
      <w:color w:val="000000"/>
      <w:kern w:val="2"/>
      <w:sz w:val="26"/>
    </w:rPr>
  </w:style>
  <w:style w:type="paragraph" w:customStyle="1" w:styleId="3351">
    <w:name w:val="8.2.1.1 标题 31.1.1条标题 3 Char Char标题 3 Char标3§1.1.1.. (1.1.1)- ...1"/>
    <w:basedOn w:val="1"/>
    <w:qFormat/>
    <w:uiPriority w:val="0"/>
    <w:pPr>
      <w:widowControl w:val="0"/>
      <w:tabs>
        <w:tab w:val="left" w:pos="0"/>
        <w:tab w:val="left" w:pos="2869"/>
      </w:tabs>
      <w:spacing w:line="312" w:lineRule="auto"/>
      <w:ind w:left="2869" w:hanging="709"/>
      <w:jc w:val="both"/>
    </w:pPr>
    <w:rPr>
      <w:rFonts w:ascii="Times New Roman" w:hAnsi="Times New Roman" w:cs="Times New Roman"/>
      <w:kern w:val="2"/>
      <w:sz w:val="21"/>
      <w:szCs w:val="20"/>
    </w:rPr>
  </w:style>
  <w:style w:type="paragraph" w:customStyle="1" w:styleId="3352">
    <w:name w:val="正文，四宋"/>
    <w:basedOn w:val="1"/>
    <w:qFormat/>
    <w:uiPriority w:val="0"/>
    <w:pPr>
      <w:keepNext/>
      <w:widowControl w:val="0"/>
      <w:spacing w:line="480" w:lineRule="exact"/>
      <w:ind w:firstLine="567"/>
      <w:jc w:val="both"/>
      <w:outlineLvl w:val="4"/>
    </w:pPr>
    <w:rPr>
      <w:rFonts w:ascii="Times New Roman" w:hAnsi="Times New Roman" w:cs="Times New Roman"/>
      <w:sz w:val="28"/>
      <w:szCs w:val="20"/>
    </w:rPr>
  </w:style>
  <w:style w:type="paragraph" w:customStyle="1" w:styleId="3353">
    <w:name w:val="样式 标题 2 + 四号 非加粗"/>
    <w:basedOn w:val="4"/>
    <w:qFormat/>
    <w:uiPriority w:val="0"/>
    <w:pPr>
      <w:keepNext w:val="0"/>
      <w:widowControl w:val="0"/>
      <w:numPr>
        <w:ilvl w:val="0"/>
        <w:numId w:val="0"/>
      </w:numPr>
      <w:tabs>
        <w:tab w:val="left" w:pos="360"/>
        <w:tab w:val="left" w:pos="630"/>
        <w:tab w:val="left" w:pos="720"/>
        <w:tab w:val="left" w:pos="8092"/>
      </w:tabs>
      <w:snapToGrid w:val="0"/>
      <w:spacing w:before="156" w:after="156" w:line="415" w:lineRule="auto"/>
      <w:ind w:firstLine="980" w:firstLineChars="200"/>
    </w:pPr>
    <w:rPr>
      <w:rFonts w:cs="Times New Roman"/>
      <w:b w:val="0"/>
      <w:color w:val="FF0000"/>
      <w:kern w:val="2"/>
      <w:sz w:val="28"/>
      <w:szCs w:val="32"/>
      <w:lang w:val="zh-CN"/>
    </w:rPr>
  </w:style>
  <w:style w:type="paragraph" w:customStyle="1" w:styleId="3354">
    <w:name w:val="样式 标题 4 + Times New Roman"/>
    <w:basedOn w:val="6"/>
    <w:qFormat/>
    <w:uiPriority w:val="0"/>
    <w:pPr>
      <w:widowControl w:val="0"/>
      <w:tabs>
        <w:tab w:val="left" w:pos="851"/>
        <w:tab w:val="left" w:pos="945"/>
        <w:tab w:val="left" w:pos="1620"/>
      </w:tabs>
      <w:adjustRightInd w:val="0"/>
      <w:snapToGrid w:val="0"/>
      <w:spacing w:before="156" w:beforeLines="50" w:after="156" w:line="440" w:lineRule="exact"/>
      <w:ind w:firstLine="454" w:firstLineChars="200"/>
      <w:jc w:val="both"/>
    </w:pPr>
    <w:rPr>
      <w:rFonts w:ascii="Times New Roman" w:hAnsi="Times New Roman" w:eastAsia="宋体" w:cs="宋体"/>
      <w:b w:val="0"/>
      <w:bCs w:val="0"/>
      <w:kern w:val="2"/>
      <w:sz w:val="21"/>
      <w:szCs w:val="24"/>
    </w:rPr>
  </w:style>
  <w:style w:type="paragraph" w:customStyle="1" w:styleId="3355">
    <w:name w:val="样式 题注 + 首行缩进:  2 字符2"/>
    <w:basedOn w:val="22"/>
    <w:qFormat/>
    <w:uiPriority w:val="0"/>
    <w:pPr>
      <w:keepNext/>
      <w:widowControl w:val="0"/>
      <w:adjustRightInd w:val="0"/>
      <w:snapToGrid w:val="0"/>
      <w:spacing w:before="152" w:after="160"/>
      <w:ind w:firstLine="480" w:firstLineChars="200"/>
      <w:jc w:val="center"/>
    </w:pPr>
    <w:rPr>
      <w:rFonts w:ascii="黑体" w:hAnsi="宋体" w:eastAsia="宋体" w:cs="Times New Roman"/>
      <w:color w:val="000000"/>
      <w:kern w:val="2"/>
      <w:sz w:val="21"/>
      <w:lang w:val="zh-CN"/>
    </w:rPr>
  </w:style>
  <w:style w:type="paragraph" w:customStyle="1" w:styleId="3356">
    <w:name w:val="样式 样式 表格文字 + 左侧:  -0.5 字符 + 五号 行距: 最小值 10 磅"/>
    <w:basedOn w:val="3083"/>
    <w:qFormat/>
    <w:uiPriority w:val="0"/>
    <w:pPr>
      <w:spacing w:line="200" w:lineRule="atLeast"/>
      <w:ind w:firstLine="50" w:firstLineChars="50"/>
    </w:pPr>
  </w:style>
  <w:style w:type="paragraph" w:customStyle="1" w:styleId="3357">
    <w:name w:val="样式 标题一 + 首行缩进:  2 字符 段前: 0.5 行 段后: 0.8 行"/>
    <w:basedOn w:val="1"/>
    <w:qFormat/>
    <w:uiPriority w:val="0"/>
    <w:pPr>
      <w:widowControl w:val="0"/>
      <w:adjustRightInd w:val="0"/>
      <w:snapToGrid w:val="0"/>
      <w:spacing w:before="156" w:beforeLines="50" w:after="156" w:afterLines="50"/>
      <w:ind w:firstLine="200" w:firstLineChars="200"/>
      <w:jc w:val="both"/>
    </w:pPr>
    <w:rPr>
      <w:rFonts w:ascii="Times New Roman" w:hAnsi="Times New Roman" w:eastAsia="黑体"/>
      <w:b/>
      <w:bCs/>
      <w:kern w:val="2"/>
      <w:sz w:val="28"/>
      <w:szCs w:val="20"/>
    </w:rPr>
  </w:style>
  <w:style w:type="paragraph" w:customStyle="1" w:styleId="3358">
    <w:name w:val="样式 小四 首行缩进:  2 字符"/>
    <w:basedOn w:val="1"/>
    <w:next w:val="1"/>
    <w:qFormat/>
    <w:uiPriority w:val="0"/>
    <w:pPr>
      <w:widowControl w:val="0"/>
      <w:spacing w:line="480" w:lineRule="atLeast"/>
      <w:ind w:firstLine="180" w:firstLineChars="180"/>
      <w:jc w:val="both"/>
    </w:pPr>
    <w:rPr>
      <w:rFonts w:hint="eastAsia" w:ascii="Times New Roman" w:hAnsi="Times New Roman" w:cs="Times New Roman"/>
      <w:kern w:val="2"/>
      <w:sz w:val="21"/>
      <w:szCs w:val="20"/>
    </w:rPr>
  </w:style>
  <w:style w:type="paragraph" w:customStyle="1" w:styleId="3359">
    <w:name w:val="说明-标题2"/>
    <w:basedOn w:val="4"/>
    <w:qFormat/>
    <w:uiPriority w:val="0"/>
    <w:pPr>
      <w:keepNext w:val="0"/>
      <w:pageBreakBefore/>
      <w:widowControl w:val="0"/>
      <w:numPr>
        <w:ilvl w:val="0"/>
        <w:numId w:val="0"/>
      </w:numPr>
      <w:tabs>
        <w:tab w:val="left" w:pos="360"/>
        <w:tab w:val="left" w:pos="630"/>
        <w:tab w:val="left" w:pos="720"/>
        <w:tab w:val="left" w:pos="8092"/>
      </w:tabs>
      <w:snapToGrid w:val="0"/>
      <w:spacing w:before="156" w:after="156" w:line="416" w:lineRule="atLeast"/>
      <w:ind w:firstLine="980" w:firstLineChars="200"/>
    </w:pPr>
    <w:rPr>
      <w:rFonts w:hint="eastAsia" w:cs="Times New Roman"/>
      <w:b w:val="0"/>
      <w:color w:val="FF0000"/>
      <w:kern w:val="2"/>
      <w:sz w:val="36"/>
      <w:szCs w:val="20"/>
      <w:lang w:val="zh-CN"/>
    </w:rPr>
  </w:style>
  <w:style w:type="paragraph" w:customStyle="1" w:styleId="3360">
    <w:name w:val="正文缩近"/>
    <w:basedOn w:val="1"/>
    <w:qFormat/>
    <w:uiPriority w:val="0"/>
    <w:pPr>
      <w:widowControl w:val="0"/>
      <w:ind w:firstLine="560" w:firstLineChars="200"/>
      <w:jc w:val="both"/>
    </w:pPr>
    <w:rPr>
      <w:rFonts w:ascii="Times New Roman" w:hAnsi="Times New Roman" w:cs="Times New Roman"/>
      <w:kern w:val="2"/>
      <w:sz w:val="28"/>
      <w:szCs w:val="28"/>
    </w:rPr>
  </w:style>
  <w:style w:type="paragraph" w:customStyle="1" w:styleId="3361">
    <w:name w:val="样式 11.5 磅 行距: 1.5 倍行距"/>
    <w:basedOn w:val="1"/>
    <w:qFormat/>
    <w:uiPriority w:val="0"/>
    <w:pPr>
      <w:widowControl w:val="0"/>
      <w:ind w:firstLine="460" w:firstLineChars="200"/>
      <w:jc w:val="both"/>
    </w:pPr>
    <w:rPr>
      <w:rFonts w:ascii="Times New Roman" w:hAnsi="Times New Roman"/>
      <w:kern w:val="2"/>
      <w:sz w:val="21"/>
      <w:szCs w:val="20"/>
    </w:rPr>
  </w:style>
  <w:style w:type="paragraph" w:customStyle="1" w:styleId="3362">
    <w:name w:val="新丰产业转移园表"/>
    <w:basedOn w:val="1"/>
    <w:qFormat/>
    <w:uiPriority w:val="0"/>
    <w:pPr>
      <w:widowControl w:val="0"/>
      <w:autoSpaceDE w:val="0"/>
      <w:autoSpaceDN w:val="0"/>
      <w:adjustRightInd w:val="0"/>
      <w:spacing w:line="0" w:lineRule="atLeast"/>
      <w:jc w:val="both"/>
      <w:textAlignment w:val="center"/>
    </w:pPr>
    <w:rPr>
      <w:rFonts w:cs="Times New Roman"/>
      <w:sz w:val="21"/>
      <w:szCs w:val="21"/>
    </w:rPr>
  </w:style>
  <w:style w:type="paragraph" w:customStyle="1" w:styleId="3363">
    <w:name w:val="检索5"/>
    <w:basedOn w:val="3178"/>
    <w:qFormat/>
    <w:uiPriority w:val="0"/>
    <w:pPr>
      <w:ind w:left="1304"/>
    </w:pPr>
    <w:rPr>
      <w:color w:val="000080"/>
    </w:rPr>
  </w:style>
  <w:style w:type="paragraph" w:customStyle="1" w:styleId="3364">
    <w:name w:val="附注，五宋"/>
    <w:qFormat/>
    <w:uiPriority w:val="0"/>
    <w:pPr>
      <w:keepNext/>
      <w:widowControl w:val="0"/>
      <w:adjustRightInd w:val="0"/>
      <w:spacing w:line="360" w:lineRule="exact"/>
      <w:ind w:firstLine="425"/>
      <w:jc w:val="both"/>
    </w:pPr>
    <w:rPr>
      <w:rFonts w:ascii="Times New Roman" w:hAnsi="Times New Roman" w:eastAsia="宋体" w:cs="Times New Roman"/>
      <w:spacing w:val="20"/>
      <w:sz w:val="21"/>
      <w:lang w:val="en-US" w:eastAsia="zh-CN" w:bidi="ar-SA"/>
    </w:rPr>
  </w:style>
  <w:style w:type="paragraph" w:customStyle="1" w:styleId="3365">
    <w:name w:val="main"/>
    <w:basedOn w:val="1"/>
    <w:qFormat/>
    <w:uiPriority w:val="0"/>
    <w:pPr>
      <w:widowControl w:val="0"/>
      <w:spacing w:before="100" w:beforeAutospacing="1" w:after="100" w:afterAutospacing="1"/>
      <w:ind w:firstLine="400"/>
      <w:jc w:val="both"/>
    </w:pPr>
    <w:rPr>
      <w:rFonts w:hint="eastAsia" w:ascii="Times New Roman" w:hAnsi="Times New Roman" w:eastAsia="Arial Unicode MS" w:cs="Times New Roman"/>
      <w:kern w:val="2"/>
      <w:sz w:val="18"/>
      <w:szCs w:val="20"/>
    </w:rPr>
  </w:style>
  <w:style w:type="paragraph" w:customStyle="1" w:styleId="3366">
    <w:name w:val="Char Char Char1 Char2"/>
    <w:basedOn w:val="1"/>
    <w:qFormat/>
    <w:uiPriority w:val="0"/>
    <w:pPr>
      <w:widowControl w:val="0"/>
      <w:snapToGrid w:val="0"/>
      <w:spacing w:line="360" w:lineRule="auto"/>
      <w:ind w:firstLine="200" w:firstLineChars="200"/>
      <w:jc w:val="both"/>
    </w:pPr>
    <w:rPr>
      <w:rFonts w:ascii="Times New Roman" w:hAnsi="Times New Roman" w:eastAsia="仿宋_GB2312" w:cs="Times New Roman"/>
      <w:kern w:val="2"/>
    </w:rPr>
  </w:style>
  <w:style w:type="paragraph" w:customStyle="1" w:styleId="3367">
    <w:name w:val="样式185"/>
    <w:basedOn w:val="70"/>
    <w:qFormat/>
    <w:uiPriority w:val="0"/>
    <w:pPr>
      <w:adjustRightInd w:val="0"/>
      <w:spacing w:line="360" w:lineRule="atLeast"/>
      <w:ind w:firstLine="420" w:firstLineChars="0"/>
      <w:textAlignment w:val="baseline"/>
    </w:pPr>
    <w:rPr>
      <w:kern w:val="0"/>
      <w:szCs w:val="20"/>
      <w:lang w:val="zh-CN"/>
    </w:rPr>
  </w:style>
  <w:style w:type="paragraph" w:customStyle="1" w:styleId="3368">
    <w:name w:val="样式 小四 行距: 固定值 22 磅"/>
    <w:basedOn w:val="1"/>
    <w:next w:val="6"/>
    <w:qFormat/>
    <w:uiPriority w:val="0"/>
    <w:pPr>
      <w:widowControl w:val="0"/>
      <w:spacing w:line="440" w:lineRule="exact"/>
      <w:ind w:firstLine="454"/>
      <w:jc w:val="both"/>
    </w:pPr>
    <w:rPr>
      <w:rFonts w:ascii="Times New Roman" w:hAnsi="Times New Roman" w:eastAsia="黑体" w:cs="Times New Roman"/>
      <w:kern w:val="2"/>
      <w:sz w:val="28"/>
      <w:szCs w:val="28"/>
    </w:rPr>
  </w:style>
  <w:style w:type="paragraph" w:customStyle="1" w:styleId="3369">
    <w:name w:val="二级标题 Char Char Char"/>
    <w:basedOn w:val="1"/>
    <w:next w:val="1"/>
    <w:qFormat/>
    <w:uiPriority w:val="0"/>
    <w:pPr>
      <w:widowControl w:val="0"/>
      <w:spacing w:line="529" w:lineRule="exact"/>
      <w:ind w:firstLine="480" w:firstLineChars="200"/>
      <w:jc w:val="both"/>
    </w:pPr>
    <w:rPr>
      <w:kern w:val="2"/>
      <w:sz w:val="21"/>
    </w:rPr>
  </w:style>
  <w:style w:type="paragraph" w:customStyle="1" w:styleId="3370">
    <w:name w:val="正文24"/>
    <w:basedOn w:val="1"/>
    <w:qFormat/>
    <w:uiPriority w:val="0"/>
    <w:pPr>
      <w:widowControl w:val="0"/>
      <w:ind w:firstLine="200" w:firstLineChars="200"/>
      <w:jc w:val="both"/>
    </w:pPr>
    <w:rPr>
      <w:rFonts w:ascii="Times New Roman" w:hAnsi="Times New Roman" w:cs="Tahoma"/>
      <w:sz w:val="21"/>
    </w:rPr>
  </w:style>
  <w:style w:type="paragraph" w:customStyle="1" w:styleId="3371">
    <w:name w:val="自正文1"/>
    <w:basedOn w:val="1"/>
    <w:qFormat/>
    <w:uiPriority w:val="0"/>
    <w:pPr>
      <w:widowControl w:val="0"/>
      <w:tabs>
        <w:tab w:val="left" w:pos="0"/>
        <w:tab w:val="left" w:pos="5670"/>
      </w:tabs>
      <w:adjustRightInd w:val="0"/>
      <w:snapToGrid w:val="0"/>
      <w:ind w:firstLine="480" w:firstLineChars="200"/>
      <w:jc w:val="both"/>
      <w:textAlignment w:val="baseline"/>
    </w:pPr>
    <w:rPr>
      <w:rFonts w:hAnsi="Times New Roman" w:cs="Times New Roman"/>
      <w:color w:val="000000"/>
      <w:kern w:val="2"/>
      <w:sz w:val="21"/>
      <w:szCs w:val="20"/>
    </w:rPr>
  </w:style>
  <w:style w:type="paragraph" w:customStyle="1" w:styleId="3372">
    <w:name w:val="环小四表内容"/>
    <w:basedOn w:val="1"/>
    <w:qFormat/>
    <w:uiPriority w:val="0"/>
    <w:pPr>
      <w:widowControl w:val="0"/>
      <w:wordWrap w:val="0"/>
      <w:spacing w:line="240" w:lineRule="exact"/>
      <w:jc w:val="center"/>
    </w:pPr>
    <w:rPr>
      <w:rFonts w:cs="Times New Roman"/>
      <w:sz w:val="18"/>
      <w:szCs w:val="18"/>
      <w:lang w:val="zh-CN"/>
    </w:rPr>
  </w:style>
  <w:style w:type="paragraph" w:customStyle="1" w:styleId="3373">
    <w:name w:val="样式 11.5 磅 行距: 1.5 倍行距5"/>
    <w:basedOn w:val="1"/>
    <w:qFormat/>
    <w:uiPriority w:val="0"/>
    <w:pPr>
      <w:widowControl w:val="0"/>
      <w:ind w:firstLine="460" w:firstLineChars="200"/>
      <w:jc w:val="both"/>
    </w:pPr>
    <w:rPr>
      <w:rFonts w:ascii="Times New Roman" w:hAnsi="Times New Roman"/>
      <w:kern w:val="2"/>
      <w:sz w:val="21"/>
      <w:szCs w:val="20"/>
    </w:rPr>
  </w:style>
  <w:style w:type="paragraph" w:customStyle="1" w:styleId="3374">
    <w:name w:val="样式 标题 3标题 3 Char标题 3 Char Char Char Char Char标题 3 Char Char C..."/>
    <w:basedOn w:val="5"/>
    <w:qFormat/>
    <w:uiPriority w:val="0"/>
    <w:pPr>
      <w:keepNext w:val="0"/>
      <w:keepLines w:val="0"/>
      <w:widowControl w:val="0"/>
      <w:tabs>
        <w:tab w:val="left" w:pos="360"/>
        <w:tab w:val="left" w:pos="636"/>
        <w:tab w:val="left" w:pos="720"/>
        <w:tab w:val="left" w:pos="4621"/>
      </w:tabs>
      <w:snapToGrid w:val="0"/>
      <w:spacing w:beforeLines="100" w:after="0" w:afterLines="50" w:line="480" w:lineRule="exact"/>
      <w:ind w:firstLine="980" w:firstLineChars="200"/>
      <w:jc w:val="both"/>
    </w:pPr>
    <w:rPr>
      <w:rFonts w:hint="eastAsia" w:ascii="Times New Roman" w:cs="Times New Roman"/>
      <w:b w:val="0"/>
      <w:bCs w:val="0"/>
      <w:kern w:val="2"/>
      <w:sz w:val="24"/>
      <w:szCs w:val="24"/>
    </w:rPr>
  </w:style>
  <w:style w:type="paragraph" w:customStyle="1" w:styleId="3375">
    <w:name w:val="正文缩进12"/>
    <w:basedOn w:val="1"/>
    <w:qFormat/>
    <w:uiPriority w:val="0"/>
    <w:pPr>
      <w:widowControl w:val="0"/>
      <w:adjustRightInd w:val="0"/>
      <w:snapToGrid w:val="0"/>
      <w:ind w:firstLine="150" w:firstLineChars="150"/>
      <w:jc w:val="both"/>
    </w:pPr>
    <w:rPr>
      <w:rFonts w:ascii="Times New Roman" w:hAnsi="Times New Roman" w:cs="Times New Roman"/>
      <w:kern w:val="2"/>
      <w:sz w:val="21"/>
      <w:szCs w:val="20"/>
    </w:rPr>
  </w:style>
  <w:style w:type="paragraph" w:customStyle="1" w:styleId="3376">
    <w:name w:val="样式 标题 2 + 首行缩进:  1.8 字符"/>
    <w:basedOn w:val="4"/>
    <w:qFormat/>
    <w:uiPriority w:val="0"/>
    <w:pPr>
      <w:keepNext w:val="0"/>
      <w:widowControl w:val="0"/>
      <w:numPr>
        <w:ilvl w:val="0"/>
        <w:numId w:val="0"/>
      </w:numPr>
      <w:tabs>
        <w:tab w:val="left" w:pos="0"/>
        <w:tab w:val="left" w:pos="360"/>
        <w:tab w:val="left" w:pos="720"/>
        <w:tab w:val="left" w:pos="8092"/>
      </w:tabs>
      <w:snapToGrid w:val="0"/>
      <w:spacing w:before="240" w:after="156" w:line="240" w:lineRule="auto"/>
      <w:ind w:firstLine="542" w:firstLineChars="180"/>
    </w:pPr>
    <w:rPr>
      <w:rFonts w:cs="Times New Roman"/>
      <w:bCs/>
      <w:color w:val="FF0000"/>
      <w:kern w:val="2"/>
      <w:sz w:val="28"/>
      <w:szCs w:val="32"/>
    </w:rPr>
  </w:style>
  <w:style w:type="paragraph" w:customStyle="1" w:styleId="3377">
    <w:name w:val="样式 标题 2 + 左侧:  0 厘米 悬挂缩进: 5.76 字符 段前: 6 磅 段后: 6 磅 行距: 固定值 20..."/>
    <w:basedOn w:val="4"/>
    <w:qFormat/>
    <w:uiPriority w:val="0"/>
    <w:pPr>
      <w:keepNext w:val="0"/>
      <w:widowControl w:val="0"/>
      <w:numPr>
        <w:ilvl w:val="0"/>
        <w:numId w:val="0"/>
      </w:numPr>
      <w:tabs>
        <w:tab w:val="left" w:pos="360"/>
        <w:tab w:val="left" w:pos="630"/>
        <w:tab w:val="left" w:pos="720"/>
        <w:tab w:val="left" w:pos="8092"/>
      </w:tabs>
      <w:snapToGrid w:val="0"/>
      <w:spacing w:before="0" w:after="156" w:line="400" w:lineRule="exact"/>
      <w:ind w:left="576" w:firstLine="980" w:firstLineChars="200"/>
    </w:pPr>
    <w:rPr>
      <w:rFonts w:cs="Times New Roman"/>
      <w:b w:val="0"/>
      <w:color w:val="FF0000"/>
      <w:kern w:val="2"/>
      <w:szCs w:val="20"/>
      <w:lang w:val="zh-CN"/>
    </w:rPr>
  </w:style>
  <w:style w:type="paragraph" w:customStyle="1" w:styleId="3378">
    <w:name w:val="正文文本缩进 213"/>
    <w:basedOn w:val="1"/>
    <w:qFormat/>
    <w:uiPriority w:val="0"/>
    <w:pPr>
      <w:widowControl w:val="0"/>
      <w:adjustRightInd w:val="0"/>
      <w:spacing w:after="120" w:line="400" w:lineRule="exact"/>
      <w:ind w:firstLine="525" w:firstLineChars="200"/>
      <w:jc w:val="both"/>
    </w:pPr>
    <w:rPr>
      <w:rFonts w:hAnsi="Times New Roman" w:cs="Times New Roman"/>
      <w:spacing w:val="16"/>
      <w:kern w:val="2"/>
      <w:sz w:val="21"/>
      <w:szCs w:val="20"/>
    </w:rPr>
  </w:style>
  <w:style w:type="paragraph" w:customStyle="1" w:styleId="3379">
    <w:name w:val="宗兴表格"/>
    <w:basedOn w:val="1"/>
    <w:qFormat/>
    <w:uiPriority w:val="0"/>
    <w:pPr>
      <w:widowControl w:val="0"/>
      <w:snapToGrid w:val="0"/>
      <w:spacing w:before="62" w:beforeLines="20"/>
      <w:jc w:val="center"/>
    </w:pPr>
    <w:rPr>
      <w:rFonts w:ascii="Times New Roman" w:hAnsi="Times New Roman" w:cs="Times New Roman"/>
      <w:bCs/>
      <w:color w:val="0000FF"/>
      <w:kern w:val="2"/>
      <w:sz w:val="21"/>
      <w:szCs w:val="21"/>
    </w:rPr>
  </w:style>
  <w:style w:type="paragraph" w:customStyle="1" w:styleId="3380">
    <w:name w:val="三级(1)"/>
    <w:basedOn w:val="1"/>
    <w:qFormat/>
    <w:uiPriority w:val="0"/>
    <w:pPr>
      <w:widowControl w:val="0"/>
      <w:adjustRightInd w:val="0"/>
      <w:snapToGrid w:val="0"/>
      <w:spacing w:line="360" w:lineRule="exact"/>
      <w:jc w:val="both"/>
      <w:textAlignment w:val="baseline"/>
    </w:pPr>
    <w:rPr>
      <w:rFonts w:ascii="Times New Roman" w:hAnsi="Times New Roman" w:cs="Times New Roman"/>
      <w:sz w:val="21"/>
      <w:szCs w:val="20"/>
    </w:rPr>
  </w:style>
  <w:style w:type="paragraph" w:customStyle="1" w:styleId="3381">
    <w:name w:val="样式 标题 2章宋三一、标题2－节h2节名Title2H2heading 2½ÚÃûl22nd leve..."/>
    <w:basedOn w:val="4"/>
    <w:qFormat/>
    <w:uiPriority w:val="0"/>
    <w:pPr>
      <w:keepNext w:val="0"/>
      <w:widowControl w:val="0"/>
      <w:numPr>
        <w:ilvl w:val="0"/>
        <w:numId w:val="0"/>
      </w:numPr>
      <w:tabs>
        <w:tab w:val="left" w:pos="360"/>
        <w:tab w:val="left" w:pos="576"/>
        <w:tab w:val="left" w:pos="720"/>
        <w:tab w:val="left" w:pos="8092"/>
      </w:tabs>
      <w:snapToGrid w:val="0"/>
      <w:spacing w:before="240" w:after="156" w:line="240" w:lineRule="auto"/>
      <w:ind w:left="576" w:firstLine="980" w:firstLineChars="200"/>
    </w:pPr>
    <w:rPr>
      <w:rFonts w:ascii="宋体" w:hAnsi="宋体"/>
      <w:b w:val="0"/>
      <w:bCs/>
      <w:color w:val="FF0000"/>
      <w:kern w:val="2"/>
      <w:sz w:val="28"/>
      <w:szCs w:val="20"/>
      <w:lang w:val="zh-CN"/>
    </w:rPr>
  </w:style>
  <w:style w:type="paragraph" w:customStyle="1" w:styleId="3382">
    <w:name w:val="Char Char Char Char Char Char Char Char Char Char Char Char Char Char Char Char Char Char Char Char Char Char Char Char Char Char Char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3383">
    <w:name w:val="发文标题"/>
    <w:basedOn w:val="35"/>
    <w:qFormat/>
    <w:uiPriority w:val="0"/>
    <w:pPr>
      <w:widowControl w:val="0"/>
      <w:snapToGrid w:val="0"/>
      <w:spacing w:after="0" w:line="240" w:lineRule="atLeast"/>
      <w:ind w:left="0" w:leftChars="0" w:firstLine="200" w:firstLineChars="200"/>
      <w:jc w:val="center"/>
    </w:pPr>
    <w:rPr>
      <w:rFonts w:ascii="Times New Roman" w:hAnsi="Times New Roman" w:eastAsia="微软雅黑" w:cs="Times New Roman"/>
      <w:color w:val="FF0000"/>
      <w:kern w:val="2"/>
      <w:sz w:val="44"/>
    </w:rPr>
  </w:style>
  <w:style w:type="paragraph" w:customStyle="1" w:styleId="3384">
    <w:name w:val="样式 标题 1标题 111一、Head 1wsa文章标题b1章标题 1H1PIM 1标书1h1标题 11..."/>
    <w:basedOn w:val="3"/>
    <w:qFormat/>
    <w:uiPriority w:val="0"/>
    <w:pPr>
      <w:keepNext w:val="0"/>
      <w:keepLines/>
      <w:tabs>
        <w:tab w:val="left" w:pos="0"/>
        <w:tab w:val="left" w:pos="4614"/>
      </w:tabs>
      <w:overflowPunct/>
      <w:adjustRightInd w:val="0"/>
      <w:spacing w:before="1200" w:after="156" w:line="440" w:lineRule="exact"/>
      <w:ind w:left="0" w:firstLine="0"/>
      <w:jc w:val="center"/>
    </w:pPr>
    <w:rPr>
      <w:rFonts w:ascii="Times New Roman" w:hAnsi="Times New Roman" w:eastAsia="宋体" w:cs="Times New Roman"/>
      <w:bCs w:val="0"/>
      <w:sz w:val="48"/>
      <w:szCs w:val="36"/>
      <w:lang w:val="zh-CN"/>
    </w:rPr>
  </w:style>
  <w:style w:type="paragraph" w:customStyle="1" w:styleId="3385">
    <w:name w:val="样式 标题 3 + 黑体 四号 段前: 0 磅 段后: 0 磅 行距: 1.5 倍行距"/>
    <w:basedOn w:val="5"/>
    <w:qFormat/>
    <w:uiPriority w:val="0"/>
    <w:pPr>
      <w:keepNext w:val="0"/>
      <w:keepLines w:val="0"/>
      <w:widowControl w:val="0"/>
      <w:tabs>
        <w:tab w:val="left" w:pos="360"/>
        <w:tab w:val="left" w:pos="720"/>
      </w:tabs>
      <w:snapToGrid w:val="0"/>
      <w:spacing w:before="0" w:beforeLines="100" w:after="0" w:afterLines="50" w:line="240" w:lineRule="auto"/>
      <w:ind w:firstLine="980" w:firstLineChars="200"/>
      <w:jc w:val="both"/>
    </w:pPr>
    <w:rPr>
      <w:rFonts w:ascii="Times New Roman" w:hAnsi="Times New Roman" w:eastAsia="仿宋_GB2312"/>
      <w:b w:val="0"/>
      <w:kern w:val="2"/>
      <w:sz w:val="24"/>
      <w:szCs w:val="24"/>
    </w:rPr>
  </w:style>
  <w:style w:type="paragraph" w:customStyle="1" w:styleId="3386">
    <w:name w:val="样式 标题 1 + 首行缩进:  0 厘米"/>
    <w:basedOn w:val="3"/>
    <w:qFormat/>
    <w:uiPriority w:val="0"/>
    <w:pPr>
      <w:keepNext w:val="0"/>
      <w:keepLines/>
      <w:tabs>
        <w:tab w:val="left" w:pos="567"/>
        <w:tab w:val="left" w:pos="4614"/>
      </w:tabs>
      <w:overflowPunct/>
      <w:adjustRightInd w:val="0"/>
      <w:spacing w:before="156" w:after="156" w:line="576" w:lineRule="auto"/>
      <w:ind w:left="0" w:firstLine="0"/>
      <w:jc w:val="center"/>
    </w:pPr>
    <w:rPr>
      <w:rFonts w:hint="eastAsia" w:ascii="Times New Roman" w:hAnsi="Times New Roman" w:eastAsia="宋体" w:cs="仿宋_GB2312"/>
      <w:color w:val="auto"/>
      <w:sz w:val="32"/>
      <w:szCs w:val="36"/>
    </w:rPr>
  </w:style>
  <w:style w:type="paragraph" w:customStyle="1" w:styleId="3387">
    <w:name w:val="正文1.5倍行距"/>
    <w:qFormat/>
    <w:uiPriority w:val="0"/>
    <w:pPr>
      <w:widowControl w:val="0"/>
      <w:adjustRightInd w:val="0"/>
      <w:snapToGrid w:val="0"/>
      <w:spacing w:line="360" w:lineRule="auto"/>
      <w:ind w:firstLine="480" w:firstLineChars="200"/>
      <w:jc w:val="both"/>
    </w:pPr>
    <w:rPr>
      <w:rFonts w:ascii="宋体" w:hAnsi="宋体" w:eastAsia="宋体" w:cs="Times New Roman"/>
      <w:sz w:val="24"/>
      <w:szCs w:val="24"/>
      <w:lang w:val="en-US" w:eastAsia="zh-CN" w:bidi="ar-SA"/>
    </w:rPr>
  </w:style>
  <w:style w:type="paragraph" w:customStyle="1" w:styleId="3388">
    <w:name w:val="Char Char Char12"/>
    <w:basedOn w:val="1"/>
    <w:qFormat/>
    <w:uiPriority w:val="0"/>
    <w:pPr>
      <w:keepNext/>
      <w:widowControl w:val="0"/>
      <w:tabs>
        <w:tab w:val="left" w:pos="425"/>
      </w:tabs>
      <w:autoSpaceDE w:val="0"/>
      <w:autoSpaceDN w:val="0"/>
      <w:adjustRightInd w:val="0"/>
      <w:spacing w:before="80" w:after="80"/>
      <w:ind w:hanging="425"/>
      <w:jc w:val="both"/>
    </w:pPr>
    <w:rPr>
      <w:rFonts w:ascii="Arial" w:hAnsi="Arial" w:cs="Arial"/>
      <w:kern w:val="2"/>
      <w:sz w:val="20"/>
      <w:szCs w:val="20"/>
    </w:rPr>
  </w:style>
  <w:style w:type="paragraph" w:customStyle="1" w:styleId="3389">
    <w:name w:val="样式 首行缩进:  0.77 厘米 行距: 固定值 20 磅"/>
    <w:basedOn w:val="1"/>
    <w:qFormat/>
    <w:uiPriority w:val="0"/>
    <w:pPr>
      <w:widowControl w:val="0"/>
      <w:ind w:firstLine="435"/>
      <w:jc w:val="both"/>
    </w:pPr>
    <w:rPr>
      <w:rFonts w:ascii="Times New Roman" w:hAnsi="Times New Roman" w:cs="Times New Roman"/>
      <w:kern w:val="2"/>
      <w:sz w:val="21"/>
      <w:szCs w:val="20"/>
    </w:rPr>
  </w:style>
  <w:style w:type="paragraph" w:customStyle="1" w:styleId="3390">
    <w:name w:val="样式 样式 标题 2 + 非加粗 + 加粗"/>
    <w:basedOn w:val="1"/>
    <w:qFormat/>
    <w:uiPriority w:val="0"/>
    <w:pPr>
      <w:keepNext/>
      <w:keepLines/>
      <w:widowControl w:val="0"/>
      <w:spacing w:before="260" w:after="260"/>
      <w:jc w:val="both"/>
      <w:outlineLvl w:val="1"/>
    </w:pPr>
    <w:rPr>
      <w:rFonts w:ascii="Arial" w:hAnsi="Arial" w:eastAsia="黑体" w:cs="Times New Roman"/>
      <w:b/>
      <w:bCs/>
      <w:kern w:val="2"/>
      <w:sz w:val="32"/>
      <w:szCs w:val="32"/>
    </w:rPr>
  </w:style>
  <w:style w:type="paragraph" w:customStyle="1" w:styleId="3391">
    <w:name w:val="Char Char Char Char Char Char Char Char Char Char Char Char Char Char Char Char Char Char Char Char Char Char Char Char Char Char Char Char Char Char Char Char Char Char Char Char Char Char Char Char2"/>
    <w:basedOn w:val="1"/>
    <w:qFormat/>
    <w:uiPriority w:val="0"/>
    <w:pPr>
      <w:widowControl w:val="0"/>
      <w:jc w:val="both"/>
    </w:pPr>
    <w:rPr>
      <w:rFonts w:ascii="Times New Roman" w:hAnsi="Times New Roman" w:cs="Times New Roman"/>
      <w:kern w:val="2"/>
      <w:sz w:val="21"/>
    </w:rPr>
  </w:style>
  <w:style w:type="paragraph" w:customStyle="1" w:styleId="3392">
    <w:name w:val="标题 35"/>
    <w:basedOn w:val="1"/>
    <w:qFormat/>
    <w:uiPriority w:val="0"/>
    <w:pPr>
      <w:widowControl w:val="0"/>
      <w:jc w:val="both"/>
    </w:pPr>
    <w:rPr>
      <w:rFonts w:ascii="Times New Roman" w:hAnsi="Times New Roman" w:cs="Times New Roman"/>
      <w:kern w:val="2"/>
      <w:sz w:val="21"/>
    </w:rPr>
  </w:style>
  <w:style w:type="paragraph" w:customStyle="1" w:styleId="3393">
    <w:name w:val="样式 海南化工城正文 + Times New Roman"/>
    <w:basedOn w:val="934"/>
    <w:qFormat/>
    <w:uiPriority w:val="0"/>
    <w:pPr>
      <w:spacing w:line="312" w:lineRule="auto"/>
      <w:ind w:firstLine="200"/>
    </w:pPr>
    <w:rPr>
      <w:rFonts w:cs="Times New Roman"/>
      <w:sz w:val="21"/>
      <w:szCs w:val="24"/>
      <w:lang w:val="zh-CN"/>
    </w:rPr>
  </w:style>
  <w:style w:type="paragraph" w:customStyle="1" w:styleId="3394">
    <w:name w:val="徐萍样式1"/>
    <w:basedOn w:val="1"/>
    <w:qFormat/>
    <w:uiPriority w:val="0"/>
    <w:pPr>
      <w:widowControl w:val="0"/>
      <w:jc w:val="both"/>
    </w:pPr>
    <w:rPr>
      <w:rFonts w:ascii="Times New Roman" w:hAnsi="Times New Roman" w:cs="Times New Roman"/>
      <w:sz w:val="26"/>
      <w:szCs w:val="21"/>
    </w:rPr>
  </w:style>
  <w:style w:type="paragraph" w:customStyle="1" w:styleId="3395">
    <w:name w:val="Char Char4 Char Char Char Char1"/>
    <w:basedOn w:val="1"/>
    <w:qFormat/>
    <w:uiPriority w:val="0"/>
    <w:pPr>
      <w:widowControl w:val="0"/>
      <w:jc w:val="both"/>
    </w:pPr>
    <w:rPr>
      <w:rFonts w:ascii="Times New Roman" w:hAnsi="Times New Roman" w:cs="Times New Roman"/>
      <w:kern w:val="2"/>
      <w:sz w:val="21"/>
    </w:rPr>
  </w:style>
  <w:style w:type="paragraph" w:customStyle="1" w:styleId="3396">
    <w:name w:val="化工城表"/>
    <w:basedOn w:val="1"/>
    <w:qFormat/>
    <w:uiPriority w:val="0"/>
    <w:pPr>
      <w:widowControl w:val="0"/>
      <w:autoSpaceDE w:val="0"/>
      <w:autoSpaceDN w:val="0"/>
      <w:adjustRightInd w:val="0"/>
      <w:spacing w:line="0" w:lineRule="atLeast"/>
      <w:jc w:val="center"/>
      <w:textAlignment w:val="center"/>
    </w:pPr>
    <w:rPr>
      <w:rFonts w:ascii="仿宋_GB2312" w:cs="Arial Unicode MS"/>
      <w:sz w:val="21"/>
      <w:szCs w:val="20"/>
    </w:rPr>
  </w:style>
  <w:style w:type="paragraph" w:customStyle="1" w:styleId="3397">
    <w:name w:val="标题 34"/>
    <w:qFormat/>
    <w:uiPriority w:val="0"/>
    <w:pPr>
      <w:adjustRightInd w:val="0"/>
      <w:snapToGrid w:val="0"/>
      <w:spacing w:before="156" w:beforeLines="50" w:after="156" w:afterLines="50" w:line="360" w:lineRule="auto"/>
      <w:outlineLvl w:val="2"/>
    </w:pPr>
    <w:rPr>
      <w:rFonts w:ascii="Times New Roman" w:hAnsi="Times New Roman" w:eastAsia="宋体" w:cs="宋体"/>
      <w:b/>
      <w:sz w:val="28"/>
      <w:szCs w:val="24"/>
      <w:lang w:val="en-US" w:eastAsia="zh-CN" w:bidi="ar-SA"/>
    </w:rPr>
  </w:style>
  <w:style w:type="paragraph" w:customStyle="1" w:styleId="3398">
    <w:name w:val="Char Char Char Char Char Char Char Char Char Char Char Char Char Char Char Char Char Char Char Char Char Char Char Char Char Char Char1 Char Char Char"/>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399">
    <w:name w:val="表格题目"/>
    <w:basedOn w:val="1"/>
    <w:qFormat/>
    <w:uiPriority w:val="0"/>
    <w:pPr>
      <w:widowControl w:val="0"/>
      <w:adjustRightInd w:val="0"/>
      <w:spacing w:before="156" w:beforeLines="50" w:after="156" w:afterLines="50"/>
      <w:ind w:left="470" w:leftChars="224" w:firstLine="1878" w:firstLineChars="797"/>
      <w:jc w:val="both"/>
    </w:pPr>
    <w:rPr>
      <w:rFonts w:hAnsi="Times New Roman" w:cs="Times New Roman"/>
      <w:b/>
      <w:bCs/>
      <w:kern w:val="2"/>
      <w:sz w:val="21"/>
      <w:szCs w:val="20"/>
    </w:rPr>
  </w:style>
  <w:style w:type="paragraph" w:customStyle="1" w:styleId="3400">
    <w:name w:val="中大2级2"/>
    <w:basedOn w:val="4"/>
    <w:qFormat/>
    <w:uiPriority w:val="0"/>
    <w:pPr>
      <w:keepNext w:val="0"/>
      <w:widowControl w:val="0"/>
      <w:numPr>
        <w:ilvl w:val="0"/>
        <w:numId w:val="0"/>
      </w:numPr>
      <w:tabs>
        <w:tab w:val="left" w:pos="0"/>
        <w:tab w:val="left" w:pos="360"/>
        <w:tab w:val="left" w:pos="720"/>
        <w:tab w:val="left" w:pos="1320"/>
        <w:tab w:val="left" w:pos="8092"/>
      </w:tabs>
      <w:snapToGrid w:val="0"/>
      <w:spacing w:before="0" w:after="0" w:line="240" w:lineRule="auto"/>
      <w:ind w:left="1320" w:hanging="420" w:firstLineChars="200"/>
    </w:pPr>
    <w:rPr>
      <w:rFonts w:ascii="Times New Roman" w:hAnsi="Times New Roman" w:eastAsia="宋体" w:cs="Times New Roman"/>
      <w:bCs/>
      <w:color w:val="FF0000"/>
      <w:szCs w:val="30"/>
    </w:rPr>
  </w:style>
  <w:style w:type="paragraph" w:customStyle="1" w:styleId="3401">
    <w:name w:val="11号线正文首行缩进2字符"/>
    <w:basedOn w:val="1"/>
    <w:qFormat/>
    <w:uiPriority w:val="0"/>
    <w:pPr>
      <w:widowControl w:val="0"/>
      <w:spacing w:line="500" w:lineRule="exact"/>
      <w:ind w:firstLine="200" w:firstLineChars="200"/>
      <w:jc w:val="both"/>
    </w:pPr>
    <w:rPr>
      <w:kern w:val="2"/>
      <w:sz w:val="28"/>
      <w:szCs w:val="28"/>
    </w:rPr>
  </w:style>
  <w:style w:type="paragraph" w:customStyle="1" w:styleId="3402">
    <w:name w:val="Char1 Char Char"/>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403">
    <w:name w:val="8.2.2.1"/>
    <w:basedOn w:val="1"/>
    <w:qFormat/>
    <w:uiPriority w:val="0"/>
    <w:pPr>
      <w:widowControl w:val="0"/>
      <w:tabs>
        <w:tab w:val="left" w:pos="0"/>
        <w:tab w:val="left" w:pos="425"/>
      </w:tabs>
      <w:spacing w:line="312" w:lineRule="auto"/>
      <w:ind w:left="425" w:hanging="425"/>
      <w:jc w:val="both"/>
    </w:pPr>
    <w:rPr>
      <w:rFonts w:ascii="Times New Roman" w:hAnsi="Times New Roman" w:cs="Times New Roman"/>
      <w:kern w:val="2"/>
      <w:sz w:val="21"/>
      <w:szCs w:val="20"/>
    </w:rPr>
  </w:style>
  <w:style w:type="paragraph" w:customStyle="1" w:styleId="3404">
    <w:name w:val="一般内容"/>
    <w:basedOn w:val="1"/>
    <w:qFormat/>
    <w:uiPriority w:val="0"/>
    <w:pPr>
      <w:widowControl w:val="0"/>
      <w:adjustRightInd w:val="0"/>
      <w:spacing w:before="156" w:beforeLines="50" w:line="400" w:lineRule="atLeast"/>
      <w:ind w:left="851"/>
      <w:jc w:val="both"/>
    </w:pPr>
    <w:rPr>
      <w:rFonts w:ascii="Times New Roman" w:hAnsi="Times New Roman" w:cs="Times New Roman"/>
      <w:sz w:val="21"/>
      <w:szCs w:val="20"/>
    </w:rPr>
  </w:style>
  <w:style w:type="paragraph" w:customStyle="1" w:styleId="3405">
    <w:name w:val="Char Char Char Char Char Char Char Char Char Char Char Char Char1 Char Char Char Char Char Char"/>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406">
    <w:name w:val="样式 宋体 11.5 磅 加粗 居中 右侧:  0.85 厘米"/>
    <w:basedOn w:val="1"/>
    <w:qFormat/>
    <w:uiPriority w:val="0"/>
    <w:pPr>
      <w:widowControl w:val="0"/>
      <w:ind w:right="480"/>
      <w:jc w:val="center"/>
    </w:pPr>
    <w:rPr>
      <w:b/>
      <w:bCs/>
      <w:sz w:val="21"/>
      <w:szCs w:val="20"/>
    </w:rPr>
  </w:style>
  <w:style w:type="paragraph" w:customStyle="1" w:styleId="3407">
    <w:name w:val="海南椰岛正文"/>
    <w:basedOn w:val="21"/>
    <w:qFormat/>
    <w:uiPriority w:val="0"/>
    <w:pPr>
      <w:adjustRightInd w:val="0"/>
      <w:snapToGrid w:val="0"/>
      <w:spacing w:before="156" w:beforeLines="50" w:line="312" w:lineRule="auto"/>
      <w:ind w:left="0" w:firstLine="200"/>
      <w:textAlignment w:val="baseline"/>
    </w:pPr>
    <w:rPr>
      <w:rFonts w:ascii="Times New Roman" w:hAnsi="Times New Roman" w:cs="Times New Roman"/>
      <w:sz w:val="21"/>
    </w:rPr>
  </w:style>
  <w:style w:type="paragraph" w:customStyle="1" w:styleId="3408">
    <w:name w:val="正文四宋"/>
    <w:basedOn w:val="1"/>
    <w:qFormat/>
    <w:uiPriority w:val="0"/>
    <w:pPr>
      <w:keepNext/>
      <w:widowControl w:val="0"/>
      <w:spacing w:line="460" w:lineRule="exact"/>
      <w:ind w:firstLine="567"/>
      <w:jc w:val="both"/>
      <w:outlineLvl w:val="4"/>
    </w:pPr>
    <w:rPr>
      <w:rFonts w:ascii="Times New Roman" w:hAnsi="Times New Roman" w:cs="Times New Roman"/>
      <w:kern w:val="2"/>
      <w:sz w:val="28"/>
      <w:szCs w:val="20"/>
    </w:rPr>
  </w:style>
  <w:style w:type="paragraph" w:customStyle="1" w:styleId="3409">
    <w:name w:val="表表题"/>
    <w:basedOn w:val="1"/>
    <w:qFormat/>
    <w:uiPriority w:val="0"/>
    <w:pPr>
      <w:widowControl w:val="0"/>
      <w:spacing w:before="120"/>
      <w:jc w:val="center"/>
    </w:pPr>
    <w:rPr>
      <w:rFonts w:ascii="Arial" w:hAnsi="Arial" w:cs="Times New Roman"/>
      <w:sz w:val="21"/>
    </w:rPr>
  </w:style>
  <w:style w:type="paragraph" w:customStyle="1" w:styleId="3410">
    <w:name w:val="Char1 Char Char Char Char Char Char1 Char Char Char"/>
    <w:basedOn w:val="1"/>
    <w:qFormat/>
    <w:uiPriority w:val="0"/>
    <w:pPr>
      <w:widowControl w:val="0"/>
      <w:ind w:firstLine="200" w:firstLineChars="200"/>
      <w:jc w:val="both"/>
    </w:pPr>
    <w:rPr>
      <w:kern w:val="2"/>
      <w:sz w:val="21"/>
    </w:rPr>
  </w:style>
  <w:style w:type="paragraph" w:customStyle="1" w:styleId="3411">
    <w:name w:val="表名，四宋"/>
    <w:next w:val="1"/>
    <w:qFormat/>
    <w:uiPriority w:val="0"/>
    <w:pPr>
      <w:keepNext/>
      <w:widowControl w:val="0"/>
      <w:spacing w:before="120" w:after="120" w:line="460" w:lineRule="exact"/>
      <w:jc w:val="center"/>
    </w:pPr>
    <w:rPr>
      <w:rFonts w:ascii="Times New Roman" w:hAnsi="Times New Roman" w:eastAsia="宋体" w:cs="Times New Roman"/>
      <w:sz w:val="28"/>
      <w:lang w:val="en-US" w:eastAsia="zh-CN" w:bidi="ar-SA"/>
    </w:rPr>
  </w:style>
  <w:style w:type="paragraph" w:customStyle="1" w:styleId="3412">
    <w:name w:val="正文(仿)首缩"/>
    <w:basedOn w:val="1"/>
    <w:qFormat/>
    <w:uiPriority w:val="0"/>
    <w:pPr>
      <w:widowControl w:val="0"/>
      <w:ind w:firstLine="554"/>
      <w:jc w:val="both"/>
    </w:pPr>
    <w:rPr>
      <w:rFonts w:ascii="仿宋_GB2312" w:hAnsi="Times New Roman" w:eastAsia="仿宋_GB2312" w:cs="Times New Roman"/>
      <w:kern w:val="2"/>
      <w:sz w:val="28"/>
      <w:szCs w:val="28"/>
    </w:rPr>
  </w:style>
  <w:style w:type="paragraph" w:customStyle="1" w:styleId="3413">
    <w:name w:val="样式 (西文) 仿宋_GB2312 (中文) 仿宋_GB2312 黑色 段前: 0.5 行 行距: 1.5 倍行距 首...2"/>
    <w:basedOn w:val="1"/>
    <w:qFormat/>
    <w:uiPriority w:val="0"/>
    <w:pPr>
      <w:widowControl w:val="0"/>
      <w:spacing w:after="312" w:afterLines="100" w:line="300" w:lineRule="auto"/>
      <w:jc w:val="both"/>
    </w:pPr>
    <w:rPr>
      <w:rFonts w:ascii="仿宋_GB2312" w:hAnsi="Times New Roman" w:eastAsia="仿宋_GB2312" w:cs="Times New Roman"/>
      <w:color w:val="000000"/>
      <w:kern w:val="2"/>
      <w:sz w:val="28"/>
      <w:szCs w:val="20"/>
    </w:rPr>
  </w:style>
  <w:style w:type="paragraph" w:customStyle="1" w:styleId="3414">
    <w:name w:val="样式 (中文) 黑体"/>
    <w:basedOn w:val="1"/>
    <w:qFormat/>
    <w:uiPriority w:val="0"/>
    <w:pPr>
      <w:widowControl w:val="0"/>
      <w:spacing w:line="480" w:lineRule="exact"/>
      <w:ind w:firstLine="567"/>
      <w:jc w:val="both"/>
    </w:pPr>
    <w:rPr>
      <w:rFonts w:ascii="Times New Roman" w:hAnsi="Times New Roman" w:eastAsia="黑体" w:cs="Times New Roman"/>
      <w:sz w:val="21"/>
      <w:szCs w:val="20"/>
    </w:rPr>
  </w:style>
  <w:style w:type="paragraph" w:customStyle="1" w:styleId="3415">
    <w:name w:val="样式 小四 首行缩进:  0.74 厘米 行距: 固定值 20 磅"/>
    <w:basedOn w:val="1"/>
    <w:qFormat/>
    <w:uiPriority w:val="0"/>
    <w:pPr>
      <w:widowControl w:val="0"/>
      <w:spacing w:line="440" w:lineRule="exact"/>
      <w:ind w:firstLine="454"/>
      <w:jc w:val="both"/>
    </w:pPr>
    <w:rPr>
      <w:rFonts w:ascii="Times New Roman" w:hAnsi="Times New Roman" w:cs="Times New Roman"/>
      <w:kern w:val="2"/>
      <w:sz w:val="21"/>
      <w:szCs w:val="20"/>
    </w:rPr>
  </w:style>
  <w:style w:type="paragraph" w:customStyle="1" w:styleId="3416">
    <w:name w:val="样式 四号 行距: 固定值 24 磅"/>
    <w:basedOn w:val="1"/>
    <w:qFormat/>
    <w:uiPriority w:val="0"/>
    <w:pPr>
      <w:widowControl w:val="0"/>
      <w:spacing w:line="480" w:lineRule="exact"/>
      <w:ind w:firstLine="560" w:firstLineChars="200"/>
      <w:jc w:val="both"/>
    </w:pPr>
    <w:rPr>
      <w:rFonts w:ascii="Times New Roman" w:hAnsi="Times New Roman" w:cs="Times New Roman"/>
      <w:kern w:val="2"/>
      <w:sz w:val="21"/>
      <w:szCs w:val="20"/>
    </w:rPr>
  </w:style>
  <w:style w:type="paragraph" w:customStyle="1" w:styleId="3417">
    <w:name w:val="样式 (符号) 宋体 行距: 最小值 12 磅"/>
    <w:basedOn w:val="1"/>
    <w:qFormat/>
    <w:uiPriority w:val="0"/>
    <w:pPr>
      <w:widowControl w:val="0"/>
      <w:jc w:val="both"/>
    </w:pPr>
    <w:rPr>
      <w:rFonts w:ascii="Times New Roman"/>
      <w:kern w:val="2"/>
      <w:sz w:val="21"/>
      <w:szCs w:val="20"/>
    </w:rPr>
  </w:style>
  <w:style w:type="paragraph" w:customStyle="1" w:styleId="3418">
    <w:name w:val="xnc"/>
    <w:basedOn w:val="1"/>
    <w:qFormat/>
    <w:uiPriority w:val="0"/>
    <w:pPr>
      <w:widowControl w:val="0"/>
      <w:spacing w:before="100" w:beforeAutospacing="1" w:after="100" w:afterAutospacing="1"/>
      <w:ind w:firstLine="480"/>
      <w:jc w:val="both"/>
    </w:pPr>
    <w:rPr>
      <w:rFonts w:ascii="Times New Roman" w:hAnsi="Times New Roman" w:cs="Times New Roman"/>
      <w:color w:val="000000"/>
      <w:spacing w:val="24"/>
      <w:kern w:val="2"/>
      <w:sz w:val="20"/>
      <w:szCs w:val="20"/>
    </w:rPr>
  </w:style>
  <w:style w:type="paragraph" w:customStyle="1" w:styleId="3419">
    <w:name w:val="列出段落12"/>
    <w:basedOn w:val="1"/>
    <w:qFormat/>
    <w:uiPriority w:val="0"/>
    <w:pPr>
      <w:widowControl w:val="0"/>
      <w:ind w:firstLine="420" w:firstLineChars="200"/>
      <w:jc w:val="both"/>
    </w:pPr>
    <w:rPr>
      <w:rFonts w:ascii="Times New Roman" w:hAnsi="Times New Roman" w:cs="Times New Roman"/>
      <w:kern w:val="2"/>
      <w:sz w:val="21"/>
    </w:rPr>
  </w:style>
  <w:style w:type="paragraph" w:customStyle="1" w:styleId="3420">
    <w:name w:val="样式 标题 2标题2H2h2第一层条一级条SeHead wsa2Chapter TitleChapter1...."/>
    <w:basedOn w:val="4"/>
    <w:qFormat/>
    <w:uiPriority w:val="0"/>
    <w:pPr>
      <w:keepNext w:val="0"/>
      <w:widowControl w:val="0"/>
      <w:numPr>
        <w:ilvl w:val="0"/>
        <w:numId w:val="0"/>
      </w:numPr>
      <w:tabs>
        <w:tab w:val="left" w:pos="360"/>
        <w:tab w:val="left" w:pos="630"/>
        <w:tab w:val="left" w:pos="720"/>
        <w:tab w:val="left" w:pos="8092"/>
      </w:tabs>
      <w:snapToGrid w:val="0"/>
      <w:spacing w:before="480" w:after="156" w:line="240" w:lineRule="auto"/>
      <w:ind w:firstLine="980" w:firstLineChars="200"/>
    </w:pPr>
    <w:rPr>
      <w:rFonts w:ascii="宋体" w:hAnsi="宋体" w:eastAsia="宋体" w:cs="Times New Roman"/>
      <w:bCs/>
      <w:color w:val="FF0000"/>
      <w:kern w:val="2"/>
      <w:szCs w:val="28"/>
      <w:lang w:val="zh-CN"/>
    </w:rPr>
  </w:style>
  <w:style w:type="paragraph" w:customStyle="1" w:styleId="3421">
    <w:name w:val="样式 标题 3标题 3 Char Char Char节，一一黑四（一）条，（一）Title3h3H3head..."/>
    <w:basedOn w:val="5"/>
    <w:qFormat/>
    <w:uiPriority w:val="0"/>
    <w:pPr>
      <w:keepNext w:val="0"/>
      <w:keepLines w:val="0"/>
      <w:widowControl w:val="0"/>
      <w:tabs>
        <w:tab w:val="left" w:pos="360"/>
        <w:tab w:val="left" w:pos="720"/>
        <w:tab w:val="left" w:pos="1336"/>
      </w:tabs>
      <w:snapToGrid w:val="0"/>
      <w:spacing w:before="93" w:beforeLines="30" w:after="62" w:afterLines="20" w:line="240" w:lineRule="auto"/>
      <w:ind w:left="1336" w:firstLine="980" w:firstLineChars="200"/>
      <w:jc w:val="both"/>
    </w:pPr>
    <w:rPr>
      <w:rFonts w:ascii="Times New Roman" w:hAnsi="Times New Roman" w:eastAsia="仿宋_GB2312"/>
      <w:kern w:val="2"/>
      <w:sz w:val="24"/>
      <w:szCs w:val="24"/>
    </w:rPr>
  </w:style>
  <w:style w:type="paragraph" w:customStyle="1" w:styleId="3422">
    <w:name w:val="宗兴表名"/>
    <w:basedOn w:val="1128"/>
    <w:qFormat/>
    <w:uiPriority w:val="0"/>
    <w:pPr>
      <w:snapToGrid w:val="0"/>
      <w:spacing w:before="0" w:after="0" w:line="240" w:lineRule="auto"/>
      <w:jc w:val="both"/>
    </w:pPr>
    <w:rPr>
      <w:rFonts w:ascii="黑体" w:hAnsi="宋体" w:eastAsia="黑体"/>
      <w:b w:val="0"/>
      <w:color w:val="0000FF"/>
      <w:kern w:val="2"/>
      <w:sz w:val="21"/>
      <w:lang w:val="zh-CN"/>
    </w:rPr>
  </w:style>
  <w:style w:type="paragraph" w:customStyle="1" w:styleId="3423">
    <w:name w:val="Char Char Char Char Char Char Char Char Char Char Char Char Char1 Char Char Char Char Char Char Char Char Char Char"/>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424">
    <w:name w:val="样式 标题 5 +"/>
    <w:basedOn w:val="1"/>
    <w:qFormat/>
    <w:uiPriority w:val="0"/>
    <w:pPr>
      <w:widowControl w:val="0"/>
      <w:tabs>
        <w:tab w:val="left" w:pos="900"/>
      </w:tabs>
      <w:ind w:left="900" w:hanging="420"/>
      <w:jc w:val="both"/>
    </w:pPr>
    <w:rPr>
      <w:rFonts w:ascii="Times New Roman" w:hAnsi="Times New Roman" w:cs="Times New Roman"/>
      <w:sz w:val="21"/>
    </w:rPr>
  </w:style>
  <w:style w:type="paragraph" w:customStyle="1" w:styleId="3425">
    <w:name w:val="明显引用1"/>
    <w:basedOn w:val="1"/>
    <w:next w:val="1"/>
    <w:qFormat/>
    <w:uiPriority w:val="0"/>
    <w:pPr>
      <w:widowControl w:val="0"/>
      <w:pBdr>
        <w:bottom w:val="single" w:color="4F81BD" w:sz="4" w:space="4"/>
      </w:pBdr>
      <w:spacing w:before="200" w:after="280"/>
      <w:ind w:left="936" w:right="936"/>
      <w:jc w:val="both"/>
    </w:pPr>
    <w:rPr>
      <w:rFonts w:ascii="Times New Roman" w:hAnsi="Times New Roman" w:cs="Times New Roman"/>
      <w:b/>
      <w:bCs/>
      <w:i/>
      <w:iCs/>
      <w:color w:val="4F81BD"/>
      <w:sz w:val="20"/>
    </w:rPr>
  </w:style>
  <w:style w:type="paragraph" w:customStyle="1" w:styleId="3426">
    <w:name w:val="Char Char Char Char Char Char1 Char Char Char1 Char Char Char1 Char Char Char Char Char Char Char Char Char Char4"/>
    <w:basedOn w:val="1"/>
    <w:next w:val="1"/>
    <w:qFormat/>
    <w:uiPriority w:val="0"/>
    <w:pPr>
      <w:widowControl w:val="0"/>
      <w:ind w:firstLine="200" w:firstLineChars="200"/>
      <w:jc w:val="both"/>
    </w:pPr>
    <w:rPr>
      <w:rFonts w:ascii="Times New Roman" w:cs="Tms Rmn"/>
      <w:kern w:val="2"/>
      <w:sz w:val="21"/>
    </w:rPr>
  </w:style>
  <w:style w:type="paragraph" w:customStyle="1" w:styleId="3427">
    <w:name w:val="许克亮段落"/>
    <w:next w:val="87"/>
    <w:qFormat/>
    <w:uiPriority w:val="0"/>
    <w:pPr>
      <w:adjustRightInd w:val="0"/>
      <w:snapToGrid w:val="0"/>
      <w:ind w:firstLine="200" w:firstLineChars="200"/>
      <w:jc w:val="both"/>
    </w:pPr>
    <w:rPr>
      <w:rFonts w:ascii="Times New Roman" w:hAnsi="Times New Roman" w:eastAsia="宋体" w:cs="Times New Roman"/>
      <w:kern w:val="2"/>
      <w:sz w:val="28"/>
      <w:szCs w:val="28"/>
      <w:lang w:val="en-US" w:eastAsia="zh-CN" w:bidi="ar-SA"/>
    </w:rPr>
  </w:style>
  <w:style w:type="paragraph" w:customStyle="1" w:styleId="3428">
    <w:name w:val="样式 标题 1 + 小四"/>
    <w:basedOn w:val="3"/>
    <w:qFormat/>
    <w:uiPriority w:val="0"/>
    <w:pPr>
      <w:keepNext w:val="0"/>
      <w:keepLines/>
      <w:tabs>
        <w:tab w:val="left" w:pos="227"/>
        <w:tab w:val="left" w:pos="750"/>
        <w:tab w:val="left" w:pos="900"/>
        <w:tab w:val="left" w:pos="4614"/>
      </w:tabs>
      <w:overflowPunct/>
      <w:adjustRightInd w:val="0"/>
      <w:spacing w:after="240" w:line="0" w:lineRule="atLeast"/>
      <w:ind w:left="0" w:firstLine="0"/>
      <w:jc w:val="center"/>
    </w:pPr>
    <w:rPr>
      <w:rFonts w:ascii="Times New Roman" w:hAnsi="Times New Roman" w:eastAsia="宋体" w:cs="仿宋_GB2312"/>
      <w:bCs w:val="0"/>
      <w:color w:val="auto"/>
      <w:szCs w:val="36"/>
    </w:rPr>
  </w:style>
  <w:style w:type="paragraph" w:customStyle="1" w:styleId="3429">
    <w:name w:val="正文文本缩进 22"/>
    <w:basedOn w:val="1"/>
    <w:qFormat/>
    <w:uiPriority w:val="0"/>
    <w:pPr>
      <w:widowControl w:val="0"/>
      <w:adjustRightInd w:val="0"/>
      <w:spacing w:after="120" w:line="400" w:lineRule="exact"/>
      <w:ind w:firstLine="525" w:firstLineChars="200"/>
      <w:jc w:val="both"/>
    </w:pPr>
    <w:rPr>
      <w:rFonts w:hAnsi="Times New Roman" w:cs="Times New Roman"/>
      <w:spacing w:val="16"/>
      <w:kern w:val="2"/>
      <w:sz w:val="21"/>
      <w:szCs w:val="20"/>
    </w:rPr>
  </w:style>
  <w:style w:type="paragraph" w:customStyle="1" w:styleId="3430">
    <w:name w:val="样式 节 + 段前: 0.5 行 段后: 0.5 行"/>
    <w:basedOn w:val="4"/>
    <w:qFormat/>
    <w:uiPriority w:val="0"/>
    <w:pPr>
      <w:keepNext w:val="0"/>
      <w:widowControl w:val="0"/>
      <w:numPr>
        <w:ilvl w:val="0"/>
        <w:numId w:val="0"/>
      </w:numPr>
      <w:tabs>
        <w:tab w:val="left" w:pos="360"/>
        <w:tab w:val="left" w:pos="720"/>
        <w:tab w:val="left" w:pos="840"/>
        <w:tab w:val="left" w:pos="8092"/>
      </w:tabs>
      <w:snapToGrid w:val="0"/>
      <w:spacing w:before="360" w:after="156" w:line="240" w:lineRule="auto"/>
      <w:ind w:left="839" w:hanging="839" w:firstLineChars="200"/>
      <w:outlineLvl w:val="2"/>
    </w:pPr>
    <w:rPr>
      <w:rFonts w:hint="eastAsia" w:ascii="Times New Roman" w:hAnsi="宋体" w:eastAsia="宋体" w:cs="Times New Roman"/>
      <w:b w:val="0"/>
      <w:color w:val="FF0000"/>
      <w:kern w:val="2"/>
      <w:sz w:val="28"/>
      <w:szCs w:val="20"/>
      <w:lang w:val="zh-CN"/>
    </w:rPr>
  </w:style>
  <w:style w:type="paragraph" w:customStyle="1" w:styleId="3431">
    <w:name w:val="正文 + 小四"/>
    <w:basedOn w:val="1"/>
    <w:qFormat/>
    <w:uiPriority w:val="0"/>
    <w:pPr>
      <w:widowControl w:val="0"/>
      <w:spacing w:line="480" w:lineRule="exact"/>
      <w:ind w:firstLine="480" w:firstLineChars="200"/>
      <w:jc w:val="both"/>
    </w:pPr>
    <w:rPr>
      <w:rFonts w:ascii="Times New Roman" w:hAnsi="Times New Roman" w:cs="Times New Roman"/>
      <w:kern w:val="2"/>
      <w:sz w:val="21"/>
    </w:rPr>
  </w:style>
  <w:style w:type="paragraph" w:customStyle="1" w:styleId="3432">
    <w:name w:val="样式 样式 题注 + 加粗 + Times New Roman 行距: 单倍行距"/>
    <w:basedOn w:val="1"/>
    <w:qFormat/>
    <w:uiPriority w:val="0"/>
    <w:pPr>
      <w:widowControl w:val="0"/>
      <w:adjustRightInd w:val="0"/>
      <w:spacing w:before="152" w:after="160"/>
      <w:jc w:val="center"/>
      <w:textAlignment w:val="baseline"/>
    </w:pPr>
    <w:rPr>
      <w:rFonts w:ascii="Times New Roman" w:hAnsi="Times New Roman" w:eastAsia="黑体"/>
      <w:kern w:val="2"/>
      <w:sz w:val="21"/>
      <w:szCs w:val="20"/>
    </w:rPr>
  </w:style>
  <w:style w:type="paragraph" w:customStyle="1" w:styleId="3433">
    <w:name w:val="样式 标题 4 + 左侧:  2 字符"/>
    <w:basedOn w:val="6"/>
    <w:qFormat/>
    <w:uiPriority w:val="0"/>
    <w:pPr>
      <w:widowControl w:val="0"/>
      <w:tabs>
        <w:tab w:val="left" w:pos="851"/>
        <w:tab w:val="left" w:pos="945"/>
        <w:tab w:val="left" w:pos="1620"/>
      </w:tabs>
      <w:adjustRightInd w:val="0"/>
      <w:snapToGrid w:val="0"/>
      <w:spacing w:before="120" w:beforeLines="50" w:after="0" w:line="240" w:lineRule="auto"/>
      <w:ind w:left="200" w:leftChars="200" w:firstLine="980" w:firstLineChars="200"/>
      <w:jc w:val="both"/>
    </w:pPr>
    <w:rPr>
      <w:rFonts w:ascii="Times New Roman" w:hAnsi="Times New Roman" w:eastAsia="仿宋_GB2312" w:cs="宋体"/>
      <w:b w:val="0"/>
      <w:kern w:val="2"/>
      <w:szCs w:val="20"/>
    </w:rPr>
  </w:style>
  <w:style w:type="paragraph" w:customStyle="1" w:styleId="3434">
    <w:name w:val="Char Char Char Char Char Char Char Char Char Char Char Char Char1 Char Char Char Char Char Char Char Char Char Char Char Char Char Char Char Char Char Char Char"/>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435">
    <w:name w:val="Char Char2 Char Char Char Char Char Char Char Char Char Char"/>
    <w:basedOn w:val="1"/>
    <w:qFormat/>
    <w:uiPriority w:val="0"/>
    <w:pPr>
      <w:widowControl w:val="0"/>
      <w:ind w:firstLine="200" w:firstLineChars="200"/>
      <w:jc w:val="both"/>
    </w:pPr>
    <w:rPr>
      <w:kern w:val="2"/>
      <w:sz w:val="21"/>
    </w:rPr>
  </w:style>
  <w:style w:type="paragraph" w:customStyle="1" w:styleId="3436">
    <w:name w:val="样式 标题 31.1.1条标题 3 Char Char标题 3 Char标3§1.1.1.. (1.1.1)- ...1"/>
    <w:basedOn w:val="1"/>
    <w:qFormat/>
    <w:uiPriority w:val="0"/>
    <w:pPr>
      <w:widowControl w:val="0"/>
      <w:tabs>
        <w:tab w:val="left" w:pos="0"/>
        <w:tab w:val="left" w:pos="1418"/>
      </w:tabs>
      <w:spacing w:line="312" w:lineRule="auto"/>
      <w:ind w:left="1418" w:hanging="567"/>
      <w:jc w:val="both"/>
    </w:pPr>
    <w:rPr>
      <w:rFonts w:ascii="Times New Roman" w:hAnsi="Times New Roman" w:cs="Times New Roman"/>
      <w:kern w:val="2"/>
      <w:sz w:val="21"/>
      <w:szCs w:val="20"/>
    </w:rPr>
  </w:style>
  <w:style w:type="paragraph" w:customStyle="1" w:styleId="3437">
    <w:name w:val="newstd"/>
    <w:basedOn w:val="1"/>
    <w:qFormat/>
    <w:uiPriority w:val="0"/>
    <w:pPr>
      <w:widowControl w:val="0"/>
      <w:spacing w:before="100" w:beforeAutospacing="1" w:after="100" w:afterAutospacing="1"/>
      <w:jc w:val="both"/>
    </w:pPr>
    <w:rPr>
      <w:rFonts w:cs="Times New Roman"/>
      <w:color w:val="DE1808"/>
      <w:sz w:val="21"/>
    </w:rPr>
  </w:style>
  <w:style w:type="paragraph" w:customStyle="1" w:styleId="3438">
    <w:name w:val="样式 标题 1 + 首行缩进:  1.47 字符"/>
    <w:basedOn w:val="3"/>
    <w:qFormat/>
    <w:uiPriority w:val="0"/>
    <w:pPr>
      <w:keepNext w:val="0"/>
      <w:keepLines/>
      <w:tabs>
        <w:tab w:val="left" w:pos="0"/>
        <w:tab w:val="left" w:pos="4614"/>
      </w:tabs>
      <w:overflowPunct/>
      <w:adjustRightInd w:val="0"/>
      <w:spacing w:before="312" w:beforeLines="100" w:after="312" w:afterLines="100" w:line="240" w:lineRule="auto"/>
      <w:ind w:left="0" w:firstLine="0"/>
      <w:jc w:val="center"/>
    </w:pPr>
    <w:rPr>
      <w:rFonts w:ascii="Times New Roman" w:hAnsi="Times New Roman" w:eastAsia="宋体" w:cs="仿宋_GB2312"/>
      <w:color w:val="auto"/>
      <w:sz w:val="36"/>
      <w:szCs w:val="36"/>
    </w:rPr>
  </w:style>
  <w:style w:type="paragraph" w:customStyle="1" w:styleId="3439">
    <w:name w:val="正文文本 23"/>
    <w:basedOn w:val="1"/>
    <w:qFormat/>
    <w:uiPriority w:val="0"/>
    <w:pPr>
      <w:widowControl w:val="0"/>
      <w:overflowPunct w:val="0"/>
      <w:autoSpaceDE w:val="0"/>
      <w:autoSpaceDN w:val="0"/>
      <w:ind w:left="992" w:hanging="567"/>
      <w:jc w:val="both"/>
      <w:textAlignment w:val="baseline"/>
    </w:pPr>
    <w:rPr>
      <w:rFonts w:ascii="Times New Roman" w:hAnsi="MS Sans Serif" w:cs="Times New Roman"/>
      <w:kern w:val="2"/>
      <w:sz w:val="28"/>
      <w:szCs w:val="20"/>
    </w:rPr>
  </w:style>
  <w:style w:type="paragraph" w:customStyle="1" w:styleId="3440">
    <w:name w:val="字元 字元2"/>
    <w:basedOn w:val="1"/>
    <w:qFormat/>
    <w:uiPriority w:val="0"/>
    <w:pPr>
      <w:widowControl w:val="0"/>
      <w:adjustRightInd w:val="0"/>
      <w:snapToGrid w:val="0"/>
      <w:ind w:firstLine="200" w:firstLineChars="200"/>
      <w:jc w:val="both"/>
    </w:pPr>
    <w:rPr>
      <w:rFonts w:ascii="Times New Roman" w:hAnsi="Times New Roman" w:cs="Times New Roman"/>
      <w:kern w:val="2"/>
      <w:sz w:val="21"/>
    </w:rPr>
  </w:style>
  <w:style w:type="paragraph" w:customStyle="1" w:styleId="3441">
    <w:name w:val="样式 五号 居中 行距: 最小值 18 磅"/>
    <w:basedOn w:val="1"/>
    <w:qFormat/>
    <w:uiPriority w:val="0"/>
    <w:pPr>
      <w:widowControl w:val="0"/>
      <w:spacing w:line="360" w:lineRule="atLeast"/>
      <w:jc w:val="center"/>
    </w:pPr>
    <w:rPr>
      <w:rFonts w:ascii="Times New Roman" w:hAnsi="Times New Roman" w:cs="Times New Roman"/>
      <w:kern w:val="2"/>
      <w:sz w:val="21"/>
      <w:szCs w:val="20"/>
    </w:rPr>
  </w:style>
  <w:style w:type="paragraph" w:customStyle="1" w:styleId="3442">
    <w:name w:val="表(5号)"/>
    <w:basedOn w:val="1"/>
    <w:qFormat/>
    <w:uiPriority w:val="0"/>
    <w:pPr>
      <w:widowControl w:val="0"/>
      <w:spacing w:line="200" w:lineRule="atLeast"/>
      <w:jc w:val="center"/>
    </w:pPr>
    <w:rPr>
      <w:rFonts w:cs="Times New Roman"/>
      <w:kern w:val="2"/>
      <w:sz w:val="21"/>
      <w:szCs w:val="20"/>
    </w:rPr>
  </w:style>
  <w:style w:type="paragraph" w:customStyle="1" w:styleId="3443">
    <w:name w:val="我的样式（正文）"/>
    <w:basedOn w:val="1"/>
    <w:qFormat/>
    <w:uiPriority w:val="0"/>
    <w:pPr>
      <w:widowControl w:val="0"/>
      <w:spacing w:line="440" w:lineRule="exact"/>
      <w:jc w:val="both"/>
    </w:pPr>
    <w:rPr>
      <w:rFonts w:hAnsi="Times New Roman" w:cs="Times New Roman"/>
      <w:kern w:val="2"/>
      <w:sz w:val="28"/>
      <w:szCs w:val="20"/>
    </w:rPr>
  </w:style>
  <w:style w:type="paragraph" w:customStyle="1" w:styleId="3444">
    <w:name w:val="表8.1-1"/>
    <w:basedOn w:val="1"/>
    <w:qFormat/>
    <w:uiPriority w:val="0"/>
    <w:pPr>
      <w:widowControl w:val="0"/>
      <w:tabs>
        <w:tab w:val="left" w:pos="425"/>
        <w:tab w:val="left" w:pos="3480"/>
      </w:tabs>
      <w:adjustRightInd w:val="0"/>
      <w:snapToGrid w:val="0"/>
      <w:spacing w:before="312" w:beforeLines="100" w:line="0" w:lineRule="atLeast"/>
      <w:ind w:left="3240" w:hanging="425"/>
      <w:jc w:val="center"/>
    </w:pPr>
    <w:rPr>
      <w:rFonts w:ascii="黑体" w:hAnsi="Times New Roman" w:eastAsia="黑体" w:cs="Times New Roman"/>
      <w:b/>
      <w:kern w:val="2"/>
      <w:sz w:val="21"/>
      <w:szCs w:val="20"/>
    </w:rPr>
  </w:style>
  <w:style w:type="paragraph" w:customStyle="1" w:styleId="3445">
    <w:name w:val="普通(网站)13"/>
    <w:basedOn w:val="1"/>
    <w:qFormat/>
    <w:uiPriority w:val="0"/>
    <w:pPr>
      <w:widowControl w:val="0"/>
      <w:spacing w:before="100" w:beforeAutospacing="1" w:after="100" w:afterAutospacing="1"/>
      <w:ind w:firstLine="200" w:firstLineChars="200"/>
      <w:jc w:val="both"/>
    </w:pPr>
    <w:rPr>
      <w:rFonts w:cs="Times New Roman"/>
      <w:sz w:val="21"/>
    </w:rPr>
  </w:style>
  <w:style w:type="paragraph" w:customStyle="1" w:styleId="3446">
    <w:name w:val="样式 标题 3 + 左侧:  0 毫米 首行缩进:  0 毫米 行距: 最小值 25 磅1"/>
    <w:basedOn w:val="5"/>
    <w:qFormat/>
    <w:uiPriority w:val="0"/>
    <w:pPr>
      <w:keepNext w:val="0"/>
      <w:keepLines w:val="0"/>
      <w:widowControl w:val="0"/>
      <w:tabs>
        <w:tab w:val="left" w:pos="360"/>
        <w:tab w:val="left" w:pos="720"/>
        <w:tab w:val="left" w:pos="1620"/>
        <w:tab w:val="left" w:pos="1740"/>
      </w:tabs>
      <w:snapToGrid w:val="0"/>
      <w:spacing w:before="0" w:beforeLines="100" w:after="0" w:afterLines="50" w:line="500" w:lineRule="atLeast"/>
      <w:ind w:left="1740" w:hanging="420" w:firstLineChars="200"/>
      <w:jc w:val="both"/>
    </w:pPr>
    <w:rPr>
      <w:rFonts w:ascii="Times New Roman" w:hAnsi="Times New Roman" w:eastAsia="仿宋_GB2312" w:cs="Times New Roman"/>
      <w:snapToGrid w:val="0"/>
      <w:spacing w:val="4"/>
      <w:kern w:val="2"/>
      <w:szCs w:val="20"/>
    </w:rPr>
  </w:style>
  <w:style w:type="paragraph" w:customStyle="1" w:styleId="3447">
    <w:name w:val="Char Char Char Char Char Char Char Char Char Char Char Char Char1 Char Char Char Char Char Char Char Char Char Char Char Char"/>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448">
    <w:name w:val="样式36"/>
    <w:basedOn w:val="1147"/>
    <w:qFormat/>
    <w:uiPriority w:val="0"/>
    <w:pPr>
      <w:keepNext w:val="0"/>
      <w:keepLines w:val="0"/>
      <w:tabs>
        <w:tab w:val="clear" w:pos="360"/>
        <w:tab w:val="clear" w:pos="540"/>
        <w:tab w:val="clear" w:pos="1680"/>
      </w:tabs>
      <w:spacing w:before="0" w:beforeLines="0" w:after="0" w:afterLines="0" w:line="240" w:lineRule="auto"/>
      <w:ind w:left="0" w:firstLine="0"/>
      <w:outlineLvl w:val="9"/>
    </w:pPr>
    <w:rPr>
      <w:rFonts w:ascii="Times" w:hAnsi="Times" w:eastAsia="仿宋_GB2312"/>
      <w:color w:val="000000"/>
      <w:kern w:val="2"/>
      <w:sz w:val="21"/>
      <w:szCs w:val="24"/>
    </w:rPr>
  </w:style>
  <w:style w:type="paragraph" w:customStyle="1" w:styleId="3449">
    <w:name w:val="附图"/>
    <w:basedOn w:val="1"/>
    <w:qFormat/>
    <w:uiPriority w:val="0"/>
    <w:pPr>
      <w:widowControl w:val="0"/>
      <w:spacing w:line="0" w:lineRule="atLeast"/>
      <w:jc w:val="center"/>
    </w:pPr>
    <w:rPr>
      <w:rFonts w:ascii="Times New Roman" w:hAnsi="Times New Roman" w:cs="Times New Roman"/>
      <w:kern w:val="2"/>
      <w:sz w:val="21"/>
      <w:szCs w:val="20"/>
    </w:rPr>
  </w:style>
  <w:style w:type="paragraph" w:customStyle="1" w:styleId="3450">
    <w:name w:val="河石管道 表格正文"/>
    <w:qFormat/>
    <w:uiPriority w:val="0"/>
    <w:pPr>
      <w:jc w:val="center"/>
    </w:pPr>
    <w:rPr>
      <w:rFonts w:ascii="Times New Roman" w:hAnsi="Times New Roman" w:eastAsia="宋体" w:cs="Times New Roman"/>
      <w:kern w:val="2"/>
      <w:sz w:val="18"/>
      <w:szCs w:val="21"/>
      <w:lang w:val="en-US" w:eastAsia="zh-CN" w:bidi="ar-SA"/>
    </w:rPr>
  </w:style>
  <w:style w:type="paragraph" w:customStyle="1" w:styleId="3451">
    <w:name w:val="表格用字 +  六号"/>
    <w:basedOn w:val="1"/>
    <w:qFormat/>
    <w:uiPriority w:val="0"/>
    <w:pPr>
      <w:widowControl w:val="0"/>
      <w:spacing w:line="0" w:lineRule="atLeast"/>
      <w:jc w:val="both"/>
    </w:pPr>
    <w:rPr>
      <w:rFonts w:hint="eastAsia" w:ascii="Times New Roman" w:hAnsi="Times New Roman" w:eastAsia="仿宋_GB2312" w:cs="Times New Roman"/>
      <w:kern w:val="2"/>
      <w:sz w:val="15"/>
      <w:szCs w:val="20"/>
    </w:rPr>
  </w:style>
  <w:style w:type="paragraph" w:customStyle="1" w:styleId="3452">
    <w:name w:val="_Style 15"/>
    <w:basedOn w:val="1"/>
    <w:next w:val="76"/>
    <w:qFormat/>
    <w:uiPriority w:val="0"/>
    <w:pPr>
      <w:widowControl w:val="0"/>
      <w:spacing w:line="400" w:lineRule="atLeast"/>
      <w:jc w:val="center"/>
    </w:pPr>
    <w:rPr>
      <w:rFonts w:hint="eastAsia" w:ascii="Times New Roman" w:hAnsi="Times New Roman" w:cs="Times New Roman"/>
      <w:kern w:val="2"/>
      <w:sz w:val="21"/>
      <w:szCs w:val="20"/>
    </w:rPr>
  </w:style>
  <w:style w:type="paragraph" w:customStyle="1" w:styleId="3453">
    <w:name w:val="标题2－0909"/>
    <w:basedOn w:val="4"/>
    <w:qFormat/>
    <w:uiPriority w:val="0"/>
    <w:pPr>
      <w:keepNext w:val="0"/>
      <w:widowControl w:val="0"/>
      <w:numPr>
        <w:ilvl w:val="0"/>
        <w:numId w:val="0"/>
      </w:numPr>
      <w:tabs>
        <w:tab w:val="left" w:pos="360"/>
        <w:tab w:val="left" w:pos="720"/>
        <w:tab w:val="left" w:pos="1378"/>
        <w:tab w:val="left" w:pos="8092"/>
      </w:tabs>
      <w:snapToGrid w:val="0"/>
      <w:spacing w:before="240" w:after="156" w:line="240" w:lineRule="auto"/>
      <w:ind w:left="1378" w:hanging="420" w:firstLineChars="200"/>
    </w:pPr>
    <w:rPr>
      <w:rFonts w:ascii="Times New Roman" w:hAnsi="Times New Roman" w:cs="Times New Roman"/>
      <w:bCs/>
      <w:snapToGrid w:val="0"/>
      <w:color w:val="FF0000"/>
      <w:sz w:val="28"/>
      <w:lang w:val="zh-CN"/>
    </w:rPr>
  </w:style>
  <w:style w:type="paragraph" w:customStyle="1" w:styleId="3454">
    <w:name w:val="批注框文本13"/>
    <w:basedOn w:val="1"/>
    <w:qFormat/>
    <w:uiPriority w:val="0"/>
    <w:pPr>
      <w:widowControl w:val="0"/>
      <w:jc w:val="both"/>
    </w:pPr>
    <w:rPr>
      <w:rFonts w:ascii="Times New Roman" w:hAnsi="Times New Roman" w:cs="Times New Roman"/>
      <w:kern w:val="2"/>
      <w:sz w:val="18"/>
      <w:szCs w:val="18"/>
    </w:rPr>
  </w:style>
  <w:style w:type="paragraph" w:customStyle="1" w:styleId="3455">
    <w:name w:val="说明-标题4"/>
    <w:basedOn w:val="6"/>
    <w:qFormat/>
    <w:uiPriority w:val="0"/>
    <w:pPr>
      <w:widowControl w:val="0"/>
      <w:tabs>
        <w:tab w:val="left" w:pos="851"/>
        <w:tab w:val="left" w:pos="945"/>
        <w:tab w:val="left" w:pos="1620"/>
      </w:tabs>
      <w:adjustRightInd w:val="0"/>
      <w:snapToGrid w:val="0"/>
      <w:spacing w:before="156" w:beforeLines="50" w:after="156" w:line="376" w:lineRule="atLeast"/>
      <w:ind w:left="240" w:leftChars="100" w:firstLine="980" w:firstLineChars="200"/>
      <w:jc w:val="both"/>
    </w:pPr>
    <w:rPr>
      <w:rFonts w:hint="eastAsia" w:ascii="Times New Roman" w:hAnsi="Times New Roman" w:eastAsia="宋体" w:cs="宋体"/>
      <w:b w:val="0"/>
      <w:bCs w:val="0"/>
      <w:kern w:val="2"/>
      <w:sz w:val="21"/>
      <w:szCs w:val="20"/>
    </w:rPr>
  </w:style>
  <w:style w:type="paragraph" w:customStyle="1" w:styleId="3456">
    <w:name w:val="样式 标题 1 + 宋体 黑色"/>
    <w:basedOn w:val="3"/>
    <w:qFormat/>
    <w:uiPriority w:val="0"/>
    <w:pPr>
      <w:keepNext w:val="0"/>
      <w:keepLines/>
      <w:tabs>
        <w:tab w:val="left" w:pos="567"/>
        <w:tab w:val="left" w:pos="4614"/>
      </w:tabs>
      <w:overflowPunct/>
      <w:adjustRightInd w:val="0"/>
      <w:spacing w:before="156" w:after="0" w:line="240" w:lineRule="auto"/>
      <w:ind w:left="0" w:firstLine="0"/>
      <w:jc w:val="center"/>
    </w:pPr>
    <w:rPr>
      <w:rFonts w:eastAsia="宋体" w:cs="仿宋_GB2312"/>
      <w:bCs w:val="0"/>
      <w:kern w:val="0"/>
      <w:sz w:val="32"/>
      <w:szCs w:val="44"/>
    </w:rPr>
  </w:style>
  <w:style w:type="paragraph" w:customStyle="1" w:styleId="3457">
    <w:name w:val="样式 标题 2 + 宋体 四号"/>
    <w:basedOn w:val="4"/>
    <w:qFormat/>
    <w:uiPriority w:val="0"/>
    <w:pPr>
      <w:keepNext w:val="0"/>
      <w:widowControl w:val="0"/>
      <w:numPr>
        <w:ilvl w:val="0"/>
        <w:numId w:val="0"/>
      </w:numPr>
      <w:tabs>
        <w:tab w:val="left" w:pos="360"/>
        <w:tab w:val="left" w:pos="630"/>
        <w:tab w:val="left" w:pos="720"/>
        <w:tab w:val="left" w:pos="8092"/>
      </w:tabs>
      <w:snapToGrid w:val="0"/>
      <w:spacing w:before="0" w:after="0" w:line="240" w:lineRule="auto"/>
      <w:ind w:firstLine="980" w:firstLineChars="200"/>
    </w:pPr>
    <w:rPr>
      <w:rFonts w:ascii="宋体" w:hAnsi="宋体" w:eastAsia="宋体" w:cs="Times New Roman"/>
      <w:b w:val="0"/>
      <w:color w:val="FF0000"/>
      <w:kern w:val="2"/>
      <w:sz w:val="28"/>
      <w:lang w:val="zh-CN"/>
    </w:rPr>
  </w:style>
  <w:style w:type="paragraph" w:customStyle="1" w:styleId="3458">
    <w:name w:val="jint正文"/>
    <w:basedOn w:val="1"/>
    <w:qFormat/>
    <w:uiPriority w:val="0"/>
    <w:pPr>
      <w:widowControl w:val="0"/>
      <w:jc w:val="both"/>
    </w:pPr>
    <w:rPr>
      <w:rFonts w:ascii="Times New Roman" w:hAnsi="Times New Roman" w:cs="Times New Roman"/>
      <w:kern w:val="2"/>
      <w:sz w:val="28"/>
      <w:szCs w:val="20"/>
    </w:rPr>
  </w:style>
  <w:style w:type="paragraph" w:customStyle="1" w:styleId="3459">
    <w:name w:val="样式 段前: 0.5 行 段后: 0.5 行"/>
    <w:basedOn w:val="1"/>
    <w:qFormat/>
    <w:uiPriority w:val="0"/>
    <w:pPr>
      <w:widowControl w:val="0"/>
      <w:jc w:val="both"/>
    </w:pPr>
    <w:rPr>
      <w:rFonts w:ascii="Times New Roman" w:hAnsi="Times New Roman" w:cs="Times New Roman"/>
      <w:color w:val="000000"/>
      <w:kern w:val="2"/>
      <w:sz w:val="18"/>
      <w:szCs w:val="20"/>
    </w:rPr>
  </w:style>
  <w:style w:type="paragraph" w:customStyle="1" w:styleId="3460">
    <w:name w:val="表格（小4）"/>
    <w:basedOn w:val="1"/>
    <w:qFormat/>
    <w:uiPriority w:val="0"/>
    <w:pPr>
      <w:widowControl w:val="0"/>
      <w:jc w:val="center"/>
    </w:pPr>
    <w:rPr>
      <w:rFonts w:cs="Times New Roman"/>
      <w:kern w:val="2"/>
      <w:sz w:val="21"/>
      <w:szCs w:val="20"/>
    </w:rPr>
  </w:style>
  <w:style w:type="paragraph" w:customStyle="1" w:styleId="3461">
    <w:name w:val="一般正文"/>
    <w:basedOn w:val="1"/>
    <w:qFormat/>
    <w:uiPriority w:val="0"/>
    <w:pPr>
      <w:widowControl w:val="0"/>
      <w:adjustRightInd w:val="0"/>
      <w:snapToGrid w:val="0"/>
      <w:spacing w:line="500" w:lineRule="exact"/>
      <w:ind w:firstLine="200" w:firstLineChars="200"/>
      <w:jc w:val="both"/>
    </w:pPr>
    <w:rPr>
      <w:rFonts w:ascii="Times New Roman" w:hAnsi="Times New Roman" w:cs="Times New Roman"/>
      <w:kern w:val="2"/>
      <w:sz w:val="28"/>
    </w:rPr>
  </w:style>
  <w:style w:type="paragraph" w:customStyle="1" w:styleId="3462">
    <w:name w:val="maindiv12"/>
    <w:basedOn w:val="1"/>
    <w:qFormat/>
    <w:uiPriority w:val="0"/>
    <w:pPr>
      <w:widowControl w:val="0"/>
      <w:spacing w:before="100" w:beforeAutospacing="1" w:after="100" w:afterAutospacing="1"/>
      <w:jc w:val="both"/>
    </w:pPr>
    <w:rPr>
      <w:rFonts w:ascii="ˎ̥" w:hAnsi="ˎ̥"/>
      <w:sz w:val="21"/>
    </w:rPr>
  </w:style>
  <w:style w:type="paragraph" w:customStyle="1" w:styleId="3463">
    <w:name w:val="Char Char Char Char Char Char1 Char Char Char1 Char"/>
    <w:basedOn w:val="1"/>
    <w:qFormat/>
    <w:uiPriority w:val="0"/>
    <w:pPr>
      <w:widowControl w:val="0"/>
      <w:spacing w:after="160" w:line="240" w:lineRule="exact"/>
      <w:jc w:val="both"/>
    </w:pPr>
    <w:rPr>
      <w:rFonts w:ascii="Verdana" w:hAnsi="Verdana" w:eastAsia="仿宋_GB2312" w:cs="Times New Roman"/>
      <w:sz w:val="30"/>
      <w:szCs w:val="30"/>
      <w:lang w:eastAsia="en-US"/>
    </w:rPr>
  </w:style>
  <w:style w:type="paragraph" w:customStyle="1" w:styleId="3464">
    <w:name w:val="段落人我"/>
    <w:qFormat/>
    <w:uiPriority w:val="0"/>
    <w:pPr>
      <w:widowControl w:val="0"/>
      <w:adjustRightInd w:val="0"/>
      <w:spacing w:line="240" w:lineRule="atLeast"/>
      <w:ind w:firstLine="425"/>
      <w:jc w:val="both"/>
      <w:textAlignment w:val="baseline"/>
    </w:pPr>
    <w:rPr>
      <w:rFonts w:ascii="Times New Roman" w:hAnsi="Times New Roman" w:eastAsia="宋体" w:cs="Times New Roman"/>
      <w:color w:val="FF0000"/>
      <w:kern w:val="21"/>
      <w:sz w:val="21"/>
      <w:lang w:val="en-US" w:eastAsia="zh-CN" w:bidi="ar-SA"/>
    </w:rPr>
  </w:style>
  <w:style w:type="paragraph" w:customStyle="1" w:styleId="3465">
    <w:name w:val="检索11"/>
    <w:basedOn w:val="3178"/>
    <w:qFormat/>
    <w:uiPriority w:val="0"/>
    <w:pPr>
      <w:ind w:left="3005"/>
    </w:pPr>
  </w:style>
  <w:style w:type="paragraph" w:customStyle="1" w:styleId="3466">
    <w:name w:val="Char Char Char Char Char Char Char Char Char Char Char Char Char1 Char Char Char Char Char Char Char Char Char Char Char Char Char Char Char Char Char Char Char5"/>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467">
    <w:name w:val="引用2"/>
    <w:basedOn w:val="1"/>
    <w:next w:val="1"/>
    <w:qFormat/>
    <w:uiPriority w:val="0"/>
    <w:pPr>
      <w:widowControl w:val="0"/>
      <w:jc w:val="both"/>
    </w:pPr>
    <w:rPr>
      <w:rFonts w:ascii="Times New Roman" w:hAnsi="Times New Roman" w:cs="Times New Roman"/>
      <w:i/>
      <w:iCs/>
      <w:color w:val="000000"/>
      <w:sz w:val="20"/>
    </w:rPr>
  </w:style>
  <w:style w:type="paragraph" w:customStyle="1" w:styleId="3468">
    <w:name w:val="样式 标题 4 + 左侧:  0 厘米 悬挂缩进: 8.64 字符 段前: 6 磅 段后: 6 磅 行距: 单倍行距"/>
    <w:basedOn w:val="6"/>
    <w:qFormat/>
    <w:uiPriority w:val="0"/>
    <w:pPr>
      <w:widowControl w:val="0"/>
      <w:tabs>
        <w:tab w:val="left" w:pos="0"/>
        <w:tab w:val="left" w:pos="945"/>
        <w:tab w:val="left" w:pos="1620"/>
        <w:tab w:val="left" w:pos="3011"/>
      </w:tabs>
      <w:adjustRightInd w:val="0"/>
      <w:snapToGrid w:val="0"/>
      <w:spacing w:before="156" w:beforeLines="50" w:after="156" w:line="312" w:lineRule="auto"/>
      <w:ind w:left="3011" w:hanging="851" w:firstLineChars="200"/>
      <w:jc w:val="both"/>
    </w:pPr>
    <w:rPr>
      <w:rFonts w:ascii="Times New Roman" w:hAnsi="Times New Roman" w:eastAsia="宋体" w:cs="Arial"/>
      <w:bCs w:val="0"/>
      <w:kern w:val="2"/>
      <w:sz w:val="21"/>
      <w:szCs w:val="20"/>
    </w:rPr>
  </w:style>
  <w:style w:type="paragraph" w:customStyle="1" w:styleId="3469">
    <w:name w:val="Char Char Char Char Char Char1 Char Char Char1 Char Char Char Char"/>
    <w:basedOn w:val="1"/>
    <w:qFormat/>
    <w:uiPriority w:val="0"/>
    <w:pPr>
      <w:widowControl w:val="0"/>
      <w:spacing w:after="160" w:line="240" w:lineRule="exact"/>
      <w:jc w:val="both"/>
    </w:pPr>
    <w:rPr>
      <w:rFonts w:ascii="Verdana" w:hAnsi="Verdana" w:eastAsia="仿宋_GB2312" w:cs="Times New Roman"/>
      <w:sz w:val="30"/>
      <w:szCs w:val="30"/>
      <w:lang w:eastAsia="en-US"/>
    </w:rPr>
  </w:style>
  <w:style w:type="paragraph" w:customStyle="1" w:styleId="3470">
    <w:name w:val="Char Char Char1 Char12"/>
    <w:basedOn w:val="1"/>
    <w:qFormat/>
    <w:uiPriority w:val="0"/>
    <w:pPr>
      <w:widowControl w:val="0"/>
      <w:jc w:val="both"/>
    </w:pPr>
    <w:rPr>
      <w:rFonts w:ascii="Times New Roman" w:hAnsi="Times New Roman" w:cs="Times New Roman"/>
      <w:kern w:val="2"/>
      <w:sz w:val="21"/>
    </w:rPr>
  </w:style>
  <w:style w:type="paragraph" w:customStyle="1" w:styleId="3471">
    <w:name w:val="Char Char Char Char7"/>
    <w:basedOn w:val="1"/>
    <w:qFormat/>
    <w:uiPriority w:val="0"/>
    <w:pPr>
      <w:widowControl w:val="0"/>
      <w:spacing w:after="160" w:line="240" w:lineRule="exact"/>
      <w:jc w:val="both"/>
    </w:pPr>
    <w:rPr>
      <w:rFonts w:ascii="Verdana" w:hAnsi="Verdana" w:eastAsia="仿宋_GB2312" w:cs="Times New Roman"/>
      <w:sz w:val="21"/>
      <w:szCs w:val="20"/>
      <w:lang w:eastAsia="en-US"/>
    </w:rPr>
  </w:style>
  <w:style w:type="paragraph" w:customStyle="1" w:styleId="3472">
    <w:name w:val="表内大文字"/>
    <w:qFormat/>
    <w:uiPriority w:val="0"/>
    <w:pPr>
      <w:jc w:val="center"/>
    </w:pPr>
    <w:rPr>
      <w:rFonts w:ascii="宋体" w:hAnsi="宋体" w:eastAsia="宋体" w:cs="Times New Roman"/>
      <w:sz w:val="21"/>
      <w:lang w:val="en-US" w:eastAsia="zh-CN" w:bidi="ar-SA"/>
    </w:rPr>
  </w:style>
  <w:style w:type="paragraph" w:customStyle="1" w:styleId="3473">
    <w:name w:val="Char Char Char Char Char Char Char Char Char1 Char Char Char Char"/>
    <w:basedOn w:val="1"/>
    <w:qFormat/>
    <w:uiPriority w:val="0"/>
    <w:pPr>
      <w:widowControl w:val="0"/>
      <w:jc w:val="both"/>
    </w:pPr>
    <w:rPr>
      <w:rFonts w:ascii="Times New Roman" w:hAnsi="Times New Roman" w:cs="Times New Roman"/>
      <w:kern w:val="2"/>
      <w:sz w:val="21"/>
      <w:szCs w:val="21"/>
    </w:rPr>
  </w:style>
  <w:style w:type="paragraph" w:customStyle="1" w:styleId="3474">
    <w:name w:val="说明-表格-注"/>
    <w:basedOn w:val="1"/>
    <w:qFormat/>
    <w:uiPriority w:val="0"/>
    <w:pPr>
      <w:widowControl w:val="0"/>
      <w:spacing w:line="0" w:lineRule="atLeast"/>
      <w:ind w:left="454" w:leftChars="189" w:right="374" w:firstLine="13" w:firstLineChars="7"/>
      <w:jc w:val="both"/>
    </w:pPr>
    <w:rPr>
      <w:rFonts w:hint="eastAsia" w:ascii="Times New Roman" w:cs="Times New Roman"/>
      <w:kern w:val="2"/>
      <w:sz w:val="18"/>
      <w:szCs w:val="20"/>
    </w:rPr>
  </w:style>
  <w:style w:type="paragraph" w:customStyle="1" w:styleId="3475">
    <w:name w:val="表文C"/>
    <w:basedOn w:val="1"/>
    <w:qFormat/>
    <w:uiPriority w:val="0"/>
    <w:pPr>
      <w:widowControl w:val="0"/>
      <w:tabs>
        <w:tab w:val="left" w:pos="0"/>
      </w:tabs>
      <w:adjustRightInd w:val="0"/>
      <w:snapToGrid w:val="0"/>
      <w:jc w:val="center"/>
    </w:pPr>
    <w:rPr>
      <w:rFonts w:ascii="Times New Roman" w:hAnsi="Times New Roman" w:cs="Times New Roman"/>
      <w:sz w:val="21"/>
      <w:szCs w:val="20"/>
    </w:rPr>
  </w:style>
  <w:style w:type="paragraph" w:customStyle="1" w:styleId="3476">
    <w:name w:val="样式 标题 3 + 黑体 加粗"/>
    <w:basedOn w:val="5"/>
    <w:qFormat/>
    <w:uiPriority w:val="0"/>
    <w:pPr>
      <w:keepNext w:val="0"/>
      <w:keepLines w:val="0"/>
      <w:widowControl w:val="0"/>
      <w:tabs>
        <w:tab w:val="left" w:pos="360"/>
        <w:tab w:val="left" w:pos="720"/>
        <w:tab w:val="left" w:pos="840"/>
      </w:tabs>
      <w:snapToGrid w:val="0"/>
      <w:spacing w:beforeLines="100" w:after="0" w:afterLines="50" w:line="240" w:lineRule="auto"/>
      <w:ind w:firstLine="980" w:firstLineChars="200"/>
      <w:jc w:val="both"/>
    </w:pPr>
    <w:rPr>
      <w:rFonts w:ascii="Times New Roman" w:hAnsi="黑体" w:eastAsia="仿宋_GB2312" w:cs="Times New Roman"/>
      <w:kern w:val="2"/>
    </w:rPr>
  </w:style>
  <w:style w:type="paragraph" w:customStyle="1" w:styleId="3477">
    <w:name w:val="表号 Char Char Char Char"/>
    <w:basedOn w:val="1"/>
    <w:qFormat/>
    <w:uiPriority w:val="0"/>
    <w:pPr>
      <w:widowControl w:val="0"/>
      <w:adjustRightInd w:val="0"/>
      <w:snapToGrid w:val="0"/>
      <w:spacing w:line="320" w:lineRule="exact"/>
      <w:ind w:firstLine="105" w:firstLineChars="50"/>
      <w:jc w:val="both"/>
      <w:textAlignment w:val="baseline"/>
    </w:pPr>
    <w:rPr>
      <w:rFonts w:cs="Times New Roman"/>
      <w:bCs/>
      <w:snapToGrid w:val="0"/>
      <w:sz w:val="21"/>
      <w:szCs w:val="21"/>
    </w:rPr>
  </w:style>
  <w:style w:type="paragraph" w:customStyle="1" w:styleId="3478">
    <w:name w:val="样式 四号 首行缩进:  2 字符"/>
    <w:basedOn w:val="1"/>
    <w:qFormat/>
    <w:uiPriority w:val="0"/>
    <w:pPr>
      <w:widowControl w:val="0"/>
      <w:spacing w:line="480" w:lineRule="atLeast"/>
      <w:ind w:firstLine="200" w:firstLineChars="200"/>
      <w:jc w:val="both"/>
    </w:pPr>
    <w:rPr>
      <w:rFonts w:ascii="Times New Roman" w:hAnsi="Times New Roman" w:cs="Times New Roman"/>
      <w:kern w:val="2"/>
      <w:sz w:val="21"/>
    </w:rPr>
  </w:style>
  <w:style w:type="paragraph" w:customStyle="1" w:styleId="3479">
    <w:name w:val="05"/>
    <w:basedOn w:val="1"/>
    <w:qFormat/>
    <w:uiPriority w:val="0"/>
    <w:pPr>
      <w:widowControl w:val="0"/>
      <w:spacing w:before="100" w:beforeAutospacing="1" w:after="100" w:afterAutospacing="1"/>
      <w:jc w:val="both"/>
    </w:pPr>
    <w:rPr>
      <w:color w:val="000000"/>
      <w:sz w:val="21"/>
    </w:rPr>
  </w:style>
  <w:style w:type="paragraph" w:customStyle="1" w:styleId="3480">
    <w:name w:val="样式 标题 2章宋三一、标题 1.1Title 22 headlinehheadlineS&amp;R2ERMH2..."/>
    <w:basedOn w:val="4"/>
    <w:qFormat/>
    <w:uiPriority w:val="0"/>
    <w:pPr>
      <w:keepNext w:val="0"/>
      <w:widowControl w:val="0"/>
      <w:numPr>
        <w:ilvl w:val="0"/>
        <w:numId w:val="0"/>
      </w:numPr>
      <w:tabs>
        <w:tab w:val="left" w:pos="360"/>
        <w:tab w:val="left" w:pos="630"/>
        <w:tab w:val="left" w:pos="720"/>
        <w:tab w:val="left" w:pos="8092"/>
      </w:tabs>
      <w:snapToGrid w:val="0"/>
      <w:spacing w:before="0" w:after="93" w:afterLines="30" w:line="240" w:lineRule="auto"/>
      <w:ind w:left="578" w:hanging="578" w:firstLineChars="200"/>
    </w:pPr>
    <w:rPr>
      <w:rFonts w:eastAsia="宋体"/>
      <w:bCs/>
      <w:color w:val="FF0000"/>
      <w:kern w:val="2"/>
      <w:sz w:val="28"/>
      <w:lang w:val="zh-CN"/>
    </w:rPr>
  </w:style>
  <w:style w:type="paragraph" w:customStyle="1" w:styleId="3481">
    <w:name w:val="检索2"/>
    <w:basedOn w:val="3178"/>
    <w:qFormat/>
    <w:uiPriority w:val="0"/>
    <w:pPr>
      <w:ind w:left="454"/>
    </w:pPr>
    <w:rPr>
      <w:color w:val="0000FF"/>
    </w:rPr>
  </w:style>
  <w:style w:type="paragraph" w:customStyle="1" w:styleId="3482">
    <w:name w:val="a0"/>
    <w:basedOn w:val="1"/>
    <w:qFormat/>
    <w:uiPriority w:val="0"/>
    <w:pPr>
      <w:widowControl w:val="0"/>
      <w:spacing w:before="100" w:beforeAutospacing="1" w:after="100" w:afterAutospacing="1"/>
      <w:jc w:val="both"/>
    </w:pPr>
    <w:rPr>
      <w:color w:val="000000"/>
      <w:sz w:val="21"/>
    </w:rPr>
  </w:style>
  <w:style w:type="paragraph" w:customStyle="1" w:styleId="3483">
    <w:name w:val="CM38"/>
    <w:basedOn w:val="137"/>
    <w:next w:val="137"/>
    <w:qFormat/>
    <w:uiPriority w:val="0"/>
    <w:pPr>
      <w:widowControl w:val="0"/>
    </w:pPr>
    <w:rPr>
      <w:rFonts w:hint="default" w:ascii="黑体" w:hAnsi="Times New Roman" w:eastAsia="黑体" w:cs="黑体"/>
      <w:szCs w:val="24"/>
    </w:rPr>
  </w:style>
  <w:style w:type="paragraph" w:customStyle="1" w:styleId="3484">
    <w:name w:val="表字"/>
    <w:basedOn w:val="1"/>
    <w:qFormat/>
    <w:uiPriority w:val="0"/>
    <w:pPr>
      <w:widowControl w:val="0"/>
      <w:jc w:val="center"/>
    </w:pPr>
    <w:rPr>
      <w:rFonts w:hAnsi="Times New Roman" w:cs="Times New Roman"/>
      <w:kern w:val="2"/>
      <w:sz w:val="21"/>
      <w:szCs w:val="20"/>
    </w:rPr>
  </w:style>
  <w:style w:type="paragraph" w:customStyle="1" w:styleId="3485">
    <w:name w:val="ysh正文"/>
    <w:basedOn w:val="598"/>
    <w:qFormat/>
    <w:uiPriority w:val="0"/>
    <w:pPr>
      <w:spacing w:before="93" w:beforeLines="30"/>
      <w:ind w:firstLine="480"/>
    </w:pPr>
    <w:rPr>
      <w:rFonts w:cs="宋体"/>
      <w:sz w:val="21"/>
      <w:szCs w:val="24"/>
      <w:lang w:val="zh-CN"/>
    </w:rPr>
  </w:style>
  <w:style w:type="paragraph" w:customStyle="1" w:styleId="3486">
    <w:name w:val="样式 宋体 小四 首行缩进:  0.74 厘米 行距: 固定值 20 磅"/>
    <w:basedOn w:val="1"/>
    <w:qFormat/>
    <w:uiPriority w:val="0"/>
    <w:pPr>
      <w:widowControl w:val="0"/>
      <w:spacing w:line="440" w:lineRule="exact"/>
      <w:ind w:firstLine="454"/>
      <w:jc w:val="both"/>
    </w:pPr>
    <w:rPr>
      <w:rFonts w:cs="Times New Roman"/>
      <w:kern w:val="2"/>
      <w:sz w:val="21"/>
      <w:szCs w:val="20"/>
    </w:rPr>
  </w:style>
  <w:style w:type="paragraph" w:customStyle="1" w:styleId="3487">
    <w:name w:val="样式20（图名称）"/>
    <w:basedOn w:val="1128"/>
    <w:qFormat/>
    <w:uiPriority w:val="0"/>
    <w:pPr>
      <w:snapToGrid w:val="0"/>
      <w:spacing w:before="0" w:after="312" w:afterLines="100" w:line="240" w:lineRule="auto"/>
      <w:jc w:val="both"/>
    </w:pPr>
    <w:rPr>
      <w:rFonts w:ascii="黑体" w:hAnsi="宋体" w:eastAsia="黑体"/>
      <w:kern w:val="2"/>
      <w:sz w:val="21"/>
      <w:lang w:val="zh-CN"/>
    </w:rPr>
  </w:style>
  <w:style w:type="paragraph" w:customStyle="1" w:styleId="3488">
    <w:name w:val="文件名称"/>
    <w:basedOn w:val="1"/>
    <w:next w:val="1"/>
    <w:qFormat/>
    <w:uiPriority w:val="0"/>
    <w:pPr>
      <w:widowControl w:val="0"/>
      <w:spacing w:before="312" w:beforeLines="100"/>
      <w:jc w:val="center"/>
    </w:pPr>
    <w:rPr>
      <w:rFonts w:ascii="黑体" w:hAnsi="Times New Roman" w:eastAsia="黑体" w:cs="Times New Roman"/>
      <w:kern w:val="2"/>
      <w:sz w:val="84"/>
      <w:szCs w:val="84"/>
    </w:rPr>
  </w:style>
  <w:style w:type="paragraph" w:customStyle="1" w:styleId="3489">
    <w:name w:val="批注框文本 Char Char"/>
    <w:basedOn w:val="1"/>
    <w:qFormat/>
    <w:uiPriority w:val="0"/>
    <w:pPr>
      <w:widowControl w:val="0"/>
      <w:jc w:val="both"/>
    </w:pPr>
    <w:rPr>
      <w:rFonts w:ascii="Times New Roman" w:hAnsi="Times New Roman" w:cs="Times New Roman"/>
      <w:kern w:val="2"/>
      <w:sz w:val="18"/>
    </w:rPr>
  </w:style>
  <w:style w:type="paragraph" w:customStyle="1" w:styleId="3490">
    <w:name w:val="Char Char Char Char Char Char Char Char Char Char Char Char Char Char Char Char Char Char Char Char Char Char Char Char Char Char Char Char Char Char Char Char Char Char Char Char Char Char Char Char Char Char Char2"/>
    <w:basedOn w:val="1"/>
    <w:next w:val="1"/>
    <w:qFormat/>
    <w:uiPriority w:val="0"/>
    <w:pPr>
      <w:widowControl w:val="0"/>
      <w:jc w:val="both"/>
    </w:pPr>
    <w:rPr>
      <w:rFonts w:ascii="Times New Roman" w:hAnsi="Times New Roman" w:cs="Times New Roman"/>
      <w:kern w:val="2"/>
      <w:sz w:val="21"/>
    </w:rPr>
  </w:style>
  <w:style w:type="paragraph" w:customStyle="1" w:styleId="3491">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3492">
    <w:name w:val="单位名称"/>
    <w:basedOn w:val="1"/>
    <w:next w:val="1"/>
    <w:qFormat/>
    <w:uiPriority w:val="0"/>
    <w:pPr>
      <w:widowControl w:val="0"/>
      <w:jc w:val="center"/>
    </w:pPr>
    <w:rPr>
      <w:rFonts w:ascii="Times New Roman" w:hAnsi="Times New Roman" w:cs="Times New Roman"/>
      <w:kern w:val="2"/>
      <w:sz w:val="44"/>
      <w:szCs w:val="44"/>
    </w:rPr>
  </w:style>
  <w:style w:type="paragraph" w:customStyle="1" w:styleId="3493">
    <w:name w:val="说明-表格用字1"/>
    <w:basedOn w:val="3494"/>
    <w:qFormat/>
    <w:uiPriority w:val="0"/>
  </w:style>
  <w:style w:type="paragraph" w:customStyle="1" w:styleId="3494">
    <w:name w:val="说明-表格用字"/>
    <w:basedOn w:val="1"/>
    <w:qFormat/>
    <w:uiPriority w:val="0"/>
    <w:pPr>
      <w:widowControl w:val="0"/>
      <w:jc w:val="center"/>
    </w:pPr>
    <w:rPr>
      <w:rFonts w:hint="eastAsia" w:ascii="Times New Roman" w:cs="Times New Roman"/>
      <w:kern w:val="2"/>
      <w:sz w:val="21"/>
      <w:szCs w:val="20"/>
    </w:rPr>
  </w:style>
  <w:style w:type="paragraph" w:customStyle="1" w:styleId="3495">
    <w:name w:val="Char Char Char Char Char Char Char Char Char1 Char Char Char Char Char Char Char"/>
    <w:basedOn w:val="1"/>
    <w:qFormat/>
    <w:uiPriority w:val="0"/>
    <w:pPr>
      <w:widowControl w:val="0"/>
      <w:jc w:val="both"/>
    </w:pPr>
    <w:rPr>
      <w:rFonts w:ascii="Times New Roman" w:hAnsi="Times New Roman" w:cs="Times New Roman"/>
      <w:kern w:val="2"/>
      <w:sz w:val="21"/>
      <w:szCs w:val="21"/>
    </w:rPr>
  </w:style>
  <w:style w:type="paragraph" w:customStyle="1" w:styleId="3496">
    <w:name w:val="样式 标题 2 + 段前: 1 行"/>
    <w:basedOn w:val="4"/>
    <w:qFormat/>
    <w:uiPriority w:val="0"/>
    <w:pPr>
      <w:keepNext w:val="0"/>
      <w:widowControl w:val="0"/>
      <w:numPr>
        <w:ilvl w:val="0"/>
        <w:numId w:val="0"/>
      </w:numPr>
      <w:tabs>
        <w:tab w:val="left" w:pos="360"/>
        <w:tab w:val="left" w:pos="630"/>
        <w:tab w:val="left" w:pos="720"/>
        <w:tab w:val="left" w:pos="8092"/>
      </w:tabs>
      <w:snapToGrid w:val="0"/>
      <w:spacing w:before="320" w:after="160" w:line="240" w:lineRule="auto"/>
      <w:ind w:firstLine="567" w:firstLineChars="200"/>
    </w:pPr>
    <w:rPr>
      <w:rFonts w:hint="eastAsia" w:cs="Times New Roman"/>
      <w:b w:val="0"/>
      <w:color w:val="FF0000"/>
      <w:kern w:val="2"/>
      <w:sz w:val="28"/>
      <w:szCs w:val="20"/>
      <w:lang w:val="zh-CN"/>
    </w:rPr>
  </w:style>
  <w:style w:type="paragraph" w:customStyle="1" w:styleId="3497">
    <w:name w:val="Char4 Char Char Char Char Char Char"/>
    <w:basedOn w:val="1"/>
    <w:qFormat/>
    <w:uiPriority w:val="0"/>
    <w:pPr>
      <w:widowControl w:val="0"/>
      <w:jc w:val="both"/>
    </w:pPr>
    <w:rPr>
      <w:rFonts w:ascii="Times New Roman" w:hAnsi="Times New Roman" w:cs="Times New Roman"/>
      <w:kern w:val="2"/>
      <w:sz w:val="21"/>
    </w:rPr>
  </w:style>
  <w:style w:type="paragraph" w:customStyle="1" w:styleId="3498">
    <w:name w:val="中大2级1"/>
    <w:basedOn w:val="4"/>
    <w:qFormat/>
    <w:uiPriority w:val="0"/>
    <w:pPr>
      <w:keepNext w:val="0"/>
      <w:widowControl w:val="0"/>
      <w:numPr>
        <w:ilvl w:val="0"/>
        <w:numId w:val="0"/>
      </w:numPr>
      <w:tabs>
        <w:tab w:val="left" w:pos="0"/>
        <w:tab w:val="left" w:pos="360"/>
        <w:tab w:val="left" w:pos="720"/>
        <w:tab w:val="left" w:pos="1320"/>
        <w:tab w:val="left" w:pos="8092"/>
      </w:tabs>
      <w:snapToGrid w:val="0"/>
      <w:spacing w:before="0" w:after="0" w:line="240" w:lineRule="auto"/>
      <w:ind w:left="1320" w:hanging="420" w:firstLineChars="200"/>
    </w:pPr>
    <w:rPr>
      <w:rFonts w:ascii="Times New Roman" w:hAnsi="Times New Roman" w:eastAsia="宋体" w:cs="Times New Roman"/>
      <w:bCs/>
      <w:color w:val="FF0000"/>
      <w:szCs w:val="30"/>
    </w:rPr>
  </w:style>
  <w:style w:type="paragraph" w:customStyle="1" w:styleId="3499">
    <w:name w:val="Char Char4 Char Char Char Char4"/>
    <w:basedOn w:val="1"/>
    <w:qFormat/>
    <w:uiPriority w:val="0"/>
    <w:pPr>
      <w:widowControl w:val="0"/>
      <w:ind w:firstLine="200" w:firstLineChars="200"/>
      <w:jc w:val="both"/>
    </w:pPr>
    <w:rPr>
      <w:kern w:val="2"/>
      <w:sz w:val="21"/>
    </w:rPr>
  </w:style>
  <w:style w:type="paragraph" w:customStyle="1" w:styleId="3500">
    <w:name w:val="一般正文 + 首行缩进:  2 字符"/>
    <w:basedOn w:val="3461"/>
    <w:qFormat/>
    <w:uiPriority w:val="0"/>
    <w:pPr>
      <w:spacing w:before="62" w:beforeLines="20" w:line="324" w:lineRule="auto"/>
    </w:pPr>
    <w:rPr>
      <w:rFonts w:cs="宋体"/>
      <w:color w:val="000000"/>
      <w:kern w:val="0"/>
      <w:sz w:val="26"/>
      <w:szCs w:val="20"/>
    </w:rPr>
  </w:style>
  <w:style w:type="paragraph" w:customStyle="1" w:styleId="3501">
    <w:name w:val="样式 徐萍表格 + 黑色"/>
    <w:basedOn w:val="3502"/>
    <w:qFormat/>
    <w:uiPriority w:val="0"/>
    <w:pPr>
      <w:spacing w:before="120" w:after="120" w:line="240" w:lineRule="auto"/>
    </w:pPr>
    <w:rPr>
      <w:color w:val="000000"/>
    </w:rPr>
  </w:style>
  <w:style w:type="paragraph" w:customStyle="1" w:styleId="3502">
    <w:name w:val="徐萍表格"/>
    <w:basedOn w:val="1"/>
    <w:qFormat/>
    <w:uiPriority w:val="0"/>
    <w:pPr>
      <w:keepNext/>
      <w:widowControl w:val="0"/>
      <w:autoSpaceDE w:val="0"/>
      <w:autoSpaceDN w:val="0"/>
      <w:adjustRightInd w:val="0"/>
      <w:spacing w:line="240" w:lineRule="exact"/>
      <w:jc w:val="center"/>
      <w:textAlignment w:val="baseline"/>
    </w:pPr>
    <w:rPr>
      <w:rFonts w:cs="Times New Roman"/>
      <w:sz w:val="21"/>
      <w:szCs w:val="18"/>
    </w:rPr>
  </w:style>
  <w:style w:type="paragraph" w:customStyle="1" w:styleId="3503">
    <w:name w:val="样式 正文文本缩进 2正文文字缩进 2 + 四号 蓝色"/>
    <w:basedOn w:val="36"/>
    <w:qFormat/>
    <w:uiPriority w:val="0"/>
    <w:pPr>
      <w:widowControl w:val="0"/>
      <w:snapToGrid/>
      <w:spacing w:line="360" w:lineRule="atLeast"/>
      <w:ind w:firstLine="480" w:firstLineChars="0"/>
      <w:textAlignment w:val="baseline"/>
    </w:pPr>
    <w:rPr>
      <w:rFonts w:hAnsi="Times New Roman" w:cs="Times New Roman"/>
      <w:sz w:val="24"/>
      <w:lang w:val="zh-CN"/>
    </w:rPr>
  </w:style>
  <w:style w:type="paragraph" w:customStyle="1" w:styleId="3504">
    <w:name w:val="图注、图的脚注"/>
    <w:basedOn w:val="2836"/>
    <w:qFormat/>
    <w:uiPriority w:val="0"/>
    <w:pPr>
      <w:widowControl/>
      <w:autoSpaceDE/>
      <w:autoSpaceDN/>
      <w:adjustRightInd/>
      <w:spacing w:before="62" w:beforeLines="20" w:after="62" w:afterLines="20"/>
      <w:ind w:firstLine="200" w:firstLineChars="200"/>
    </w:pPr>
    <w:rPr>
      <w:kern w:val="2"/>
      <w:sz w:val="18"/>
      <w:szCs w:val="20"/>
    </w:rPr>
  </w:style>
  <w:style w:type="paragraph" w:customStyle="1" w:styleId="3505">
    <w:name w:val="说明-正文-公式"/>
    <w:basedOn w:val="3085"/>
    <w:qFormat/>
    <w:uiPriority w:val="0"/>
    <w:pPr>
      <w:ind w:firstLine="200" w:firstLineChars="0"/>
    </w:pPr>
  </w:style>
  <w:style w:type="paragraph" w:customStyle="1" w:styleId="3506">
    <w:name w:val="Char1 Char Char Char Char Char Char Char Char Char Char Char Char Char Char Char"/>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507">
    <w:name w:val="样式 标题 41.1.1.1标题 4.1.1.1.1标题 4 Char款四级标题，黑粗，小四，序号H4h4 sub..."/>
    <w:basedOn w:val="6"/>
    <w:qFormat/>
    <w:uiPriority w:val="0"/>
    <w:pPr>
      <w:widowControl w:val="0"/>
      <w:tabs>
        <w:tab w:val="left" w:pos="851"/>
        <w:tab w:val="left" w:pos="945"/>
        <w:tab w:val="left" w:pos="1620"/>
      </w:tabs>
      <w:adjustRightInd w:val="0"/>
      <w:snapToGrid w:val="0"/>
      <w:spacing w:before="120" w:beforeLines="50" w:after="120" w:line="377" w:lineRule="auto"/>
      <w:ind w:left="2971" w:hanging="420" w:firstLineChars="200"/>
      <w:jc w:val="both"/>
    </w:pPr>
    <w:rPr>
      <w:rFonts w:ascii="Times New Roman" w:hAnsi="Times New Roman" w:eastAsia="宋体" w:cs="宋体"/>
      <w:b w:val="0"/>
      <w:kern w:val="2"/>
      <w:sz w:val="24"/>
      <w:szCs w:val="24"/>
    </w:rPr>
  </w:style>
  <w:style w:type="paragraph" w:customStyle="1" w:styleId="3508">
    <w:name w:val="Char Char Char Char Char Char Char Char Char Char Char Char Char1 Char Char Char Char Char Char Char Char Char Char Char Char Char Char Char Char Char Char Char4"/>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509">
    <w:name w:val="样式5 Char Char Char"/>
    <w:basedOn w:val="1"/>
    <w:qFormat/>
    <w:uiPriority w:val="0"/>
    <w:pPr>
      <w:widowControl w:val="0"/>
      <w:ind w:firstLine="200" w:firstLineChars="200"/>
      <w:jc w:val="both"/>
    </w:pPr>
    <w:rPr>
      <w:rFonts w:ascii="Times New Roman" w:hAnsi="Times New Roman" w:cs="Times New Roman"/>
      <w:kern w:val="2"/>
      <w:sz w:val="21"/>
    </w:rPr>
  </w:style>
  <w:style w:type="paragraph" w:customStyle="1" w:styleId="3510">
    <w:name w:val="正文  规划"/>
    <w:basedOn w:val="1"/>
    <w:qFormat/>
    <w:uiPriority w:val="0"/>
    <w:pPr>
      <w:widowControl w:val="0"/>
      <w:adjustRightInd w:val="0"/>
      <w:spacing w:before="120" w:after="120"/>
      <w:ind w:firstLine="480" w:firstLineChars="200"/>
      <w:jc w:val="both"/>
    </w:pPr>
    <w:rPr>
      <w:rFonts w:ascii="Times New Roman" w:hAnsi="Times New Roman"/>
      <w:kern w:val="2"/>
      <w:sz w:val="21"/>
      <w:szCs w:val="20"/>
    </w:rPr>
  </w:style>
  <w:style w:type="paragraph" w:customStyle="1" w:styleId="3511">
    <w:name w:val="检索9"/>
    <w:basedOn w:val="3178"/>
    <w:qFormat/>
    <w:uiPriority w:val="0"/>
    <w:pPr>
      <w:ind w:left="2438"/>
    </w:pPr>
    <w:rPr>
      <w:color w:val="FF0000"/>
    </w:rPr>
  </w:style>
  <w:style w:type="paragraph" w:customStyle="1" w:styleId="3512">
    <w:name w:val="字元 字元3"/>
    <w:basedOn w:val="1"/>
    <w:qFormat/>
    <w:uiPriority w:val="0"/>
    <w:pPr>
      <w:widowControl w:val="0"/>
      <w:adjustRightInd w:val="0"/>
      <w:snapToGrid w:val="0"/>
      <w:ind w:firstLine="200" w:firstLineChars="200"/>
      <w:jc w:val="both"/>
    </w:pPr>
    <w:rPr>
      <w:rFonts w:ascii="Times New Roman" w:hAnsi="Times New Roman" w:cs="Times New Roman"/>
      <w:kern w:val="2"/>
      <w:sz w:val="21"/>
    </w:rPr>
  </w:style>
  <w:style w:type="paragraph" w:customStyle="1" w:styleId="3513">
    <w:name w:val="Char Char1 Char1"/>
    <w:basedOn w:val="1"/>
    <w:qFormat/>
    <w:uiPriority w:val="0"/>
    <w:pPr>
      <w:widowControl w:val="0"/>
      <w:jc w:val="both"/>
    </w:pPr>
    <w:rPr>
      <w:rFonts w:ascii="Times New Roman" w:hAnsi="Times New Roman" w:cs="Times New Roman"/>
      <w:kern w:val="2"/>
      <w:sz w:val="21"/>
    </w:rPr>
  </w:style>
  <w:style w:type="paragraph" w:customStyle="1" w:styleId="3514">
    <w:name w:val="样式 标题4 + 宋体 四号"/>
    <w:basedOn w:val="21"/>
    <w:qFormat/>
    <w:uiPriority w:val="0"/>
    <w:pPr>
      <w:keepNext/>
      <w:keepLines/>
      <w:adjustRightInd w:val="0"/>
      <w:snapToGrid w:val="0"/>
      <w:spacing w:before="156" w:beforeLines="50" w:line="360" w:lineRule="atLeast"/>
      <w:ind w:left="0" w:firstLine="720"/>
      <w:textAlignment w:val="baseline"/>
      <w:outlineLvl w:val="3"/>
    </w:pPr>
    <w:rPr>
      <w:rFonts w:ascii="Times New Roman" w:hAnsi="Times New Roman" w:eastAsia="楷体_GB2312" w:cs="Times New Roman"/>
      <w:b/>
      <w:bCs/>
      <w:szCs w:val="30"/>
    </w:rPr>
  </w:style>
  <w:style w:type="paragraph" w:customStyle="1" w:styleId="3515">
    <w:name w:val="Char Char Char Char Char Char Char Char1"/>
    <w:basedOn w:val="1"/>
    <w:qFormat/>
    <w:uiPriority w:val="0"/>
    <w:pPr>
      <w:widowControl w:val="0"/>
      <w:jc w:val="both"/>
    </w:pPr>
    <w:rPr>
      <w:rFonts w:ascii="Times New Roman" w:hAnsi="Times New Roman" w:cs="Times New Roman"/>
      <w:kern w:val="2"/>
    </w:rPr>
  </w:style>
  <w:style w:type="paragraph" w:customStyle="1" w:styleId="3516">
    <w:name w:val="样式88"/>
    <w:basedOn w:val="1"/>
    <w:qFormat/>
    <w:uiPriority w:val="0"/>
    <w:pPr>
      <w:keepNext/>
      <w:keepLines/>
      <w:widowControl w:val="0"/>
      <w:adjustRightInd w:val="0"/>
      <w:spacing w:before="120" w:after="120" w:line="520" w:lineRule="exact"/>
      <w:jc w:val="both"/>
      <w:outlineLvl w:val="2"/>
    </w:pPr>
    <w:rPr>
      <w:rFonts w:eastAsia="黑体" w:cs="Times New Roman"/>
      <w:b/>
      <w:sz w:val="21"/>
      <w:lang w:val="zh-CN"/>
    </w:rPr>
  </w:style>
  <w:style w:type="paragraph" w:customStyle="1" w:styleId="3517">
    <w:name w:val="标题（一）"/>
    <w:basedOn w:val="1"/>
    <w:qFormat/>
    <w:uiPriority w:val="0"/>
    <w:pPr>
      <w:widowControl w:val="0"/>
      <w:ind w:firstLine="200" w:firstLineChars="200"/>
      <w:jc w:val="both"/>
      <w:outlineLvl w:val="2"/>
    </w:pPr>
    <w:rPr>
      <w:rFonts w:ascii="Times New Roman" w:hAnsi="Times New Roman" w:eastAsia="黑体" w:cs="Times New Roman"/>
      <w:kern w:val="2"/>
      <w:sz w:val="28"/>
      <w:szCs w:val="20"/>
    </w:rPr>
  </w:style>
  <w:style w:type="paragraph" w:customStyle="1" w:styleId="3518">
    <w:name w:val="Style Body Text Indent + 四号 First line:  2 ch After:  0.5 line L..."/>
    <w:basedOn w:val="35"/>
    <w:qFormat/>
    <w:uiPriority w:val="0"/>
    <w:pPr>
      <w:widowControl w:val="0"/>
      <w:spacing w:after="0" w:line="360" w:lineRule="exact"/>
      <w:ind w:left="0" w:leftChars="0" w:firstLine="422" w:firstLineChars="200"/>
      <w:jc w:val="both"/>
    </w:pPr>
    <w:rPr>
      <w:rFonts w:eastAsia="仿宋_GB2312" w:cs="Times New Roman"/>
      <w:b/>
      <w:color w:val="FF0000"/>
      <w:kern w:val="2"/>
      <w:sz w:val="21"/>
      <w:szCs w:val="28"/>
    </w:rPr>
  </w:style>
  <w:style w:type="paragraph" w:customStyle="1" w:styleId="3519">
    <w:name w:val="表尾注"/>
    <w:basedOn w:val="1"/>
    <w:next w:val="1"/>
    <w:qFormat/>
    <w:uiPriority w:val="0"/>
    <w:pPr>
      <w:widowControl w:val="0"/>
      <w:autoSpaceDE w:val="0"/>
      <w:autoSpaceDN w:val="0"/>
      <w:adjustRightInd w:val="0"/>
      <w:spacing w:after="240"/>
      <w:jc w:val="both"/>
    </w:pPr>
    <w:rPr>
      <w:rFonts w:ascii="Arial" w:hAnsi="Arial"/>
      <w:sz w:val="18"/>
      <w:szCs w:val="21"/>
    </w:rPr>
  </w:style>
  <w:style w:type="paragraph" w:customStyle="1" w:styleId="3520">
    <w:name w:val="样式 标题 + 段前: 0.5 行 段后: 0.5 行"/>
    <w:basedOn w:val="84"/>
    <w:qFormat/>
    <w:uiPriority w:val="0"/>
    <w:pPr>
      <w:adjustRightInd w:val="0"/>
      <w:snapToGrid w:val="0"/>
      <w:spacing w:before="0" w:after="0"/>
      <w:ind w:firstLine="480" w:firstLineChars="200"/>
    </w:pPr>
    <w:rPr>
      <w:rFonts w:ascii="Times New Roman" w:hAnsi="Times New Roman" w:eastAsia="黑体"/>
      <w:bCs w:val="0"/>
      <w:kern w:val="2"/>
      <w:sz w:val="30"/>
      <w:szCs w:val="30"/>
      <w:shd w:val="clear" w:color="auto" w:fill="000080"/>
    </w:rPr>
  </w:style>
  <w:style w:type="paragraph" w:customStyle="1" w:styleId="3521">
    <w:name w:val="样式 标题 3条标题1.1.1ReHead 3 WSAh3BSH-3H3b33rd levell3CT标题...1"/>
    <w:basedOn w:val="5"/>
    <w:qFormat/>
    <w:uiPriority w:val="0"/>
    <w:pPr>
      <w:keepNext w:val="0"/>
      <w:keepLines w:val="0"/>
      <w:widowControl w:val="0"/>
      <w:tabs>
        <w:tab w:val="left" w:pos="360"/>
        <w:tab w:val="left" w:pos="720"/>
        <w:tab w:val="left" w:pos="840"/>
      </w:tabs>
      <w:snapToGrid w:val="0"/>
      <w:spacing w:before="0" w:beforeLines="100" w:after="120" w:afterLines="50" w:line="240" w:lineRule="auto"/>
      <w:ind w:firstLine="980" w:firstLineChars="200"/>
      <w:jc w:val="both"/>
    </w:pPr>
    <w:rPr>
      <w:rFonts w:cs="Times New Roman"/>
      <w:b w:val="0"/>
      <w:kern w:val="2"/>
    </w:rPr>
  </w:style>
  <w:style w:type="paragraph" w:customStyle="1" w:styleId="3522">
    <w:name w:val="样式 标题 3 + 左侧:  0 毫米 首行缩进:  0 毫米 行距: 最小值 25 磅2"/>
    <w:basedOn w:val="5"/>
    <w:qFormat/>
    <w:uiPriority w:val="0"/>
    <w:pPr>
      <w:keepNext w:val="0"/>
      <w:keepLines w:val="0"/>
      <w:widowControl w:val="0"/>
      <w:tabs>
        <w:tab w:val="left" w:pos="360"/>
        <w:tab w:val="left" w:pos="720"/>
        <w:tab w:val="left" w:pos="1620"/>
        <w:tab w:val="left" w:pos="1740"/>
      </w:tabs>
      <w:snapToGrid w:val="0"/>
      <w:spacing w:before="0" w:beforeLines="100" w:after="0" w:afterLines="50" w:line="500" w:lineRule="atLeast"/>
      <w:ind w:left="1740" w:hanging="420" w:firstLineChars="200"/>
      <w:jc w:val="both"/>
    </w:pPr>
    <w:rPr>
      <w:rFonts w:ascii="Times New Roman" w:hAnsi="Times New Roman" w:eastAsia="仿宋_GB2312" w:cs="Times New Roman"/>
      <w:snapToGrid w:val="0"/>
      <w:spacing w:val="4"/>
      <w:kern w:val="2"/>
      <w:szCs w:val="20"/>
    </w:rPr>
  </w:style>
  <w:style w:type="paragraph" w:customStyle="1" w:styleId="3523">
    <w:name w:val="一般正文 + 首行缩进:  2 字符 段后: 0.2 行 + 首行缩进:  2 字符"/>
    <w:basedOn w:val="1"/>
    <w:qFormat/>
    <w:uiPriority w:val="0"/>
    <w:pPr>
      <w:widowControl w:val="0"/>
      <w:adjustRightInd w:val="0"/>
      <w:snapToGrid w:val="0"/>
      <w:spacing w:before="100" w:beforeAutospacing="1" w:after="100" w:afterAutospacing="1"/>
      <w:jc w:val="both"/>
    </w:pPr>
    <w:rPr>
      <w:rFonts w:cs="Times New Roman"/>
      <w:sz w:val="28"/>
      <w:szCs w:val="28"/>
    </w:rPr>
  </w:style>
  <w:style w:type="paragraph" w:customStyle="1" w:styleId="3524">
    <w:name w:val="小五表格文字"/>
    <w:basedOn w:val="1"/>
    <w:qFormat/>
    <w:uiPriority w:val="0"/>
    <w:pPr>
      <w:widowControl w:val="0"/>
      <w:spacing w:before="100" w:beforeAutospacing="1" w:after="100" w:afterAutospacing="1" w:line="300" w:lineRule="exact"/>
      <w:jc w:val="center"/>
    </w:pPr>
    <w:rPr>
      <w:rFonts w:ascii="Times New Roman" w:hAnsi="Times New Roman" w:cs="Times New Roman"/>
      <w:kern w:val="2"/>
      <w:sz w:val="18"/>
      <w:szCs w:val="20"/>
    </w:rPr>
  </w:style>
  <w:style w:type="paragraph" w:customStyle="1" w:styleId="3525">
    <w:name w:val="备注"/>
    <w:basedOn w:val="1"/>
    <w:qFormat/>
    <w:uiPriority w:val="0"/>
    <w:pPr>
      <w:widowControl w:val="0"/>
      <w:tabs>
        <w:tab w:val="left" w:pos="547"/>
        <w:tab w:val="left" w:pos="1080"/>
      </w:tabs>
      <w:spacing w:line="400" w:lineRule="atLeast"/>
      <w:jc w:val="both"/>
    </w:pPr>
    <w:rPr>
      <w:rFonts w:ascii="Times New Roman" w:hAnsi="Times New Roman" w:cs="Times New Roman"/>
      <w:kern w:val="2"/>
      <w:sz w:val="21"/>
      <w:szCs w:val="21"/>
    </w:rPr>
  </w:style>
  <w:style w:type="paragraph" w:customStyle="1" w:styleId="3526">
    <w:name w:val="样式 标题 4标题 4 Char Char标题 4 Char + 小四 加粗2"/>
    <w:basedOn w:val="6"/>
    <w:qFormat/>
    <w:uiPriority w:val="0"/>
    <w:pPr>
      <w:widowControl w:val="0"/>
      <w:tabs>
        <w:tab w:val="left" w:pos="851"/>
        <w:tab w:val="left" w:pos="945"/>
        <w:tab w:val="left" w:pos="1620"/>
      </w:tabs>
      <w:adjustRightInd w:val="0"/>
      <w:snapToGrid w:val="0"/>
      <w:spacing w:before="156" w:beforeLines="50" w:after="156" w:line="520" w:lineRule="atLeast"/>
      <w:ind w:firstLine="980" w:firstLineChars="200"/>
      <w:jc w:val="both"/>
    </w:pPr>
    <w:rPr>
      <w:rFonts w:hint="eastAsia" w:ascii="Times New Roman" w:hAnsi="Times New Roman" w:eastAsia="宋体" w:cs="宋体"/>
      <w:kern w:val="2"/>
      <w:sz w:val="21"/>
      <w:szCs w:val="20"/>
    </w:rPr>
  </w:style>
  <w:style w:type="paragraph" w:customStyle="1" w:styleId="3527">
    <w:name w:val="正文改动"/>
    <w:basedOn w:val="1"/>
    <w:qFormat/>
    <w:uiPriority w:val="0"/>
    <w:pPr>
      <w:widowControl w:val="0"/>
      <w:spacing w:line="300" w:lineRule="auto"/>
      <w:jc w:val="center"/>
    </w:pPr>
    <w:rPr>
      <w:rFonts w:ascii="Times New Roman" w:hAnsi="Times New Roman" w:cs="Times New Roman"/>
      <w:kern w:val="2"/>
      <w:sz w:val="21"/>
    </w:rPr>
  </w:style>
  <w:style w:type="paragraph" w:customStyle="1" w:styleId="3528">
    <w:name w:val="表名，13黑"/>
    <w:qFormat/>
    <w:uiPriority w:val="0"/>
    <w:pPr>
      <w:keepNext/>
      <w:widowControl w:val="0"/>
      <w:jc w:val="center"/>
    </w:pPr>
    <w:rPr>
      <w:rFonts w:ascii="Arial" w:hAnsi="Arial" w:eastAsia="黑体" w:cs="Times New Roman"/>
      <w:kern w:val="2"/>
      <w:sz w:val="26"/>
      <w:lang w:val="en-US" w:eastAsia="zh-CN" w:bidi="ar-SA"/>
    </w:rPr>
  </w:style>
  <w:style w:type="paragraph" w:customStyle="1" w:styleId="3529">
    <w:name w:val="正文标准 Char"/>
    <w:basedOn w:val="1"/>
    <w:qFormat/>
    <w:uiPriority w:val="0"/>
    <w:pPr>
      <w:widowControl w:val="0"/>
      <w:ind w:firstLine="480" w:firstLineChars="200"/>
      <w:jc w:val="both"/>
    </w:pPr>
    <w:rPr>
      <w:rFonts w:ascii="Times New Roman" w:hAnsi="Times New Roman" w:cs="Times New Roman"/>
      <w:sz w:val="21"/>
      <w:szCs w:val="20"/>
      <w:lang w:val="zh-CN"/>
    </w:rPr>
  </w:style>
  <w:style w:type="paragraph" w:customStyle="1" w:styleId="3530">
    <w:name w:val="样式 正文首行缩进 2 + 首行缩进:  2 字符 段前: 0.5 行 段后: 0.5 行"/>
    <w:basedOn w:val="87"/>
    <w:qFormat/>
    <w:uiPriority w:val="0"/>
    <w:pPr>
      <w:widowControl w:val="0"/>
      <w:spacing w:line="300" w:lineRule="auto"/>
      <w:ind w:left="200" w:firstLine="0" w:firstLineChars="0"/>
      <w:jc w:val="both"/>
    </w:pPr>
    <w:rPr>
      <w:rFonts w:ascii="Times New Roman" w:hAnsi="Times New Roman" w:eastAsia="仿宋_GB2312" w:cs="Times New Roman"/>
      <w:color w:val="FF0000"/>
      <w:kern w:val="2"/>
      <w:sz w:val="21"/>
    </w:rPr>
  </w:style>
  <w:style w:type="paragraph" w:customStyle="1" w:styleId="3531">
    <w:name w:val="font25"/>
    <w:basedOn w:val="1"/>
    <w:qFormat/>
    <w:uiPriority w:val="0"/>
    <w:pPr>
      <w:widowControl w:val="0"/>
      <w:spacing w:before="100" w:beforeAutospacing="1" w:after="100" w:afterAutospacing="1"/>
      <w:jc w:val="both"/>
    </w:pPr>
    <w:rPr>
      <w:rFonts w:ascii="Times New Roman" w:hAnsi="Times New Roman" w:cs="Times New Roman"/>
      <w:kern w:val="2"/>
      <w:sz w:val="18"/>
      <w:szCs w:val="18"/>
    </w:rPr>
  </w:style>
  <w:style w:type="paragraph" w:customStyle="1" w:styleId="3532">
    <w:name w:val="Char Char Char Char Char Char Char Char Char Char Char Char Char1"/>
    <w:basedOn w:val="1"/>
    <w:qFormat/>
    <w:uiPriority w:val="0"/>
    <w:pPr>
      <w:widowControl w:val="0"/>
      <w:jc w:val="both"/>
    </w:pPr>
    <w:rPr>
      <w:rFonts w:ascii="Times New Roman" w:hAnsi="Times New Roman" w:cs="Times New Roman"/>
      <w:kern w:val="2"/>
      <w:sz w:val="21"/>
      <w:szCs w:val="21"/>
    </w:rPr>
  </w:style>
  <w:style w:type="paragraph" w:customStyle="1" w:styleId="3533">
    <w:name w:val="样式 标题 2 + 小四"/>
    <w:basedOn w:val="4"/>
    <w:qFormat/>
    <w:uiPriority w:val="0"/>
    <w:pPr>
      <w:keepNext w:val="0"/>
      <w:widowControl w:val="0"/>
      <w:numPr>
        <w:ilvl w:val="0"/>
        <w:numId w:val="0"/>
      </w:numPr>
      <w:tabs>
        <w:tab w:val="left" w:pos="360"/>
        <w:tab w:val="left" w:pos="630"/>
        <w:tab w:val="left" w:pos="720"/>
        <w:tab w:val="left" w:pos="8092"/>
      </w:tabs>
      <w:snapToGrid w:val="0"/>
      <w:spacing w:before="0" w:after="0" w:line="240" w:lineRule="auto"/>
      <w:ind w:firstLine="980" w:firstLineChars="200"/>
    </w:pPr>
    <w:rPr>
      <w:rFonts w:eastAsia="宋体" w:cs="Times New Roman"/>
      <w:b w:val="0"/>
      <w:bCs/>
      <w:color w:val="FF0000"/>
      <w:kern w:val="2"/>
      <w:sz w:val="24"/>
      <w:szCs w:val="32"/>
      <w:lang w:val="zh-CN"/>
    </w:rPr>
  </w:style>
  <w:style w:type="paragraph" w:customStyle="1" w:styleId="3534">
    <w:name w:val="样式 标题 4H4PIM 4h4blbbTitre44th levelsect 1.2.3.4Ref Head...4"/>
    <w:basedOn w:val="6"/>
    <w:qFormat/>
    <w:uiPriority w:val="0"/>
    <w:pPr>
      <w:tabs>
        <w:tab w:val="left" w:pos="851"/>
        <w:tab w:val="left" w:pos="945"/>
        <w:tab w:val="left" w:pos="1620"/>
      </w:tabs>
      <w:adjustRightInd w:val="0"/>
      <w:snapToGrid w:val="0"/>
      <w:spacing w:before="60" w:beforeLines="50" w:after="60" w:line="500" w:lineRule="atLeast"/>
      <w:ind w:firstLine="200" w:firstLineChars="200"/>
      <w:jc w:val="both"/>
    </w:pPr>
    <w:rPr>
      <w:rFonts w:ascii="Times New Roman" w:hAnsi="Times New Roman" w:eastAsia="宋体" w:cs="Times New Roman"/>
    </w:rPr>
  </w:style>
  <w:style w:type="paragraph" w:customStyle="1" w:styleId="3535">
    <w:name w:val="样式 标题 3标题 3 Char Char Char节，一一黑四（一）条，（一）Title3h3H3head...1"/>
    <w:basedOn w:val="5"/>
    <w:qFormat/>
    <w:uiPriority w:val="0"/>
    <w:pPr>
      <w:keepNext w:val="0"/>
      <w:keepLines w:val="0"/>
      <w:widowControl w:val="0"/>
      <w:tabs>
        <w:tab w:val="left" w:pos="360"/>
        <w:tab w:val="left" w:pos="720"/>
        <w:tab w:val="left" w:pos="1336"/>
      </w:tabs>
      <w:snapToGrid w:val="0"/>
      <w:spacing w:before="93" w:beforeLines="30" w:after="62" w:afterLines="20" w:line="240" w:lineRule="auto"/>
      <w:ind w:left="1336" w:firstLine="980" w:firstLineChars="200"/>
      <w:jc w:val="both"/>
    </w:pPr>
    <w:rPr>
      <w:rFonts w:ascii="Times New Roman" w:hAnsi="Times New Roman" w:eastAsia="仿宋_GB2312"/>
      <w:kern w:val="2"/>
      <w:sz w:val="24"/>
      <w:szCs w:val="24"/>
    </w:rPr>
  </w:style>
  <w:style w:type="paragraph" w:customStyle="1" w:styleId="3536">
    <w:name w:val="样式 首行缩进:  0.80 厘米 段前: 7.8 磅"/>
    <w:basedOn w:val="1"/>
    <w:qFormat/>
    <w:uiPriority w:val="0"/>
    <w:pPr>
      <w:widowControl w:val="0"/>
      <w:adjustRightInd w:val="0"/>
      <w:snapToGrid w:val="0"/>
      <w:spacing w:before="156" w:line="312" w:lineRule="auto"/>
      <w:ind w:firstLine="480"/>
      <w:jc w:val="both"/>
    </w:pPr>
    <w:rPr>
      <w:rFonts w:ascii="Times New Roman" w:hAnsi="Times New Roman" w:cs="Times New Roman"/>
      <w:kern w:val="2"/>
      <w:sz w:val="21"/>
      <w:szCs w:val="20"/>
    </w:rPr>
  </w:style>
  <w:style w:type="paragraph" w:customStyle="1" w:styleId="3537">
    <w:name w:val="样式 标题 3 + 段后: 0.5 行"/>
    <w:basedOn w:val="5"/>
    <w:qFormat/>
    <w:uiPriority w:val="0"/>
    <w:pPr>
      <w:keepNext w:val="0"/>
      <w:keepLines w:val="0"/>
      <w:widowControl w:val="0"/>
      <w:tabs>
        <w:tab w:val="left" w:pos="360"/>
        <w:tab w:val="left" w:pos="720"/>
      </w:tabs>
      <w:snapToGrid w:val="0"/>
      <w:spacing w:beforeLines="100" w:after="0" w:afterLines="50" w:line="413" w:lineRule="auto"/>
      <w:ind w:left="425" w:hanging="425" w:firstLineChars="200"/>
      <w:jc w:val="both"/>
    </w:pPr>
    <w:rPr>
      <w:rFonts w:ascii="Times New Roman" w:hAnsi="Times New Roman" w:cs="Times New Roman"/>
      <w:bCs w:val="0"/>
      <w:kern w:val="2"/>
      <w:szCs w:val="24"/>
    </w:rPr>
  </w:style>
  <w:style w:type="paragraph" w:customStyle="1" w:styleId="3538">
    <w:name w:val="Char Char Char2 Char1"/>
    <w:basedOn w:val="1"/>
    <w:qFormat/>
    <w:uiPriority w:val="0"/>
    <w:pPr>
      <w:widowControl w:val="0"/>
      <w:jc w:val="both"/>
    </w:pPr>
    <w:rPr>
      <w:rFonts w:ascii="Times New Roman" w:hAnsi="Times New Roman" w:cs="Times New Roman"/>
      <w:kern w:val="2"/>
      <w:sz w:val="21"/>
    </w:rPr>
  </w:style>
  <w:style w:type="paragraph" w:customStyle="1" w:styleId="3539">
    <w:name w:val="小节名"/>
    <w:basedOn w:val="1"/>
    <w:qFormat/>
    <w:uiPriority w:val="0"/>
    <w:pPr>
      <w:widowControl w:val="0"/>
      <w:tabs>
        <w:tab w:val="left" w:pos="5040"/>
      </w:tabs>
      <w:adjustRightInd w:val="0"/>
      <w:jc w:val="both"/>
    </w:pPr>
    <w:rPr>
      <w:rFonts w:ascii="黑体" w:hAnsi="Arial" w:eastAsia="黑体" w:cs="Times New Roman"/>
      <w:b/>
      <w:sz w:val="28"/>
      <w:szCs w:val="20"/>
    </w:rPr>
  </w:style>
  <w:style w:type="paragraph" w:customStyle="1" w:styleId="3540">
    <w:name w:val="font18"/>
    <w:basedOn w:val="1"/>
    <w:qFormat/>
    <w:uiPriority w:val="99"/>
    <w:pPr>
      <w:widowControl w:val="0"/>
      <w:spacing w:before="100" w:beforeAutospacing="1" w:after="100" w:afterAutospacing="1"/>
      <w:jc w:val="both"/>
    </w:pPr>
    <w:rPr>
      <w:rFonts w:ascii="Times New Roman" w:hAnsi="Times New Roman" w:cs="Times New Roman"/>
      <w:sz w:val="16"/>
      <w:szCs w:val="16"/>
    </w:rPr>
  </w:style>
  <w:style w:type="paragraph" w:customStyle="1" w:styleId="3541">
    <w:name w:val="样式 章一 + 段前: 1 行 段后: 1 行1"/>
    <w:basedOn w:val="1"/>
    <w:qFormat/>
    <w:uiPriority w:val="0"/>
    <w:pPr>
      <w:widowControl w:val="0"/>
      <w:spacing w:before="156" w:beforeLines="50" w:after="312" w:afterLines="100"/>
      <w:jc w:val="center"/>
    </w:pPr>
    <w:rPr>
      <w:rFonts w:ascii="Times New Roman" w:hAnsi="Times New Roman" w:eastAsia="黑体" w:cs="Times New Roman"/>
      <w:b/>
      <w:bCs/>
      <w:kern w:val="2"/>
      <w:sz w:val="28"/>
      <w:szCs w:val="20"/>
    </w:rPr>
  </w:style>
  <w:style w:type="paragraph" w:customStyle="1" w:styleId="3542">
    <w:name w:val="其他表格"/>
    <w:basedOn w:val="1"/>
    <w:qFormat/>
    <w:uiPriority w:val="0"/>
    <w:pPr>
      <w:widowControl w:val="0"/>
      <w:spacing w:line="0" w:lineRule="atLeast"/>
      <w:jc w:val="center"/>
    </w:pPr>
    <w:rPr>
      <w:rFonts w:cs="Times New Roman"/>
      <w:kern w:val="2"/>
      <w:sz w:val="18"/>
      <w:szCs w:val="21"/>
    </w:rPr>
  </w:style>
  <w:style w:type="paragraph" w:customStyle="1" w:styleId="3543">
    <w:name w:val="表题行"/>
    <w:basedOn w:val="1"/>
    <w:qFormat/>
    <w:uiPriority w:val="0"/>
    <w:pPr>
      <w:widowControl w:val="0"/>
      <w:ind w:left="-140" w:leftChars="-67" w:hanging="1"/>
      <w:jc w:val="center"/>
    </w:pPr>
    <w:rPr>
      <w:rFonts w:ascii="Times New Roman" w:hAnsi="Times New Roman" w:cs="Times New Roman"/>
      <w:b/>
      <w:bCs/>
      <w:kern w:val="2"/>
      <w:sz w:val="18"/>
      <w:szCs w:val="21"/>
    </w:rPr>
  </w:style>
  <w:style w:type="paragraph" w:customStyle="1" w:styleId="3544">
    <w:name w:val="带括号的正文"/>
    <w:basedOn w:val="1"/>
    <w:next w:val="1"/>
    <w:qFormat/>
    <w:uiPriority w:val="0"/>
    <w:pPr>
      <w:widowControl w:val="0"/>
      <w:adjustRightInd w:val="0"/>
      <w:snapToGrid w:val="0"/>
      <w:ind w:firstLine="200" w:firstLineChars="200"/>
      <w:jc w:val="both"/>
    </w:pPr>
    <w:rPr>
      <w:rFonts w:ascii="Times New Roman" w:hAnsi="Times New Roman" w:cs="Times New Roman"/>
      <w:kern w:val="2"/>
      <w:sz w:val="21"/>
      <w:szCs w:val="28"/>
    </w:rPr>
  </w:style>
  <w:style w:type="paragraph" w:customStyle="1" w:styleId="3545">
    <w:name w:val="环小四文中说明"/>
    <w:qFormat/>
    <w:uiPriority w:val="0"/>
    <w:pPr>
      <w:widowControl w:val="0"/>
      <w:spacing w:before="156" w:beforeLines="50" w:line="500" w:lineRule="exact"/>
      <w:ind w:firstLine="200" w:firstLineChars="200"/>
      <w:jc w:val="both"/>
    </w:pPr>
    <w:rPr>
      <w:rFonts w:ascii="宋体" w:hAnsi="宋体" w:eastAsia="宋体" w:cs="Times New Roman"/>
      <w:sz w:val="24"/>
      <w:szCs w:val="24"/>
      <w:lang w:val="en-US" w:eastAsia="zh-CN" w:bidi="ar-SA"/>
    </w:rPr>
  </w:style>
  <w:style w:type="paragraph" w:customStyle="1" w:styleId="3546">
    <w:name w:val="Char52"/>
    <w:basedOn w:val="86"/>
    <w:next w:val="1"/>
    <w:qFormat/>
    <w:uiPriority w:val="0"/>
    <w:pPr>
      <w:spacing w:after="120" w:line="360" w:lineRule="auto"/>
      <w:ind w:firstLine="480" w:firstLineChars="200"/>
    </w:pPr>
    <w:rPr>
      <w:rFonts w:ascii="Verdana" w:hAnsi="Verdana"/>
      <w:kern w:val="2"/>
      <w:sz w:val="21"/>
      <w:lang w:eastAsia="en-US"/>
    </w:rPr>
  </w:style>
  <w:style w:type="paragraph" w:customStyle="1" w:styleId="3547">
    <w:name w:val="Char Char Char1 Char Char Char Char Char Char Char2"/>
    <w:basedOn w:val="1"/>
    <w:qFormat/>
    <w:uiPriority w:val="0"/>
    <w:pPr>
      <w:widowControl w:val="0"/>
      <w:spacing w:line="360" w:lineRule="auto"/>
      <w:ind w:firstLine="200" w:firstLineChars="200"/>
      <w:jc w:val="both"/>
    </w:pPr>
    <w:rPr>
      <w:kern w:val="2"/>
    </w:rPr>
  </w:style>
  <w:style w:type="paragraph" w:customStyle="1" w:styleId="3548">
    <w:name w:val="正文首行缩进 2 + Times New Roman"/>
    <w:basedOn w:val="1"/>
    <w:qFormat/>
    <w:uiPriority w:val="0"/>
    <w:pPr>
      <w:widowControl w:val="0"/>
      <w:tabs>
        <w:tab w:val="left" w:pos="0"/>
        <w:tab w:val="left" w:pos="870"/>
        <w:tab w:val="left" w:pos="3150"/>
      </w:tabs>
      <w:autoSpaceDE w:val="0"/>
      <w:autoSpaceDN w:val="0"/>
      <w:ind w:firstLine="480" w:firstLineChars="200"/>
      <w:jc w:val="both"/>
    </w:pPr>
    <w:rPr>
      <w:rFonts w:ascii="Times New Roman" w:hAnsi="Times New Roman" w:cs="Times New Roman"/>
      <w:sz w:val="21"/>
    </w:rPr>
  </w:style>
  <w:style w:type="paragraph" w:customStyle="1" w:styleId="3549">
    <w:name w:val="环境影响报告书"/>
    <w:basedOn w:val="1"/>
    <w:qFormat/>
    <w:uiPriority w:val="0"/>
    <w:pPr>
      <w:widowControl w:val="0"/>
      <w:spacing w:before="312" w:beforeLines="100" w:after="156" w:afterLines="50"/>
      <w:jc w:val="center"/>
    </w:pPr>
    <w:rPr>
      <w:rFonts w:ascii="Times New Roman" w:hAnsi="Times New Roman" w:eastAsia="楷体_GB2312" w:cs="Times New Roman"/>
      <w:b/>
      <w:kern w:val="2"/>
      <w:sz w:val="52"/>
      <w:szCs w:val="20"/>
    </w:rPr>
  </w:style>
  <w:style w:type="paragraph" w:customStyle="1" w:styleId="3550">
    <w:name w:val="Char Char Char Char Char Char Char Char Char Char Char Char Char Char Char2"/>
    <w:next w:val="1"/>
    <w:qFormat/>
    <w:uiPriority w:val="0"/>
    <w:pPr>
      <w:tabs>
        <w:tab w:val="left" w:pos="700"/>
      </w:tabs>
      <w:snapToGrid w:val="0"/>
      <w:spacing w:line="300" w:lineRule="auto"/>
    </w:pPr>
    <w:rPr>
      <w:rFonts w:ascii="仿宋_GB2312" w:hAnsi="Verdana" w:eastAsia="仿宋_GB2312" w:cs="Times New Roman"/>
      <w:b/>
      <w:bCs/>
      <w:snapToGrid w:val="0"/>
      <w:sz w:val="28"/>
      <w:szCs w:val="28"/>
      <w:lang w:val="en-US" w:eastAsia="en-US" w:bidi="ar-SA"/>
    </w:rPr>
  </w:style>
  <w:style w:type="paragraph" w:customStyle="1" w:styleId="3551">
    <w:name w:val="Char5 Char Char Char1 Char Char Char2"/>
    <w:basedOn w:val="1"/>
    <w:qFormat/>
    <w:uiPriority w:val="0"/>
    <w:pPr>
      <w:widowControl w:val="0"/>
      <w:jc w:val="both"/>
    </w:pPr>
    <w:rPr>
      <w:rFonts w:ascii="Times New Roman" w:hAnsi="Times New Roman" w:cs="Times New Roman"/>
      <w:kern w:val="2"/>
      <w:sz w:val="21"/>
    </w:rPr>
  </w:style>
  <w:style w:type="paragraph" w:customStyle="1" w:styleId="3552">
    <w:name w:val="样式 样式 标题 2章宋三一、标题 1.1Title 22 headlinehheadlineS&amp;R2ERMH2...1 + 段..."/>
    <w:basedOn w:val="3100"/>
    <w:qFormat/>
    <w:uiPriority w:val="0"/>
    <w:pPr>
      <w:spacing w:before="127" w:beforeLines="0"/>
    </w:pPr>
    <w:rPr>
      <w:rFonts w:cs="宋体"/>
      <w:szCs w:val="20"/>
    </w:rPr>
  </w:style>
  <w:style w:type="paragraph" w:customStyle="1" w:styleId="3553">
    <w:name w:val="Char Char Char Char Char Char Char Char Char Char Char Char1"/>
    <w:basedOn w:val="1"/>
    <w:qFormat/>
    <w:uiPriority w:val="0"/>
    <w:pPr>
      <w:widowControl w:val="0"/>
      <w:spacing w:after="160" w:line="240" w:lineRule="exact"/>
      <w:jc w:val="both"/>
    </w:pPr>
    <w:rPr>
      <w:rFonts w:ascii="Verdana" w:hAnsi="Verdana" w:cs="Times New Roman"/>
      <w:sz w:val="20"/>
      <w:szCs w:val="20"/>
      <w:lang w:eastAsia="en-US"/>
    </w:rPr>
  </w:style>
  <w:style w:type="paragraph" w:customStyle="1" w:styleId="3554">
    <w:name w:val="+列表1"/>
    <w:basedOn w:val="1"/>
    <w:qFormat/>
    <w:uiPriority w:val="0"/>
    <w:pPr>
      <w:widowControl w:val="0"/>
      <w:tabs>
        <w:tab w:val="left" w:pos="4320"/>
      </w:tabs>
      <w:jc w:val="center"/>
    </w:pPr>
    <w:rPr>
      <w:rFonts w:ascii="Times New Roman" w:hAnsi="Times New Roman" w:cs="Times New Roman"/>
      <w:kern w:val="2"/>
      <w:sz w:val="21"/>
    </w:rPr>
  </w:style>
  <w:style w:type="paragraph" w:customStyle="1" w:styleId="3555">
    <w:name w:val="报告缩进"/>
    <w:basedOn w:val="1"/>
    <w:qFormat/>
    <w:uiPriority w:val="0"/>
    <w:pPr>
      <w:widowControl w:val="0"/>
      <w:autoSpaceDE w:val="0"/>
      <w:autoSpaceDN w:val="0"/>
      <w:jc w:val="both"/>
      <w:textAlignment w:val="baseline"/>
    </w:pPr>
    <w:rPr>
      <w:rFonts w:ascii="Times New Roman" w:hAnsi="Times New Roman" w:cs="Times New Roman"/>
      <w:kern w:val="2"/>
      <w:sz w:val="21"/>
      <w:szCs w:val="20"/>
    </w:rPr>
  </w:style>
  <w:style w:type="paragraph" w:customStyle="1" w:styleId="3556">
    <w:name w:val="正文2002"/>
    <w:basedOn w:val="1"/>
    <w:qFormat/>
    <w:uiPriority w:val="0"/>
    <w:pPr>
      <w:widowControl w:val="0"/>
      <w:adjustRightInd w:val="0"/>
      <w:spacing w:line="312" w:lineRule="atLeast"/>
      <w:jc w:val="center"/>
    </w:pPr>
    <w:rPr>
      <w:rFonts w:ascii="楷体_GB2312" w:hAnsi="Times New Roman" w:eastAsia="楷体_GB2312" w:cs="Times New Roman"/>
      <w:b/>
      <w:bCs/>
      <w:sz w:val="44"/>
      <w:szCs w:val="20"/>
    </w:rPr>
  </w:style>
  <w:style w:type="paragraph" w:customStyle="1" w:styleId="3557">
    <w:name w:val="评价单位"/>
    <w:basedOn w:val="1"/>
    <w:qFormat/>
    <w:uiPriority w:val="0"/>
    <w:pPr>
      <w:widowControl w:val="0"/>
      <w:overflowPunct w:val="0"/>
      <w:autoSpaceDE w:val="0"/>
      <w:autoSpaceDN w:val="0"/>
      <w:spacing w:before="156" w:beforeLines="50" w:after="156" w:afterLines="50"/>
      <w:ind w:left="300" w:leftChars="300"/>
      <w:jc w:val="both"/>
      <w:textAlignment w:val="baseline"/>
    </w:pPr>
    <w:rPr>
      <w:rFonts w:ascii="Times New Roman" w:hAnsi="Times New Roman" w:eastAsia="楷体_GB2312" w:cs="Times New Roman"/>
      <w:b/>
      <w:kern w:val="2"/>
      <w:sz w:val="36"/>
      <w:szCs w:val="20"/>
      <w:lang w:val="zh-CN"/>
    </w:rPr>
  </w:style>
  <w:style w:type="paragraph" w:customStyle="1" w:styleId="3558">
    <w:name w:val="批注框文本12"/>
    <w:basedOn w:val="1"/>
    <w:qFormat/>
    <w:uiPriority w:val="0"/>
    <w:pPr>
      <w:widowControl w:val="0"/>
      <w:jc w:val="both"/>
    </w:pPr>
    <w:rPr>
      <w:rFonts w:ascii="Times New Roman" w:hAnsi="Times New Roman" w:cs="Times New Roman"/>
      <w:kern w:val="2"/>
      <w:sz w:val="18"/>
      <w:szCs w:val="18"/>
    </w:rPr>
  </w:style>
  <w:style w:type="paragraph" w:customStyle="1" w:styleId="3559">
    <w:name w:val="宗兴2"/>
    <w:basedOn w:val="1"/>
    <w:qFormat/>
    <w:uiPriority w:val="0"/>
    <w:pPr>
      <w:keepNext/>
      <w:keepLines/>
      <w:widowControl w:val="0"/>
      <w:spacing w:before="312" w:beforeLines="100" w:line="400" w:lineRule="exact"/>
      <w:jc w:val="both"/>
      <w:outlineLvl w:val="1"/>
    </w:pPr>
    <w:rPr>
      <w:rFonts w:ascii="Arial" w:hAnsi="Arial" w:eastAsia="黑体"/>
      <w:b/>
      <w:bCs/>
      <w:color w:val="0000FF"/>
      <w:kern w:val="2"/>
      <w:sz w:val="32"/>
      <w:szCs w:val="20"/>
    </w:rPr>
  </w:style>
  <w:style w:type="paragraph" w:customStyle="1" w:styleId="3560">
    <w:name w:val="样式 小五 首行缩进:  2 字符"/>
    <w:basedOn w:val="1"/>
    <w:qFormat/>
    <w:uiPriority w:val="0"/>
    <w:pPr>
      <w:widowControl w:val="0"/>
      <w:jc w:val="both"/>
    </w:pPr>
    <w:rPr>
      <w:rFonts w:hint="eastAsia" w:ascii="Times New Roman" w:hAnsi="Times New Roman" w:cs="Times New Roman"/>
      <w:kern w:val="2"/>
      <w:sz w:val="18"/>
      <w:szCs w:val="20"/>
    </w:rPr>
  </w:style>
  <w:style w:type="paragraph" w:customStyle="1" w:styleId="3561">
    <w:name w:val="正文41"/>
    <w:basedOn w:val="1"/>
    <w:qFormat/>
    <w:uiPriority w:val="0"/>
    <w:pPr>
      <w:widowControl w:val="0"/>
      <w:adjustRightInd w:val="0"/>
      <w:spacing w:after="156" w:afterLines="50" w:line="315" w:lineRule="atLeast"/>
      <w:textAlignment w:val="baseline"/>
    </w:pPr>
    <w:rPr>
      <w:rFonts w:hAnsi="Times New Roman" w:cs="Times New Roman"/>
      <w:sz w:val="21"/>
      <w:szCs w:val="20"/>
    </w:rPr>
  </w:style>
  <w:style w:type="paragraph" w:customStyle="1" w:styleId="3562">
    <w:name w:val="样式 样式 (西文) 仿宋_GB2312 (中文) 仿宋_GB2312 (符号) 宋体 加粗 段前: 0.5 行 行距: 1....."/>
    <w:basedOn w:val="1"/>
    <w:qFormat/>
    <w:uiPriority w:val="0"/>
    <w:pPr>
      <w:widowControl w:val="0"/>
      <w:spacing w:after="312" w:afterLines="100" w:line="300" w:lineRule="auto"/>
      <w:jc w:val="both"/>
    </w:pPr>
    <w:rPr>
      <w:rFonts w:ascii="仿宋_GB2312" w:hAnsi="Times New Roman" w:eastAsia="仿宋_GB2312" w:cs="Times New Roman"/>
      <w:b/>
      <w:bCs/>
      <w:kern w:val="2"/>
      <w:sz w:val="28"/>
      <w:szCs w:val="20"/>
    </w:rPr>
  </w:style>
  <w:style w:type="paragraph" w:customStyle="1" w:styleId="3563">
    <w:name w:val="样式 四号 两端对齐 右侧:  0 厘米 行距: 2 倍行距"/>
    <w:basedOn w:val="1"/>
    <w:qFormat/>
    <w:uiPriority w:val="0"/>
    <w:pPr>
      <w:widowControl w:val="0"/>
      <w:spacing w:line="480" w:lineRule="auto"/>
      <w:ind w:firstLine="420" w:firstLineChars="150"/>
      <w:jc w:val="both"/>
    </w:pPr>
    <w:rPr>
      <w:rFonts w:ascii="Times New Roman" w:hAnsi="Times New Roman" w:cs="Times New Roman"/>
      <w:color w:val="000000"/>
      <w:kern w:val="2"/>
      <w:sz w:val="28"/>
    </w:rPr>
  </w:style>
  <w:style w:type="paragraph" w:customStyle="1" w:styleId="3564">
    <w:name w:val="样式 样式 标题 2 + 红色 + 自动设置 Char"/>
    <w:basedOn w:val="3565"/>
    <w:qFormat/>
    <w:uiPriority w:val="0"/>
    <w:pPr>
      <w:tabs>
        <w:tab w:val="left" w:pos="360"/>
        <w:tab w:val="left" w:pos="630"/>
        <w:tab w:val="left" w:pos="720"/>
        <w:tab w:val="left" w:pos="8092"/>
      </w:tabs>
      <w:spacing w:before="0"/>
    </w:pPr>
    <w:rPr>
      <w:rFonts w:eastAsia="新宋体"/>
      <w:spacing w:val="-8"/>
    </w:rPr>
  </w:style>
  <w:style w:type="paragraph" w:customStyle="1" w:styleId="3565">
    <w:name w:val="样式 标题 2 + 红色"/>
    <w:basedOn w:val="4"/>
    <w:qFormat/>
    <w:uiPriority w:val="0"/>
    <w:pPr>
      <w:keepNext w:val="0"/>
      <w:widowControl w:val="0"/>
      <w:numPr>
        <w:ilvl w:val="0"/>
        <w:numId w:val="0"/>
      </w:numPr>
      <w:tabs>
        <w:tab w:val="left" w:pos="360"/>
        <w:tab w:val="left" w:pos="630"/>
        <w:tab w:val="left" w:pos="720"/>
        <w:tab w:val="left" w:pos="8092"/>
      </w:tabs>
      <w:snapToGrid w:val="0"/>
      <w:spacing w:before="156" w:after="156" w:line="415" w:lineRule="auto"/>
      <w:ind w:firstLine="980" w:firstLineChars="200"/>
    </w:pPr>
    <w:rPr>
      <w:rFonts w:cs="Times New Roman"/>
      <w:bCs/>
      <w:color w:val="FF0000"/>
      <w:kern w:val="2"/>
      <w:sz w:val="28"/>
      <w:szCs w:val="32"/>
      <w:lang w:val="zh-CN"/>
    </w:rPr>
  </w:style>
  <w:style w:type="paragraph" w:customStyle="1" w:styleId="3566">
    <w:name w:val="样式 四号 黑色 行距: 1.5 倍行距 首行缩进:  2 字符"/>
    <w:basedOn w:val="1"/>
    <w:qFormat/>
    <w:uiPriority w:val="0"/>
    <w:pPr>
      <w:widowControl w:val="0"/>
      <w:ind w:firstLine="560" w:firstLineChars="200"/>
      <w:jc w:val="both"/>
    </w:pPr>
    <w:rPr>
      <w:rFonts w:ascii="Times New Roman" w:hAnsi="Times New Roman" w:eastAsia="仿宋_GB2312"/>
      <w:color w:val="000000"/>
      <w:kern w:val="2"/>
      <w:sz w:val="28"/>
      <w:szCs w:val="20"/>
    </w:rPr>
  </w:style>
  <w:style w:type="paragraph" w:customStyle="1" w:styleId="3567">
    <w:name w:val="样式 宋体 12 磅 首行缩进:  2 字符"/>
    <w:basedOn w:val="1"/>
    <w:qFormat/>
    <w:uiPriority w:val="0"/>
    <w:pPr>
      <w:widowControl w:val="0"/>
      <w:spacing w:line="500" w:lineRule="exact"/>
      <w:ind w:firstLine="200" w:firstLineChars="200"/>
      <w:jc w:val="both"/>
    </w:pPr>
    <w:rPr>
      <w:rFonts w:cs="Times New Roman"/>
      <w:kern w:val="2"/>
      <w:sz w:val="26"/>
      <w:szCs w:val="20"/>
    </w:rPr>
  </w:style>
  <w:style w:type="paragraph" w:customStyle="1" w:styleId="3568">
    <w:name w:val="样式 样式 标题 2 + 首行缩进:  2 字符2 + 宋体 小四 灰色-80%"/>
    <w:basedOn w:val="3533"/>
    <w:qFormat/>
    <w:uiPriority w:val="0"/>
    <w:pPr>
      <w:tabs>
        <w:tab w:val="clear" w:pos="630"/>
      </w:tabs>
    </w:pPr>
    <w:rPr>
      <w:rFonts w:ascii="宋体" w:hAnsi="宋体"/>
      <w:b/>
      <w:color w:val="333333"/>
      <w:spacing w:val="24"/>
      <w:sz w:val="32"/>
    </w:rPr>
  </w:style>
  <w:style w:type="paragraph" w:customStyle="1" w:styleId="3569">
    <w:name w:val="兴武正文"/>
    <w:basedOn w:val="1"/>
    <w:qFormat/>
    <w:uiPriority w:val="0"/>
    <w:pPr>
      <w:widowControl w:val="0"/>
      <w:spacing w:line="480" w:lineRule="exact"/>
      <w:ind w:firstLine="200" w:firstLineChars="200"/>
      <w:jc w:val="both"/>
    </w:pPr>
    <w:rPr>
      <w:rFonts w:ascii="Times New Roman" w:hAnsi="Times New Roman"/>
      <w:kern w:val="2"/>
      <w:sz w:val="21"/>
    </w:rPr>
  </w:style>
  <w:style w:type="paragraph" w:customStyle="1" w:styleId="3570">
    <w:name w:val="样式 标题 2 + 宋体 四号 左侧:  0 厘米 行距: 1.5 倍行距"/>
    <w:basedOn w:val="4"/>
    <w:qFormat/>
    <w:uiPriority w:val="0"/>
    <w:pPr>
      <w:keepNext w:val="0"/>
      <w:widowControl w:val="0"/>
      <w:numPr>
        <w:ilvl w:val="0"/>
        <w:numId w:val="0"/>
      </w:numPr>
      <w:tabs>
        <w:tab w:val="left" w:pos="0"/>
        <w:tab w:val="left" w:pos="360"/>
        <w:tab w:val="left" w:pos="720"/>
        <w:tab w:val="left" w:pos="8092"/>
      </w:tabs>
      <w:overflowPunct w:val="0"/>
      <w:autoSpaceDE w:val="0"/>
      <w:autoSpaceDN w:val="0"/>
      <w:snapToGrid w:val="0"/>
      <w:spacing w:before="0" w:after="0" w:line="240" w:lineRule="auto"/>
      <w:ind w:firstLine="980" w:firstLineChars="200"/>
    </w:pPr>
    <w:rPr>
      <w:rFonts w:ascii="黑体" w:hAnsi="宋体"/>
      <w:bCs/>
      <w:color w:val="FF0000"/>
      <w:spacing w:val="-10"/>
      <w:sz w:val="28"/>
      <w:szCs w:val="28"/>
      <w:lang w:val="sq-AL"/>
    </w:rPr>
  </w:style>
  <w:style w:type="paragraph" w:customStyle="1" w:styleId="3571">
    <w:name w:val="font19"/>
    <w:basedOn w:val="1"/>
    <w:qFormat/>
    <w:uiPriority w:val="0"/>
    <w:pPr>
      <w:widowControl w:val="0"/>
      <w:spacing w:before="100" w:beforeAutospacing="1" w:after="100" w:afterAutospacing="1"/>
      <w:jc w:val="both"/>
    </w:pPr>
    <w:rPr>
      <w:rFonts w:ascii="Times New Roman" w:hAnsi="Times New Roman" w:cs="Times New Roman"/>
      <w:color w:val="FF0000"/>
      <w:sz w:val="16"/>
      <w:szCs w:val="16"/>
    </w:rPr>
  </w:style>
  <w:style w:type="paragraph" w:customStyle="1" w:styleId="3572">
    <w:name w:val="样式 正文1.5倍行距 + 首行缩进:  2 字符 右侧:  1 字符"/>
    <w:basedOn w:val="1"/>
    <w:qFormat/>
    <w:uiPriority w:val="0"/>
    <w:pPr>
      <w:widowControl w:val="0"/>
      <w:adjustRightInd w:val="0"/>
      <w:ind w:right="210" w:rightChars="100" w:firstLine="560" w:firstLineChars="200"/>
      <w:jc w:val="both"/>
    </w:pPr>
    <w:rPr>
      <w:color w:val="000000"/>
      <w:kern w:val="2"/>
      <w:sz w:val="28"/>
      <w:szCs w:val="28"/>
    </w:rPr>
  </w:style>
  <w:style w:type="paragraph" w:customStyle="1" w:styleId="3573">
    <w:name w:val="样式128"/>
    <w:basedOn w:val="3574"/>
    <w:qFormat/>
    <w:uiPriority w:val="0"/>
    <w:pPr>
      <w:spacing w:line="240" w:lineRule="atLeast"/>
      <w:ind w:firstLine="0" w:firstLineChars="0"/>
      <w:jc w:val="center"/>
    </w:pPr>
  </w:style>
  <w:style w:type="paragraph" w:customStyle="1" w:styleId="3574">
    <w:name w:val="样式127"/>
    <w:basedOn w:val="1"/>
    <w:qFormat/>
    <w:uiPriority w:val="0"/>
    <w:pPr>
      <w:widowControl w:val="0"/>
      <w:snapToGrid w:val="0"/>
      <w:spacing w:line="520" w:lineRule="exact"/>
      <w:ind w:firstLine="480" w:firstLineChars="200"/>
      <w:jc w:val="both"/>
    </w:pPr>
    <w:rPr>
      <w:rFonts w:ascii="Times New Roman" w:hAnsi="Times New Roman" w:cs="Times New Roman"/>
      <w:color w:val="000000"/>
      <w:sz w:val="21"/>
      <w:szCs w:val="28"/>
      <w:lang w:val="zh-CN"/>
    </w:rPr>
  </w:style>
  <w:style w:type="paragraph" w:customStyle="1" w:styleId="3575">
    <w:name w:val="样式 标题 2H21节标题H21SeHead wsa2 + 行距: 固定值 26 磅"/>
    <w:basedOn w:val="4"/>
    <w:qFormat/>
    <w:uiPriority w:val="0"/>
    <w:pPr>
      <w:keepNext w:val="0"/>
      <w:widowControl w:val="0"/>
      <w:numPr>
        <w:ilvl w:val="0"/>
        <w:numId w:val="0"/>
      </w:numPr>
      <w:tabs>
        <w:tab w:val="left" w:pos="0"/>
        <w:tab w:val="left" w:pos="360"/>
        <w:tab w:val="left" w:pos="720"/>
        <w:tab w:val="left" w:pos="1191"/>
        <w:tab w:val="left" w:pos="8092"/>
      </w:tabs>
      <w:snapToGrid w:val="0"/>
      <w:spacing w:before="240" w:after="156" w:line="520" w:lineRule="exact"/>
      <w:ind w:firstLine="471" w:firstLineChars="200"/>
    </w:pPr>
    <w:rPr>
      <w:rFonts w:ascii="Times New Roman" w:hAnsi="Times New Roman"/>
      <w:b w:val="0"/>
      <w:color w:val="FF0000"/>
      <w:kern w:val="2"/>
      <w:szCs w:val="30"/>
    </w:rPr>
  </w:style>
  <w:style w:type="paragraph" w:customStyle="1" w:styleId="3576">
    <w:name w:val="11号线正文缩进4字符"/>
    <w:basedOn w:val="1"/>
    <w:qFormat/>
    <w:uiPriority w:val="0"/>
    <w:pPr>
      <w:widowControl w:val="0"/>
      <w:spacing w:line="500" w:lineRule="exact"/>
      <w:ind w:left="200" w:leftChars="200" w:firstLine="200" w:firstLineChars="200"/>
      <w:jc w:val="both"/>
    </w:pPr>
    <w:rPr>
      <w:kern w:val="2"/>
      <w:sz w:val="28"/>
      <w:szCs w:val="28"/>
    </w:rPr>
  </w:style>
  <w:style w:type="paragraph" w:customStyle="1" w:styleId="3577">
    <w:name w:val="纯文本14"/>
    <w:basedOn w:val="1"/>
    <w:qFormat/>
    <w:uiPriority w:val="0"/>
    <w:pPr>
      <w:widowControl w:val="0"/>
      <w:adjustRightInd w:val="0"/>
      <w:jc w:val="both"/>
      <w:textAlignment w:val="baseline"/>
    </w:pPr>
    <w:rPr>
      <w:rFonts w:hAnsi="Courier New" w:cs="Times New Roman"/>
      <w:kern w:val="2"/>
      <w:sz w:val="21"/>
      <w:szCs w:val="20"/>
    </w:rPr>
  </w:style>
  <w:style w:type="paragraph" w:customStyle="1" w:styleId="3578">
    <w:name w:val="样式 标题 3标题 3 Char + Times New Roman 段前: 8 磅 段后: 5 磅 行距: 固定值 2..."/>
    <w:basedOn w:val="5"/>
    <w:qFormat/>
    <w:uiPriority w:val="0"/>
    <w:pPr>
      <w:keepNext w:val="0"/>
      <w:keepLines w:val="0"/>
      <w:widowControl w:val="0"/>
      <w:tabs>
        <w:tab w:val="left" w:pos="360"/>
        <w:tab w:val="left" w:pos="720"/>
      </w:tabs>
      <w:snapToGrid w:val="0"/>
      <w:spacing w:before="0" w:beforeLines="100" w:after="0" w:afterLines="50" w:line="460" w:lineRule="exact"/>
      <w:ind w:firstLine="980" w:firstLineChars="200"/>
      <w:jc w:val="both"/>
    </w:pPr>
    <w:rPr>
      <w:rFonts w:ascii="Times New Roman" w:hAnsi="Times New Roman" w:cs="Times New Roman"/>
      <w:b w:val="0"/>
      <w:bCs w:val="0"/>
      <w:kern w:val="2"/>
      <w:szCs w:val="24"/>
    </w:rPr>
  </w:style>
  <w:style w:type="paragraph" w:customStyle="1" w:styleId="3579">
    <w:name w:val="正文标准格式张"/>
    <w:basedOn w:val="1"/>
    <w:qFormat/>
    <w:uiPriority w:val="0"/>
    <w:pPr>
      <w:widowControl w:val="0"/>
      <w:adjustRightInd w:val="0"/>
      <w:snapToGrid w:val="0"/>
      <w:spacing w:before="78" w:beforeLines="25" w:after="78" w:afterLines="25" w:line="312" w:lineRule="auto"/>
      <w:ind w:firstLine="480" w:firstLineChars="200"/>
      <w:jc w:val="both"/>
      <w:textAlignment w:val="baseline"/>
    </w:pPr>
    <w:rPr>
      <w:rFonts w:cs="Times New Roman"/>
      <w:sz w:val="21"/>
      <w:szCs w:val="20"/>
    </w:rPr>
  </w:style>
  <w:style w:type="paragraph" w:customStyle="1" w:styleId="3580">
    <w:name w:val="表格编号"/>
    <w:basedOn w:val="1"/>
    <w:next w:val="1"/>
    <w:qFormat/>
    <w:uiPriority w:val="0"/>
    <w:pPr>
      <w:widowControl w:val="0"/>
      <w:tabs>
        <w:tab w:val="left" w:pos="600"/>
        <w:tab w:val="left" w:pos="720"/>
      </w:tabs>
      <w:spacing w:before="300" w:after="200"/>
      <w:jc w:val="center"/>
    </w:pPr>
    <w:rPr>
      <w:rFonts w:ascii="Times New Roman" w:hAnsi="Times New Roman" w:cs="Times New Roman"/>
      <w:kern w:val="2"/>
      <w:sz w:val="21"/>
      <w:szCs w:val="20"/>
    </w:rPr>
  </w:style>
  <w:style w:type="paragraph" w:customStyle="1" w:styleId="3581">
    <w:name w:val="Char Char Char1 Char Char Char Char1"/>
    <w:basedOn w:val="1"/>
    <w:qFormat/>
    <w:uiPriority w:val="0"/>
    <w:pPr>
      <w:widowControl w:val="0"/>
      <w:adjustRightInd w:val="0"/>
      <w:jc w:val="both"/>
    </w:pPr>
    <w:rPr>
      <w:rFonts w:ascii="Times New Roman" w:hAnsi="Times New Roman" w:cs="Times New Roman"/>
      <w:sz w:val="21"/>
      <w:szCs w:val="20"/>
    </w:rPr>
  </w:style>
  <w:style w:type="paragraph" w:customStyle="1" w:styleId="3582">
    <w:name w:val="样式179"/>
    <w:basedOn w:val="3546"/>
    <w:qFormat/>
    <w:uiPriority w:val="0"/>
    <w:pPr>
      <w:widowControl w:val="0"/>
      <w:spacing w:line="500" w:lineRule="exact"/>
      <w:jc w:val="both"/>
    </w:pPr>
    <w:rPr>
      <w:rFonts w:ascii="宋体" w:hAnsi="宋体" w:cs="Times New Roman"/>
      <w:b/>
      <w:kern w:val="11"/>
      <w:lang w:val="zh-CN"/>
    </w:rPr>
  </w:style>
  <w:style w:type="paragraph" w:customStyle="1" w:styleId="3583">
    <w:name w:val="正文（有空格）"/>
    <w:qFormat/>
    <w:uiPriority w:val="0"/>
    <w:pPr>
      <w:widowControl w:val="0"/>
      <w:adjustRightInd w:val="0"/>
      <w:snapToGrid w:val="0"/>
      <w:spacing w:line="360" w:lineRule="auto"/>
      <w:ind w:firstLine="200" w:firstLineChars="200"/>
    </w:pPr>
    <w:rPr>
      <w:rFonts w:ascii="Times New Roman" w:hAnsi="Times New Roman" w:eastAsia="宋体" w:cs="Times New Roman"/>
      <w:kern w:val="2"/>
      <w:sz w:val="28"/>
      <w:szCs w:val="28"/>
      <w:lang w:val="en-US" w:eastAsia="zh-CN" w:bidi="ar-SA"/>
    </w:rPr>
  </w:style>
  <w:style w:type="paragraph" w:customStyle="1" w:styleId="3584">
    <w:name w:val="表格用字"/>
    <w:basedOn w:val="76"/>
    <w:qFormat/>
    <w:uiPriority w:val="0"/>
    <w:pPr>
      <w:spacing w:before="156" w:after="0" w:line="0" w:lineRule="atLeast"/>
    </w:pPr>
    <w:rPr>
      <w:rFonts w:hint="eastAsia" w:ascii="宋体" w:hAnsi="宋体" w:eastAsia="仿宋_GB2312"/>
      <w:sz w:val="24"/>
      <w:szCs w:val="20"/>
    </w:rPr>
  </w:style>
  <w:style w:type="paragraph" w:customStyle="1" w:styleId="3585">
    <w:name w:val="样式 样式 标题 2 + 红色 + 自动设置 Char Char Char Char"/>
    <w:basedOn w:val="3565"/>
    <w:qFormat/>
    <w:uiPriority w:val="0"/>
    <w:pPr>
      <w:tabs>
        <w:tab w:val="clear" w:pos="630"/>
      </w:tabs>
    </w:pPr>
    <w:rPr>
      <w:rFonts w:eastAsia="新宋体"/>
      <w:spacing w:val="-8"/>
    </w:rPr>
  </w:style>
  <w:style w:type="paragraph" w:customStyle="1" w:styleId="3586">
    <w:name w:val="Char Char Char Char Char Char Char Char Char Char Char1 Char1"/>
    <w:basedOn w:val="1"/>
    <w:qFormat/>
    <w:uiPriority w:val="0"/>
    <w:pPr>
      <w:widowControl w:val="0"/>
      <w:jc w:val="both"/>
    </w:pPr>
    <w:rPr>
      <w:rFonts w:ascii="Times New Roman" w:hAnsi="Times New Roman" w:cs="Times New Roman"/>
      <w:kern w:val="2"/>
    </w:rPr>
  </w:style>
  <w:style w:type="paragraph" w:customStyle="1" w:styleId="3587">
    <w:name w:val="表格内容紧"/>
    <w:basedOn w:val="1"/>
    <w:qFormat/>
    <w:uiPriority w:val="0"/>
    <w:pPr>
      <w:widowControl w:val="0"/>
      <w:ind w:left="-105" w:leftChars="-50" w:right="-105" w:rightChars="-50" w:firstLine="200" w:firstLineChars="200"/>
      <w:jc w:val="center"/>
    </w:pPr>
    <w:rPr>
      <w:rFonts w:cs="Arial"/>
      <w:kern w:val="2"/>
      <w:sz w:val="21"/>
      <w:szCs w:val="21"/>
    </w:rPr>
  </w:style>
  <w:style w:type="paragraph" w:customStyle="1" w:styleId="3588">
    <w:name w:val="正文内容"/>
    <w:basedOn w:val="1"/>
    <w:qFormat/>
    <w:uiPriority w:val="0"/>
    <w:pPr>
      <w:widowControl w:val="0"/>
      <w:adjustRightInd w:val="0"/>
      <w:snapToGrid w:val="0"/>
      <w:ind w:firstLine="200" w:firstLineChars="200"/>
      <w:jc w:val="both"/>
    </w:pPr>
    <w:rPr>
      <w:rFonts w:ascii="Times New Roman" w:hAnsi="Times New Roman" w:cs="Times New Roman"/>
      <w:sz w:val="21"/>
      <w:lang w:val="zh-CN"/>
    </w:rPr>
  </w:style>
  <w:style w:type="paragraph" w:customStyle="1" w:styleId="3589">
    <w:name w:val="样式 样式 样式 样式 标题 3 + 左侧:  2.61 厘米 段前: 0.3 行 段后: 0.3 行 行距: 1.5 倍行距 ..."/>
    <w:basedOn w:val="1"/>
    <w:qFormat/>
    <w:uiPriority w:val="0"/>
    <w:pPr>
      <w:keepNext/>
      <w:keepLines/>
      <w:widowControl w:val="0"/>
      <w:tabs>
        <w:tab w:val="left" w:pos="1080"/>
      </w:tabs>
      <w:spacing w:before="93" w:beforeLines="30" w:after="93" w:afterLines="30"/>
      <w:ind w:left="-113" w:firstLine="113"/>
      <w:jc w:val="both"/>
      <w:outlineLvl w:val="2"/>
    </w:pPr>
    <w:rPr>
      <w:rFonts w:ascii="黑体" w:hAnsi="Times New Roman" w:eastAsia="黑体"/>
      <w:sz w:val="21"/>
    </w:rPr>
  </w:style>
  <w:style w:type="paragraph" w:customStyle="1" w:styleId="3590">
    <w:name w:val="样式 标题 3 + 黑色 行距: 最小值 25 磅"/>
    <w:basedOn w:val="5"/>
    <w:qFormat/>
    <w:uiPriority w:val="0"/>
    <w:pPr>
      <w:keepNext w:val="0"/>
      <w:keepLines w:val="0"/>
      <w:widowControl w:val="0"/>
      <w:tabs>
        <w:tab w:val="left" w:pos="360"/>
        <w:tab w:val="left" w:pos="720"/>
        <w:tab w:val="left" w:pos="1260"/>
        <w:tab w:val="left" w:pos="1620"/>
      </w:tabs>
      <w:snapToGrid w:val="0"/>
      <w:spacing w:before="0" w:beforeLines="100" w:after="0" w:afterLines="50" w:line="500" w:lineRule="atLeast"/>
      <w:ind w:left="1260" w:hanging="420" w:firstLineChars="200"/>
      <w:jc w:val="both"/>
    </w:pPr>
    <w:rPr>
      <w:rFonts w:ascii="Times New Roman" w:hAnsi="Times New Roman" w:eastAsia="仿宋_GB2312" w:cs="Times New Roman"/>
      <w:snapToGrid w:val="0"/>
      <w:spacing w:val="4"/>
      <w:kern w:val="2"/>
    </w:rPr>
  </w:style>
  <w:style w:type="paragraph" w:customStyle="1" w:styleId="3591">
    <w:name w:val="样式 表标8.2 + 黑体 四号"/>
    <w:basedOn w:val="1"/>
    <w:qFormat/>
    <w:uiPriority w:val="0"/>
    <w:pPr>
      <w:widowControl w:val="0"/>
      <w:tabs>
        <w:tab w:val="left" w:pos="360"/>
        <w:tab w:val="left" w:pos="8207"/>
      </w:tabs>
      <w:adjustRightInd w:val="0"/>
      <w:snapToGrid w:val="0"/>
      <w:spacing w:before="120" w:line="0" w:lineRule="atLeast"/>
      <w:jc w:val="center"/>
    </w:pPr>
    <w:rPr>
      <w:rFonts w:ascii="黑体" w:hAnsi="黑体" w:eastAsia="黑体" w:cs="Times New Roman"/>
      <w:b/>
      <w:color w:val="000000"/>
      <w:kern w:val="2"/>
      <w:sz w:val="28"/>
      <w:szCs w:val="20"/>
    </w:rPr>
  </w:style>
  <w:style w:type="paragraph" w:customStyle="1" w:styleId="3592">
    <w:name w:val="_Style 94"/>
    <w:basedOn w:val="1"/>
    <w:next w:val="70"/>
    <w:qFormat/>
    <w:uiPriority w:val="0"/>
    <w:pPr>
      <w:widowControl w:val="0"/>
      <w:ind w:firstLine="560" w:firstLineChars="200"/>
      <w:jc w:val="both"/>
    </w:pPr>
    <w:rPr>
      <w:rFonts w:hint="eastAsia" w:ascii="Times New Roman" w:hAnsi="Times New Roman" w:cs="Times New Roman"/>
      <w:kern w:val="2"/>
      <w:sz w:val="21"/>
      <w:szCs w:val="20"/>
    </w:rPr>
  </w:style>
  <w:style w:type="paragraph" w:customStyle="1" w:styleId="3593">
    <w:name w:val="图编号"/>
    <w:basedOn w:val="46"/>
    <w:qFormat/>
    <w:uiPriority w:val="0"/>
    <w:pPr>
      <w:widowControl w:val="0"/>
      <w:tabs>
        <w:tab w:val="left" w:pos="1140"/>
      </w:tabs>
      <w:spacing w:before="300" w:after="300"/>
      <w:ind w:left="1140" w:hanging="600"/>
      <w:jc w:val="center"/>
    </w:pPr>
    <w:rPr>
      <w:kern w:val="2"/>
      <w:szCs w:val="20"/>
    </w:rPr>
  </w:style>
  <w:style w:type="paragraph" w:customStyle="1" w:styleId="3594">
    <w:name w:val="图文字"/>
    <w:basedOn w:val="1"/>
    <w:qFormat/>
    <w:uiPriority w:val="0"/>
    <w:pPr>
      <w:widowControl w:val="0"/>
      <w:spacing w:line="280" w:lineRule="exact"/>
      <w:jc w:val="center"/>
    </w:pPr>
    <w:rPr>
      <w:rFonts w:ascii="Times New Roman" w:hAnsi="Times New Roman" w:cs="Times New Roman"/>
      <w:kern w:val="2"/>
      <w:sz w:val="21"/>
    </w:rPr>
  </w:style>
  <w:style w:type="paragraph" w:customStyle="1" w:styleId="3595">
    <w:name w:val="样式 首行缩进:  2 字符 行距: 固定值 23 磅"/>
    <w:basedOn w:val="1"/>
    <w:qFormat/>
    <w:uiPriority w:val="0"/>
    <w:pPr>
      <w:widowControl w:val="0"/>
      <w:spacing w:line="400" w:lineRule="exact"/>
      <w:ind w:firstLine="200" w:firstLineChars="200"/>
      <w:jc w:val="both"/>
    </w:pPr>
    <w:rPr>
      <w:rFonts w:ascii="Times New Roman" w:hAnsi="Times New Roman" w:cs="Times New Roman"/>
      <w:kern w:val="2"/>
      <w:sz w:val="21"/>
      <w:szCs w:val="20"/>
    </w:rPr>
  </w:style>
  <w:style w:type="paragraph" w:customStyle="1" w:styleId="3596">
    <w:name w:val="表格（居中）"/>
    <w:basedOn w:val="1"/>
    <w:next w:val="1"/>
    <w:qFormat/>
    <w:uiPriority w:val="0"/>
    <w:pPr>
      <w:widowControl w:val="0"/>
      <w:adjustRightInd w:val="0"/>
      <w:snapToGrid w:val="0"/>
      <w:spacing w:before="24" w:after="24"/>
      <w:ind w:left="15" w:hanging="99"/>
      <w:jc w:val="center"/>
    </w:pPr>
    <w:rPr>
      <w:rFonts w:ascii="Times New Roman" w:hAnsi="Times New Roman" w:cs="Times New Roman"/>
      <w:kern w:val="2"/>
      <w:sz w:val="21"/>
      <w:szCs w:val="21"/>
    </w:rPr>
  </w:style>
  <w:style w:type="paragraph" w:customStyle="1" w:styleId="3597">
    <w:name w:val="样式 行距: 固定值 25 磅"/>
    <w:basedOn w:val="1"/>
    <w:qFormat/>
    <w:uiPriority w:val="0"/>
    <w:pPr>
      <w:widowControl w:val="0"/>
      <w:tabs>
        <w:tab w:val="left" w:pos="8925"/>
      </w:tabs>
      <w:spacing w:before="156" w:beforeLines="50"/>
      <w:ind w:firstLine="480" w:firstLineChars="200"/>
      <w:jc w:val="both"/>
    </w:pPr>
    <w:rPr>
      <w:rFonts w:ascii="Times New Roman" w:hAnsi="Times New Roman"/>
      <w:kern w:val="2"/>
      <w:sz w:val="21"/>
    </w:rPr>
  </w:style>
  <w:style w:type="paragraph" w:customStyle="1" w:styleId="3598">
    <w:name w:val="样式 样式 样式 样式 样式 样式 (西文) 仿宋_GB2312 (中文) 仿宋_GB2312 加粗 段前: 0.5 行 段后:..."/>
    <w:basedOn w:val="1"/>
    <w:qFormat/>
    <w:uiPriority w:val="0"/>
    <w:pPr>
      <w:widowControl w:val="0"/>
      <w:spacing w:after="156" w:afterLines="50" w:line="300" w:lineRule="auto"/>
      <w:jc w:val="both"/>
    </w:pPr>
    <w:rPr>
      <w:rFonts w:ascii="Times New Roman" w:hAnsi="Times New Roman" w:eastAsia="仿宋_GB2312" w:cs="Times New Roman"/>
      <w:b/>
      <w:bCs/>
      <w:kern w:val="2"/>
      <w:sz w:val="28"/>
      <w:szCs w:val="20"/>
    </w:rPr>
  </w:style>
  <w:style w:type="paragraph" w:customStyle="1" w:styleId="3599">
    <w:name w:val="bbb"/>
    <w:basedOn w:val="1"/>
    <w:qFormat/>
    <w:uiPriority w:val="0"/>
    <w:pPr>
      <w:widowControl w:val="0"/>
      <w:spacing w:before="100" w:beforeAutospacing="1" w:after="100" w:afterAutospacing="1"/>
      <w:jc w:val="both"/>
    </w:pPr>
    <w:rPr>
      <w:color w:val="000000"/>
      <w:sz w:val="21"/>
      <w:szCs w:val="21"/>
    </w:rPr>
  </w:style>
  <w:style w:type="paragraph" w:customStyle="1" w:styleId="3600">
    <w:name w:val="宁温表格"/>
    <w:basedOn w:val="3601"/>
    <w:next w:val="3601"/>
    <w:qFormat/>
    <w:uiPriority w:val="0"/>
    <w:pPr>
      <w:ind w:firstLine="0" w:firstLineChars="0"/>
      <w:jc w:val="center"/>
    </w:pPr>
    <w:rPr>
      <w:rFonts w:ascii="宋体" w:hAnsi="宋体"/>
      <w:sz w:val="24"/>
    </w:rPr>
  </w:style>
  <w:style w:type="paragraph" w:customStyle="1" w:styleId="3601">
    <w:name w:val="宁波至温州正文"/>
    <w:basedOn w:val="1"/>
    <w:qFormat/>
    <w:uiPriority w:val="0"/>
    <w:pPr>
      <w:keepNext/>
      <w:widowControl w:val="0"/>
      <w:spacing w:line="360" w:lineRule="exact"/>
      <w:ind w:firstLine="200" w:firstLineChars="200"/>
      <w:jc w:val="both"/>
    </w:pPr>
    <w:rPr>
      <w:rFonts w:ascii="Times New Roman" w:hAnsi="Times New Roman" w:cs="Times New Roman"/>
      <w:kern w:val="2"/>
      <w:sz w:val="26"/>
    </w:rPr>
  </w:style>
  <w:style w:type="paragraph" w:customStyle="1" w:styleId="3602">
    <w:name w:val="字元 字元12"/>
    <w:basedOn w:val="1"/>
    <w:qFormat/>
    <w:uiPriority w:val="0"/>
    <w:pPr>
      <w:widowControl w:val="0"/>
      <w:adjustRightInd w:val="0"/>
      <w:snapToGrid w:val="0"/>
      <w:ind w:firstLine="200" w:firstLineChars="200"/>
      <w:jc w:val="both"/>
    </w:pPr>
    <w:rPr>
      <w:rFonts w:ascii="Times New Roman" w:hAnsi="Times New Roman" w:cs="Times New Roman"/>
      <w:kern w:val="2"/>
      <w:sz w:val="21"/>
    </w:rPr>
  </w:style>
  <w:style w:type="paragraph" w:customStyle="1" w:styleId="3603">
    <w:name w:val="样式 段前: 0.5 行 段后: 6 磅 首行缩进:  5 字符"/>
    <w:basedOn w:val="1"/>
    <w:qFormat/>
    <w:uiPriority w:val="0"/>
    <w:pPr>
      <w:widowControl w:val="0"/>
      <w:spacing w:before="156" w:beforeLines="50" w:after="120" w:line="300" w:lineRule="auto"/>
      <w:ind w:firstLine="1400" w:firstLineChars="500"/>
      <w:jc w:val="both"/>
    </w:pPr>
    <w:rPr>
      <w:rFonts w:ascii="Times New Roman" w:hAnsi="Times New Roman" w:eastAsia="仿宋_GB2312" w:cs="Times New Roman"/>
      <w:kern w:val="2"/>
      <w:sz w:val="28"/>
      <w:szCs w:val="20"/>
    </w:rPr>
  </w:style>
  <w:style w:type="paragraph" w:customStyle="1" w:styleId="3604">
    <w:name w:val="样式 标题 3标题 3 Char Char Char节，一一黑四（一）条，（一）标题3 Char Char Cha..."/>
    <w:basedOn w:val="5"/>
    <w:qFormat/>
    <w:uiPriority w:val="0"/>
    <w:pPr>
      <w:keepNext w:val="0"/>
      <w:keepLines w:val="0"/>
      <w:widowControl w:val="0"/>
      <w:tabs>
        <w:tab w:val="left" w:pos="-36"/>
        <w:tab w:val="left" w:pos="360"/>
        <w:tab w:val="left" w:pos="720"/>
      </w:tabs>
      <w:snapToGrid w:val="0"/>
      <w:spacing w:before="93" w:beforeLines="30" w:after="0" w:afterLines="50" w:line="240" w:lineRule="auto"/>
      <w:ind w:left="-36" w:firstLine="15" w:firstLineChars="200"/>
      <w:jc w:val="both"/>
    </w:pPr>
    <w:rPr>
      <w:rFonts w:ascii="Times New Roman" w:hAnsi="Times New Roman"/>
      <w:bCs w:val="0"/>
      <w:kern w:val="2"/>
      <w:szCs w:val="24"/>
    </w:rPr>
  </w:style>
  <w:style w:type="paragraph" w:customStyle="1" w:styleId="3605">
    <w:name w:val="项目编号"/>
    <w:basedOn w:val="1"/>
    <w:next w:val="1"/>
    <w:qFormat/>
    <w:uiPriority w:val="0"/>
    <w:pPr>
      <w:widowControl w:val="0"/>
      <w:spacing w:before="120" w:after="120"/>
      <w:jc w:val="both"/>
    </w:pPr>
    <w:rPr>
      <w:rFonts w:ascii="Times New Roman" w:hAnsi="Times New Roman" w:cs="Times New Roman"/>
      <w:kern w:val="2"/>
      <w:sz w:val="21"/>
      <w:szCs w:val="20"/>
    </w:rPr>
  </w:style>
  <w:style w:type="paragraph" w:customStyle="1" w:styleId="3606">
    <w:name w:val="表格内容5"/>
    <w:basedOn w:val="1"/>
    <w:next w:val="1"/>
    <w:qFormat/>
    <w:uiPriority w:val="0"/>
    <w:pPr>
      <w:widowControl w:val="0"/>
      <w:spacing w:before="40" w:after="60" w:line="200" w:lineRule="atLeast"/>
      <w:jc w:val="both"/>
      <w:textAlignment w:val="baseline"/>
    </w:pPr>
    <w:rPr>
      <w:rFonts w:ascii="Arial" w:hAnsi="Arial" w:eastAsia="仿宋_GB2312" w:cs="Times New Roman"/>
      <w:sz w:val="21"/>
    </w:rPr>
  </w:style>
  <w:style w:type="paragraph" w:customStyle="1" w:styleId="3607">
    <w:name w:val="Char Char Char1 Char Char Char2"/>
    <w:basedOn w:val="1"/>
    <w:qFormat/>
    <w:uiPriority w:val="0"/>
    <w:pPr>
      <w:widowControl w:val="0"/>
      <w:spacing w:line="360" w:lineRule="auto"/>
      <w:ind w:firstLine="200" w:firstLineChars="200"/>
      <w:jc w:val="both"/>
    </w:pPr>
    <w:rPr>
      <w:kern w:val="2"/>
    </w:rPr>
  </w:style>
  <w:style w:type="paragraph" w:customStyle="1" w:styleId="3608">
    <w:name w:val="表格格式"/>
    <w:basedOn w:val="1"/>
    <w:qFormat/>
    <w:uiPriority w:val="0"/>
    <w:pPr>
      <w:keepNext/>
      <w:widowControl w:val="0"/>
      <w:autoSpaceDE w:val="0"/>
      <w:autoSpaceDN w:val="0"/>
      <w:adjustRightInd w:val="0"/>
      <w:spacing w:before="156" w:beforeLines="50" w:after="156" w:afterLines="50"/>
      <w:ind w:firstLine="1179" w:firstLineChars="450"/>
      <w:jc w:val="both"/>
      <w:textAlignment w:val="baseline"/>
    </w:pPr>
    <w:rPr>
      <w:rFonts w:ascii="Times New Roman" w:hAnsi="Times New Roman" w:cs="Times New Roman"/>
      <w:b/>
      <w:sz w:val="26"/>
      <w:szCs w:val="26"/>
    </w:rPr>
  </w:style>
  <w:style w:type="paragraph" w:customStyle="1" w:styleId="3609">
    <w:name w:val="说明-标题3"/>
    <w:basedOn w:val="5"/>
    <w:qFormat/>
    <w:uiPriority w:val="0"/>
    <w:pPr>
      <w:keepNext w:val="0"/>
      <w:keepLines w:val="0"/>
      <w:widowControl w:val="0"/>
      <w:tabs>
        <w:tab w:val="left" w:pos="360"/>
        <w:tab w:val="left" w:pos="720"/>
        <w:tab w:val="left" w:pos="4621"/>
      </w:tabs>
      <w:snapToGrid w:val="0"/>
      <w:spacing w:before="312" w:beforeLines="100" w:after="156" w:afterLines="50" w:line="416" w:lineRule="atLeast"/>
      <w:ind w:firstLine="980" w:firstLineChars="200"/>
      <w:jc w:val="both"/>
    </w:pPr>
    <w:rPr>
      <w:rFonts w:hint="eastAsia" w:ascii="Times New Roman" w:hAnsi="Times New Roman" w:eastAsia="仿宋_GB2312" w:cs="Times New Roman"/>
      <w:bCs w:val="0"/>
      <w:kern w:val="2"/>
      <w:sz w:val="24"/>
      <w:szCs w:val="24"/>
    </w:rPr>
  </w:style>
  <w:style w:type="paragraph" w:customStyle="1" w:styleId="3610">
    <w:name w:val="正文-1"/>
    <w:basedOn w:val="1"/>
    <w:qFormat/>
    <w:uiPriority w:val="0"/>
    <w:pPr>
      <w:widowControl w:val="0"/>
      <w:spacing w:line="440" w:lineRule="exact"/>
      <w:jc w:val="both"/>
    </w:pPr>
    <w:rPr>
      <w:rFonts w:ascii="Times New Roman" w:hAnsi="Times New Roman" w:cs="Times New Roman"/>
      <w:kern w:val="2"/>
      <w:sz w:val="21"/>
      <w:szCs w:val="20"/>
    </w:rPr>
  </w:style>
  <w:style w:type="paragraph" w:customStyle="1" w:styleId="3611">
    <w:name w:val="正文文本 211"/>
    <w:basedOn w:val="1"/>
    <w:qFormat/>
    <w:uiPriority w:val="0"/>
    <w:pPr>
      <w:widowControl w:val="0"/>
      <w:overflowPunct w:val="0"/>
      <w:autoSpaceDE w:val="0"/>
      <w:autoSpaceDN w:val="0"/>
      <w:adjustRightInd w:val="0"/>
      <w:ind w:left="992" w:hanging="567"/>
      <w:jc w:val="both"/>
    </w:pPr>
    <w:rPr>
      <w:rFonts w:hAnsi="MS Sans Serif" w:cs="Times New Roman"/>
      <w:sz w:val="28"/>
      <w:szCs w:val="20"/>
    </w:rPr>
  </w:style>
  <w:style w:type="paragraph" w:customStyle="1" w:styleId="3612">
    <w:name w:val="样式 样式 仿宋_GB2312 段前: 0.5 行 段后: 6 磅 行距: 1.5 倍行距 + 首行缩进:  2 字符 段后:...3"/>
    <w:basedOn w:val="1"/>
    <w:qFormat/>
    <w:uiPriority w:val="0"/>
    <w:pPr>
      <w:widowControl w:val="0"/>
      <w:spacing w:after="312" w:afterLines="100" w:line="300" w:lineRule="auto"/>
      <w:jc w:val="both"/>
    </w:pPr>
    <w:rPr>
      <w:rFonts w:ascii="仿宋_GB2312" w:hAnsi="Times New Roman" w:eastAsia="仿宋_GB2312" w:cs="Times New Roman"/>
      <w:kern w:val="2"/>
      <w:sz w:val="28"/>
      <w:szCs w:val="20"/>
    </w:rPr>
  </w:style>
  <w:style w:type="paragraph" w:customStyle="1" w:styleId="3613">
    <w:name w:val="一般正文 Char Char"/>
    <w:basedOn w:val="1"/>
    <w:qFormat/>
    <w:uiPriority w:val="0"/>
    <w:pPr>
      <w:widowControl w:val="0"/>
      <w:adjustRightInd w:val="0"/>
      <w:snapToGrid w:val="0"/>
      <w:spacing w:line="500" w:lineRule="exact"/>
      <w:ind w:firstLine="200" w:firstLineChars="200"/>
      <w:jc w:val="both"/>
    </w:pPr>
    <w:rPr>
      <w:rFonts w:cs="Times New Roman"/>
      <w:kern w:val="2"/>
      <w:sz w:val="26"/>
      <w:szCs w:val="21"/>
    </w:rPr>
  </w:style>
  <w:style w:type="paragraph" w:customStyle="1" w:styleId="3614">
    <w:name w:val="条-成果 Char"/>
    <w:basedOn w:val="5"/>
    <w:qFormat/>
    <w:uiPriority w:val="0"/>
    <w:pPr>
      <w:keepNext w:val="0"/>
      <w:keepLines w:val="0"/>
      <w:widowControl w:val="0"/>
      <w:tabs>
        <w:tab w:val="left" w:pos="360"/>
        <w:tab w:val="left" w:pos="720"/>
        <w:tab w:val="left" w:pos="1440"/>
        <w:tab w:val="left" w:pos="4621"/>
      </w:tabs>
      <w:snapToGrid w:val="0"/>
      <w:spacing w:before="156" w:beforeLines="100" w:after="156" w:afterLines="50" w:line="400" w:lineRule="exact"/>
      <w:ind w:left="1440" w:firstLine="980" w:firstLineChars="200"/>
      <w:jc w:val="both"/>
      <w:outlineLvl w:val="9"/>
    </w:pPr>
    <w:rPr>
      <w:rFonts w:hint="eastAsia" w:ascii="Times New Roman" w:cs="Times New Roman"/>
      <w:bCs w:val="0"/>
      <w:kern w:val="2"/>
      <w:sz w:val="24"/>
      <w:szCs w:val="24"/>
    </w:rPr>
  </w:style>
  <w:style w:type="paragraph" w:customStyle="1" w:styleId="3615">
    <w:name w:val="样式 标题 3标题 3 Char Char Char节，一一黑四（一）条，（一）标题3 Char Char Cha...3"/>
    <w:basedOn w:val="5"/>
    <w:qFormat/>
    <w:uiPriority w:val="0"/>
    <w:pPr>
      <w:keepNext w:val="0"/>
      <w:keepLines w:val="0"/>
      <w:widowControl w:val="0"/>
      <w:tabs>
        <w:tab w:val="left" w:pos="360"/>
        <w:tab w:val="left" w:pos="709"/>
      </w:tabs>
      <w:snapToGrid w:val="0"/>
      <w:spacing w:before="93" w:beforeLines="30" w:after="0" w:afterLines="50" w:line="240" w:lineRule="auto"/>
      <w:ind w:left="709" w:hanging="709" w:firstLineChars="200"/>
      <w:jc w:val="both"/>
    </w:pPr>
    <w:rPr>
      <w:rFonts w:ascii="Times New Roman" w:hAnsi="Times New Roman"/>
      <w:bCs w:val="0"/>
      <w:kern w:val="2"/>
      <w:sz w:val="24"/>
      <w:szCs w:val="24"/>
    </w:rPr>
  </w:style>
  <w:style w:type="paragraph" w:customStyle="1" w:styleId="3616">
    <w:name w:val="检索10"/>
    <w:basedOn w:val="3178"/>
    <w:qFormat/>
    <w:uiPriority w:val="0"/>
    <w:pPr>
      <w:ind w:left="2722"/>
    </w:pPr>
    <w:rPr>
      <w:color w:val="000080"/>
    </w:rPr>
  </w:style>
  <w:style w:type="paragraph" w:customStyle="1" w:styleId="3617">
    <w:name w:val="xl340"/>
    <w:basedOn w:val="1"/>
    <w:qFormat/>
    <w:uiPriority w:val="0"/>
    <w:pPr>
      <w:widowControl w:val="0"/>
      <w:spacing w:before="100" w:after="100"/>
      <w:jc w:val="center"/>
      <w:textAlignment w:val="center"/>
    </w:pPr>
    <w:rPr>
      <w:rFonts w:cs="Times New Roman"/>
      <w:sz w:val="21"/>
      <w:szCs w:val="20"/>
    </w:rPr>
  </w:style>
  <w:style w:type="paragraph" w:customStyle="1" w:styleId="3618">
    <w:name w:val="font24"/>
    <w:basedOn w:val="1"/>
    <w:qFormat/>
    <w:uiPriority w:val="0"/>
    <w:pPr>
      <w:widowControl w:val="0"/>
      <w:spacing w:before="100" w:beforeAutospacing="1" w:after="100" w:afterAutospacing="1"/>
      <w:jc w:val="both"/>
    </w:pPr>
    <w:rPr>
      <w:rFonts w:ascii="Symbol" w:hAnsi="Symbol" w:cs="Times New Roman"/>
      <w:kern w:val="2"/>
      <w:sz w:val="22"/>
      <w:szCs w:val="22"/>
    </w:rPr>
  </w:style>
  <w:style w:type="paragraph" w:customStyle="1" w:styleId="3619">
    <w:name w:val="自定表头"/>
    <w:basedOn w:val="7"/>
    <w:qFormat/>
    <w:uiPriority w:val="0"/>
    <w:pPr>
      <w:tabs>
        <w:tab w:val="left" w:pos="1008"/>
        <w:tab w:val="clear" w:pos="945"/>
        <w:tab w:val="clear" w:pos="1155"/>
        <w:tab w:val="clear" w:pos="2551"/>
        <w:tab w:val="clear" w:pos="8715"/>
      </w:tabs>
      <w:adjustRightInd/>
      <w:snapToGrid/>
      <w:spacing w:before="0" w:after="0" w:line="240" w:lineRule="auto"/>
      <w:ind w:left="1008" w:firstLine="0"/>
    </w:pPr>
    <w:rPr>
      <w:rFonts w:ascii="宋体" w:hAnsi="Impact" w:eastAsia="楷体_GB2312" w:cs="宋体"/>
      <w:bCs/>
      <w:snapToGrid/>
      <w:kern w:val="2"/>
      <w:sz w:val="21"/>
      <w:szCs w:val="24"/>
    </w:rPr>
  </w:style>
  <w:style w:type="paragraph" w:customStyle="1" w:styleId="3620">
    <w:name w:val="样式 宋体 四号 首行缩进:  2 字符"/>
    <w:basedOn w:val="1"/>
    <w:qFormat/>
    <w:uiPriority w:val="0"/>
    <w:pPr>
      <w:widowControl w:val="0"/>
      <w:ind w:firstLine="558" w:firstLineChars="200"/>
      <w:jc w:val="both"/>
    </w:pPr>
    <w:rPr>
      <w:rFonts w:ascii="Times New Roman" w:hAnsi="Times New Roman" w:cs="Times New Roman"/>
      <w:kern w:val="2"/>
      <w:sz w:val="26"/>
      <w:szCs w:val="26"/>
    </w:rPr>
  </w:style>
  <w:style w:type="paragraph" w:customStyle="1" w:styleId="3621">
    <w:name w:val="4级"/>
    <w:basedOn w:val="1"/>
    <w:qFormat/>
    <w:uiPriority w:val="0"/>
    <w:pPr>
      <w:widowControl w:val="0"/>
      <w:ind w:firstLine="200" w:firstLineChars="200"/>
      <w:jc w:val="both"/>
      <w:outlineLvl w:val="3"/>
    </w:pPr>
    <w:rPr>
      <w:rFonts w:ascii="Verdana" w:hAnsi="Verdana" w:cs="Times New Roman"/>
      <w:sz w:val="21"/>
      <w:szCs w:val="30"/>
      <w:lang w:eastAsia="en-US"/>
    </w:rPr>
  </w:style>
  <w:style w:type="paragraph" w:customStyle="1" w:styleId="3622">
    <w:name w:val="中大图片名称"/>
    <w:basedOn w:val="1090"/>
    <w:link w:val="3623"/>
    <w:qFormat/>
    <w:uiPriority w:val="0"/>
    <w:pPr>
      <w:tabs>
        <w:tab w:val="clear" w:pos="1440"/>
      </w:tabs>
      <w:spacing w:before="0" w:after="160"/>
      <w:ind w:left="0" w:leftChars="0"/>
      <w:jc w:val="center"/>
      <w:textAlignment w:val="auto"/>
    </w:pPr>
    <w:rPr>
      <w:rFonts w:ascii="宋体" w:hAnsi="宋体"/>
      <w:b/>
      <w:sz w:val="21"/>
      <w:szCs w:val="20"/>
      <w:lang w:val="zh-CN"/>
    </w:rPr>
  </w:style>
  <w:style w:type="character" w:customStyle="1" w:styleId="3623">
    <w:name w:val="中大图片名称 Char"/>
    <w:link w:val="3622"/>
    <w:qFormat/>
    <w:uiPriority w:val="0"/>
    <w:rPr>
      <w:rFonts w:ascii="宋体" w:hAnsi="宋体"/>
      <w:b/>
      <w:sz w:val="21"/>
      <w:lang w:val="zh-CN"/>
    </w:rPr>
  </w:style>
  <w:style w:type="paragraph" w:customStyle="1" w:styleId="3624">
    <w:name w:val="样式 样式 标题 3标题 3 Char Char Char节，一一黑四（一）条，（一）标题3 Char Char Cha...3..."/>
    <w:basedOn w:val="3615"/>
    <w:qFormat/>
    <w:uiPriority w:val="0"/>
    <w:pPr>
      <w:spacing w:before="127" w:beforeLines="0"/>
      <w:ind w:left="0" w:firstLine="0"/>
    </w:pPr>
  </w:style>
  <w:style w:type="paragraph" w:customStyle="1" w:styleId="3625">
    <w:name w:val="表格用字 Char1"/>
    <w:basedOn w:val="76"/>
    <w:qFormat/>
    <w:uiPriority w:val="0"/>
    <w:pPr>
      <w:spacing w:after="0" w:line="0" w:lineRule="atLeast"/>
    </w:pPr>
    <w:rPr>
      <w:rFonts w:hint="eastAsia" w:ascii="宋体" w:hAnsi="宋体" w:eastAsia="仿宋_GB2312"/>
      <w:sz w:val="24"/>
      <w:szCs w:val="20"/>
    </w:rPr>
  </w:style>
  <w:style w:type="paragraph" w:customStyle="1" w:styleId="3626">
    <w:name w:val="许克亮标三"/>
    <w:qFormat/>
    <w:uiPriority w:val="0"/>
    <w:pPr>
      <w:adjustRightInd w:val="0"/>
      <w:snapToGrid w:val="0"/>
      <w:ind w:firstLine="561"/>
      <w:jc w:val="both"/>
    </w:pPr>
    <w:rPr>
      <w:rFonts w:ascii="Times New Roman" w:hAnsi="Times New Roman" w:eastAsia="宋体" w:cs="Times New Roman"/>
      <w:kern w:val="2"/>
      <w:sz w:val="28"/>
      <w:szCs w:val="28"/>
      <w:lang w:val="en-US" w:eastAsia="zh-CN" w:bidi="ar-SA"/>
    </w:rPr>
  </w:style>
  <w:style w:type="paragraph" w:customStyle="1" w:styleId="3627">
    <w:name w:val="样式 红色 首行缩进:  2 字符"/>
    <w:basedOn w:val="1"/>
    <w:qFormat/>
    <w:uiPriority w:val="0"/>
    <w:pPr>
      <w:widowControl w:val="0"/>
      <w:spacing w:line="480" w:lineRule="exact"/>
      <w:ind w:firstLine="480" w:firstLineChars="200"/>
      <w:jc w:val="both"/>
    </w:pPr>
    <w:rPr>
      <w:rFonts w:ascii="Times New Roman" w:hAnsi="Times New Roman" w:cs="Times New Roman"/>
      <w:color w:val="FF0000"/>
      <w:kern w:val="2"/>
      <w:sz w:val="21"/>
      <w:szCs w:val="20"/>
    </w:rPr>
  </w:style>
  <w:style w:type="paragraph" w:customStyle="1" w:styleId="3628">
    <w:name w:val="样式 样式 仿宋_GB2312 段前: 0.5 行 段后: 6 磅 行距: 1.5 倍行距 + 首行缩进:  2 字符 段后:...2"/>
    <w:basedOn w:val="1"/>
    <w:qFormat/>
    <w:uiPriority w:val="0"/>
    <w:pPr>
      <w:widowControl w:val="0"/>
      <w:spacing w:after="312" w:afterLines="100" w:line="300" w:lineRule="auto"/>
      <w:jc w:val="both"/>
    </w:pPr>
    <w:rPr>
      <w:rFonts w:ascii="仿宋_GB2312" w:hAnsi="Times New Roman" w:eastAsia="仿宋_GB2312" w:cs="Times New Roman"/>
      <w:kern w:val="2"/>
      <w:sz w:val="28"/>
      <w:szCs w:val="20"/>
    </w:rPr>
  </w:style>
  <w:style w:type="paragraph" w:customStyle="1" w:styleId="3629">
    <w:name w:val="ref-bd line-1"/>
    <w:basedOn w:val="1"/>
    <w:qFormat/>
    <w:uiPriority w:val="0"/>
    <w:pPr>
      <w:spacing w:before="100" w:beforeAutospacing="1" w:after="100" w:afterAutospacing="1"/>
    </w:pPr>
  </w:style>
  <w:style w:type="paragraph" w:customStyle="1" w:styleId="3630">
    <w:name w:val="默认段落字体 Para Char Char Char Char Char Char Char Char Char Char Char Char"/>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631">
    <w:name w:val="样式 样式 段前: 0.5 行 行距: 1.5 倍行距 首行缩进:  2 字符 + 首行缩进:  2 字符 段后: 1 行"/>
    <w:basedOn w:val="1"/>
    <w:qFormat/>
    <w:uiPriority w:val="0"/>
    <w:pPr>
      <w:widowControl w:val="0"/>
      <w:spacing w:after="312" w:afterLines="100" w:line="300" w:lineRule="auto"/>
      <w:jc w:val="both"/>
    </w:pPr>
    <w:rPr>
      <w:rFonts w:ascii="Times New Roman" w:hAnsi="Times New Roman" w:cs="Times New Roman"/>
      <w:kern w:val="2"/>
      <w:sz w:val="28"/>
      <w:szCs w:val="20"/>
    </w:rPr>
  </w:style>
  <w:style w:type="paragraph" w:customStyle="1" w:styleId="3632">
    <w:name w:val="Char Char1 Char Char Char Char1"/>
    <w:basedOn w:val="1"/>
    <w:qFormat/>
    <w:uiPriority w:val="0"/>
    <w:rPr>
      <w:rFonts w:ascii="Times New Roman" w:hAnsi="Times New Roman" w:cs="Times New Roman"/>
      <w:kern w:val="2"/>
    </w:rPr>
  </w:style>
  <w:style w:type="paragraph" w:customStyle="1" w:styleId="3633">
    <w:name w:val="8 Char1"/>
    <w:basedOn w:val="1"/>
    <w:qFormat/>
    <w:uiPriority w:val="0"/>
    <w:pPr>
      <w:widowControl w:val="0"/>
      <w:ind w:firstLine="480"/>
      <w:jc w:val="both"/>
    </w:pPr>
    <w:rPr>
      <w:rFonts w:ascii="Times New Roman" w:hAnsi="Times New Roman" w:cs="Times New Roman"/>
      <w:kern w:val="10"/>
      <w:sz w:val="21"/>
    </w:rPr>
  </w:style>
  <w:style w:type="paragraph" w:customStyle="1" w:styleId="3634">
    <w:name w:val="表标题6"/>
    <w:basedOn w:val="1"/>
    <w:qFormat/>
    <w:uiPriority w:val="0"/>
    <w:pPr>
      <w:keepNext/>
      <w:autoSpaceDE w:val="0"/>
      <w:autoSpaceDN w:val="0"/>
      <w:adjustRightInd w:val="0"/>
      <w:spacing w:before="180" w:after="120" w:line="408" w:lineRule="atLeast"/>
      <w:jc w:val="center"/>
      <w:textAlignment w:val="baseline"/>
    </w:pPr>
    <w:rPr>
      <w:rFonts w:ascii="Times New Roman" w:hAnsi="Times New Roman" w:cs="Times New Roman"/>
      <w:b/>
      <w:spacing w:val="2"/>
      <w:sz w:val="28"/>
      <w:szCs w:val="20"/>
    </w:rPr>
  </w:style>
  <w:style w:type="paragraph" w:customStyle="1" w:styleId="3635">
    <w:name w:val="标题4.1"/>
    <w:basedOn w:val="1"/>
    <w:qFormat/>
    <w:uiPriority w:val="0"/>
    <w:pPr>
      <w:widowControl w:val="0"/>
      <w:tabs>
        <w:tab w:val="left" w:pos="360"/>
        <w:tab w:val="left" w:pos="1680"/>
      </w:tabs>
      <w:spacing w:after="50"/>
      <w:ind w:left="1680"/>
      <w:jc w:val="both"/>
      <w:outlineLvl w:val="3"/>
    </w:pPr>
    <w:rPr>
      <w:rFonts w:ascii="Times New Roman" w:hAnsi="Times New Roman" w:cs="Times New Roman"/>
      <w:kern w:val="24"/>
      <w:sz w:val="21"/>
    </w:rPr>
  </w:style>
  <w:style w:type="paragraph" w:customStyle="1" w:styleId="3636">
    <w:name w:val="小四宋居中1.0"/>
    <w:basedOn w:val="1"/>
    <w:next w:val="1"/>
    <w:qFormat/>
    <w:uiPriority w:val="0"/>
    <w:pPr>
      <w:widowControl w:val="0"/>
      <w:spacing w:line="240" w:lineRule="exact"/>
      <w:jc w:val="center"/>
    </w:pPr>
    <w:rPr>
      <w:rFonts w:ascii="仿宋_GB2312" w:hAnsi="Times New Roman" w:eastAsia="仿宋_GB2312" w:cs="Times New Roman"/>
      <w:kern w:val="2"/>
      <w:sz w:val="21"/>
    </w:rPr>
  </w:style>
  <w:style w:type="paragraph" w:customStyle="1" w:styleId="3637">
    <w:name w:val="正文（首行缩进） Char"/>
    <w:basedOn w:val="1"/>
    <w:qFormat/>
    <w:uiPriority w:val="0"/>
    <w:pPr>
      <w:widowControl w:val="0"/>
      <w:overflowPunct w:val="0"/>
      <w:topLinePunct/>
      <w:autoSpaceDE w:val="0"/>
      <w:autoSpaceDN w:val="0"/>
      <w:ind w:firstLine="480"/>
      <w:jc w:val="both"/>
      <w:textAlignment w:val="baseline"/>
    </w:pPr>
    <w:rPr>
      <w:rFonts w:ascii="Times New Roman" w:hAnsi="Times New Roman" w:cs="Times New Roman"/>
      <w:snapToGrid w:val="0"/>
      <w:kern w:val="2"/>
      <w:sz w:val="21"/>
      <w:lang w:val="zh-CN"/>
    </w:rPr>
  </w:style>
  <w:style w:type="paragraph" w:customStyle="1" w:styleId="3638">
    <w:name w:val="title 01"/>
    <w:basedOn w:val="1"/>
    <w:qFormat/>
    <w:uiPriority w:val="0"/>
    <w:pPr>
      <w:widowControl w:val="0"/>
      <w:jc w:val="center"/>
    </w:pPr>
    <w:rPr>
      <w:rFonts w:ascii="Times New Roman" w:hAnsi="Times New Roman"/>
      <w:kern w:val="2"/>
      <w:sz w:val="44"/>
      <w:szCs w:val="20"/>
    </w:rPr>
  </w:style>
  <w:style w:type="paragraph" w:customStyle="1" w:styleId="3639">
    <w:name w:val="流程图"/>
    <w:basedOn w:val="1"/>
    <w:qFormat/>
    <w:uiPriority w:val="0"/>
    <w:pPr>
      <w:widowControl w:val="0"/>
      <w:tabs>
        <w:tab w:val="left" w:pos="0"/>
      </w:tabs>
      <w:autoSpaceDE w:val="0"/>
      <w:autoSpaceDN w:val="0"/>
      <w:adjustRightInd w:val="0"/>
      <w:spacing w:line="240" w:lineRule="atLeast"/>
      <w:jc w:val="center"/>
      <w:textAlignment w:val="bottom"/>
    </w:pPr>
    <w:rPr>
      <w:rFonts w:hAnsi="Times New Roman"/>
      <w:kern w:val="2"/>
      <w:sz w:val="21"/>
      <w:szCs w:val="21"/>
    </w:rPr>
  </w:style>
  <w:style w:type="paragraph" w:customStyle="1" w:styleId="3640">
    <w:name w:val="样式 小四 段前: 12 磅 行距: 1.5 倍行距"/>
    <w:basedOn w:val="1"/>
    <w:qFormat/>
    <w:uiPriority w:val="0"/>
    <w:pPr>
      <w:widowControl w:val="0"/>
      <w:ind w:firstLine="480" w:firstLineChars="200"/>
      <w:jc w:val="both"/>
    </w:pPr>
    <w:rPr>
      <w:rFonts w:ascii="Times New Roman" w:hAnsi="Times New Roman" w:cs="Times New Roman"/>
      <w:color w:val="FF0000"/>
      <w:sz w:val="21"/>
      <w:szCs w:val="20"/>
      <w:lang w:val="zh-CN"/>
    </w:rPr>
  </w:style>
  <w:style w:type="paragraph" w:customStyle="1" w:styleId="3641">
    <w:name w:val="Char1 Char Char Char1"/>
    <w:basedOn w:val="1"/>
    <w:qFormat/>
    <w:uiPriority w:val="0"/>
    <w:pPr>
      <w:widowControl w:val="0"/>
      <w:adjustRightInd w:val="0"/>
      <w:spacing w:line="360" w:lineRule="auto"/>
      <w:jc w:val="both"/>
    </w:pPr>
    <w:rPr>
      <w:rFonts w:ascii="Times New Roman" w:hAnsi="Times New Roman" w:cs="Times New Roman"/>
      <w:szCs w:val="20"/>
    </w:rPr>
  </w:style>
  <w:style w:type="paragraph" w:customStyle="1" w:styleId="3642">
    <w:name w:val="样式 小五 居中 首行缩进:  2 字符"/>
    <w:basedOn w:val="1"/>
    <w:qFormat/>
    <w:uiPriority w:val="0"/>
    <w:pPr>
      <w:widowControl w:val="0"/>
      <w:jc w:val="center"/>
    </w:pPr>
    <w:rPr>
      <w:rFonts w:hint="eastAsia" w:ascii="Times New Roman" w:hAnsi="Times New Roman" w:cs="Times New Roman"/>
      <w:kern w:val="2"/>
      <w:sz w:val="18"/>
      <w:szCs w:val="20"/>
    </w:rPr>
  </w:style>
  <w:style w:type="paragraph" w:customStyle="1" w:styleId="3643">
    <w:name w:val="Char Char Char1 Char Char Char Char Char Char1"/>
    <w:basedOn w:val="1"/>
    <w:qFormat/>
    <w:uiPriority w:val="0"/>
    <w:pPr>
      <w:widowControl w:val="0"/>
      <w:spacing w:line="360" w:lineRule="auto"/>
      <w:ind w:firstLine="200" w:firstLineChars="200"/>
      <w:jc w:val="both"/>
    </w:pPr>
    <w:rPr>
      <w:kern w:val="2"/>
    </w:rPr>
  </w:style>
  <w:style w:type="paragraph" w:customStyle="1" w:styleId="3644">
    <w:name w:val="样式 小四 行距: 1.5 倍行距 首行缩进:  2 字符"/>
    <w:basedOn w:val="1"/>
    <w:qFormat/>
    <w:uiPriority w:val="0"/>
    <w:pPr>
      <w:widowControl w:val="0"/>
      <w:ind w:firstLine="200" w:firstLineChars="200"/>
      <w:jc w:val="both"/>
    </w:pPr>
    <w:rPr>
      <w:rFonts w:ascii="Times New Roman" w:hAnsi="Times New Roman"/>
      <w:kern w:val="2"/>
      <w:sz w:val="21"/>
      <w:szCs w:val="20"/>
    </w:rPr>
  </w:style>
  <w:style w:type="paragraph" w:customStyle="1" w:styleId="3645">
    <w:name w:val="样式 样式 样式 段前: 0.5 行 行距: 1.5 倍行距 首行缩进:  2 字符 + 首行缩进:  2 字符 段后: 1 行..."/>
    <w:basedOn w:val="3631"/>
    <w:qFormat/>
    <w:uiPriority w:val="0"/>
    <w:rPr>
      <w:rFonts w:eastAsia="仿宋_GB2312"/>
    </w:rPr>
  </w:style>
  <w:style w:type="paragraph" w:customStyle="1" w:styleId="3646">
    <w:name w:val="Char1 Char Char Char1 Char Char"/>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647">
    <w:name w:val="Char Char Char4"/>
    <w:basedOn w:val="1"/>
    <w:qFormat/>
    <w:uiPriority w:val="0"/>
    <w:pPr>
      <w:widowControl w:val="0"/>
      <w:jc w:val="both"/>
    </w:pPr>
    <w:rPr>
      <w:rFonts w:ascii="Times New Roman" w:hAnsi="Times New Roman" w:cs="Times New Roman"/>
      <w:kern w:val="2"/>
      <w:sz w:val="21"/>
    </w:rPr>
  </w:style>
  <w:style w:type="paragraph" w:customStyle="1" w:styleId="3648">
    <w:name w:val="样式122"/>
    <w:basedOn w:val="1"/>
    <w:qFormat/>
    <w:uiPriority w:val="0"/>
    <w:pPr>
      <w:widowControl w:val="0"/>
      <w:snapToGrid w:val="0"/>
      <w:spacing w:line="520" w:lineRule="exact"/>
      <w:ind w:firstLine="480" w:firstLineChars="200"/>
      <w:jc w:val="both"/>
    </w:pPr>
    <w:rPr>
      <w:rFonts w:ascii="Times New Roman" w:hAnsi="Times New Roman" w:cs="Times New Roman"/>
      <w:b/>
      <w:color w:val="000000"/>
      <w:sz w:val="21"/>
      <w:lang w:val="zh-CN"/>
    </w:rPr>
  </w:style>
  <w:style w:type="paragraph" w:customStyle="1" w:styleId="3649">
    <w:name w:val="正文文本缩进 23"/>
    <w:basedOn w:val="1"/>
    <w:qFormat/>
    <w:uiPriority w:val="0"/>
    <w:pPr>
      <w:widowControl w:val="0"/>
      <w:spacing w:after="120" w:line="400" w:lineRule="exact"/>
      <w:ind w:firstLine="525"/>
      <w:jc w:val="both"/>
      <w:textAlignment w:val="baseline"/>
    </w:pPr>
    <w:rPr>
      <w:rFonts w:ascii="Times New Roman" w:hAnsi="Times New Roman" w:cs="Times New Roman"/>
      <w:spacing w:val="16"/>
      <w:kern w:val="2"/>
      <w:sz w:val="21"/>
      <w:szCs w:val="20"/>
    </w:rPr>
  </w:style>
  <w:style w:type="paragraph" w:customStyle="1" w:styleId="3650">
    <w:name w:val="参加人员名单"/>
    <w:basedOn w:val="1"/>
    <w:next w:val="1"/>
    <w:qFormat/>
    <w:uiPriority w:val="0"/>
    <w:pPr>
      <w:widowControl w:val="0"/>
      <w:jc w:val="center"/>
      <w:outlineLvl w:val="0"/>
    </w:pPr>
    <w:rPr>
      <w:rFonts w:ascii="Times New Roman" w:hAnsi="Times New Roman" w:cs="Times New Roman"/>
      <w:kern w:val="2"/>
      <w:sz w:val="32"/>
      <w:szCs w:val="32"/>
    </w:rPr>
  </w:style>
  <w:style w:type="paragraph" w:customStyle="1" w:styleId="3651">
    <w:name w:val="font23"/>
    <w:basedOn w:val="1"/>
    <w:qFormat/>
    <w:uiPriority w:val="0"/>
    <w:pPr>
      <w:widowControl w:val="0"/>
      <w:spacing w:before="100" w:beforeAutospacing="1" w:after="100" w:afterAutospacing="1"/>
      <w:jc w:val="both"/>
    </w:pPr>
    <w:rPr>
      <w:rFonts w:ascii="Times New Roman" w:hAnsi="Times New Roman" w:cs="Times New Roman"/>
      <w:kern w:val="2"/>
      <w:sz w:val="21"/>
    </w:rPr>
  </w:style>
  <w:style w:type="paragraph" w:customStyle="1" w:styleId="3652">
    <w:name w:val="样式 海南化工城正文 + 加宽量  1 磅"/>
    <w:basedOn w:val="934"/>
    <w:qFormat/>
    <w:uiPriority w:val="0"/>
    <w:pPr>
      <w:spacing w:line="312" w:lineRule="auto"/>
      <w:ind w:firstLine="200"/>
    </w:pPr>
    <w:rPr>
      <w:rFonts w:cs="Times New Roman"/>
      <w:spacing w:val="20"/>
      <w:sz w:val="21"/>
      <w:szCs w:val="24"/>
      <w:lang w:val="zh-CN"/>
    </w:rPr>
  </w:style>
  <w:style w:type="paragraph" w:customStyle="1" w:styleId="3653">
    <w:name w:val="Char Char1 Char Char Char Char Char Char Char Char Char Char Char Char Char Char Char Char Char Char Char Char1 Char2"/>
    <w:basedOn w:val="1"/>
    <w:qFormat/>
    <w:uiPriority w:val="0"/>
    <w:pPr>
      <w:widowControl w:val="0"/>
      <w:spacing w:line="360" w:lineRule="auto"/>
      <w:ind w:firstLine="200" w:firstLineChars="200"/>
      <w:jc w:val="both"/>
    </w:pPr>
    <w:rPr>
      <w:kern w:val="2"/>
    </w:rPr>
  </w:style>
  <w:style w:type="paragraph" w:customStyle="1" w:styleId="3654">
    <w:name w:val="font17"/>
    <w:basedOn w:val="1"/>
    <w:qFormat/>
    <w:uiPriority w:val="99"/>
    <w:pPr>
      <w:widowControl w:val="0"/>
      <w:spacing w:before="100" w:beforeAutospacing="1" w:after="100" w:afterAutospacing="1"/>
      <w:jc w:val="both"/>
    </w:pPr>
    <w:rPr>
      <w:rFonts w:hint="eastAsia" w:cs="Times New Roman"/>
      <w:sz w:val="16"/>
      <w:szCs w:val="16"/>
    </w:rPr>
  </w:style>
  <w:style w:type="paragraph" w:customStyle="1" w:styleId="3655">
    <w:name w:val="Date1"/>
    <w:basedOn w:val="1"/>
    <w:next w:val="1"/>
    <w:qFormat/>
    <w:uiPriority w:val="0"/>
    <w:pPr>
      <w:widowControl w:val="0"/>
      <w:adjustRightInd w:val="0"/>
      <w:jc w:val="both"/>
    </w:pPr>
    <w:rPr>
      <w:rFonts w:hAnsi="Times New Roman" w:cs="Times New Roman"/>
      <w:kern w:val="2"/>
      <w:sz w:val="21"/>
      <w:szCs w:val="20"/>
    </w:rPr>
  </w:style>
  <w:style w:type="paragraph" w:customStyle="1" w:styleId="3656">
    <w:name w:val="表格（小）"/>
    <w:basedOn w:val="1"/>
    <w:qFormat/>
    <w:uiPriority w:val="0"/>
    <w:pPr>
      <w:widowControl w:val="0"/>
      <w:adjustRightInd w:val="0"/>
      <w:snapToGrid w:val="0"/>
      <w:jc w:val="both"/>
    </w:pPr>
    <w:rPr>
      <w:rFonts w:ascii="Times New Roman" w:hAnsi="Times New Roman" w:cs="Times New Roman"/>
      <w:snapToGrid w:val="0"/>
      <w:sz w:val="21"/>
      <w:szCs w:val="20"/>
    </w:rPr>
  </w:style>
  <w:style w:type="paragraph" w:customStyle="1" w:styleId="3657">
    <w:name w:val="样式 (西文) 仿宋_GB2312 (中文) 仿宋_GB2312 黑色"/>
    <w:basedOn w:val="1"/>
    <w:qFormat/>
    <w:uiPriority w:val="0"/>
    <w:pPr>
      <w:widowControl w:val="0"/>
      <w:spacing w:after="312" w:afterLines="100" w:line="300" w:lineRule="auto"/>
      <w:jc w:val="both"/>
    </w:pPr>
    <w:rPr>
      <w:rFonts w:ascii="仿宋_GB2312" w:hAnsi="Times New Roman" w:eastAsia="仿宋_GB2312" w:cs="Times New Roman"/>
      <w:color w:val="000000"/>
      <w:kern w:val="2"/>
      <w:sz w:val="28"/>
    </w:rPr>
  </w:style>
  <w:style w:type="paragraph" w:customStyle="1" w:styleId="3658">
    <w:name w:val="附件名"/>
    <w:basedOn w:val="1"/>
    <w:qFormat/>
    <w:uiPriority w:val="0"/>
    <w:pPr>
      <w:widowControl w:val="0"/>
      <w:spacing w:before="120" w:after="120" w:line="480" w:lineRule="exact"/>
      <w:jc w:val="center"/>
    </w:pPr>
    <w:rPr>
      <w:rFonts w:ascii="Times New Roman" w:hAnsi="Times New Roman" w:cs="Times New Roman"/>
      <w:kern w:val="2"/>
      <w:sz w:val="32"/>
      <w:szCs w:val="20"/>
    </w:rPr>
  </w:style>
  <w:style w:type="paragraph" w:customStyle="1" w:styleId="3659">
    <w:name w:val="标题11"/>
    <w:basedOn w:val="1"/>
    <w:qFormat/>
    <w:uiPriority w:val="0"/>
    <w:pPr>
      <w:widowControl w:val="0"/>
      <w:adjustRightInd w:val="0"/>
      <w:ind w:left="210" w:hanging="210"/>
      <w:textAlignment w:val="baseline"/>
    </w:pPr>
    <w:rPr>
      <w:rFonts w:ascii="Times New Roman" w:hAnsi="Times New Roman" w:cs="Times New Roman"/>
    </w:rPr>
  </w:style>
  <w:style w:type="paragraph" w:customStyle="1" w:styleId="3660">
    <w:name w:val="－列表"/>
    <w:basedOn w:val="66"/>
    <w:qFormat/>
    <w:uiPriority w:val="0"/>
    <w:pPr>
      <w:spacing w:line="360" w:lineRule="atLeast"/>
      <w:ind w:left="0" w:firstLine="0" w:firstLineChars="0"/>
      <w:textAlignment w:val="baseline"/>
    </w:pPr>
    <w:rPr>
      <w:snapToGrid w:val="0"/>
      <w:sz w:val="22"/>
      <w:szCs w:val="22"/>
      <w:lang w:val="zh-CN"/>
    </w:rPr>
  </w:style>
  <w:style w:type="paragraph" w:customStyle="1" w:styleId="3661">
    <w:name w:val="样式 标题 3 + 行距: 最小值 25 磅"/>
    <w:basedOn w:val="5"/>
    <w:qFormat/>
    <w:uiPriority w:val="0"/>
    <w:pPr>
      <w:keepNext w:val="0"/>
      <w:keepLines w:val="0"/>
      <w:widowControl w:val="0"/>
      <w:tabs>
        <w:tab w:val="left" w:pos="360"/>
        <w:tab w:val="left" w:pos="720"/>
        <w:tab w:val="left" w:pos="1260"/>
        <w:tab w:val="left" w:pos="1620"/>
      </w:tabs>
      <w:snapToGrid w:val="0"/>
      <w:spacing w:before="0" w:beforeLines="100" w:after="0" w:afterLines="50" w:line="500" w:lineRule="atLeast"/>
      <w:ind w:left="1260" w:hanging="420" w:firstLineChars="200"/>
      <w:jc w:val="both"/>
    </w:pPr>
    <w:rPr>
      <w:rFonts w:ascii="Times New Roman" w:hAnsi="Times New Roman" w:eastAsia="仿宋_GB2312" w:cs="Times New Roman"/>
      <w:snapToGrid w:val="0"/>
      <w:spacing w:val="4"/>
      <w:kern w:val="2"/>
    </w:rPr>
  </w:style>
  <w:style w:type="paragraph" w:customStyle="1" w:styleId="3662">
    <w:name w:val="样式 左侧:  0.85 厘米 首行缩进:  2 字符"/>
    <w:basedOn w:val="1"/>
    <w:qFormat/>
    <w:uiPriority w:val="0"/>
    <w:pPr>
      <w:widowControl w:val="0"/>
      <w:spacing w:line="480" w:lineRule="exact"/>
      <w:ind w:firstLine="200" w:firstLineChars="200"/>
      <w:jc w:val="both"/>
    </w:pPr>
    <w:rPr>
      <w:rFonts w:hint="eastAsia" w:ascii="Times New Roman" w:hAnsi="Times New Roman" w:cs="Times New Roman"/>
      <w:kern w:val="2"/>
      <w:sz w:val="21"/>
      <w:szCs w:val="20"/>
    </w:rPr>
  </w:style>
  <w:style w:type="paragraph" w:customStyle="1" w:styleId="3663">
    <w:name w:val="表格内容五号字"/>
    <w:basedOn w:val="1"/>
    <w:qFormat/>
    <w:uiPriority w:val="0"/>
    <w:pPr>
      <w:widowControl w:val="0"/>
      <w:spacing w:line="240" w:lineRule="atLeast"/>
      <w:jc w:val="center"/>
      <w:textAlignment w:val="baseline"/>
    </w:pPr>
    <w:rPr>
      <w:rFonts w:ascii="Times New Roman" w:hAnsi="Times New Roman" w:cs="Times New Roman"/>
      <w:kern w:val="2"/>
      <w:sz w:val="21"/>
    </w:rPr>
  </w:style>
  <w:style w:type="paragraph" w:customStyle="1" w:styleId="3664">
    <w:name w:val="Char42"/>
    <w:basedOn w:val="1"/>
    <w:qFormat/>
    <w:uiPriority w:val="0"/>
    <w:pPr>
      <w:widowControl w:val="0"/>
      <w:jc w:val="both"/>
    </w:pPr>
    <w:rPr>
      <w:rFonts w:ascii="Times New Roman" w:hAnsi="Times New Roman" w:cs="Times New Roman"/>
      <w:color w:val="000000"/>
      <w:kern w:val="2"/>
      <w:sz w:val="21"/>
    </w:rPr>
  </w:style>
  <w:style w:type="paragraph" w:customStyle="1" w:styleId="3665">
    <w:name w:val="三级标题1"/>
    <w:basedOn w:val="1"/>
    <w:qFormat/>
    <w:uiPriority w:val="0"/>
    <w:pPr>
      <w:widowControl w:val="0"/>
      <w:adjustRightInd w:val="0"/>
      <w:snapToGrid w:val="0"/>
      <w:spacing w:before="156" w:beforeLines="50"/>
      <w:jc w:val="both"/>
      <w:outlineLvl w:val="2"/>
    </w:pPr>
    <w:rPr>
      <w:rFonts w:ascii="Calibri" w:hAnsi="Calibri" w:cs="Times New Roman"/>
      <w:b/>
      <w:bCs/>
      <w:kern w:val="2"/>
      <w:sz w:val="32"/>
      <w:szCs w:val="20"/>
    </w:rPr>
  </w:style>
  <w:style w:type="paragraph" w:customStyle="1" w:styleId="3666">
    <w:name w:val="样式 hh5-图名与表名 + 加粗 Char"/>
    <w:basedOn w:val="1"/>
    <w:qFormat/>
    <w:uiPriority w:val="0"/>
    <w:pPr>
      <w:widowControl w:val="0"/>
      <w:spacing w:line="300" w:lineRule="exact"/>
      <w:jc w:val="center"/>
    </w:pPr>
    <w:rPr>
      <w:rFonts w:ascii="Times New Roman" w:hAnsi="Times New Roman" w:eastAsia="黑体" w:cs="Times New Roman"/>
      <w:b/>
      <w:bCs/>
      <w:sz w:val="20"/>
    </w:rPr>
  </w:style>
  <w:style w:type="paragraph" w:customStyle="1" w:styleId="3667">
    <w:name w:val="1标题2"/>
    <w:basedOn w:val="4"/>
    <w:qFormat/>
    <w:uiPriority w:val="0"/>
    <w:pPr>
      <w:keepNext w:val="0"/>
      <w:keepLines w:val="0"/>
      <w:widowControl w:val="0"/>
      <w:numPr>
        <w:ilvl w:val="0"/>
        <w:numId w:val="0"/>
      </w:numPr>
      <w:tabs>
        <w:tab w:val="left" w:pos="360"/>
        <w:tab w:val="left" w:pos="630"/>
        <w:tab w:val="left" w:pos="720"/>
        <w:tab w:val="left" w:pos="8092"/>
      </w:tabs>
      <w:snapToGrid w:val="0"/>
      <w:spacing w:before="0" w:after="0" w:line="240" w:lineRule="auto"/>
      <w:ind w:firstLine="980" w:firstLineChars="200"/>
      <w:outlineLvl w:val="9"/>
    </w:pPr>
    <w:rPr>
      <w:rFonts w:ascii="Times New Roman" w:hAnsi="Times New Roman" w:eastAsia="宋体" w:cs="Times New Roman"/>
      <w:color w:val="FF0000"/>
      <w:kern w:val="2"/>
      <w:sz w:val="28"/>
      <w:szCs w:val="28"/>
      <w:lang w:val="zh-CN"/>
    </w:rPr>
  </w:style>
  <w:style w:type="paragraph" w:customStyle="1" w:styleId="3668">
    <w:name w:val="Char1 Char Char1 Char2"/>
    <w:basedOn w:val="1"/>
    <w:qFormat/>
    <w:uiPriority w:val="0"/>
    <w:pPr>
      <w:widowControl w:val="0"/>
      <w:adjustRightInd w:val="0"/>
      <w:snapToGrid w:val="0"/>
      <w:spacing w:line="400" w:lineRule="exact"/>
      <w:ind w:firstLine="200" w:firstLineChars="200"/>
      <w:jc w:val="both"/>
    </w:pPr>
    <w:rPr>
      <w:rFonts w:ascii="Times New Roman" w:hAnsi="Times New Roman" w:cs="Times New Roman"/>
      <w:kern w:val="2"/>
      <w:szCs w:val="20"/>
    </w:rPr>
  </w:style>
  <w:style w:type="paragraph" w:customStyle="1" w:styleId="3669">
    <w:name w:val="样式 样式 普通文字 + (西文) Times New Roman (中文) 仿宋_GB2312 四号 首行缩进:  2 字符....1"/>
    <w:basedOn w:val="1"/>
    <w:qFormat/>
    <w:uiPriority w:val="0"/>
    <w:pPr>
      <w:widowControl w:val="0"/>
      <w:spacing w:line="400" w:lineRule="exact"/>
      <w:ind w:firstLine="480" w:firstLineChars="200"/>
      <w:jc w:val="both"/>
    </w:pPr>
    <w:rPr>
      <w:rFonts w:ascii="Times New Roman" w:hAnsi="Times New Roman" w:cs="Times New Roman"/>
      <w:kern w:val="2"/>
      <w:sz w:val="21"/>
      <w:szCs w:val="20"/>
    </w:rPr>
  </w:style>
  <w:style w:type="paragraph" w:customStyle="1" w:styleId="3670">
    <w:name w:val="正文21"/>
    <w:basedOn w:val="1"/>
    <w:qFormat/>
    <w:uiPriority w:val="0"/>
    <w:pPr>
      <w:widowControl w:val="0"/>
      <w:ind w:firstLine="200" w:firstLineChars="200"/>
      <w:jc w:val="both"/>
    </w:pPr>
    <w:rPr>
      <w:rFonts w:ascii="Times New Roman" w:hAnsi="Times New Roman" w:cs="Tahoma"/>
      <w:sz w:val="21"/>
    </w:rPr>
  </w:style>
  <w:style w:type="paragraph" w:customStyle="1" w:styleId="3671">
    <w:name w:val="默认段落字体 Para Char Char Char1 Char Char Char Char"/>
    <w:basedOn w:val="1"/>
    <w:qFormat/>
    <w:uiPriority w:val="0"/>
    <w:pPr>
      <w:widowControl w:val="0"/>
      <w:jc w:val="both"/>
    </w:pPr>
    <w:rPr>
      <w:rFonts w:ascii="Times New Roman" w:hAnsi="Times New Roman" w:cs="Times New Roman"/>
      <w:kern w:val="2"/>
      <w:sz w:val="21"/>
    </w:rPr>
  </w:style>
  <w:style w:type="paragraph" w:customStyle="1" w:styleId="3672">
    <w:name w:val="样式20（注解）"/>
    <w:basedOn w:val="1090"/>
    <w:qFormat/>
    <w:uiPriority w:val="0"/>
    <w:pPr>
      <w:tabs>
        <w:tab w:val="clear" w:pos="1440"/>
      </w:tabs>
      <w:spacing w:before="0" w:after="0" w:line="240" w:lineRule="auto"/>
      <w:ind w:left="0" w:leftChars="0"/>
      <w:textAlignment w:val="auto"/>
    </w:pPr>
    <w:rPr>
      <w:rFonts w:ascii="宋体" w:hAnsi="宋体"/>
      <w:sz w:val="20"/>
      <w:szCs w:val="21"/>
      <w:lang w:val="zh-CN"/>
    </w:rPr>
  </w:style>
  <w:style w:type="paragraph" w:customStyle="1" w:styleId="3673">
    <w:name w:val="报告书名称"/>
    <w:basedOn w:val="1"/>
    <w:qFormat/>
    <w:uiPriority w:val="0"/>
    <w:pPr>
      <w:widowControl w:val="0"/>
      <w:spacing w:before="3120" w:beforeLines="1000" w:after="156" w:afterLines="50"/>
      <w:ind w:left="300" w:leftChars="300" w:right="300" w:rightChars="300"/>
      <w:jc w:val="center"/>
      <w:textAlignment w:val="baseline"/>
    </w:pPr>
    <w:rPr>
      <w:rFonts w:ascii="Times New Roman" w:hAnsi="Times New Roman" w:eastAsia="楷体_GB2312" w:cs="楷体_GB2312"/>
      <w:b/>
      <w:kern w:val="2"/>
      <w:sz w:val="52"/>
      <w:szCs w:val="21"/>
    </w:rPr>
  </w:style>
  <w:style w:type="paragraph" w:customStyle="1" w:styleId="3674">
    <w:name w:val="样式 标题 2 + (西文) Arial (中文) 黑体 四号 段前: 0.5 行 段后: 6 磅 行距: 多倍行距 ..."/>
    <w:basedOn w:val="4"/>
    <w:next w:val="1"/>
    <w:qFormat/>
    <w:uiPriority w:val="0"/>
    <w:pPr>
      <w:keepNext w:val="0"/>
      <w:widowControl w:val="0"/>
      <w:numPr>
        <w:ilvl w:val="0"/>
        <w:numId w:val="0"/>
      </w:numPr>
      <w:tabs>
        <w:tab w:val="left" w:pos="360"/>
        <w:tab w:val="left" w:pos="720"/>
        <w:tab w:val="left" w:pos="1620"/>
        <w:tab w:val="left" w:pos="8092"/>
      </w:tabs>
      <w:snapToGrid w:val="0"/>
      <w:spacing w:before="240" w:after="156"/>
      <w:ind w:left="1620" w:firstLine="420" w:firstLineChars="200"/>
    </w:pPr>
    <w:rPr>
      <w:rFonts w:ascii="黑体" w:hAnsi="Times New Roman" w:eastAsia="宋体"/>
      <w:bCs/>
      <w:color w:val="FF0000"/>
      <w:kern w:val="2"/>
      <w:szCs w:val="20"/>
      <w:lang w:val="zh-CN"/>
    </w:rPr>
  </w:style>
  <w:style w:type="paragraph" w:customStyle="1" w:styleId="3675">
    <w:name w:val="样式 小四 黑色 首行缩进:  0.74 厘米 行距: 固定值 20 磅"/>
    <w:basedOn w:val="1"/>
    <w:qFormat/>
    <w:uiPriority w:val="0"/>
    <w:pPr>
      <w:widowControl w:val="0"/>
      <w:spacing w:line="440" w:lineRule="exact"/>
      <w:ind w:firstLine="454"/>
      <w:jc w:val="both"/>
    </w:pPr>
    <w:rPr>
      <w:rFonts w:ascii="Times New Roman" w:hAnsi="Times New Roman" w:cs="Times New Roman"/>
      <w:color w:val="000000"/>
      <w:kern w:val="2"/>
      <w:sz w:val="21"/>
      <w:szCs w:val="20"/>
    </w:rPr>
  </w:style>
  <w:style w:type="paragraph" w:customStyle="1" w:styleId="3676">
    <w:name w:val="框图"/>
    <w:basedOn w:val="1"/>
    <w:qFormat/>
    <w:uiPriority w:val="0"/>
    <w:pPr>
      <w:widowControl w:val="0"/>
      <w:spacing w:line="240" w:lineRule="exact"/>
      <w:jc w:val="center"/>
    </w:pPr>
    <w:rPr>
      <w:rFonts w:ascii="Times New Roman" w:hAnsi="Times New Roman" w:cs="Times New Roman"/>
      <w:kern w:val="2"/>
      <w:sz w:val="21"/>
      <w:szCs w:val="21"/>
    </w:rPr>
  </w:style>
  <w:style w:type="paragraph" w:customStyle="1" w:styleId="3677">
    <w:name w:val="要点11"/>
    <w:basedOn w:val="21"/>
    <w:qFormat/>
    <w:uiPriority w:val="0"/>
    <w:pPr>
      <w:tabs>
        <w:tab w:val="left" w:pos="360"/>
        <w:tab w:val="left" w:pos="945"/>
      </w:tabs>
      <w:adjustRightInd w:val="0"/>
      <w:snapToGrid w:val="0"/>
      <w:spacing w:before="156" w:beforeLines="50" w:line="360" w:lineRule="exact"/>
      <w:ind w:left="945" w:right="567" w:rightChars="270" w:hanging="360" w:hangingChars="200"/>
      <w:textAlignment w:val="baseline"/>
    </w:pPr>
    <w:rPr>
      <w:rFonts w:ascii="Times New Roman" w:hAnsi="Times New Roman" w:cs="Times New Roman"/>
      <w:sz w:val="20"/>
    </w:rPr>
  </w:style>
  <w:style w:type="paragraph" w:customStyle="1" w:styleId="3678">
    <w:name w:val="Char Char Char Char5"/>
    <w:basedOn w:val="1"/>
    <w:qFormat/>
    <w:uiPriority w:val="0"/>
    <w:pPr>
      <w:widowControl w:val="0"/>
      <w:spacing w:after="160" w:line="240" w:lineRule="exact"/>
      <w:jc w:val="both"/>
    </w:pPr>
    <w:rPr>
      <w:rFonts w:ascii="Verdana" w:hAnsi="Verdana" w:eastAsia="仿宋_GB2312" w:cs="Times New Roman"/>
      <w:sz w:val="21"/>
      <w:szCs w:val="20"/>
      <w:lang w:eastAsia="en-US"/>
    </w:rPr>
  </w:style>
  <w:style w:type="paragraph" w:customStyle="1" w:styleId="3679">
    <w:name w:val="图头"/>
    <w:next w:val="1"/>
    <w:qFormat/>
    <w:uiPriority w:val="0"/>
    <w:pPr>
      <w:tabs>
        <w:tab w:val="left" w:pos="960"/>
        <w:tab w:val="left" w:pos="1470"/>
      </w:tabs>
      <w:adjustRightInd w:val="0"/>
      <w:spacing w:before="156" w:beforeLines="50" w:after="156" w:afterLines="50"/>
      <w:ind w:left="960" w:hanging="720"/>
      <w:jc w:val="center"/>
    </w:pPr>
    <w:rPr>
      <w:rFonts w:ascii="Times New Roman" w:hAnsi="Times New Roman" w:eastAsia="宋体" w:cs="Times New Roman"/>
      <w:spacing w:val="10"/>
      <w:sz w:val="24"/>
      <w:szCs w:val="24"/>
      <w:lang w:val="en-US" w:eastAsia="zh-CN" w:bidi="ar-SA"/>
    </w:rPr>
  </w:style>
  <w:style w:type="paragraph" w:customStyle="1" w:styleId="3680">
    <w:name w:val="样式 标题 3 + 字距调整二号 行距: 最小值 25 磅"/>
    <w:basedOn w:val="5"/>
    <w:qFormat/>
    <w:uiPriority w:val="0"/>
    <w:pPr>
      <w:keepNext w:val="0"/>
      <w:keepLines w:val="0"/>
      <w:widowControl w:val="0"/>
      <w:tabs>
        <w:tab w:val="left" w:leader="dot" w:pos="0"/>
        <w:tab w:val="left" w:pos="360"/>
        <w:tab w:val="left" w:pos="720"/>
        <w:tab w:val="left" w:pos="1620"/>
        <w:tab w:val="left" w:pos="1740"/>
      </w:tabs>
      <w:snapToGrid w:val="0"/>
      <w:spacing w:before="0" w:beforeLines="100" w:after="0" w:afterLines="50" w:line="500" w:lineRule="atLeast"/>
      <w:ind w:left="1740" w:hanging="420" w:firstLineChars="200"/>
      <w:jc w:val="both"/>
    </w:pPr>
    <w:rPr>
      <w:rFonts w:ascii="Times New Roman" w:hAnsi="Times New Roman" w:eastAsia="仿宋_GB2312" w:cs="Times New Roman"/>
      <w:snapToGrid w:val="0"/>
      <w:spacing w:val="4"/>
      <w:kern w:val="2"/>
      <w:szCs w:val="20"/>
    </w:rPr>
  </w:style>
  <w:style w:type="paragraph" w:customStyle="1" w:styleId="3681">
    <w:name w:val="主要条文"/>
    <w:basedOn w:val="1"/>
    <w:qFormat/>
    <w:uiPriority w:val="0"/>
    <w:pPr>
      <w:widowControl w:val="0"/>
      <w:tabs>
        <w:tab w:val="left" w:pos="1260"/>
      </w:tabs>
      <w:ind w:left="1260" w:hanging="420"/>
      <w:jc w:val="both"/>
    </w:pPr>
    <w:rPr>
      <w:rFonts w:ascii="Times New Roman" w:hAnsi="Times New Roman" w:cs="Times New Roman"/>
      <w:kern w:val="2"/>
      <w:sz w:val="21"/>
    </w:rPr>
  </w:style>
  <w:style w:type="paragraph" w:customStyle="1" w:styleId="3682">
    <w:name w:val="样式 样式 (西文) 仿宋_GB2312 (中文) 仿宋_GB2312 黑色 悬挂缩进: 3 字符 段前: 0.5 行 行距....."/>
    <w:basedOn w:val="1"/>
    <w:qFormat/>
    <w:uiPriority w:val="0"/>
    <w:pPr>
      <w:widowControl w:val="0"/>
      <w:spacing w:after="312" w:afterLines="100" w:line="300" w:lineRule="auto"/>
      <w:ind w:left="500" w:leftChars="200" w:hanging="300" w:hangingChars="300"/>
      <w:jc w:val="both"/>
    </w:pPr>
    <w:rPr>
      <w:rFonts w:ascii="仿宋_GB2312" w:hAnsi="Times New Roman" w:eastAsia="仿宋_GB2312" w:cs="Times New Roman"/>
      <w:color w:val="000000"/>
      <w:kern w:val="2"/>
      <w:sz w:val="28"/>
      <w:szCs w:val="20"/>
    </w:rPr>
  </w:style>
  <w:style w:type="paragraph" w:customStyle="1" w:styleId="3683">
    <w:name w:val="xl64"/>
    <w:basedOn w:val="1"/>
    <w:qFormat/>
    <w:uiPriority w:val="0"/>
    <w:pPr>
      <w:widowControl w:val="0"/>
      <w:pBdr>
        <w:top w:val="double" w:color="auto" w:sz="6" w:space="0"/>
        <w:bottom w:val="single" w:color="auto" w:sz="8" w:space="0"/>
      </w:pBdr>
      <w:spacing w:before="100" w:beforeAutospacing="1" w:after="100" w:afterAutospacing="1"/>
      <w:jc w:val="center"/>
    </w:pPr>
    <w:rPr>
      <w:sz w:val="21"/>
      <w:szCs w:val="21"/>
    </w:rPr>
  </w:style>
  <w:style w:type="paragraph" w:customStyle="1" w:styleId="3684">
    <w:name w:val="样式 样式 标题 1 + 黑体 小三 非加粗 + 二号 加粗 黑色 段前: 7.8 磅 段后: 7.8 磅 行距: 1..."/>
    <w:basedOn w:val="1"/>
    <w:qFormat/>
    <w:uiPriority w:val="0"/>
    <w:pPr>
      <w:widowControl w:val="0"/>
      <w:tabs>
        <w:tab w:val="left" w:pos="549"/>
      </w:tabs>
      <w:ind w:left="552" w:firstLine="66"/>
      <w:jc w:val="both"/>
    </w:pPr>
    <w:rPr>
      <w:rFonts w:ascii="Times New Roman" w:hAnsi="Times New Roman" w:cs="Times New Roman"/>
      <w:kern w:val="2"/>
      <w:sz w:val="21"/>
      <w:szCs w:val="20"/>
    </w:rPr>
  </w:style>
  <w:style w:type="paragraph" w:customStyle="1" w:styleId="3685">
    <w:name w:val="Char Char1 Char Char Char Char Char Char Char3"/>
    <w:basedOn w:val="1"/>
    <w:qFormat/>
    <w:uiPriority w:val="0"/>
    <w:pPr>
      <w:widowControl w:val="0"/>
      <w:jc w:val="both"/>
    </w:pPr>
    <w:rPr>
      <w:rFonts w:ascii="Times New Roman" w:hAnsi="Times New Roman" w:cs="Times New Roman"/>
      <w:kern w:val="2"/>
      <w:sz w:val="21"/>
    </w:rPr>
  </w:style>
  <w:style w:type="paragraph" w:customStyle="1" w:styleId="3686">
    <w:name w:val="表格头"/>
    <w:basedOn w:val="1"/>
    <w:qFormat/>
    <w:uiPriority w:val="0"/>
    <w:pPr>
      <w:widowControl w:val="0"/>
      <w:jc w:val="center"/>
      <w:textAlignment w:val="baseline"/>
    </w:pPr>
    <w:rPr>
      <w:rFonts w:ascii="Times New Roman" w:hAnsi="Times New Roman" w:cs="Times New Roman"/>
      <w:b/>
      <w:bCs/>
      <w:spacing w:val="-10"/>
      <w:kern w:val="2"/>
      <w:sz w:val="21"/>
      <w:szCs w:val="28"/>
    </w:rPr>
  </w:style>
  <w:style w:type="paragraph" w:customStyle="1" w:styleId="3687">
    <w:name w:val="样式 标题 2mystyle2style2 + 四号 非加粗 居中 行距: 多倍行距 1.73 字行"/>
    <w:basedOn w:val="4"/>
    <w:qFormat/>
    <w:uiPriority w:val="0"/>
    <w:pPr>
      <w:keepNext w:val="0"/>
      <w:widowControl w:val="0"/>
      <w:numPr>
        <w:ilvl w:val="0"/>
        <w:numId w:val="0"/>
      </w:numPr>
      <w:tabs>
        <w:tab w:val="left" w:pos="360"/>
        <w:tab w:val="left" w:pos="720"/>
        <w:tab w:val="left" w:pos="1560"/>
        <w:tab w:val="left" w:pos="1620"/>
        <w:tab w:val="left" w:pos="8092"/>
      </w:tabs>
      <w:snapToGrid w:val="0"/>
      <w:spacing w:before="156"/>
      <w:ind w:left="1560" w:hanging="420" w:firstLineChars="200"/>
      <w:jc w:val="center"/>
    </w:pPr>
    <w:rPr>
      <w:rFonts w:cs="Century"/>
      <w:b w:val="0"/>
      <w:bCs/>
      <w:color w:val="FF0000"/>
      <w:kern w:val="2"/>
      <w:sz w:val="28"/>
      <w:szCs w:val="20"/>
      <w:lang w:val="zh-CN"/>
    </w:rPr>
  </w:style>
  <w:style w:type="paragraph" w:customStyle="1" w:styleId="3688">
    <w:name w:val="检索7"/>
    <w:basedOn w:val="3178"/>
    <w:qFormat/>
    <w:uiPriority w:val="0"/>
    <w:pPr>
      <w:ind w:left="1871"/>
    </w:pPr>
    <w:rPr>
      <w:color w:val="0000FF"/>
    </w:rPr>
  </w:style>
  <w:style w:type="paragraph" w:customStyle="1" w:styleId="3689">
    <w:name w:val="a1"/>
    <w:basedOn w:val="1"/>
    <w:qFormat/>
    <w:uiPriority w:val="0"/>
    <w:pPr>
      <w:widowControl w:val="0"/>
      <w:spacing w:before="100" w:beforeAutospacing="1" w:after="100" w:afterAutospacing="1"/>
      <w:jc w:val="both"/>
    </w:pPr>
    <w:rPr>
      <w:color w:val="000000"/>
      <w:sz w:val="21"/>
    </w:rPr>
  </w:style>
  <w:style w:type="paragraph" w:customStyle="1" w:styleId="3690">
    <w:name w:val="Char Char4 Char Char Char Char2"/>
    <w:basedOn w:val="1"/>
    <w:qFormat/>
    <w:uiPriority w:val="0"/>
    <w:pPr>
      <w:widowControl w:val="0"/>
      <w:jc w:val="both"/>
    </w:pPr>
    <w:rPr>
      <w:rFonts w:ascii="Times New Roman" w:hAnsi="Times New Roman" w:cs="Times New Roman"/>
      <w:kern w:val="2"/>
      <w:sz w:val="21"/>
    </w:rPr>
  </w:style>
  <w:style w:type="paragraph" w:customStyle="1" w:styleId="3691">
    <w:name w:val="正文宋体四号字"/>
    <w:basedOn w:val="1"/>
    <w:qFormat/>
    <w:uiPriority w:val="0"/>
    <w:pPr>
      <w:widowControl w:val="0"/>
      <w:adjustRightInd w:val="0"/>
      <w:spacing w:line="560" w:lineRule="exact"/>
      <w:ind w:firstLine="567"/>
      <w:jc w:val="both"/>
      <w:textAlignment w:val="baseline"/>
    </w:pPr>
    <w:rPr>
      <w:rFonts w:ascii="Arial" w:hAnsi="Arial" w:cs="Times New Roman"/>
      <w:spacing w:val="2"/>
      <w:sz w:val="28"/>
      <w:szCs w:val="20"/>
    </w:rPr>
  </w:style>
  <w:style w:type="paragraph" w:customStyle="1" w:styleId="3692">
    <w:name w:val="样式 标题 4标题 4 Char Char标题 4 Char + 小四 加粗"/>
    <w:basedOn w:val="6"/>
    <w:qFormat/>
    <w:uiPriority w:val="0"/>
    <w:pPr>
      <w:widowControl w:val="0"/>
      <w:tabs>
        <w:tab w:val="left" w:pos="851"/>
        <w:tab w:val="left" w:pos="945"/>
        <w:tab w:val="left" w:pos="1620"/>
      </w:tabs>
      <w:adjustRightInd w:val="0"/>
      <w:snapToGrid w:val="0"/>
      <w:spacing w:before="156" w:beforeLines="50" w:after="156" w:line="520" w:lineRule="atLeast"/>
      <w:ind w:firstLine="980" w:firstLineChars="200"/>
      <w:jc w:val="both"/>
    </w:pPr>
    <w:rPr>
      <w:rFonts w:hint="eastAsia" w:ascii="Times New Roman" w:hAnsi="Times New Roman" w:eastAsia="宋体" w:cs="宋体"/>
      <w:kern w:val="2"/>
      <w:sz w:val="21"/>
      <w:szCs w:val="20"/>
    </w:rPr>
  </w:style>
  <w:style w:type="paragraph" w:customStyle="1" w:styleId="3693">
    <w:name w:val="样式 样式 (符号) 宋体 二号 加粗 黑色 居中 行距: 1.5 倍行距 + 加粗"/>
    <w:basedOn w:val="84"/>
    <w:qFormat/>
    <w:uiPriority w:val="0"/>
    <w:pPr>
      <w:adjustRightInd w:val="0"/>
      <w:snapToGrid w:val="0"/>
      <w:spacing w:line="312" w:lineRule="atLeast"/>
      <w:ind w:firstLine="480" w:firstLineChars="200"/>
    </w:pPr>
    <w:rPr>
      <w:rFonts w:ascii="Times New Roman" w:hAnsi="Times New Roman" w:cs="Times New Roman"/>
      <w:sz w:val="44"/>
      <w:szCs w:val="24"/>
      <w:shd w:val="clear" w:color="auto" w:fill="000080"/>
    </w:rPr>
  </w:style>
  <w:style w:type="paragraph" w:customStyle="1" w:styleId="3694">
    <w:name w:val="样式 标题 3 + 首行缩进:  0.5 字符1"/>
    <w:basedOn w:val="5"/>
    <w:qFormat/>
    <w:uiPriority w:val="0"/>
    <w:pPr>
      <w:keepNext w:val="0"/>
      <w:keepLines w:val="0"/>
      <w:widowControl w:val="0"/>
      <w:tabs>
        <w:tab w:val="left" w:pos="360"/>
        <w:tab w:val="left" w:pos="720"/>
        <w:tab w:val="left" w:pos="840"/>
      </w:tabs>
      <w:snapToGrid w:val="0"/>
      <w:spacing w:before="0" w:beforeLines="100" w:after="0" w:afterLines="50" w:line="500" w:lineRule="exact"/>
      <w:ind w:firstLine="50" w:firstLineChars="50"/>
      <w:jc w:val="both"/>
    </w:pPr>
    <w:rPr>
      <w:rFonts w:ascii="Times New Roman" w:hAnsi="Times New Roman" w:eastAsia="仿宋_GB2312"/>
      <w:bCs w:val="0"/>
      <w:kern w:val="2"/>
      <w:szCs w:val="24"/>
    </w:rPr>
  </w:style>
  <w:style w:type="paragraph" w:customStyle="1" w:styleId="3695">
    <w:name w:val="样式 样式 (西文) 仿宋_GB2312 (中文) 仿宋_GB2312 黑色 段前: 0.5 行 行距: 1.5 倍行距 首....."/>
    <w:basedOn w:val="1"/>
    <w:qFormat/>
    <w:uiPriority w:val="0"/>
    <w:pPr>
      <w:widowControl w:val="0"/>
      <w:spacing w:after="312" w:afterLines="100" w:line="300" w:lineRule="auto"/>
      <w:jc w:val="both"/>
    </w:pPr>
    <w:rPr>
      <w:rFonts w:ascii="Times New Roman" w:hAnsi="Times New Roman" w:eastAsia="仿宋_GB2312" w:cs="Times New Roman"/>
      <w:color w:val="000000"/>
      <w:kern w:val="2"/>
      <w:sz w:val="28"/>
      <w:szCs w:val="20"/>
    </w:rPr>
  </w:style>
  <w:style w:type="paragraph" w:customStyle="1" w:styleId="3696">
    <w:name w:val="样式 正文文本缩进 + 小四 非加粗 非倾斜 行距: 固定值 20 磅"/>
    <w:basedOn w:val="35"/>
    <w:qFormat/>
    <w:uiPriority w:val="0"/>
    <w:pPr>
      <w:widowControl w:val="0"/>
      <w:spacing w:after="0" w:line="440" w:lineRule="exact"/>
      <w:ind w:left="0" w:leftChars="0" w:firstLine="454" w:firstLineChars="200"/>
      <w:jc w:val="both"/>
    </w:pPr>
    <w:rPr>
      <w:rFonts w:ascii="Times New Roman" w:hAnsi="Times New Roman" w:eastAsia="仿宋_GB2312" w:cs="Times New Roman"/>
      <w:color w:val="FF0000"/>
      <w:kern w:val="2"/>
      <w:sz w:val="21"/>
    </w:rPr>
  </w:style>
  <w:style w:type="paragraph" w:customStyle="1" w:styleId="3697">
    <w:name w:val="章节"/>
    <w:basedOn w:val="1"/>
    <w:qFormat/>
    <w:uiPriority w:val="0"/>
    <w:pPr>
      <w:widowControl w:val="0"/>
      <w:adjustRightInd w:val="0"/>
      <w:jc w:val="center"/>
      <w:textAlignment w:val="baseline"/>
      <w:outlineLvl w:val="0"/>
    </w:pPr>
    <w:rPr>
      <w:rFonts w:ascii="Times New Roman" w:hAnsi="Times New Roman" w:cs="Times New Roman"/>
      <w:bCs/>
      <w:sz w:val="44"/>
      <w:szCs w:val="20"/>
    </w:rPr>
  </w:style>
  <w:style w:type="paragraph" w:customStyle="1" w:styleId="3698">
    <w:name w:val="许克亮标一"/>
    <w:qFormat/>
    <w:uiPriority w:val="0"/>
    <w:pPr>
      <w:adjustRightInd w:val="0"/>
      <w:snapToGrid w:val="0"/>
      <w:spacing w:line="360" w:lineRule="auto"/>
      <w:ind w:firstLine="561"/>
      <w:jc w:val="both"/>
    </w:pPr>
    <w:rPr>
      <w:rFonts w:ascii="Times New Roman" w:hAnsi="Times New Roman" w:eastAsia="黑体" w:cs="Times New Roman"/>
      <w:b/>
      <w:bCs/>
      <w:kern w:val="2"/>
      <w:sz w:val="28"/>
      <w:szCs w:val="28"/>
      <w:lang w:val="en-US" w:eastAsia="zh-CN" w:bidi="ar-SA"/>
    </w:rPr>
  </w:style>
  <w:style w:type="paragraph" w:customStyle="1" w:styleId="3699">
    <w:name w:val="样式 (西文) 仿宋_GB2312 (中文) 仿宋_GB2312 黑色 段前: 0.5 行 行距: 1.5 倍行距 首...1"/>
    <w:basedOn w:val="1"/>
    <w:qFormat/>
    <w:uiPriority w:val="0"/>
    <w:pPr>
      <w:widowControl w:val="0"/>
      <w:spacing w:after="312" w:afterLines="100" w:line="300" w:lineRule="auto"/>
      <w:jc w:val="both"/>
    </w:pPr>
    <w:rPr>
      <w:rFonts w:ascii="仿宋_GB2312" w:hAnsi="Times New Roman" w:eastAsia="仿宋_GB2312" w:cs="Times New Roman"/>
      <w:color w:val="000000"/>
      <w:kern w:val="2"/>
      <w:sz w:val="28"/>
      <w:szCs w:val="20"/>
    </w:rPr>
  </w:style>
  <w:style w:type="paragraph" w:customStyle="1" w:styleId="3700">
    <w:name w:val="ysh标2"/>
    <w:basedOn w:val="3137"/>
    <w:qFormat/>
    <w:uiPriority w:val="0"/>
    <w:pPr>
      <w:tabs>
        <w:tab w:val="clear" w:pos="0"/>
      </w:tabs>
      <w:spacing w:before="312" w:beforeLines="100" w:line="240" w:lineRule="auto"/>
    </w:pPr>
    <w:rPr>
      <w:sz w:val="32"/>
      <w:szCs w:val="30"/>
    </w:rPr>
  </w:style>
  <w:style w:type="paragraph" w:customStyle="1" w:styleId="3701">
    <w:name w:val="font16"/>
    <w:basedOn w:val="1"/>
    <w:qFormat/>
    <w:uiPriority w:val="0"/>
    <w:pPr>
      <w:widowControl w:val="0"/>
      <w:spacing w:before="100" w:beforeAutospacing="1" w:after="100" w:afterAutospacing="1"/>
      <w:jc w:val="both"/>
    </w:pPr>
    <w:rPr>
      <w:rFonts w:hint="eastAsia" w:cs="Times New Roman"/>
      <w:color w:val="FF0000"/>
      <w:sz w:val="16"/>
      <w:szCs w:val="16"/>
    </w:rPr>
  </w:style>
  <w:style w:type="paragraph" w:customStyle="1" w:styleId="3702">
    <w:name w:val="ysh表格"/>
    <w:basedOn w:val="1"/>
    <w:qFormat/>
    <w:uiPriority w:val="0"/>
    <w:pPr>
      <w:widowControl w:val="0"/>
      <w:jc w:val="center"/>
    </w:pPr>
    <w:rPr>
      <w:rFonts w:cs="Times New Roman"/>
      <w:kern w:val="2"/>
      <w:sz w:val="21"/>
      <w:szCs w:val="21"/>
    </w:rPr>
  </w:style>
  <w:style w:type="paragraph" w:customStyle="1" w:styleId="3703">
    <w:name w:val="Table Title"/>
    <w:basedOn w:val="1"/>
    <w:next w:val="1"/>
    <w:qFormat/>
    <w:uiPriority w:val="0"/>
    <w:pPr>
      <w:widowControl w:val="0"/>
      <w:jc w:val="center"/>
    </w:pPr>
    <w:rPr>
      <w:rFonts w:ascii="Times New Roman" w:hAnsi="Times New Roman" w:cs="Times New Roman"/>
      <w:kern w:val="2"/>
      <w:sz w:val="26"/>
      <w:szCs w:val="21"/>
    </w:rPr>
  </w:style>
  <w:style w:type="paragraph" w:customStyle="1" w:styleId="3704">
    <w:name w:val="条条"/>
    <w:basedOn w:val="21"/>
    <w:qFormat/>
    <w:uiPriority w:val="0"/>
    <w:pPr>
      <w:tabs>
        <w:tab w:val="left" w:pos="620"/>
      </w:tabs>
      <w:adjustRightInd w:val="0"/>
      <w:snapToGrid w:val="0"/>
      <w:spacing w:before="93" w:beforeLines="30" w:after="93" w:afterLines="30"/>
      <w:ind w:left="620" w:hanging="420"/>
      <w:textAlignment w:val="baseline"/>
    </w:pPr>
    <w:rPr>
      <w:rFonts w:ascii="新宋体" w:hAnsi="Times New Roman" w:eastAsia="新宋体" w:cs="Times New Roman"/>
      <w:w w:val="90"/>
      <w:sz w:val="22"/>
    </w:rPr>
  </w:style>
  <w:style w:type="paragraph" w:customStyle="1" w:styleId="3705">
    <w:name w:val="Char Char2 Char Char"/>
    <w:basedOn w:val="1"/>
    <w:qFormat/>
    <w:uiPriority w:val="0"/>
    <w:pPr>
      <w:widowControl w:val="0"/>
      <w:spacing w:line="360" w:lineRule="auto"/>
      <w:ind w:firstLine="200" w:firstLineChars="200"/>
      <w:jc w:val="both"/>
    </w:pPr>
    <w:rPr>
      <w:kern w:val="2"/>
    </w:rPr>
  </w:style>
  <w:style w:type="paragraph" w:customStyle="1" w:styleId="3706">
    <w:name w:val="font20"/>
    <w:basedOn w:val="1"/>
    <w:qFormat/>
    <w:uiPriority w:val="0"/>
    <w:pPr>
      <w:widowControl w:val="0"/>
      <w:spacing w:before="100" w:beforeAutospacing="1" w:after="100" w:afterAutospacing="1"/>
      <w:jc w:val="both"/>
    </w:pPr>
    <w:rPr>
      <w:rFonts w:ascii="Times New Roman" w:hAnsi="Times New Roman" w:cs="Times New Roman"/>
      <w:b/>
      <w:bCs/>
      <w:kern w:val="2"/>
      <w:sz w:val="21"/>
    </w:rPr>
  </w:style>
  <w:style w:type="paragraph" w:customStyle="1" w:styleId="3707">
    <w:name w:val="表格来源"/>
    <w:basedOn w:val="35"/>
    <w:qFormat/>
    <w:uiPriority w:val="0"/>
    <w:pPr>
      <w:widowControl w:val="0"/>
      <w:spacing w:after="0"/>
      <w:ind w:left="0" w:leftChars="0" w:right="22" w:rightChars="22" w:firstLine="200" w:firstLineChars="200"/>
      <w:jc w:val="right"/>
    </w:pPr>
    <w:rPr>
      <w:rFonts w:ascii="Times New Roman" w:hAnsi="Times New Roman" w:eastAsia="仿宋_GB2312" w:cs="Times New Roman"/>
      <w:color w:val="FF0000"/>
      <w:kern w:val="2"/>
      <w:sz w:val="18"/>
    </w:rPr>
  </w:style>
  <w:style w:type="paragraph" w:customStyle="1" w:styleId="3708">
    <w:name w:val="样式 标题 1篇宋二 + 段前: 2 行"/>
    <w:basedOn w:val="3"/>
    <w:qFormat/>
    <w:uiPriority w:val="0"/>
    <w:pPr>
      <w:keepNext w:val="0"/>
      <w:keepLines/>
      <w:tabs>
        <w:tab w:val="left" w:pos="315"/>
        <w:tab w:val="left" w:pos="653"/>
        <w:tab w:val="left" w:pos="4614"/>
      </w:tabs>
      <w:overflowPunct/>
      <w:adjustRightInd w:val="0"/>
      <w:spacing w:before="624" w:beforeLines="200" w:after="240" w:line="400" w:lineRule="exact"/>
      <w:ind w:left="0" w:firstLine="0"/>
    </w:pPr>
    <w:rPr>
      <w:rFonts w:ascii="Times New Roman" w:hAnsi="Times New Roman" w:cs="仿宋_GB2312"/>
      <w:bCs w:val="0"/>
      <w:color w:val="auto"/>
      <w:sz w:val="28"/>
      <w:szCs w:val="36"/>
    </w:rPr>
  </w:style>
  <w:style w:type="paragraph" w:customStyle="1" w:styleId="3709">
    <w:name w:val="样式 (西文) 仿宋_GB2312 (中文) 仿宋_GB2312 黑色 段前: 0.5 行 行距: 1.5 倍行距 左..."/>
    <w:basedOn w:val="1"/>
    <w:qFormat/>
    <w:uiPriority w:val="0"/>
    <w:pPr>
      <w:widowControl w:val="0"/>
      <w:spacing w:after="312" w:afterLines="100" w:line="300" w:lineRule="auto"/>
      <w:ind w:left="450" w:leftChars="450" w:firstLine="50" w:firstLineChars="50"/>
      <w:jc w:val="both"/>
    </w:pPr>
    <w:rPr>
      <w:rFonts w:ascii="仿宋_GB2312" w:hAnsi="Times New Roman" w:eastAsia="仿宋_GB2312" w:cs="Times New Roman"/>
      <w:color w:val="000000"/>
      <w:kern w:val="2"/>
      <w:sz w:val="28"/>
      <w:szCs w:val="20"/>
    </w:rPr>
  </w:style>
  <w:style w:type="paragraph" w:customStyle="1" w:styleId="3710">
    <w:name w:val="样式 样式 (西文) 仿宋_GB2312 (中文) 仿宋_GB2312 + (西文) Times New Roman 首行缩进..."/>
    <w:basedOn w:val="3174"/>
    <w:qFormat/>
    <w:uiPriority w:val="0"/>
    <w:pPr>
      <w:spacing w:after="156" w:afterLines="50"/>
      <w:ind w:firstLine="500" w:firstLineChars="500"/>
    </w:pPr>
    <w:rPr>
      <w:rFonts w:ascii="Times New Roman"/>
      <w:szCs w:val="20"/>
    </w:rPr>
  </w:style>
  <w:style w:type="paragraph" w:customStyle="1" w:styleId="3711">
    <w:name w:val="样式 行距: 最小值 25 磅"/>
    <w:basedOn w:val="1"/>
    <w:qFormat/>
    <w:uiPriority w:val="0"/>
    <w:pPr>
      <w:widowControl w:val="0"/>
      <w:tabs>
        <w:tab w:val="left" w:pos="425"/>
      </w:tabs>
      <w:spacing w:line="500" w:lineRule="atLeast"/>
      <w:ind w:left="425" w:hanging="425"/>
      <w:jc w:val="both"/>
    </w:pPr>
    <w:rPr>
      <w:rFonts w:ascii="Times New Roman" w:hAnsi="Times New Roman" w:cs="Times New Roman"/>
      <w:kern w:val="2"/>
      <w:sz w:val="28"/>
      <w:szCs w:val="20"/>
    </w:rPr>
  </w:style>
  <w:style w:type="paragraph" w:customStyle="1" w:styleId="3712">
    <w:name w:val="样式 行距: 固定值 16 磅"/>
    <w:basedOn w:val="1"/>
    <w:qFormat/>
    <w:uiPriority w:val="0"/>
    <w:pPr>
      <w:widowControl w:val="0"/>
      <w:jc w:val="both"/>
    </w:pPr>
    <w:rPr>
      <w:rFonts w:ascii="Times New Roman" w:hAnsi="Times New Roman"/>
      <w:kern w:val="2"/>
      <w:sz w:val="28"/>
      <w:szCs w:val="20"/>
    </w:rPr>
  </w:style>
  <w:style w:type="paragraph" w:customStyle="1" w:styleId="3713">
    <w:name w:val="徐萍居中表格名称"/>
    <w:basedOn w:val="876"/>
    <w:qFormat/>
    <w:uiPriority w:val="0"/>
    <w:pPr>
      <w:keepNext/>
      <w:autoSpaceDE w:val="0"/>
      <w:autoSpaceDN w:val="0"/>
      <w:adjustRightInd w:val="0"/>
      <w:spacing w:before="156" w:beforeLines="50" w:after="156" w:afterLines="50"/>
      <w:ind w:firstLine="1179" w:firstLineChars="450"/>
      <w:jc w:val="left"/>
      <w:textAlignment w:val="baseline"/>
    </w:pPr>
    <w:rPr>
      <w:sz w:val="26"/>
      <w:szCs w:val="26"/>
    </w:rPr>
  </w:style>
  <w:style w:type="paragraph" w:customStyle="1" w:styleId="3714">
    <w:name w:val="文本正文 + 红色"/>
    <w:basedOn w:val="1"/>
    <w:qFormat/>
    <w:uiPriority w:val="0"/>
    <w:pPr>
      <w:widowControl w:val="0"/>
      <w:ind w:firstLine="480" w:firstLineChars="200"/>
      <w:jc w:val="both"/>
    </w:pPr>
    <w:rPr>
      <w:rFonts w:ascii="Times New Roman" w:hAnsi="Times New Roman"/>
      <w:bCs/>
      <w:color w:val="FF0000"/>
      <w:kern w:val="2"/>
      <w:sz w:val="21"/>
    </w:rPr>
  </w:style>
  <w:style w:type="paragraph" w:customStyle="1" w:styleId="3715">
    <w:name w:val="Char Char Char Char Zchn Zchn Char Char"/>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716">
    <w:name w:val="Char1 Char Char Char Char Char Char1 Char Char Char2"/>
    <w:basedOn w:val="1"/>
    <w:qFormat/>
    <w:uiPriority w:val="0"/>
    <w:pPr>
      <w:widowControl w:val="0"/>
      <w:ind w:firstLine="200" w:firstLineChars="200"/>
      <w:jc w:val="both"/>
    </w:pPr>
    <w:rPr>
      <w:kern w:val="2"/>
      <w:sz w:val="21"/>
    </w:rPr>
  </w:style>
  <w:style w:type="paragraph" w:customStyle="1" w:styleId="3717">
    <w:name w:val="样式 样式 段前: 0.5 行 行距: 1.5 倍行距 首行缩进:  2 字符 + (符号) 宋体"/>
    <w:basedOn w:val="1"/>
    <w:qFormat/>
    <w:uiPriority w:val="0"/>
    <w:pPr>
      <w:widowControl w:val="0"/>
      <w:spacing w:after="312" w:afterLines="100" w:line="300" w:lineRule="auto"/>
      <w:jc w:val="both"/>
    </w:pPr>
    <w:rPr>
      <w:rFonts w:ascii="Times New Roman" w:hAnsi="Times New Roman" w:eastAsia="仿宋_GB2312" w:cs="Times New Roman"/>
      <w:kern w:val="2"/>
      <w:sz w:val="28"/>
      <w:szCs w:val="20"/>
    </w:rPr>
  </w:style>
  <w:style w:type="paragraph" w:customStyle="1" w:styleId="3718">
    <w:name w:val="selinna表格"/>
    <w:basedOn w:val="1"/>
    <w:qFormat/>
    <w:uiPriority w:val="0"/>
    <w:pPr>
      <w:widowControl w:val="0"/>
      <w:jc w:val="center"/>
    </w:pPr>
    <w:rPr>
      <w:rFonts w:cs="Times New Roman"/>
      <w:kern w:val="2"/>
      <w:sz w:val="21"/>
      <w:szCs w:val="20"/>
    </w:rPr>
  </w:style>
  <w:style w:type="paragraph" w:customStyle="1" w:styleId="3719">
    <w:name w:val="样式 标题 1标题 1 Char章标题 1标题2Head 1wsah1章节标题-*+b11.标题 1一、标..."/>
    <w:basedOn w:val="3"/>
    <w:qFormat/>
    <w:uiPriority w:val="0"/>
    <w:pPr>
      <w:keepNext w:val="0"/>
      <w:keepLines/>
      <w:tabs>
        <w:tab w:val="left" w:pos="567"/>
        <w:tab w:val="left" w:pos="4614"/>
      </w:tabs>
      <w:overflowPunct/>
      <w:adjustRightInd w:val="0"/>
      <w:spacing w:before="312" w:beforeLines="100" w:after="156" w:line="312" w:lineRule="auto"/>
      <w:ind w:left="0" w:firstLine="0"/>
      <w:jc w:val="center"/>
    </w:pPr>
    <w:rPr>
      <w:rFonts w:eastAsia="宋体" w:cs="仿宋_GB2312"/>
      <w:color w:val="auto"/>
      <w:kern w:val="0"/>
      <w:sz w:val="36"/>
      <w:szCs w:val="36"/>
    </w:rPr>
  </w:style>
  <w:style w:type="paragraph" w:customStyle="1" w:styleId="3720">
    <w:name w:val="样式 标题 4 + 行距: 最小值 25 磅"/>
    <w:basedOn w:val="6"/>
    <w:qFormat/>
    <w:uiPriority w:val="0"/>
    <w:pPr>
      <w:widowControl w:val="0"/>
      <w:tabs>
        <w:tab w:val="left" w:pos="864"/>
        <w:tab w:val="left" w:pos="945"/>
        <w:tab w:val="left" w:pos="1620"/>
      </w:tabs>
      <w:adjustRightInd w:val="0"/>
      <w:snapToGrid w:val="0"/>
      <w:spacing w:before="120" w:beforeLines="50" w:after="0" w:line="500" w:lineRule="atLeast"/>
      <w:ind w:firstLine="980" w:firstLineChars="200"/>
      <w:jc w:val="both"/>
    </w:pPr>
    <w:rPr>
      <w:rFonts w:ascii="Times New Roman" w:hAnsi="Times New Roman" w:eastAsia="宋体" w:cs="宋体"/>
      <w:b w:val="0"/>
      <w:kern w:val="2"/>
      <w:szCs w:val="20"/>
    </w:rPr>
  </w:style>
  <w:style w:type="paragraph" w:customStyle="1" w:styleId="3721">
    <w:name w:val="检索6"/>
    <w:basedOn w:val="3178"/>
    <w:qFormat/>
    <w:uiPriority w:val="0"/>
    <w:pPr>
      <w:ind w:left="1588"/>
    </w:pPr>
  </w:style>
  <w:style w:type="paragraph" w:customStyle="1" w:styleId="3722">
    <w:name w:val="正文 1.5 倍行距"/>
    <w:qFormat/>
    <w:uiPriority w:val="0"/>
    <w:pPr>
      <w:widowControl w:val="0"/>
      <w:spacing w:before="156" w:beforeLines="50" w:line="360" w:lineRule="auto"/>
    </w:pPr>
    <w:rPr>
      <w:rFonts w:ascii="宋体" w:hAnsi="宋体" w:eastAsia="宋体" w:cs="Times New Roman"/>
      <w:sz w:val="24"/>
      <w:szCs w:val="24"/>
      <w:lang w:val="en-US" w:eastAsia="zh-CN" w:bidi="ar-SA"/>
    </w:rPr>
  </w:style>
  <w:style w:type="paragraph" w:customStyle="1" w:styleId="3723">
    <w:name w:val="selinna表标"/>
    <w:basedOn w:val="675"/>
    <w:qFormat/>
    <w:uiPriority w:val="0"/>
    <w:pPr>
      <w:spacing w:beforeLines="0" w:after="0" w:afterLines="0"/>
      <w:ind w:firstLine="200" w:firstLineChars="200"/>
    </w:pPr>
    <w:rPr>
      <w:b/>
      <w:szCs w:val="24"/>
    </w:rPr>
  </w:style>
  <w:style w:type="paragraph" w:customStyle="1" w:styleId="3724">
    <w:name w:val="样式 样式 样式 段前: 0.5 行 行距: 1.5 倍行距 首行缩进:  2 字符 + 首行缩进:  2 字符 段后: 1 行...1"/>
    <w:basedOn w:val="3631"/>
    <w:qFormat/>
    <w:uiPriority w:val="0"/>
    <w:pPr>
      <w:spacing w:after="156" w:afterLines="50"/>
      <w:ind w:firstLine="500" w:firstLineChars="500"/>
    </w:pPr>
  </w:style>
  <w:style w:type="paragraph" w:customStyle="1" w:styleId="3725">
    <w:name w:val="许克亮标二"/>
    <w:qFormat/>
    <w:uiPriority w:val="0"/>
    <w:pPr>
      <w:adjustRightInd w:val="0"/>
      <w:snapToGrid w:val="0"/>
      <w:spacing w:line="360" w:lineRule="auto"/>
      <w:ind w:firstLine="561"/>
      <w:jc w:val="both"/>
    </w:pPr>
    <w:rPr>
      <w:rFonts w:ascii="Times New Roman" w:hAnsi="Times New Roman" w:eastAsia="宋体" w:cs="Times New Roman"/>
      <w:b/>
      <w:bCs/>
      <w:kern w:val="2"/>
      <w:sz w:val="28"/>
      <w:szCs w:val="28"/>
      <w:lang w:val="en-US" w:eastAsia="zh-CN" w:bidi="ar-SA"/>
    </w:rPr>
  </w:style>
  <w:style w:type="paragraph" w:customStyle="1" w:styleId="3726">
    <w:name w:val="正文22"/>
    <w:basedOn w:val="1"/>
    <w:qFormat/>
    <w:uiPriority w:val="0"/>
    <w:pPr>
      <w:widowControl w:val="0"/>
      <w:ind w:firstLine="200" w:firstLineChars="200"/>
      <w:jc w:val="both"/>
    </w:pPr>
    <w:rPr>
      <w:rFonts w:ascii="Times New Roman" w:hAnsi="Times New Roman" w:cs="Tahoma"/>
      <w:sz w:val="21"/>
    </w:rPr>
  </w:style>
  <w:style w:type="paragraph" w:customStyle="1" w:styleId="3727">
    <w:name w:val="11号线三级目录"/>
    <w:basedOn w:val="5"/>
    <w:qFormat/>
    <w:uiPriority w:val="0"/>
    <w:pPr>
      <w:keepNext w:val="0"/>
      <w:keepLines w:val="0"/>
      <w:widowControl w:val="0"/>
      <w:tabs>
        <w:tab w:val="left" w:pos="360"/>
        <w:tab w:val="left" w:pos="720"/>
        <w:tab w:val="left" w:pos="840"/>
      </w:tabs>
      <w:snapToGrid w:val="0"/>
      <w:spacing w:before="0" w:beforeLines="100" w:after="0" w:afterLines="50" w:line="240" w:lineRule="auto"/>
      <w:ind w:firstLine="605" w:firstLineChars="200"/>
      <w:jc w:val="both"/>
    </w:pPr>
    <w:rPr>
      <w:rFonts w:cs="Times New Roman"/>
      <w:bCs w:val="0"/>
      <w:kern w:val="2"/>
    </w:rPr>
  </w:style>
  <w:style w:type="paragraph" w:customStyle="1" w:styleId="3728">
    <w:name w:val="戚标题2"/>
    <w:basedOn w:val="4"/>
    <w:qFormat/>
    <w:uiPriority w:val="0"/>
    <w:pPr>
      <w:keepNext w:val="0"/>
      <w:widowControl w:val="0"/>
      <w:numPr>
        <w:ilvl w:val="0"/>
        <w:numId w:val="0"/>
      </w:numPr>
      <w:tabs>
        <w:tab w:val="left" w:pos="0"/>
        <w:tab w:val="left" w:pos="360"/>
        <w:tab w:val="left" w:pos="720"/>
        <w:tab w:val="left" w:pos="8092"/>
      </w:tabs>
      <w:snapToGrid w:val="0"/>
      <w:spacing w:before="156" w:after="156" w:line="440" w:lineRule="exact"/>
      <w:ind w:firstLine="980" w:firstLineChars="200"/>
    </w:pPr>
    <w:rPr>
      <w:rFonts w:ascii="黑体" w:hAnsi="黑体" w:cs="Times New Roman"/>
      <w:b w:val="0"/>
      <w:color w:val="FF0000"/>
      <w:kern w:val="2"/>
      <w:sz w:val="28"/>
      <w:szCs w:val="30"/>
    </w:rPr>
  </w:style>
  <w:style w:type="paragraph" w:customStyle="1" w:styleId="3729">
    <w:name w:val="样式 正文文本缩进 3 + 黑色"/>
    <w:basedOn w:val="70"/>
    <w:qFormat/>
    <w:uiPriority w:val="0"/>
    <w:pPr>
      <w:adjustRightInd w:val="0"/>
      <w:spacing w:line="360" w:lineRule="atLeast"/>
      <w:ind w:firstLine="420" w:firstLineChars="0"/>
      <w:textAlignment w:val="baseline"/>
    </w:pPr>
    <w:rPr>
      <w:kern w:val="0"/>
      <w:szCs w:val="20"/>
      <w:lang w:val="zh-CN"/>
    </w:rPr>
  </w:style>
  <w:style w:type="paragraph" w:customStyle="1" w:styleId="3730">
    <w:name w:val="样式 正文首行缩进 + 首行缩进:  1 字符"/>
    <w:basedOn w:val="86"/>
    <w:qFormat/>
    <w:uiPriority w:val="0"/>
    <w:pPr>
      <w:widowControl w:val="0"/>
      <w:spacing w:after="120" w:line="440" w:lineRule="exact"/>
      <w:ind w:firstLine="200" w:firstLineChars="200"/>
      <w:jc w:val="both"/>
    </w:pPr>
    <w:rPr>
      <w:rFonts w:cs="Times New Roman"/>
      <w:spacing w:val="6"/>
      <w:kern w:val="2"/>
      <w:sz w:val="21"/>
    </w:rPr>
  </w:style>
  <w:style w:type="paragraph" w:customStyle="1" w:styleId="3731">
    <w:name w:val="正文A"/>
    <w:qFormat/>
    <w:uiPriority w:val="0"/>
    <w:pPr>
      <w:tabs>
        <w:tab w:val="left" w:pos="0"/>
      </w:tabs>
      <w:adjustRightInd w:val="0"/>
      <w:snapToGrid w:val="0"/>
      <w:spacing w:before="120" w:line="360" w:lineRule="auto"/>
      <w:ind w:firstLine="480"/>
      <w:jc w:val="both"/>
    </w:pPr>
    <w:rPr>
      <w:rFonts w:ascii="Times New Roman" w:hAnsi="Times New Roman" w:eastAsia="宋体" w:cs="Times New Roman"/>
      <w:sz w:val="24"/>
      <w:lang w:val="en-US" w:eastAsia="zh-CN" w:bidi="ar-SA"/>
    </w:rPr>
  </w:style>
  <w:style w:type="paragraph" w:customStyle="1" w:styleId="3732">
    <w:name w:val="标题4－0909"/>
    <w:basedOn w:val="6"/>
    <w:qFormat/>
    <w:uiPriority w:val="0"/>
    <w:pPr>
      <w:keepNext w:val="0"/>
      <w:keepLines w:val="0"/>
      <w:widowControl w:val="0"/>
      <w:tabs>
        <w:tab w:val="left" w:pos="851"/>
        <w:tab w:val="left" w:pos="945"/>
        <w:tab w:val="left" w:pos="1620"/>
      </w:tabs>
      <w:adjustRightInd w:val="0"/>
      <w:snapToGrid w:val="0"/>
      <w:spacing w:before="120" w:beforeLines="50" w:after="120" w:line="360" w:lineRule="exact"/>
      <w:ind w:left="851" w:hanging="851" w:firstLineChars="200"/>
    </w:pPr>
    <w:rPr>
      <w:rFonts w:ascii="Times New Roman" w:hAnsi="Times New Roman" w:eastAsia="宋体" w:cs="宋体"/>
      <w:kern w:val="2"/>
      <w:sz w:val="24"/>
      <w:szCs w:val="20"/>
    </w:rPr>
  </w:style>
  <w:style w:type="paragraph" w:customStyle="1" w:styleId="3733">
    <w:name w:val="selinna标2"/>
    <w:basedOn w:val="3734"/>
    <w:qFormat/>
    <w:uiPriority w:val="0"/>
    <w:rPr>
      <w:sz w:val="36"/>
    </w:rPr>
  </w:style>
  <w:style w:type="paragraph" w:customStyle="1" w:styleId="3734">
    <w:name w:val="selinna标一"/>
    <w:basedOn w:val="1"/>
    <w:qFormat/>
    <w:uiPriority w:val="0"/>
    <w:pPr>
      <w:keepNext/>
      <w:keepLines/>
      <w:widowControl w:val="0"/>
      <w:adjustRightInd w:val="0"/>
      <w:snapToGrid w:val="0"/>
      <w:spacing w:before="156" w:beforeLines="50" w:line="300" w:lineRule="auto"/>
      <w:ind w:firstLine="200" w:firstLineChars="200"/>
      <w:jc w:val="both"/>
      <w:outlineLvl w:val="0"/>
    </w:pPr>
    <w:rPr>
      <w:rFonts w:cs="Arial"/>
      <w:b/>
      <w:bCs/>
      <w:kern w:val="44"/>
      <w:sz w:val="44"/>
      <w:szCs w:val="44"/>
    </w:rPr>
  </w:style>
  <w:style w:type="paragraph" w:customStyle="1" w:styleId="3735">
    <w:name w:val="样式 (中文) 仿宋_GB2312 加粗 首行缩进:  0.35 厘米 段前: 0.5 行 段后: 5 磅"/>
    <w:basedOn w:val="1"/>
    <w:qFormat/>
    <w:uiPriority w:val="0"/>
    <w:pPr>
      <w:widowControl w:val="0"/>
      <w:spacing w:after="312" w:afterLines="100" w:line="300" w:lineRule="auto"/>
      <w:jc w:val="both"/>
    </w:pPr>
    <w:rPr>
      <w:rFonts w:ascii="Times New Roman" w:hAnsi="Times New Roman" w:eastAsia="仿宋_GB2312" w:cs="Times New Roman"/>
      <w:b/>
      <w:bCs/>
      <w:kern w:val="2"/>
      <w:sz w:val="28"/>
      <w:szCs w:val="20"/>
    </w:rPr>
  </w:style>
  <w:style w:type="paragraph" w:customStyle="1" w:styleId="3736">
    <w:name w:val="环小四表题"/>
    <w:basedOn w:val="1"/>
    <w:qFormat/>
    <w:uiPriority w:val="0"/>
    <w:pPr>
      <w:widowControl w:val="0"/>
      <w:wordWrap w:val="0"/>
      <w:jc w:val="right"/>
    </w:pPr>
    <w:rPr>
      <w:rFonts w:hAnsi="Times New Roman" w:cs="Times New Roman"/>
      <w:b/>
      <w:sz w:val="21"/>
      <w:lang w:val="zh-CN"/>
    </w:rPr>
  </w:style>
  <w:style w:type="paragraph" w:customStyle="1" w:styleId="3737">
    <w:name w:val="样式 标题 3标题 3 Char Char Char节，一一黑四（一）条，（一）标题3 Char Char Cha...1"/>
    <w:basedOn w:val="5"/>
    <w:qFormat/>
    <w:uiPriority w:val="0"/>
    <w:pPr>
      <w:keepNext w:val="0"/>
      <w:keepLines w:val="0"/>
      <w:widowControl w:val="0"/>
      <w:tabs>
        <w:tab w:val="left" w:pos="-36"/>
        <w:tab w:val="left" w:pos="360"/>
        <w:tab w:val="left" w:pos="720"/>
      </w:tabs>
      <w:snapToGrid w:val="0"/>
      <w:spacing w:before="93" w:beforeLines="30" w:after="0" w:afterLines="50" w:line="240" w:lineRule="auto"/>
      <w:ind w:left="-21" w:hanging="15" w:firstLineChars="200"/>
      <w:jc w:val="both"/>
    </w:pPr>
    <w:rPr>
      <w:rFonts w:ascii="Times New Roman" w:hAnsi="Times New Roman"/>
      <w:bCs w:val="0"/>
      <w:kern w:val="2"/>
    </w:rPr>
  </w:style>
  <w:style w:type="paragraph" w:customStyle="1" w:styleId="3738">
    <w:name w:val="Char Char Char Char Char Char Char Char Char Char1 Char Char Char Char Char Char Char Char Char Char Char Char Char Char Char Char Char Char"/>
    <w:basedOn w:val="1"/>
    <w:qFormat/>
    <w:uiPriority w:val="0"/>
    <w:pPr>
      <w:widowControl w:val="0"/>
      <w:jc w:val="both"/>
    </w:pPr>
    <w:rPr>
      <w:rFonts w:ascii="Times New Roman" w:hAnsi="Times New Roman" w:cs="Times New Roman"/>
      <w:kern w:val="2"/>
      <w:sz w:val="21"/>
    </w:rPr>
  </w:style>
  <w:style w:type="paragraph" w:customStyle="1" w:styleId="3739">
    <w:name w:val="小标题7"/>
    <w:basedOn w:val="21"/>
    <w:qFormat/>
    <w:uiPriority w:val="0"/>
    <w:pPr>
      <w:tabs>
        <w:tab w:val="left" w:pos="3874"/>
      </w:tabs>
      <w:adjustRightInd w:val="0"/>
      <w:snapToGrid w:val="0"/>
      <w:spacing w:before="62" w:beforeLines="20" w:line="360" w:lineRule="atLeast"/>
      <w:ind w:left="3874" w:right="567" w:hanging="454"/>
      <w:textAlignment w:val="baseline"/>
    </w:pPr>
    <w:rPr>
      <w:rFonts w:ascii="Times New Roman" w:hAnsi="Times New Roman" w:cs="Times New Roman"/>
      <w:sz w:val="24"/>
    </w:rPr>
  </w:style>
  <w:style w:type="paragraph" w:customStyle="1" w:styleId="3740">
    <w:name w:val="样式 标题二 + 首行缩进:  2 字符 段前: 0.8 行 段后: 0.8 行1"/>
    <w:basedOn w:val="1"/>
    <w:qFormat/>
    <w:uiPriority w:val="0"/>
    <w:pPr>
      <w:widowControl w:val="0"/>
      <w:adjustRightInd w:val="0"/>
      <w:snapToGrid w:val="0"/>
      <w:spacing w:before="156" w:beforeLines="50" w:after="156" w:afterLines="50"/>
      <w:ind w:firstLine="200" w:firstLineChars="200"/>
      <w:jc w:val="both"/>
    </w:pPr>
    <w:rPr>
      <w:rFonts w:ascii="Times New Roman" w:hAnsi="Times New Roman"/>
      <w:b/>
      <w:bCs/>
      <w:kern w:val="2"/>
      <w:sz w:val="28"/>
      <w:szCs w:val="20"/>
    </w:rPr>
  </w:style>
  <w:style w:type="paragraph" w:customStyle="1" w:styleId="3741">
    <w:name w:val="表标题41"/>
    <w:basedOn w:val="1"/>
    <w:qFormat/>
    <w:uiPriority w:val="0"/>
    <w:pPr>
      <w:widowControl w:val="0"/>
      <w:spacing w:before="312" w:beforeLines="100" w:line="0" w:lineRule="atLeast"/>
      <w:ind w:left="425" w:hanging="425"/>
      <w:jc w:val="center"/>
    </w:pPr>
    <w:rPr>
      <w:rFonts w:ascii="Times New Roman" w:hAnsi="Times New Roman" w:eastAsia="黑体" w:cs="Times New Roman"/>
      <w:b/>
      <w:kern w:val="2"/>
      <w:sz w:val="21"/>
      <w:szCs w:val="20"/>
    </w:rPr>
  </w:style>
  <w:style w:type="paragraph" w:customStyle="1" w:styleId="3742">
    <w:name w:val="附录"/>
    <w:basedOn w:val="1"/>
    <w:qFormat/>
    <w:uiPriority w:val="0"/>
    <w:pPr>
      <w:widowControl w:val="0"/>
      <w:spacing w:before="120" w:after="120"/>
      <w:ind w:left="567" w:hanging="567"/>
      <w:jc w:val="center"/>
    </w:pPr>
    <w:rPr>
      <w:rFonts w:ascii="Times New Roman" w:hAnsi="Times New Roman" w:eastAsia="楷体_GB2312" w:cs="Times New Roman"/>
      <w:b/>
      <w:bCs/>
      <w:spacing w:val="60"/>
      <w:kern w:val="2"/>
      <w:sz w:val="28"/>
    </w:rPr>
  </w:style>
  <w:style w:type="paragraph" w:customStyle="1" w:styleId="3743">
    <w:name w:val="质报书正文"/>
    <w:basedOn w:val="1"/>
    <w:qFormat/>
    <w:uiPriority w:val="0"/>
    <w:pPr>
      <w:widowControl w:val="0"/>
      <w:ind w:firstLine="480" w:firstLineChars="200"/>
      <w:jc w:val="both"/>
    </w:pPr>
    <w:rPr>
      <w:rFonts w:cs="Times New Roman"/>
      <w:sz w:val="21"/>
    </w:rPr>
  </w:style>
  <w:style w:type="paragraph" w:customStyle="1" w:styleId="3744">
    <w:name w:val="样式 首行缩进:  0 字符"/>
    <w:basedOn w:val="1"/>
    <w:qFormat/>
    <w:uiPriority w:val="0"/>
    <w:pPr>
      <w:widowControl w:val="0"/>
      <w:spacing w:before="120" w:line="400" w:lineRule="exact"/>
      <w:ind w:firstLine="397"/>
      <w:jc w:val="both"/>
    </w:pPr>
    <w:rPr>
      <w:rFonts w:ascii="Times New Roman" w:hAnsi="Times New Roman" w:cs="Times New Roman"/>
      <w:kern w:val="2"/>
      <w:sz w:val="21"/>
      <w:szCs w:val="20"/>
    </w:rPr>
  </w:style>
  <w:style w:type="paragraph" w:customStyle="1" w:styleId="3745">
    <w:name w:val="样式 标题3 + (符号) 黑体"/>
    <w:basedOn w:val="1"/>
    <w:qFormat/>
    <w:uiPriority w:val="0"/>
    <w:pPr>
      <w:keepNext/>
      <w:keepLines/>
      <w:widowControl w:val="0"/>
      <w:spacing w:before="60" w:after="60"/>
      <w:jc w:val="both"/>
    </w:pPr>
    <w:rPr>
      <w:rFonts w:ascii="黑体" w:hAnsi="Times New Roman" w:eastAsia="黑体" w:cs="Times New Roman"/>
      <w:kern w:val="2"/>
      <w:sz w:val="28"/>
      <w:szCs w:val="28"/>
    </w:rPr>
  </w:style>
  <w:style w:type="paragraph" w:customStyle="1" w:styleId="3746">
    <w:name w:val="样式114"/>
    <w:basedOn w:val="1"/>
    <w:qFormat/>
    <w:uiPriority w:val="0"/>
    <w:pPr>
      <w:keepNext/>
      <w:keepLines/>
      <w:widowControl w:val="0"/>
      <w:adjustRightInd w:val="0"/>
      <w:spacing w:before="120" w:after="120" w:line="520" w:lineRule="exact"/>
      <w:jc w:val="both"/>
      <w:outlineLvl w:val="2"/>
    </w:pPr>
    <w:rPr>
      <w:rFonts w:ascii="Times New Roman" w:hAnsi="Times New Roman" w:eastAsia="黑体" w:cs="Times New Roman"/>
      <w:b/>
      <w:color w:val="000000"/>
      <w:sz w:val="21"/>
      <w:szCs w:val="28"/>
      <w:u w:val="single"/>
      <w:lang w:val="en-AU"/>
    </w:rPr>
  </w:style>
  <w:style w:type="paragraph" w:customStyle="1" w:styleId="3747">
    <w:name w:val="样式 标题 4 + 段前: 12 磅"/>
    <w:basedOn w:val="1"/>
    <w:qFormat/>
    <w:uiPriority w:val="0"/>
    <w:pPr>
      <w:widowControl w:val="0"/>
      <w:tabs>
        <w:tab w:val="left" w:pos="0"/>
        <w:tab w:val="left" w:pos="678"/>
      </w:tabs>
      <w:spacing w:before="120" w:line="400" w:lineRule="exact"/>
      <w:jc w:val="both"/>
    </w:pPr>
    <w:rPr>
      <w:rFonts w:ascii="Times New Roman" w:hAnsi="Times New Roman" w:cs="Times New Roman"/>
      <w:kern w:val="2"/>
      <w:sz w:val="21"/>
    </w:rPr>
  </w:style>
  <w:style w:type="paragraph" w:customStyle="1" w:styleId="3748">
    <w:name w:val="正文文本 213"/>
    <w:basedOn w:val="1"/>
    <w:qFormat/>
    <w:uiPriority w:val="0"/>
    <w:pPr>
      <w:widowControl w:val="0"/>
      <w:overflowPunct w:val="0"/>
      <w:autoSpaceDE w:val="0"/>
      <w:autoSpaceDN w:val="0"/>
      <w:adjustRightInd w:val="0"/>
      <w:ind w:left="992" w:hanging="567"/>
      <w:jc w:val="both"/>
    </w:pPr>
    <w:rPr>
      <w:rFonts w:hAnsi="MS Sans Serif" w:cs="Times New Roman"/>
      <w:sz w:val="28"/>
      <w:szCs w:val="20"/>
    </w:rPr>
  </w:style>
  <w:style w:type="paragraph" w:customStyle="1" w:styleId="3749">
    <w:name w:val="样式 正文文本编号bt正文文字正文文字1正文文本 Char正文文字 Char Char一级标题封面文字正文文本..."/>
    <w:basedOn w:val="34"/>
    <w:qFormat/>
    <w:uiPriority w:val="0"/>
    <w:pPr>
      <w:widowControl w:val="0"/>
      <w:snapToGrid/>
      <w:spacing w:before="0" w:after="0" w:line="240" w:lineRule="auto"/>
      <w:ind w:right="0" w:firstLine="462" w:firstLineChars="200"/>
      <w:jc w:val="center"/>
    </w:pPr>
    <w:rPr>
      <w:b/>
      <w:bCs/>
      <w:kern w:val="2"/>
      <w:sz w:val="21"/>
    </w:rPr>
  </w:style>
  <w:style w:type="paragraph" w:customStyle="1" w:styleId="3750">
    <w:name w:val="正文32"/>
    <w:basedOn w:val="1"/>
    <w:qFormat/>
    <w:uiPriority w:val="0"/>
    <w:pPr>
      <w:widowControl w:val="0"/>
      <w:snapToGrid w:val="0"/>
      <w:spacing w:after="120" w:line="324" w:lineRule="auto"/>
      <w:ind w:firstLine="480" w:firstLineChars="200"/>
      <w:jc w:val="both"/>
    </w:pPr>
    <w:rPr>
      <w:rFonts w:ascii="Arial" w:hAnsi="Arial" w:cs="Times New Roman"/>
      <w:bCs/>
      <w:sz w:val="21"/>
      <w:lang w:val="eu-ES"/>
    </w:rPr>
  </w:style>
  <w:style w:type="paragraph" w:customStyle="1" w:styleId="3751">
    <w:name w:val="Char Char Char Char Char Char1 Char Char Char1 Char Char Char1 Char Char Char Char Char Char Char Char Char Char3"/>
    <w:basedOn w:val="1"/>
    <w:next w:val="1"/>
    <w:qFormat/>
    <w:uiPriority w:val="0"/>
    <w:pPr>
      <w:widowControl w:val="0"/>
      <w:ind w:firstLine="200" w:firstLineChars="200"/>
      <w:jc w:val="both"/>
    </w:pPr>
    <w:rPr>
      <w:rFonts w:ascii="Times New Roman" w:cs="Tms Rmn"/>
      <w:kern w:val="2"/>
      <w:sz w:val="21"/>
    </w:rPr>
  </w:style>
  <w:style w:type="paragraph" w:customStyle="1" w:styleId="3752">
    <w:name w:val="表格体"/>
    <w:basedOn w:val="1"/>
    <w:qFormat/>
    <w:uiPriority w:val="0"/>
    <w:pPr>
      <w:widowControl w:val="0"/>
      <w:jc w:val="center"/>
    </w:pPr>
    <w:rPr>
      <w:rFonts w:cs="Times New Roman"/>
      <w:kern w:val="2"/>
      <w:sz w:val="21"/>
      <w:szCs w:val="21"/>
    </w:rPr>
  </w:style>
  <w:style w:type="paragraph" w:customStyle="1" w:styleId="3753">
    <w:name w:val="样式 11.5 磅 行距: 1.5 倍行距1"/>
    <w:basedOn w:val="1"/>
    <w:qFormat/>
    <w:uiPriority w:val="0"/>
    <w:pPr>
      <w:widowControl w:val="0"/>
      <w:ind w:firstLine="460" w:firstLineChars="200"/>
      <w:jc w:val="both"/>
    </w:pPr>
    <w:rPr>
      <w:rFonts w:ascii="Times New Roman" w:hAnsi="Times New Roman"/>
      <w:kern w:val="2"/>
      <w:sz w:val="21"/>
      <w:szCs w:val="20"/>
    </w:rPr>
  </w:style>
  <w:style w:type="paragraph" w:customStyle="1" w:styleId="3754">
    <w:name w:val="样式 11.5 磅 行距: 1.5 倍行距3"/>
    <w:basedOn w:val="1"/>
    <w:qFormat/>
    <w:uiPriority w:val="0"/>
    <w:pPr>
      <w:widowControl w:val="0"/>
      <w:ind w:left="210" w:leftChars="100" w:firstLine="460" w:firstLineChars="200"/>
      <w:jc w:val="both"/>
    </w:pPr>
    <w:rPr>
      <w:rFonts w:ascii="Times New Roman" w:hAnsi="Times New Roman"/>
      <w:kern w:val="2"/>
      <w:sz w:val="21"/>
      <w:szCs w:val="20"/>
    </w:rPr>
  </w:style>
  <w:style w:type="paragraph" w:customStyle="1" w:styleId="3755">
    <w:name w:val="表内文"/>
    <w:basedOn w:val="21"/>
    <w:qFormat/>
    <w:uiPriority w:val="0"/>
    <w:pPr>
      <w:adjustRightInd w:val="0"/>
      <w:snapToGrid w:val="0"/>
      <w:spacing w:before="31" w:beforeLines="10" w:after="31" w:afterLines="10"/>
      <w:ind w:left="0"/>
      <w:jc w:val="center"/>
      <w:textAlignment w:val="baseline"/>
    </w:pPr>
    <w:rPr>
      <w:rFonts w:ascii="新宋体" w:hAnsi="Times New Roman" w:eastAsia="新宋体" w:cs="Times New Roman"/>
      <w:spacing w:val="1"/>
      <w:w w:val="90"/>
      <w:sz w:val="22"/>
      <w:szCs w:val="16"/>
    </w:rPr>
  </w:style>
  <w:style w:type="paragraph" w:customStyle="1" w:styleId="3756">
    <w:name w:val="徐萍自正文1"/>
    <w:basedOn w:val="1"/>
    <w:qFormat/>
    <w:uiPriority w:val="0"/>
    <w:pPr>
      <w:widowControl w:val="0"/>
      <w:tabs>
        <w:tab w:val="left" w:pos="0"/>
      </w:tabs>
      <w:adjustRightInd w:val="0"/>
      <w:snapToGrid w:val="0"/>
      <w:ind w:firstLine="520" w:firstLineChars="200"/>
      <w:jc w:val="both"/>
      <w:textAlignment w:val="baseline"/>
    </w:pPr>
    <w:rPr>
      <w:rFonts w:hAnsi="Times New Roman" w:cs="Times New Roman"/>
      <w:bCs/>
      <w:color w:val="000000"/>
      <w:kern w:val="24"/>
      <w:sz w:val="26"/>
      <w:szCs w:val="20"/>
    </w:rPr>
  </w:style>
  <w:style w:type="paragraph" w:customStyle="1" w:styleId="3757">
    <w:name w:val="Char Char Char Char Char Char1 Char3"/>
    <w:basedOn w:val="1"/>
    <w:qFormat/>
    <w:uiPriority w:val="0"/>
    <w:pPr>
      <w:widowControl w:val="0"/>
      <w:spacing w:line="360" w:lineRule="auto"/>
      <w:ind w:firstLine="200" w:firstLineChars="200"/>
      <w:jc w:val="both"/>
    </w:pPr>
    <w:rPr>
      <w:kern w:val="2"/>
    </w:rPr>
  </w:style>
  <w:style w:type="paragraph" w:customStyle="1" w:styleId="3758">
    <w:name w:val="样式 正文文本 + 左 首行缩进:  2 字符"/>
    <w:basedOn w:val="34"/>
    <w:qFormat/>
    <w:uiPriority w:val="0"/>
    <w:pPr>
      <w:widowControl w:val="0"/>
      <w:adjustRightInd w:val="0"/>
      <w:snapToGrid/>
      <w:spacing w:before="0" w:after="0" w:line="240" w:lineRule="auto"/>
      <w:ind w:right="0" w:firstLine="200" w:firstLineChars="200"/>
    </w:pPr>
    <w:rPr>
      <w:rFonts w:eastAsia="仿宋_GB2312"/>
      <w:kern w:val="2"/>
      <w:sz w:val="28"/>
    </w:rPr>
  </w:style>
  <w:style w:type="paragraph" w:customStyle="1" w:styleId="3759">
    <w:name w:val="样式 表格文字左对齐 + 段后: 0.5 行"/>
    <w:basedOn w:val="1"/>
    <w:qFormat/>
    <w:uiPriority w:val="0"/>
    <w:pPr>
      <w:widowControl w:val="0"/>
      <w:spacing w:line="400" w:lineRule="exact"/>
      <w:jc w:val="both"/>
    </w:pPr>
    <w:rPr>
      <w:rFonts w:ascii="Arial" w:hAnsi="Arial" w:eastAsia="楷体_GB2312"/>
      <w:kern w:val="2"/>
      <w:sz w:val="21"/>
      <w:szCs w:val="20"/>
    </w:rPr>
  </w:style>
  <w:style w:type="paragraph" w:customStyle="1" w:styleId="3760">
    <w:name w:val="11"/>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3761">
    <w:name w:val="样式 Char +"/>
    <w:basedOn w:val="3546"/>
    <w:qFormat/>
    <w:uiPriority w:val="0"/>
    <w:pPr>
      <w:widowControl w:val="0"/>
      <w:spacing w:line="520" w:lineRule="exact"/>
      <w:jc w:val="both"/>
    </w:pPr>
    <w:rPr>
      <w:rFonts w:ascii="宋体" w:hAnsi="宋体" w:cs="Times New Roman"/>
      <w:lang w:val="zh-CN"/>
    </w:rPr>
  </w:style>
  <w:style w:type="paragraph" w:customStyle="1" w:styleId="3762">
    <w:name w:val="正文23"/>
    <w:basedOn w:val="1"/>
    <w:qFormat/>
    <w:uiPriority w:val="0"/>
    <w:pPr>
      <w:widowControl w:val="0"/>
      <w:ind w:firstLine="600" w:firstLineChars="250"/>
      <w:jc w:val="center"/>
    </w:pPr>
    <w:rPr>
      <w:rFonts w:ascii="Times New Roman" w:hAnsi="Times New Roman" w:cs="Tahoma"/>
      <w:sz w:val="21"/>
    </w:rPr>
  </w:style>
  <w:style w:type="paragraph" w:customStyle="1" w:styleId="3763">
    <w:name w:val="批注主题 Char Char"/>
    <w:basedOn w:val="28"/>
    <w:next w:val="28"/>
    <w:qFormat/>
    <w:uiPriority w:val="0"/>
    <w:pPr>
      <w:widowControl w:val="0"/>
    </w:pPr>
    <w:rPr>
      <w:rFonts w:ascii="Times New Roman" w:hAnsi="Times New Roman" w:cs="Times New Roman"/>
      <w:b/>
      <w:kern w:val="2"/>
      <w:szCs w:val="24"/>
    </w:rPr>
  </w:style>
  <w:style w:type="paragraph" w:customStyle="1" w:styleId="3764">
    <w:name w:val="正文34"/>
    <w:basedOn w:val="1"/>
    <w:qFormat/>
    <w:uiPriority w:val="0"/>
    <w:pPr>
      <w:widowControl w:val="0"/>
      <w:snapToGrid w:val="0"/>
      <w:spacing w:after="120" w:line="324" w:lineRule="auto"/>
      <w:ind w:firstLine="480" w:firstLineChars="200"/>
      <w:jc w:val="both"/>
    </w:pPr>
    <w:rPr>
      <w:rFonts w:ascii="Arial" w:hAnsi="Arial" w:cs="Times New Roman"/>
      <w:bCs/>
      <w:sz w:val="21"/>
      <w:lang w:val="eu-ES"/>
    </w:rPr>
  </w:style>
  <w:style w:type="paragraph" w:customStyle="1" w:styleId="3765">
    <w:name w:val="3标题"/>
    <w:basedOn w:val="1"/>
    <w:qFormat/>
    <w:uiPriority w:val="0"/>
    <w:pPr>
      <w:keepNext/>
      <w:keepLines/>
      <w:widowControl w:val="0"/>
      <w:spacing w:before="120" w:after="120" w:line="460" w:lineRule="exact"/>
      <w:jc w:val="both"/>
      <w:outlineLvl w:val="1"/>
    </w:pPr>
    <w:rPr>
      <w:rFonts w:ascii="Arial" w:hAnsi="Arial" w:eastAsia="黑体" w:cs="Times New Roman"/>
      <w:b/>
      <w:bCs/>
      <w:kern w:val="2"/>
      <w:sz w:val="28"/>
      <w:szCs w:val="28"/>
    </w:rPr>
  </w:style>
  <w:style w:type="paragraph" w:customStyle="1" w:styleId="3766">
    <w:name w:val="中大4级3"/>
    <w:basedOn w:val="2482"/>
    <w:qFormat/>
    <w:uiPriority w:val="0"/>
    <w:pPr>
      <w:tabs>
        <w:tab w:val="left" w:pos="993"/>
      </w:tabs>
      <w:spacing w:before="260" w:beforeLines="0" w:after="260" w:afterLines="0" w:line="240" w:lineRule="auto"/>
      <w:jc w:val="left"/>
      <w:outlineLvl w:val="3"/>
    </w:pPr>
    <w:rPr>
      <w:kern w:val="0"/>
      <w:sz w:val="24"/>
      <w:szCs w:val="24"/>
      <w:lang w:val="en-US"/>
    </w:rPr>
  </w:style>
  <w:style w:type="paragraph" w:customStyle="1" w:styleId="3767">
    <w:name w:val="样式 Char Char Char Char Char Char Char Char Char Char + 黑色 行距: 多..."/>
    <w:basedOn w:val="1"/>
    <w:qFormat/>
    <w:uiPriority w:val="0"/>
    <w:pPr>
      <w:widowControl w:val="0"/>
      <w:spacing w:line="336" w:lineRule="auto"/>
      <w:ind w:right="210" w:rightChars="100" w:firstLine="480" w:firstLineChars="200"/>
      <w:jc w:val="both"/>
    </w:pPr>
    <w:rPr>
      <w:color w:val="000000"/>
      <w:sz w:val="21"/>
      <w:szCs w:val="20"/>
    </w:rPr>
  </w:style>
  <w:style w:type="paragraph" w:customStyle="1" w:styleId="3768">
    <w:name w:val="Char13"/>
    <w:basedOn w:val="1"/>
    <w:qFormat/>
    <w:uiPriority w:val="0"/>
    <w:pPr>
      <w:widowControl w:val="0"/>
      <w:jc w:val="both"/>
    </w:pPr>
    <w:rPr>
      <w:rFonts w:ascii="Times New Roman" w:hAnsi="Times New Roman" w:cs="Times New Roman"/>
      <w:kern w:val="2"/>
      <w:sz w:val="21"/>
    </w:rPr>
  </w:style>
  <w:style w:type="paragraph" w:customStyle="1" w:styleId="3769">
    <w:name w:val="中大页眉"/>
    <w:basedOn w:val="1"/>
    <w:qFormat/>
    <w:uiPriority w:val="0"/>
    <w:pPr>
      <w:widowControl w:val="0"/>
      <w:jc w:val="center"/>
    </w:pPr>
    <w:rPr>
      <w:rFonts w:cs="Times New Roman"/>
      <w:sz w:val="20"/>
      <w:lang w:val="zh-CN"/>
    </w:rPr>
  </w:style>
  <w:style w:type="paragraph" w:customStyle="1" w:styleId="3770">
    <w:name w:val="正文文本 22"/>
    <w:basedOn w:val="1"/>
    <w:qFormat/>
    <w:uiPriority w:val="0"/>
    <w:pPr>
      <w:widowControl w:val="0"/>
      <w:overflowPunct w:val="0"/>
      <w:autoSpaceDE w:val="0"/>
      <w:autoSpaceDN w:val="0"/>
      <w:adjustRightInd w:val="0"/>
      <w:ind w:left="992" w:hanging="567"/>
      <w:jc w:val="both"/>
    </w:pPr>
    <w:rPr>
      <w:rFonts w:hAnsi="MS Sans Serif" w:cs="Times New Roman"/>
      <w:sz w:val="28"/>
      <w:szCs w:val="20"/>
    </w:rPr>
  </w:style>
  <w:style w:type="paragraph" w:customStyle="1" w:styleId="3771">
    <w:name w:val="正文（1）"/>
    <w:basedOn w:val="21"/>
    <w:next w:val="86"/>
    <w:qFormat/>
    <w:uiPriority w:val="0"/>
    <w:pPr>
      <w:adjustRightInd w:val="0"/>
      <w:snapToGrid w:val="0"/>
      <w:spacing w:before="156" w:beforeLines="50" w:line="480" w:lineRule="exact"/>
      <w:ind w:left="0" w:firstLine="720"/>
      <w:textAlignment w:val="baseline"/>
    </w:pPr>
    <w:rPr>
      <w:rFonts w:ascii="Times New Roman" w:hAnsi="Times New Roman"/>
      <w:color w:val="FF00FF"/>
      <w:sz w:val="21"/>
    </w:rPr>
  </w:style>
  <w:style w:type="paragraph" w:customStyle="1" w:styleId="3772">
    <w:name w:val="In Table (II)"/>
    <w:basedOn w:val="2514"/>
    <w:qFormat/>
    <w:uiPriority w:val="0"/>
    <w:pPr>
      <w:spacing w:before="78" w:beforeLines="25" w:after="78" w:afterLines="25"/>
      <w:ind w:left="20" w:leftChars="20"/>
      <w:jc w:val="left"/>
    </w:pPr>
  </w:style>
  <w:style w:type="paragraph" w:customStyle="1" w:styleId="3773">
    <w:name w:val="样式 样式 样式 样式 标题 1 + 左侧:  2 字符 + 左  0 字符 + 段前: 0.5 行 段后: 0.5 行 + 段..."/>
    <w:basedOn w:val="1"/>
    <w:qFormat/>
    <w:uiPriority w:val="0"/>
    <w:pPr>
      <w:keepNext/>
      <w:keepLines/>
      <w:widowControl w:val="0"/>
      <w:spacing w:before="31" w:beforeLines="10" w:after="31" w:afterLines="10"/>
      <w:jc w:val="both"/>
      <w:outlineLvl w:val="0"/>
    </w:pPr>
    <w:rPr>
      <w:rFonts w:ascii="Times New Roman" w:hAnsi="Times New Roman"/>
      <w:b/>
      <w:bCs/>
      <w:kern w:val="44"/>
      <w:sz w:val="28"/>
      <w:szCs w:val="20"/>
    </w:rPr>
  </w:style>
  <w:style w:type="paragraph" w:customStyle="1" w:styleId="3774">
    <w:name w:val="正文文本 212"/>
    <w:basedOn w:val="1"/>
    <w:qFormat/>
    <w:uiPriority w:val="0"/>
    <w:pPr>
      <w:widowControl w:val="0"/>
      <w:overflowPunct w:val="0"/>
      <w:autoSpaceDE w:val="0"/>
      <w:autoSpaceDN w:val="0"/>
      <w:adjustRightInd w:val="0"/>
      <w:ind w:left="992" w:hanging="567"/>
      <w:jc w:val="both"/>
    </w:pPr>
    <w:rPr>
      <w:rFonts w:hAnsi="MS Sans Serif" w:cs="Times New Roman"/>
      <w:sz w:val="28"/>
      <w:szCs w:val="20"/>
    </w:rPr>
  </w:style>
  <w:style w:type="paragraph" w:customStyle="1" w:styleId="3775">
    <w:name w:val="样式 标题 3条标题1.1.1ReHead 3 WSAh3BSH-3H3b33rd levell3CT标题..."/>
    <w:basedOn w:val="5"/>
    <w:qFormat/>
    <w:uiPriority w:val="0"/>
    <w:pPr>
      <w:keepNext w:val="0"/>
      <w:keepLines w:val="0"/>
      <w:widowControl w:val="0"/>
      <w:tabs>
        <w:tab w:val="left" w:pos="360"/>
        <w:tab w:val="left" w:pos="720"/>
        <w:tab w:val="left" w:pos="840"/>
      </w:tabs>
      <w:snapToGrid w:val="0"/>
      <w:spacing w:before="0" w:beforeLines="100" w:after="120" w:afterLines="50" w:line="240" w:lineRule="auto"/>
      <w:ind w:firstLine="980" w:firstLineChars="200"/>
      <w:jc w:val="both"/>
    </w:pPr>
    <w:rPr>
      <w:rFonts w:ascii="Times New Roman" w:hAnsi="Times New Roman" w:cs="Times New Roman"/>
      <w:b w:val="0"/>
      <w:kern w:val="2"/>
    </w:rPr>
  </w:style>
  <w:style w:type="paragraph" w:customStyle="1" w:styleId="3776">
    <w:name w:val="列项及编号"/>
    <w:basedOn w:val="2836"/>
    <w:qFormat/>
    <w:uiPriority w:val="0"/>
    <w:pPr>
      <w:widowControl/>
      <w:autoSpaceDE/>
      <w:autoSpaceDN/>
      <w:snapToGrid w:val="0"/>
      <w:spacing w:before="62" w:beforeLines="20" w:after="62" w:afterLines="20" w:line="288" w:lineRule="auto"/>
    </w:pPr>
    <w:rPr>
      <w:kern w:val="2"/>
      <w:sz w:val="21"/>
      <w:szCs w:val="20"/>
    </w:rPr>
  </w:style>
  <w:style w:type="paragraph" w:customStyle="1" w:styleId="3777">
    <w:name w:val="正文楷体"/>
    <w:basedOn w:val="1"/>
    <w:qFormat/>
    <w:uiPriority w:val="0"/>
    <w:pPr>
      <w:widowControl w:val="0"/>
      <w:jc w:val="both"/>
    </w:pPr>
    <w:rPr>
      <w:rFonts w:ascii="Times New Roman" w:hAnsi="Times New Roman" w:eastAsia="楷体_GB2312" w:cs="Times New Roman"/>
      <w:bCs/>
      <w:kern w:val="2"/>
      <w:sz w:val="21"/>
    </w:rPr>
  </w:style>
  <w:style w:type="paragraph" w:customStyle="1" w:styleId="3778">
    <w:name w:val="TOC 标题2"/>
    <w:basedOn w:val="3"/>
    <w:next w:val="1"/>
    <w:qFormat/>
    <w:uiPriority w:val="0"/>
    <w:pPr>
      <w:keepNext w:val="0"/>
      <w:keepLines/>
      <w:tabs>
        <w:tab w:val="left" w:pos="0"/>
        <w:tab w:val="left" w:pos="4614"/>
      </w:tabs>
      <w:overflowPunct/>
      <w:adjustRightInd w:val="0"/>
      <w:spacing w:before="156" w:after="156" w:line="576" w:lineRule="auto"/>
      <w:ind w:left="0" w:firstLine="0"/>
      <w:jc w:val="center"/>
      <w:outlineLvl w:val="9"/>
    </w:pPr>
    <w:rPr>
      <w:rFonts w:ascii="Times New Roman" w:hAnsi="Times New Roman" w:eastAsia="宋体" w:cs="仿宋_GB2312"/>
      <w:bCs w:val="0"/>
      <w:color w:val="auto"/>
      <w:sz w:val="36"/>
      <w:szCs w:val="44"/>
    </w:rPr>
  </w:style>
  <w:style w:type="paragraph" w:customStyle="1" w:styleId="3779">
    <w:name w:val="summer正文编辑样式2"/>
    <w:basedOn w:val="1"/>
    <w:qFormat/>
    <w:uiPriority w:val="0"/>
    <w:pPr>
      <w:widowControl w:val="0"/>
      <w:ind w:firstLine="480" w:firstLineChars="200"/>
      <w:jc w:val="both"/>
    </w:pPr>
    <w:rPr>
      <w:rFonts w:ascii="Times New Roman" w:hAnsi="Times New Roman"/>
      <w:sz w:val="21"/>
      <w:szCs w:val="20"/>
    </w:rPr>
  </w:style>
  <w:style w:type="paragraph" w:customStyle="1" w:styleId="3780">
    <w:name w:val="样式 样式 标题 3 + 宋体 小四 加粗 + 首行缩进:  0 厘米"/>
    <w:basedOn w:val="1"/>
    <w:qFormat/>
    <w:uiPriority w:val="0"/>
    <w:pPr>
      <w:keepNext/>
      <w:keepLines/>
      <w:widowControl w:val="0"/>
      <w:spacing w:before="240" w:after="120"/>
      <w:ind w:firstLine="567"/>
      <w:jc w:val="both"/>
    </w:pPr>
    <w:rPr>
      <w:rFonts w:hint="eastAsia" w:ascii="Times New Roman" w:cs="Times New Roman"/>
      <w:b/>
      <w:kern w:val="2"/>
      <w:sz w:val="21"/>
      <w:szCs w:val="20"/>
    </w:rPr>
  </w:style>
  <w:style w:type="paragraph" w:customStyle="1" w:styleId="3781">
    <w:name w:val="表文5号"/>
    <w:basedOn w:val="1"/>
    <w:qFormat/>
    <w:uiPriority w:val="0"/>
    <w:pPr>
      <w:widowControl w:val="0"/>
      <w:snapToGrid w:val="0"/>
      <w:jc w:val="center"/>
    </w:pPr>
    <w:rPr>
      <w:rFonts w:ascii="Times New Roman" w:hAnsi="Times New Roman" w:cs="Times New Roman"/>
      <w:kern w:val="2"/>
      <w:sz w:val="21"/>
      <w:szCs w:val="21"/>
    </w:rPr>
  </w:style>
  <w:style w:type="paragraph" w:customStyle="1" w:styleId="3782">
    <w:name w:val="样式 标题 3Char + 字距调整四号1"/>
    <w:basedOn w:val="5"/>
    <w:qFormat/>
    <w:uiPriority w:val="0"/>
    <w:pPr>
      <w:keepNext w:val="0"/>
      <w:keepLines w:val="0"/>
      <w:widowControl w:val="0"/>
      <w:tabs>
        <w:tab w:val="left" w:pos="360"/>
        <w:tab w:val="left" w:pos="720"/>
        <w:tab w:val="left" w:pos="1080"/>
        <w:tab w:val="left" w:pos="4621"/>
      </w:tabs>
      <w:snapToGrid w:val="0"/>
      <w:spacing w:before="240" w:beforeLines="100" w:after="156" w:afterLines="50" w:line="240" w:lineRule="auto"/>
      <w:ind w:left="720" w:firstLine="980" w:firstLineChars="200"/>
      <w:jc w:val="both"/>
    </w:pPr>
    <w:rPr>
      <w:rFonts w:ascii="Times New Roman" w:hAnsi="Times New Roman" w:eastAsia="楷体_GB2312" w:cs="Times New Roman"/>
      <w:b w:val="0"/>
      <w:kern w:val="28"/>
      <w:sz w:val="24"/>
      <w:szCs w:val="24"/>
    </w:rPr>
  </w:style>
  <w:style w:type="paragraph" w:customStyle="1" w:styleId="3783">
    <w:name w:val="样式 小四 行距: 固定值 24 磅 首行缩进:  2 字符"/>
    <w:basedOn w:val="1"/>
    <w:qFormat/>
    <w:uiPriority w:val="0"/>
    <w:pPr>
      <w:widowControl w:val="0"/>
      <w:spacing w:line="440" w:lineRule="exact"/>
      <w:ind w:firstLine="200" w:firstLineChars="200"/>
      <w:jc w:val="both"/>
    </w:pPr>
    <w:rPr>
      <w:rFonts w:ascii="Times New Roman" w:hAnsi="Times New Roman" w:cs="Times New Roman"/>
      <w:kern w:val="2"/>
      <w:sz w:val="21"/>
    </w:rPr>
  </w:style>
  <w:style w:type="paragraph" w:customStyle="1" w:styleId="3784">
    <w:name w:val="表格文字2wj"/>
    <w:basedOn w:val="1"/>
    <w:qFormat/>
    <w:uiPriority w:val="99"/>
    <w:pPr>
      <w:widowControl w:val="0"/>
      <w:adjustRightInd w:val="0"/>
      <w:snapToGrid w:val="0"/>
      <w:spacing w:line="360" w:lineRule="atLeast"/>
      <w:jc w:val="center"/>
    </w:pPr>
    <w:rPr>
      <w:rFonts w:ascii="Times New Roman" w:hAnsi="Times New Roman" w:cs="Times New Roman"/>
      <w:sz w:val="21"/>
      <w:szCs w:val="21"/>
    </w:rPr>
  </w:style>
  <w:style w:type="paragraph" w:customStyle="1" w:styleId="3785">
    <w:name w:val="表格南京"/>
    <w:basedOn w:val="1"/>
    <w:qFormat/>
    <w:uiPriority w:val="99"/>
    <w:pPr>
      <w:widowControl w:val="0"/>
      <w:spacing w:line="360" w:lineRule="exact"/>
      <w:jc w:val="center"/>
    </w:pPr>
    <w:rPr>
      <w:rFonts w:cs="Times New Roman"/>
      <w:kern w:val="2"/>
      <w:sz w:val="21"/>
      <w:szCs w:val="21"/>
    </w:rPr>
  </w:style>
  <w:style w:type="character" w:customStyle="1" w:styleId="3786">
    <w:name w:val="普通文字 Char3"/>
    <w:qFormat/>
    <w:uiPriority w:val="0"/>
    <w:rPr>
      <w:rFonts w:ascii="宋体" w:hAnsi="Courier New" w:eastAsia="宋体" w:cs="Courier New"/>
      <w:bCs/>
      <w:kern w:val="2"/>
      <w:sz w:val="24"/>
      <w:szCs w:val="24"/>
      <w:lang w:val="en-US" w:eastAsia="zh-CN" w:bidi="ar-SA"/>
    </w:rPr>
  </w:style>
  <w:style w:type="character" w:customStyle="1" w:styleId="3787">
    <w:name w:val="00 标题4 Char"/>
    <w:qFormat/>
    <w:uiPriority w:val="0"/>
    <w:rPr>
      <w:rFonts w:eastAsia="宋体"/>
      <w:b/>
      <w:bCs/>
      <w:kern w:val="2"/>
      <w:sz w:val="24"/>
      <w:szCs w:val="32"/>
      <w:lang w:val="en-US" w:eastAsia="zh-CN" w:bidi="ar-SA"/>
    </w:rPr>
  </w:style>
  <w:style w:type="character" w:customStyle="1" w:styleId="3788">
    <w:name w:val="标题 33 Char"/>
    <w:qFormat/>
    <w:uiPriority w:val="0"/>
    <w:rPr>
      <w:rFonts w:ascii="黑体" w:hAnsi="Arial" w:eastAsia="黑体" w:cs="Arial"/>
      <w:bCs/>
      <w:kern w:val="2"/>
      <w:sz w:val="24"/>
      <w:szCs w:val="24"/>
      <w:lang w:eastAsia="zh-TW"/>
    </w:rPr>
  </w:style>
  <w:style w:type="character" w:customStyle="1" w:styleId="3789">
    <w:name w:val="宗兴正文 Char"/>
    <w:qFormat/>
    <w:uiPriority w:val="0"/>
    <w:rPr>
      <w:rFonts w:eastAsia="宋体"/>
      <w:kern w:val="2"/>
      <w:sz w:val="24"/>
      <w:szCs w:val="24"/>
      <w:lang w:val="en-US" w:eastAsia="zh-CN" w:bidi="ar-SA"/>
    </w:rPr>
  </w:style>
  <w:style w:type="character" w:customStyle="1" w:styleId="3790">
    <w:name w:val="环调标题2 Char"/>
    <w:qFormat/>
    <w:uiPriority w:val="0"/>
    <w:rPr>
      <w:rFonts w:eastAsia="宋体"/>
      <w:b/>
      <w:sz w:val="30"/>
      <w:lang w:val="en-US" w:eastAsia="zh-CN" w:bidi="ar-SA"/>
    </w:rPr>
  </w:style>
  <w:style w:type="character" w:customStyle="1" w:styleId="3791">
    <w:name w:val="环调标题3 Char"/>
    <w:qFormat/>
    <w:uiPriority w:val="0"/>
    <w:rPr>
      <w:rFonts w:eastAsia="宋体"/>
      <w:b/>
      <w:bCs/>
      <w:kern w:val="2"/>
      <w:sz w:val="28"/>
      <w:szCs w:val="32"/>
      <w:lang w:val="zh-CN" w:eastAsia="zh-CN" w:bidi="ar-SA"/>
    </w:rPr>
  </w:style>
  <w:style w:type="character" w:customStyle="1" w:styleId="3792">
    <w:name w:val="样式 题注题注 Char + 宋体 Char"/>
    <w:qFormat/>
    <w:uiPriority w:val="0"/>
    <w:rPr>
      <w:rFonts w:ascii="宋体" w:hAnsi="宋体" w:eastAsia="宋体" w:cs="黑体"/>
      <w:color w:val="000000"/>
      <w:kern w:val="2"/>
      <w:sz w:val="24"/>
      <w:szCs w:val="24"/>
      <w:lang w:val="en-US" w:eastAsia="zh-CN" w:bidi="ar-SA"/>
    </w:rPr>
  </w:style>
  <w:style w:type="character" w:customStyle="1" w:styleId="3793">
    <w:name w:val="1正文段落 Char"/>
    <w:qFormat/>
    <w:uiPriority w:val="0"/>
    <w:rPr>
      <w:rFonts w:eastAsia="宋体"/>
      <w:snapToGrid w:val="0"/>
      <w:sz w:val="24"/>
      <w:szCs w:val="24"/>
      <w:lang w:val="en-US" w:eastAsia="zh-CN" w:bidi="ar-SA"/>
    </w:rPr>
  </w:style>
  <w:style w:type="character" w:customStyle="1" w:styleId="3794">
    <w:name w:val="表－居中列 Char"/>
    <w:qFormat/>
    <w:locked/>
    <w:uiPriority w:val="0"/>
    <w:rPr>
      <w:rFonts w:ascii="宋体" w:hAnsi="宋体" w:eastAsia="宋体" w:cs="Arial"/>
      <w:kern w:val="2"/>
      <w:sz w:val="21"/>
      <w:szCs w:val="21"/>
      <w:lang w:val="en-US" w:eastAsia="ja-JP" w:bidi="ar-SA"/>
    </w:rPr>
  </w:style>
  <w:style w:type="character" w:customStyle="1" w:styleId="3795">
    <w:name w:val="电镀正文 Char"/>
    <w:qFormat/>
    <w:uiPriority w:val="0"/>
    <w:rPr>
      <w:rFonts w:ascii="宋体" w:hAnsi="宋体" w:eastAsia="宋体"/>
      <w:kern w:val="2"/>
      <w:sz w:val="24"/>
      <w:szCs w:val="24"/>
      <w:lang w:val="en-US" w:eastAsia="zh-CN" w:bidi="ar-SA"/>
    </w:rPr>
  </w:style>
  <w:style w:type="paragraph" w:customStyle="1" w:styleId="3796">
    <w:name w:val="MFS正文 Char Char"/>
    <w:basedOn w:val="86"/>
    <w:qFormat/>
    <w:uiPriority w:val="0"/>
    <w:pPr>
      <w:adjustRightInd w:val="0"/>
      <w:spacing w:before="93" w:after="120" w:line="360" w:lineRule="auto"/>
      <w:ind w:firstLine="487" w:firstLineChars="200"/>
      <w:jc w:val="both"/>
    </w:pPr>
    <w:rPr>
      <w:rFonts w:ascii="Tahoma" w:hAnsi="Tahoma" w:eastAsia="楷体_GB2312" w:cs="Times New Roman"/>
      <w:kern w:val="2"/>
    </w:rPr>
  </w:style>
  <w:style w:type="character" w:customStyle="1" w:styleId="3797">
    <w:name w:val="环调标题 Char"/>
    <w:qFormat/>
    <w:uiPriority w:val="0"/>
    <w:rPr>
      <w:rFonts w:ascii="Times New Roman" w:hAnsi="Times New Roman" w:eastAsia="宋体" w:cs="Times New Roman"/>
      <w:b/>
      <w:bCs/>
      <w:kern w:val="44"/>
      <w:sz w:val="36"/>
      <w:szCs w:val="44"/>
    </w:rPr>
  </w:style>
  <w:style w:type="character" w:customStyle="1" w:styleId="3798">
    <w:name w:val="Char Char342"/>
    <w:qFormat/>
    <w:uiPriority w:val="0"/>
    <w:rPr>
      <w:rFonts w:ascii="Times New Roman" w:hAnsi="Times New Roman" w:eastAsia="宋体" w:cs="Times New Roman"/>
      <w:sz w:val="24"/>
      <w:szCs w:val="20"/>
    </w:rPr>
  </w:style>
  <w:style w:type="character" w:customStyle="1" w:styleId="3799">
    <w:name w:val="Char Char312"/>
    <w:qFormat/>
    <w:uiPriority w:val="0"/>
    <w:rPr>
      <w:rFonts w:ascii="Arial" w:hAnsi="Arial" w:eastAsia="仿宋_GB2312" w:cs="Arial"/>
      <w:bCs/>
      <w:sz w:val="24"/>
      <w:szCs w:val="32"/>
    </w:rPr>
  </w:style>
  <w:style w:type="paragraph" w:customStyle="1" w:styleId="3800">
    <w:name w:val="Style40"/>
    <w:qFormat/>
    <w:uiPriority w:val="99"/>
    <w:pPr>
      <w:jc w:val="both"/>
    </w:pPr>
    <w:rPr>
      <w:rFonts w:ascii="Arial" w:hAnsi="Arial" w:eastAsia="宋体" w:cs="Times New Roman"/>
      <w:snapToGrid w:val="0"/>
      <w:sz w:val="24"/>
      <w:lang w:val="fr-FR" w:eastAsia="fr-FR" w:bidi="ar-SA"/>
    </w:rPr>
  </w:style>
  <w:style w:type="paragraph" w:customStyle="1" w:styleId="3801">
    <w:name w:val="album-div1"/>
    <w:basedOn w:val="1"/>
    <w:qFormat/>
    <w:uiPriority w:val="0"/>
    <w:pPr>
      <w:shd w:val="clear" w:color="auto" w:fill="FFFFFF"/>
      <w:spacing w:before="100" w:beforeAutospacing="1" w:after="100" w:afterAutospacing="1"/>
    </w:pPr>
  </w:style>
  <w:style w:type="character" w:customStyle="1" w:styleId="3802">
    <w:name w:val="title13"/>
    <w:qFormat/>
    <w:uiPriority w:val="0"/>
  </w:style>
  <w:style w:type="character" w:customStyle="1" w:styleId="3803">
    <w:name w:val="albumcount2"/>
    <w:qFormat/>
    <w:uiPriority w:val="0"/>
  </w:style>
  <w:style w:type="paragraph" w:customStyle="1" w:styleId="3804">
    <w:name w:val="0-正文 Char Char"/>
    <w:basedOn w:val="1"/>
    <w:link w:val="3805"/>
    <w:qFormat/>
    <w:uiPriority w:val="0"/>
    <w:pPr>
      <w:widowControl w:val="0"/>
      <w:spacing w:line="312" w:lineRule="auto"/>
      <w:ind w:firstLine="200" w:firstLineChars="200"/>
      <w:jc w:val="both"/>
    </w:pPr>
    <w:rPr>
      <w:rFonts w:ascii="Times New Roman" w:hAnsi="Times New Roman" w:cs="Times New Roman"/>
      <w:spacing w:val="4"/>
      <w:kern w:val="2"/>
      <w:sz w:val="28"/>
      <w:szCs w:val="28"/>
      <w:lang w:val="zh-CN"/>
    </w:rPr>
  </w:style>
  <w:style w:type="character" w:customStyle="1" w:styleId="3805">
    <w:name w:val="0-正文 Char Char Char"/>
    <w:link w:val="3804"/>
    <w:qFormat/>
    <w:uiPriority w:val="0"/>
    <w:rPr>
      <w:spacing w:val="4"/>
      <w:kern w:val="2"/>
      <w:sz w:val="28"/>
      <w:szCs w:val="28"/>
      <w:lang w:val="zh-CN"/>
    </w:rPr>
  </w:style>
  <w:style w:type="paragraph" w:customStyle="1" w:styleId="3806">
    <w:name w:val="中大4级标题"/>
    <w:basedOn w:val="3766"/>
    <w:qFormat/>
    <w:uiPriority w:val="0"/>
    <w:pPr>
      <w:keepNext/>
      <w:tabs>
        <w:tab w:val="left" w:pos="567"/>
      </w:tabs>
      <w:snapToGrid/>
      <w:spacing w:before="0" w:after="0" w:line="360" w:lineRule="auto"/>
      <w:jc w:val="both"/>
    </w:pPr>
    <w:rPr>
      <w:rFonts w:ascii="Calibri" w:hAnsi="Calibri"/>
      <w:kern w:val="2"/>
      <w:lang w:val="zh-CN"/>
    </w:rPr>
  </w:style>
  <w:style w:type="paragraph" w:customStyle="1" w:styleId="3807">
    <w:name w:val="中大1级标题0"/>
    <w:basedOn w:val="3"/>
    <w:qFormat/>
    <w:uiPriority w:val="0"/>
    <w:pPr>
      <w:keepLines/>
      <w:pageBreakBefore/>
      <w:widowControl w:val="0"/>
      <w:tabs>
        <w:tab w:val="left" w:pos="1276"/>
        <w:tab w:val="left" w:pos="4614"/>
      </w:tabs>
      <w:overflowPunct/>
      <w:snapToGrid/>
      <w:spacing w:before="240" w:beforeLines="100" w:after="240" w:afterLines="100" w:line="360" w:lineRule="auto"/>
      <w:ind w:left="723" w:hanging="723"/>
      <w:jc w:val="center"/>
    </w:pPr>
    <w:rPr>
      <w:rFonts w:ascii="Times New Roman" w:eastAsia="宋体" w:cs="Times New Roman"/>
      <w:bCs w:val="0"/>
      <w:color w:val="auto"/>
      <w:sz w:val="36"/>
      <w:szCs w:val="20"/>
      <w:lang w:val="zh-CN"/>
    </w:rPr>
  </w:style>
  <w:style w:type="character" w:customStyle="1" w:styleId="3808">
    <w:name w:val="正 文 Char Char"/>
    <w:qFormat/>
    <w:uiPriority w:val="0"/>
    <w:rPr>
      <w:rFonts w:ascii="Times New Roman" w:hAnsi="Times New Roman" w:eastAsia="宋体" w:cs="Times New Roman"/>
      <w:sz w:val="24"/>
      <w:lang w:val="zh-CN" w:eastAsia="zh-CN"/>
    </w:rPr>
  </w:style>
  <w:style w:type="character" w:customStyle="1" w:styleId="3809">
    <w:name w:val="toolbtn-cont7"/>
    <w:qFormat/>
    <w:uiPriority w:val="0"/>
  </w:style>
  <w:style w:type="paragraph" w:customStyle="1" w:styleId="3810">
    <w:name w:val="CEE正文"/>
    <w:basedOn w:val="1"/>
    <w:link w:val="3811"/>
    <w:qFormat/>
    <w:uiPriority w:val="0"/>
    <w:pPr>
      <w:widowControl w:val="0"/>
      <w:spacing w:line="312" w:lineRule="auto"/>
      <w:ind w:firstLine="200" w:firstLineChars="200"/>
      <w:jc w:val="both"/>
    </w:pPr>
    <w:rPr>
      <w:rFonts w:ascii="Times New Roman" w:hAnsi="Times New Roman" w:cs="Times New Roman"/>
      <w:lang w:val="zh-CN"/>
    </w:rPr>
  </w:style>
  <w:style w:type="character" w:customStyle="1" w:styleId="3811">
    <w:name w:val="CEE正文 Char"/>
    <w:link w:val="3810"/>
    <w:qFormat/>
    <w:uiPriority w:val="0"/>
    <w:rPr>
      <w:sz w:val="24"/>
      <w:szCs w:val="24"/>
      <w:lang w:val="zh-CN"/>
    </w:rPr>
  </w:style>
  <w:style w:type="paragraph" w:customStyle="1" w:styleId="3812">
    <w:name w:val="reader-word-layer"/>
    <w:basedOn w:val="1"/>
    <w:qFormat/>
    <w:uiPriority w:val="0"/>
    <w:pPr>
      <w:spacing w:before="100" w:beforeAutospacing="1" w:after="100" w:afterAutospacing="1"/>
    </w:pPr>
  </w:style>
  <w:style w:type="character" w:customStyle="1" w:styleId="3813">
    <w:name w:val="source"/>
    <w:qFormat/>
    <w:uiPriority w:val="99"/>
  </w:style>
  <w:style w:type="character" w:customStyle="1" w:styleId="3814">
    <w:name w:val="date1"/>
    <w:qFormat/>
    <w:uiPriority w:val="0"/>
  </w:style>
  <w:style w:type="paragraph" w:customStyle="1" w:styleId="3815">
    <w:name w:val="Char Char Char Char Char Char1 Char Char Char1 Char Char Char1 Char Char Char Char Char Char Char Char Char Char5"/>
    <w:basedOn w:val="1"/>
    <w:next w:val="1"/>
    <w:qFormat/>
    <w:uiPriority w:val="0"/>
    <w:pPr>
      <w:widowControl w:val="0"/>
      <w:spacing w:line="360" w:lineRule="auto"/>
      <w:ind w:firstLine="200" w:firstLineChars="200"/>
      <w:jc w:val="both"/>
    </w:pPr>
    <w:rPr>
      <w:rFonts w:ascii="楷体_GB2312" w:eastAsia="楷体_GB2312"/>
      <w:kern w:val="2"/>
    </w:rPr>
  </w:style>
  <w:style w:type="paragraph" w:customStyle="1" w:styleId="3816">
    <w:name w:val="Char Char Char Char Char Char5"/>
    <w:basedOn w:val="1"/>
    <w:qFormat/>
    <w:uiPriority w:val="0"/>
    <w:pPr>
      <w:widowControl w:val="0"/>
      <w:jc w:val="both"/>
    </w:pPr>
    <w:rPr>
      <w:rFonts w:ascii="Times New Roman" w:hAnsi="Times New Roman" w:cs="Times New Roman"/>
      <w:kern w:val="2"/>
      <w:sz w:val="21"/>
      <w:szCs w:val="21"/>
    </w:rPr>
  </w:style>
  <w:style w:type="paragraph" w:customStyle="1" w:styleId="3817">
    <w:name w:val="Char6"/>
    <w:basedOn w:val="1"/>
    <w:qFormat/>
    <w:uiPriority w:val="0"/>
    <w:pPr>
      <w:widowControl w:val="0"/>
      <w:jc w:val="both"/>
    </w:pPr>
    <w:rPr>
      <w:rFonts w:ascii="Times New Roman" w:hAnsi="Times New Roman" w:cs="Times New Roman"/>
      <w:kern w:val="2"/>
      <w:sz w:val="21"/>
      <w:szCs w:val="21"/>
    </w:rPr>
  </w:style>
  <w:style w:type="paragraph" w:customStyle="1" w:styleId="3818">
    <w:name w:val="字元 字元 Char Char 字元 字元15"/>
    <w:basedOn w:val="1"/>
    <w:qFormat/>
    <w:uiPriority w:val="0"/>
    <w:pPr>
      <w:widowControl w:val="0"/>
      <w:jc w:val="both"/>
    </w:pPr>
    <w:rPr>
      <w:rFonts w:ascii="Times New Roman" w:hAnsi="Times New Roman" w:cs="Times New Roman"/>
      <w:kern w:val="2"/>
    </w:rPr>
  </w:style>
  <w:style w:type="character" w:customStyle="1" w:styleId="3819">
    <w:name w:val="Char Char39"/>
    <w:qFormat/>
    <w:uiPriority w:val="0"/>
    <w:rPr>
      <w:kern w:val="2"/>
      <w:sz w:val="21"/>
      <w:szCs w:val="24"/>
      <w:shd w:val="clear" w:color="auto" w:fill="000080"/>
    </w:rPr>
  </w:style>
  <w:style w:type="paragraph" w:customStyle="1" w:styleId="3820">
    <w:name w:val="Char Char Char Char8"/>
    <w:basedOn w:val="1"/>
    <w:qFormat/>
    <w:uiPriority w:val="0"/>
    <w:pPr>
      <w:widowControl w:val="0"/>
      <w:jc w:val="both"/>
    </w:pPr>
    <w:rPr>
      <w:rFonts w:ascii="Times New Roman" w:hAnsi="Times New Roman" w:cs="Times New Roman"/>
      <w:kern w:val="2"/>
      <w:sz w:val="21"/>
      <w:szCs w:val="21"/>
    </w:rPr>
  </w:style>
  <w:style w:type="paragraph" w:customStyle="1" w:styleId="3821">
    <w:name w:val="Char Char Char Char Char Char Char5"/>
    <w:basedOn w:val="1"/>
    <w:qFormat/>
    <w:uiPriority w:val="0"/>
    <w:pPr>
      <w:spacing w:after="160" w:line="240" w:lineRule="exact"/>
    </w:pPr>
    <w:rPr>
      <w:rFonts w:ascii="Verdana" w:hAnsi="Verdana" w:cs="Times New Roman"/>
      <w:sz w:val="20"/>
      <w:szCs w:val="32"/>
      <w:lang w:eastAsia="en-US"/>
    </w:rPr>
  </w:style>
  <w:style w:type="paragraph" w:customStyle="1" w:styleId="3822">
    <w:name w:val="Char Char Char Char Char Char1 Char4"/>
    <w:basedOn w:val="1"/>
    <w:qFormat/>
    <w:uiPriority w:val="0"/>
    <w:pPr>
      <w:widowControl w:val="0"/>
      <w:spacing w:line="360" w:lineRule="auto"/>
      <w:ind w:firstLine="200" w:firstLineChars="200"/>
      <w:jc w:val="both"/>
    </w:pPr>
    <w:rPr>
      <w:kern w:val="2"/>
    </w:rPr>
  </w:style>
  <w:style w:type="paragraph" w:customStyle="1" w:styleId="3823">
    <w:name w:val="Char15"/>
    <w:basedOn w:val="1"/>
    <w:qFormat/>
    <w:uiPriority w:val="0"/>
    <w:pPr>
      <w:widowControl w:val="0"/>
      <w:snapToGrid w:val="0"/>
      <w:spacing w:line="360" w:lineRule="auto"/>
      <w:ind w:firstLine="529" w:firstLineChars="200"/>
      <w:jc w:val="both"/>
    </w:pPr>
    <w:rPr>
      <w:rFonts w:cs="Times New Roman"/>
      <w:b/>
      <w:kern w:val="2"/>
      <w:sz w:val="21"/>
    </w:rPr>
  </w:style>
  <w:style w:type="paragraph" w:customStyle="1" w:styleId="3824">
    <w:name w:val="Char Char Char Char Char Char Char Char Char Char7"/>
    <w:basedOn w:val="1"/>
    <w:qFormat/>
    <w:uiPriority w:val="0"/>
    <w:pPr>
      <w:widowControl w:val="0"/>
      <w:adjustRightInd w:val="0"/>
      <w:spacing w:line="360" w:lineRule="auto"/>
      <w:ind w:firstLine="540" w:firstLineChars="225"/>
    </w:pPr>
    <w:rPr>
      <w:kern w:val="2"/>
    </w:rPr>
  </w:style>
  <w:style w:type="paragraph" w:customStyle="1" w:styleId="3825">
    <w:name w:val="Char Char1 Char Char Char Char Char Char Char4"/>
    <w:basedOn w:val="1"/>
    <w:qFormat/>
    <w:uiPriority w:val="0"/>
    <w:pPr>
      <w:widowControl w:val="0"/>
      <w:jc w:val="both"/>
    </w:pPr>
    <w:rPr>
      <w:rFonts w:ascii="Times New Roman" w:hAnsi="Times New Roman" w:cs="Times New Roman"/>
      <w:kern w:val="2"/>
      <w:sz w:val="21"/>
    </w:rPr>
  </w:style>
  <w:style w:type="paragraph" w:customStyle="1" w:styleId="3826">
    <w:name w:val="Char Char Char5"/>
    <w:basedOn w:val="1"/>
    <w:qFormat/>
    <w:uiPriority w:val="0"/>
    <w:pPr>
      <w:widowControl w:val="0"/>
      <w:jc w:val="both"/>
    </w:pPr>
    <w:rPr>
      <w:rFonts w:ascii="Times New Roman" w:hAnsi="Times New Roman" w:cs="Times New Roman"/>
      <w:kern w:val="2"/>
      <w:sz w:val="21"/>
    </w:rPr>
  </w:style>
  <w:style w:type="paragraph" w:customStyle="1" w:styleId="3827">
    <w:name w:val="Char Char Char1 Char3"/>
    <w:basedOn w:val="1"/>
    <w:qFormat/>
    <w:uiPriority w:val="0"/>
    <w:pPr>
      <w:widowControl w:val="0"/>
      <w:snapToGrid w:val="0"/>
      <w:spacing w:line="360" w:lineRule="auto"/>
      <w:ind w:firstLine="200" w:firstLineChars="200"/>
      <w:jc w:val="both"/>
    </w:pPr>
    <w:rPr>
      <w:rFonts w:ascii="Times New Roman" w:hAnsi="Times New Roman" w:eastAsia="仿宋_GB2312" w:cs="Times New Roman"/>
      <w:kern w:val="2"/>
    </w:rPr>
  </w:style>
  <w:style w:type="paragraph" w:customStyle="1" w:styleId="3828">
    <w:name w:val="Char Char Char1 Char Char Char3"/>
    <w:basedOn w:val="1"/>
    <w:qFormat/>
    <w:uiPriority w:val="0"/>
    <w:pPr>
      <w:widowControl w:val="0"/>
      <w:spacing w:line="360" w:lineRule="auto"/>
      <w:ind w:firstLine="200" w:firstLineChars="200"/>
      <w:jc w:val="both"/>
    </w:pPr>
    <w:rPr>
      <w:kern w:val="2"/>
    </w:rPr>
  </w:style>
  <w:style w:type="paragraph" w:customStyle="1" w:styleId="3829">
    <w:name w:val="Char Char Char1 Char Char Char Char Char Char Char3"/>
    <w:basedOn w:val="1"/>
    <w:qFormat/>
    <w:uiPriority w:val="0"/>
    <w:pPr>
      <w:widowControl w:val="0"/>
      <w:spacing w:line="360" w:lineRule="auto"/>
      <w:ind w:firstLine="200" w:firstLineChars="200"/>
      <w:jc w:val="both"/>
    </w:pPr>
    <w:rPr>
      <w:kern w:val="2"/>
    </w:rPr>
  </w:style>
  <w:style w:type="paragraph" w:customStyle="1" w:styleId="3830">
    <w:name w:val="Char23"/>
    <w:basedOn w:val="1"/>
    <w:qFormat/>
    <w:uiPriority w:val="0"/>
    <w:pPr>
      <w:widowControl w:val="0"/>
      <w:snapToGrid w:val="0"/>
      <w:spacing w:line="360" w:lineRule="auto"/>
      <w:ind w:firstLine="200" w:firstLineChars="200"/>
      <w:jc w:val="both"/>
    </w:pPr>
    <w:rPr>
      <w:rFonts w:ascii="Times New Roman" w:hAnsi="Times New Roman" w:eastAsia="仿宋_GB2312" w:cs="Times New Roman"/>
      <w:kern w:val="2"/>
    </w:rPr>
  </w:style>
  <w:style w:type="paragraph" w:customStyle="1" w:styleId="3831">
    <w:name w:val="纯文本15"/>
    <w:basedOn w:val="1"/>
    <w:qFormat/>
    <w:uiPriority w:val="0"/>
    <w:pPr>
      <w:widowControl w:val="0"/>
      <w:adjustRightInd w:val="0"/>
      <w:jc w:val="both"/>
      <w:textAlignment w:val="baseline"/>
    </w:pPr>
    <w:rPr>
      <w:rFonts w:hAnsi="Courier New" w:cs="Times New Roman"/>
      <w:kern w:val="2"/>
      <w:sz w:val="21"/>
      <w:szCs w:val="20"/>
    </w:rPr>
  </w:style>
  <w:style w:type="paragraph" w:customStyle="1" w:styleId="3832">
    <w:name w:val="正文35"/>
    <w:basedOn w:val="1"/>
    <w:qFormat/>
    <w:uiPriority w:val="0"/>
    <w:pPr>
      <w:widowControl w:val="0"/>
      <w:adjustRightInd w:val="0"/>
      <w:spacing w:line="480" w:lineRule="exact"/>
      <w:jc w:val="both"/>
      <w:textAlignment w:val="baseline"/>
    </w:pPr>
    <w:rPr>
      <w:rFonts w:ascii="Times New Roman" w:hAnsi="Times New Roman" w:cs="Times New Roman"/>
      <w:spacing w:val="-2"/>
      <w:sz w:val="28"/>
      <w:szCs w:val="20"/>
    </w:rPr>
  </w:style>
  <w:style w:type="paragraph" w:customStyle="1" w:styleId="3833">
    <w:name w:val="Char Char Char14"/>
    <w:basedOn w:val="1"/>
    <w:qFormat/>
    <w:uiPriority w:val="0"/>
    <w:pPr>
      <w:widowControl w:val="0"/>
      <w:spacing w:line="360" w:lineRule="auto"/>
      <w:ind w:firstLine="200" w:firstLineChars="200"/>
      <w:jc w:val="both"/>
    </w:pPr>
    <w:rPr>
      <w:kern w:val="2"/>
    </w:rPr>
  </w:style>
  <w:style w:type="character" w:customStyle="1" w:styleId="3834">
    <w:name w:val="Char32"/>
    <w:qFormat/>
    <w:uiPriority w:val="0"/>
    <w:rPr>
      <w:rFonts w:ascii="Arial" w:hAnsi="Arial" w:eastAsia="黑体"/>
      <w:kern w:val="2"/>
      <w:lang w:val="en-US" w:eastAsia="zh-CN"/>
    </w:rPr>
  </w:style>
  <w:style w:type="paragraph" w:customStyle="1" w:styleId="3835">
    <w:name w:val="Char Char Char2 Char2"/>
    <w:basedOn w:val="1"/>
    <w:qFormat/>
    <w:uiPriority w:val="0"/>
    <w:pPr>
      <w:widowControl w:val="0"/>
      <w:jc w:val="both"/>
    </w:pPr>
    <w:rPr>
      <w:rFonts w:ascii="Times New Roman" w:hAnsi="Times New Roman" w:cs="Times New Roman"/>
      <w:kern w:val="2"/>
      <w:sz w:val="21"/>
    </w:rPr>
  </w:style>
  <w:style w:type="character" w:customStyle="1" w:styleId="3836">
    <w:name w:val="Char Char173"/>
    <w:qFormat/>
    <w:uiPriority w:val="0"/>
    <w:rPr>
      <w:rFonts w:cs="Times New Roman"/>
      <w:b/>
      <w:bCs/>
      <w:kern w:val="44"/>
      <w:sz w:val="32"/>
      <w:szCs w:val="44"/>
    </w:rPr>
  </w:style>
  <w:style w:type="character" w:customStyle="1" w:styleId="3837">
    <w:name w:val="Char Char182"/>
    <w:qFormat/>
    <w:uiPriority w:val="0"/>
    <w:rPr>
      <w:rFonts w:ascii="Cambria" w:hAnsi="Cambria" w:cs="Times New Roman"/>
      <w:kern w:val="2"/>
      <w:sz w:val="24"/>
      <w:szCs w:val="24"/>
    </w:rPr>
  </w:style>
  <w:style w:type="paragraph" w:customStyle="1" w:styleId="3838">
    <w:name w:val="Char Char Char Char Char Char Char Char Char Char Char Char Char Char Char3"/>
    <w:next w:val="1"/>
    <w:qFormat/>
    <w:uiPriority w:val="0"/>
    <w:pPr>
      <w:tabs>
        <w:tab w:val="left" w:pos="700"/>
      </w:tabs>
      <w:snapToGrid w:val="0"/>
      <w:spacing w:line="300" w:lineRule="auto"/>
    </w:pPr>
    <w:rPr>
      <w:rFonts w:ascii="仿宋_GB2312" w:hAnsi="Verdana" w:eastAsia="仿宋_GB2312" w:cs="Times New Roman"/>
      <w:b/>
      <w:bCs/>
      <w:snapToGrid w:val="0"/>
      <w:sz w:val="28"/>
      <w:szCs w:val="28"/>
      <w:lang w:val="en-US" w:eastAsia="en-US" w:bidi="ar-SA"/>
    </w:rPr>
  </w:style>
  <w:style w:type="paragraph" w:customStyle="1" w:styleId="3839">
    <w:name w:val="批注框文本14"/>
    <w:basedOn w:val="1"/>
    <w:qFormat/>
    <w:uiPriority w:val="0"/>
    <w:pPr>
      <w:widowControl w:val="0"/>
      <w:jc w:val="both"/>
    </w:pPr>
    <w:rPr>
      <w:rFonts w:ascii="Times New Roman" w:hAnsi="Times New Roman" w:cs="Times New Roman"/>
      <w:kern w:val="2"/>
      <w:sz w:val="18"/>
      <w:szCs w:val="18"/>
    </w:rPr>
  </w:style>
  <w:style w:type="paragraph" w:customStyle="1" w:styleId="3840">
    <w:name w:val="日期14"/>
    <w:basedOn w:val="1"/>
    <w:next w:val="1"/>
    <w:qFormat/>
    <w:uiPriority w:val="0"/>
    <w:pPr>
      <w:widowControl w:val="0"/>
      <w:adjustRightInd w:val="0"/>
      <w:jc w:val="both"/>
      <w:textAlignment w:val="baseline"/>
    </w:pPr>
    <w:rPr>
      <w:rFonts w:ascii="Times New Roman" w:hAnsi="Times New Roman" w:cs="Times New Roman"/>
      <w:kern w:val="2"/>
      <w:szCs w:val="20"/>
    </w:rPr>
  </w:style>
  <w:style w:type="paragraph" w:customStyle="1" w:styleId="3841">
    <w:name w:val="Char Char Char1 Char Char Char Char Char Char2"/>
    <w:basedOn w:val="1"/>
    <w:qFormat/>
    <w:uiPriority w:val="0"/>
    <w:pPr>
      <w:widowControl w:val="0"/>
      <w:spacing w:line="360" w:lineRule="auto"/>
      <w:ind w:firstLine="200" w:firstLineChars="200"/>
      <w:jc w:val="both"/>
    </w:pPr>
    <w:rPr>
      <w:kern w:val="2"/>
    </w:rPr>
  </w:style>
  <w:style w:type="paragraph" w:customStyle="1" w:styleId="3842">
    <w:name w:val="Char Char Char Char Char Char Char Char2"/>
    <w:basedOn w:val="1"/>
    <w:qFormat/>
    <w:uiPriority w:val="0"/>
    <w:pPr>
      <w:widowControl w:val="0"/>
      <w:jc w:val="both"/>
    </w:pPr>
    <w:rPr>
      <w:rFonts w:ascii="Times New Roman" w:hAnsi="Times New Roman" w:cs="Times New Roman"/>
      <w:kern w:val="2"/>
    </w:rPr>
  </w:style>
  <w:style w:type="paragraph" w:customStyle="1" w:styleId="3843">
    <w:name w:val="Char Char Char Char Char Char Char Char Char3"/>
    <w:basedOn w:val="1"/>
    <w:qFormat/>
    <w:uiPriority w:val="0"/>
    <w:pPr>
      <w:widowControl w:val="0"/>
      <w:jc w:val="both"/>
    </w:pPr>
    <w:rPr>
      <w:rFonts w:ascii="Times New Roman" w:hAnsi="Times New Roman" w:cs="Times New Roman"/>
      <w:kern w:val="2"/>
    </w:rPr>
  </w:style>
  <w:style w:type="paragraph" w:customStyle="1" w:styleId="3844">
    <w:name w:val="Char Char Char Char Char Char Char Char Char Char Char1 Char2"/>
    <w:basedOn w:val="1"/>
    <w:qFormat/>
    <w:uiPriority w:val="0"/>
    <w:pPr>
      <w:widowControl w:val="0"/>
      <w:jc w:val="both"/>
    </w:pPr>
    <w:rPr>
      <w:rFonts w:ascii="Times New Roman" w:hAnsi="Times New Roman" w:cs="Times New Roman"/>
      <w:kern w:val="2"/>
    </w:rPr>
  </w:style>
  <w:style w:type="paragraph" w:customStyle="1" w:styleId="3845">
    <w:name w:val="Char Char1 Char2"/>
    <w:basedOn w:val="1"/>
    <w:qFormat/>
    <w:uiPriority w:val="0"/>
    <w:pPr>
      <w:widowControl w:val="0"/>
      <w:jc w:val="both"/>
    </w:pPr>
    <w:rPr>
      <w:rFonts w:ascii="Times New Roman" w:hAnsi="Times New Roman" w:cs="Times New Roman"/>
      <w:kern w:val="2"/>
      <w:sz w:val="21"/>
    </w:rPr>
  </w:style>
  <w:style w:type="paragraph" w:customStyle="1" w:styleId="3846">
    <w:name w:val="字元 字元4"/>
    <w:basedOn w:val="1"/>
    <w:qFormat/>
    <w:uiPriority w:val="0"/>
    <w:pPr>
      <w:widowControl w:val="0"/>
      <w:adjustRightInd w:val="0"/>
      <w:snapToGrid w:val="0"/>
      <w:ind w:firstLine="200" w:firstLineChars="200"/>
      <w:jc w:val="both"/>
    </w:pPr>
    <w:rPr>
      <w:rFonts w:ascii="Times New Roman" w:hAnsi="Times New Roman" w:cs="Times New Roman"/>
      <w:kern w:val="2"/>
    </w:rPr>
  </w:style>
  <w:style w:type="paragraph" w:customStyle="1" w:styleId="3847">
    <w:name w:val="Char Char Char Char Char Char Char Char Char Char Char Char Char Char Char Char Char Char Char Char Char Char Char Char Char4"/>
    <w:basedOn w:val="1"/>
    <w:qFormat/>
    <w:uiPriority w:val="99"/>
    <w:pPr>
      <w:spacing w:after="160" w:line="240" w:lineRule="exact"/>
    </w:pPr>
    <w:rPr>
      <w:rFonts w:ascii="Verdana" w:hAnsi="Verdana" w:cs="Times New Roman"/>
      <w:sz w:val="20"/>
      <w:szCs w:val="20"/>
      <w:lang w:eastAsia="en-US"/>
    </w:rPr>
  </w:style>
  <w:style w:type="character" w:customStyle="1" w:styleId="3848">
    <w:name w:val="页码11"/>
    <w:qFormat/>
    <w:uiPriority w:val="0"/>
  </w:style>
  <w:style w:type="character" w:customStyle="1" w:styleId="3849">
    <w:name w:val="批注引用11"/>
    <w:qFormat/>
    <w:uiPriority w:val="0"/>
    <w:rPr>
      <w:sz w:val="21"/>
      <w:szCs w:val="21"/>
    </w:rPr>
  </w:style>
  <w:style w:type="character" w:customStyle="1" w:styleId="3850">
    <w:name w:val="HTML 代码11"/>
    <w:qFormat/>
    <w:uiPriority w:val="0"/>
    <w:rPr>
      <w:rFonts w:ascii="黑体" w:hAnsi="Courier New" w:eastAsia="黑体" w:cs="Courier New"/>
      <w:sz w:val="24"/>
      <w:szCs w:val="24"/>
    </w:rPr>
  </w:style>
  <w:style w:type="character" w:customStyle="1" w:styleId="3851">
    <w:name w:val="书籍标题11"/>
    <w:qFormat/>
    <w:uiPriority w:val="0"/>
    <w:rPr>
      <w:b/>
      <w:smallCaps/>
      <w:spacing w:val="5"/>
    </w:rPr>
  </w:style>
  <w:style w:type="paragraph" w:customStyle="1" w:styleId="3852">
    <w:name w:val="HTML 预设格式11"/>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6" w:afterLines="50"/>
    </w:pPr>
    <w:rPr>
      <w:rFonts w:ascii="Courier New" w:hAnsi="Courier New" w:cs="Courier New"/>
      <w:kern w:val="2"/>
      <w:sz w:val="20"/>
      <w:szCs w:val="20"/>
    </w:rPr>
  </w:style>
  <w:style w:type="paragraph" w:customStyle="1" w:styleId="3853">
    <w:name w:val="正文首行缩进12"/>
    <w:basedOn w:val="34"/>
    <w:qFormat/>
    <w:uiPriority w:val="0"/>
    <w:pPr>
      <w:widowControl w:val="0"/>
      <w:adjustRightInd w:val="0"/>
      <w:snapToGrid/>
      <w:spacing w:before="0" w:after="156" w:afterLines="50" w:line="312" w:lineRule="auto"/>
      <w:ind w:right="0" w:firstLine="567"/>
      <w:jc w:val="both"/>
      <w:textAlignment w:val="baseline"/>
    </w:pPr>
    <w:rPr>
      <w:rFonts w:ascii="Times New Roman" w:hAnsi="Times New Roman" w:cs="Times New Roman"/>
      <w:kern w:val="2"/>
      <w:sz w:val="21"/>
      <w:szCs w:val="24"/>
    </w:rPr>
  </w:style>
  <w:style w:type="paragraph" w:customStyle="1" w:styleId="3854">
    <w:name w:val="标题 411"/>
    <w:basedOn w:val="1"/>
    <w:next w:val="21"/>
    <w:qFormat/>
    <w:uiPriority w:val="99"/>
    <w:pPr>
      <w:keepNext/>
      <w:keepLines/>
      <w:widowControl w:val="0"/>
      <w:tabs>
        <w:tab w:val="left" w:pos="720"/>
      </w:tabs>
      <w:adjustRightInd w:val="0"/>
      <w:spacing w:after="156" w:afterLines="50" w:line="360" w:lineRule="auto"/>
      <w:textAlignment w:val="baseline"/>
      <w:outlineLvl w:val="3"/>
    </w:pPr>
    <w:rPr>
      <w:rFonts w:hint="eastAsia" w:ascii="Times New Roman" w:hAnsi="Times New Roman" w:cs="Times New Roman"/>
      <w:b/>
      <w:szCs w:val="21"/>
    </w:rPr>
  </w:style>
  <w:style w:type="paragraph" w:customStyle="1" w:styleId="3855">
    <w:name w:val="正文首行缩进 211"/>
    <w:basedOn w:val="35"/>
    <w:qFormat/>
    <w:uiPriority w:val="0"/>
    <w:pPr>
      <w:widowControl w:val="0"/>
      <w:ind w:left="0" w:leftChars="0" w:firstLine="210"/>
      <w:jc w:val="both"/>
    </w:pPr>
    <w:rPr>
      <w:rFonts w:hAnsi="Times New Roman" w:cs="Times New Roman"/>
      <w:lang w:val="zh-CN"/>
    </w:rPr>
  </w:style>
  <w:style w:type="paragraph" w:customStyle="1" w:styleId="3856">
    <w:name w:val="批注主题11"/>
    <w:basedOn w:val="28"/>
    <w:next w:val="28"/>
    <w:qFormat/>
    <w:uiPriority w:val="0"/>
    <w:pPr>
      <w:widowControl w:val="0"/>
      <w:spacing w:after="156" w:afterLines="50"/>
    </w:pPr>
    <w:rPr>
      <w:rFonts w:ascii="Times New Roman" w:hAnsi="Times New Roman" w:cs="Times New Roman"/>
      <w:b/>
      <w:bCs/>
      <w:kern w:val="2"/>
      <w:sz w:val="21"/>
      <w:szCs w:val="24"/>
    </w:rPr>
  </w:style>
  <w:style w:type="paragraph" w:customStyle="1" w:styleId="3857">
    <w:name w:val="列表 211"/>
    <w:basedOn w:val="1"/>
    <w:qFormat/>
    <w:uiPriority w:val="99"/>
    <w:pPr>
      <w:widowControl w:val="0"/>
      <w:spacing w:after="156" w:afterLines="50" w:line="360" w:lineRule="auto"/>
      <w:ind w:left="840" w:hanging="420"/>
      <w:jc w:val="both"/>
    </w:pPr>
    <w:rPr>
      <w:rFonts w:ascii="Times New Roman" w:hAnsi="Times New Roman" w:cs="Times New Roman"/>
      <w:kern w:val="2"/>
    </w:rPr>
  </w:style>
  <w:style w:type="paragraph" w:customStyle="1" w:styleId="3858">
    <w:name w:val="正文文本 311"/>
    <w:basedOn w:val="1"/>
    <w:qFormat/>
    <w:uiPriority w:val="0"/>
    <w:pPr>
      <w:widowControl w:val="0"/>
      <w:spacing w:after="156" w:afterLines="50" w:line="400" w:lineRule="exact"/>
      <w:jc w:val="both"/>
    </w:pPr>
    <w:rPr>
      <w:rFonts w:ascii="Times New Roman" w:cs="Times New Roman"/>
      <w:sz w:val="28"/>
      <w:szCs w:val="28"/>
    </w:rPr>
  </w:style>
  <w:style w:type="paragraph" w:customStyle="1" w:styleId="3859">
    <w:name w:val="文档结构图11"/>
    <w:basedOn w:val="1"/>
    <w:qFormat/>
    <w:uiPriority w:val="0"/>
    <w:pPr>
      <w:widowControl w:val="0"/>
      <w:shd w:val="clear" w:color="auto" w:fill="000080"/>
      <w:adjustRightInd w:val="0"/>
      <w:spacing w:after="156" w:afterLines="50" w:line="315" w:lineRule="atLeast"/>
      <w:textAlignment w:val="baseline"/>
    </w:pPr>
    <w:rPr>
      <w:rFonts w:hAnsi="Times New Roman" w:cs="Times New Roman"/>
      <w:kern w:val="2"/>
      <w:sz w:val="18"/>
      <w:szCs w:val="18"/>
      <w:shd w:val="clear" w:color="auto" w:fill="000080"/>
    </w:rPr>
  </w:style>
  <w:style w:type="paragraph" w:customStyle="1" w:styleId="3860">
    <w:name w:val="正文文本缩进 311"/>
    <w:basedOn w:val="1"/>
    <w:qFormat/>
    <w:uiPriority w:val="0"/>
    <w:pPr>
      <w:widowControl w:val="0"/>
      <w:adjustRightInd w:val="0"/>
      <w:spacing w:after="156" w:afterLines="50" w:line="360" w:lineRule="atLeast"/>
      <w:ind w:firstLine="420"/>
      <w:jc w:val="both"/>
      <w:textAlignment w:val="baseline"/>
    </w:pPr>
    <w:rPr>
      <w:rFonts w:ascii="Times New Roman" w:hAnsi="Times New Roman" w:cs="Times New Roman"/>
      <w:kern w:val="2"/>
      <w:sz w:val="16"/>
      <w:szCs w:val="16"/>
    </w:rPr>
  </w:style>
  <w:style w:type="paragraph" w:customStyle="1" w:styleId="3861">
    <w:name w:val="索引 111"/>
    <w:basedOn w:val="1"/>
    <w:next w:val="1"/>
    <w:qFormat/>
    <w:uiPriority w:val="99"/>
    <w:pPr>
      <w:widowControl w:val="0"/>
      <w:adjustRightInd w:val="0"/>
      <w:snapToGrid w:val="0"/>
      <w:spacing w:before="56" w:after="156" w:afterLines="50" w:line="240" w:lineRule="exact"/>
      <w:jc w:val="center"/>
    </w:pPr>
    <w:rPr>
      <w:rFonts w:ascii="Times New Roman" w:hAnsi="Times New Roman" w:cs="Times New Roman"/>
      <w:spacing w:val="-10"/>
      <w:kern w:val="2"/>
      <w:sz w:val="21"/>
      <w:szCs w:val="21"/>
    </w:rPr>
  </w:style>
  <w:style w:type="paragraph" w:customStyle="1" w:styleId="3862">
    <w:name w:val="文本块11"/>
    <w:basedOn w:val="1"/>
    <w:qFormat/>
    <w:uiPriority w:val="0"/>
    <w:pPr>
      <w:widowControl w:val="0"/>
      <w:spacing w:after="156" w:afterLines="50" w:line="360" w:lineRule="auto"/>
      <w:ind w:left="1440" w:leftChars="700" w:right="1440" w:rightChars="700"/>
      <w:jc w:val="both"/>
    </w:pPr>
    <w:rPr>
      <w:rFonts w:ascii="Times New Roman" w:hAnsi="Times New Roman" w:cs="Times New Roman"/>
      <w:kern w:val="2"/>
    </w:rPr>
  </w:style>
  <w:style w:type="paragraph" w:customStyle="1" w:styleId="3863">
    <w:name w:val="图表目录11"/>
    <w:basedOn w:val="1"/>
    <w:next w:val="1"/>
    <w:qFormat/>
    <w:uiPriority w:val="99"/>
    <w:pPr>
      <w:widowControl w:val="0"/>
      <w:spacing w:after="156" w:afterLines="50"/>
      <w:ind w:left="840" w:leftChars="200" w:hanging="420" w:hangingChars="200"/>
      <w:jc w:val="both"/>
    </w:pPr>
    <w:rPr>
      <w:rFonts w:ascii="Times New Roman" w:hAnsi="Times New Roman" w:cs="Times New Roman"/>
      <w:kern w:val="2"/>
      <w:sz w:val="21"/>
    </w:rPr>
  </w:style>
  <w:style w:type="paragraph" w:customStyle="1" w:styleId="3864">
    <w:name w:val="结束语11"/>
    <w:basedOn w:val="1"/>
    <w:qFormat/>
    <w:uiPriority w:val="99"/>
    <w:pPr>
      <w:spacing w:after="156" w:afterLines="50"/>
      <w:ind w:left="4252"/>
    </w:pPr>
    <w:rPr>
      <w:rFonts w:ascii="Arial" w:hAnsi="Arial" w:eastAsia="MS Gothic" w:cs="Times New Roman"/>
      <w:spacing w:val="-5"/>
      <w:sz w:val="20"/>
      <w:szCs w:val="21"/>
      <w:lang w:eastAsia="ja-JP"/>
    </w:rPr>
  </w:style>
  <w:style w:type="paragraph" w:customStyle="1" w:styleId="3865">
    <w:name w:val="列表21"/>
    <w:basedOn w:val="1"/>
    <w:qFormat/>
    <w:uiPriority w:val="99"/>
    <w:pPr>
      <w:widowControl w:val="0"/>
      <w:spacing w:after="156" w:afterLines="50" w:line="360" w:lineRule="auto"/>
      <w:ind w:left="420" w:hanging="420"/>
      <w:jc w:val="both"/>
    </w:pPr>
    <w:rPr>
      <w:rFonts w:ascii="Times New Roman" w:hAnsi="Times New Roman" w:cs="Times New Roman"/>
      <w:kern w:val="2"/>
    </w:rPr>
  </w:style>
  <w:style w:type="paragraph" w:customStyle="1" w:styleId="3866">
    <w:name w:val="标题 311"/>
    <w:basedOn w:val="1"/>
    <w:next w:val="21"/>
    <w:qFormat/>
    <w:uiPriority w:val="99"/>
    <w:pPr>
      <w:keepNext/>
      <w:keepLines/>
      <w:widowControl w:val="0"/>
      <w:tabs>
        <w:tab w:val="left" w:pos="720"/>
      </w:tabs>
      <w:adjustRightInd w:val="0"/>
      <w:spacing w:before="156" w:beforeLines="50" w:after="156" w:afterLines="50" w:line="360" w:lineRule="auto"/>
      <w:textAlignment w:val="baseline"/>
      <w:outlineLvl w:val="2"/>
    </w:pPr>
    <w:rPr>
      <w:rFonts w:hint="eastAsia" w:ascii="Times New Roman" w:hAnsi="Times New Roman" w:cs="Times New Roman"/>
      <w:b/>
      <w:sz w:val="28"/>
      <w:szCs w:val="21"/>
    </w:rPr>
  </w:style>
  <w:style w:type="paragraph" w:customStyle="1" w:styleId="3867">
    <w:name w:val="标题12"/>
    <w:basedOn w:val="3"/>
    <w:qFormat/>
    <w:uiPriority w:val="0"/>
    <w:pPr>
      <w:keepNext w:val="0"/>
      <w:tabs>
        <w:tab w:val="left" w:pos="4614"/>
      </w:tabs>
      <w:overflowPunct/>
      <w:spacing w:before="0" w:after="0" w:line="500" w:lineRule="exact"/>
      <w:ind w:left="0" w:firstLine="0"/>
      <w:jc w:val="both"/>
      <w:outlineLvl w:val="9"/>
    </w:pPr>
    <w:rPr>
      <w:rFonts w:ascii="Times New Roman" w:hAnsi="Times New Roman" w:eastAsia="宋体" w:cs="Times New Roman"/>
      <w:kern w:val="2"/>
      <w:szCs w:val="28"/>
      <w:lang w:val="zh-CN"/>
    </w:rPr>
  </w:style>
  <w:style w:type="paragraph" w:customStyle="1" w:styleId="3868">
    <w:name w:val="Char1 Char Char Char Char Char Char Char Char Char2"/>
    <w:basedOn w:val="1"/>
    <w:qFormat/>
    <w:uiPriority w:val="0"/>
    <w:pPr>
      <w:spacing w:after="160" w:line="240" w:lineRule="exact"/>
    </w:pPr>
    <w:rPr>
      <w:rFonts w:ascii="Verdana" w:hAnsi="Verdana" w:eastAsia="仿宋_GB2312" w:cs="Times New Roman"/>
      <w:szCs w:val="20"/>
      <w:lang w:eastAsia="en-US"/>
    </w:rPr>
  </w:style>
  <w:style w:type="character" w:customStyle="1" w:styleId="3869">
    <w:name w:val="Char Char101"/>
    <w:qFormat/>
    <w:uiPriority w:val="0"/>
    <w:rPr>
      <w:b/>
      <w:kern w:val="2"/>
      <w:sz w:val="24"/>
    </w:rPr>
  </w:style>
  <w:style w:type="character" w:customStyle="1" w:styleId="3870">
    <w:name w:val="Char Char91"/>
    <w:qFormat/>
    <w:uiPriority w:val="0"/>
    <w:rPr>
      <w:rFonts w:ascii="Cambria" w:hAnsi="Cambria"/>
      <w:kern w:val="2"/>
      <w:sz w:val="24"/>
    </w:rPr>
  </w:style>
  <w:style w:type="character" w:customStyle="1" w:styleId="3871">
    <w:name w:val="Char Char202"/>
    <w:qFormat/>
    <w:uiPriority w:val="0"/>
    <w:rPr>
      <w:rFonts w:ascii="宋体" w:hAnsi="宋体" w:eastAsia="宋体"/>
      <w:kern w:val="2"/>
      <w:sz w:val="24"/>
      <w:szCs w:val="28"/>
      <w:lang w:val="en-US" w:eastAsia="zh-CN" w:bidi="ar-SA"/>
    </w:rPr>
  </w:style>
  <w:style w:type="character" w:customStyle="1" w:styleId="3872">
    <w:name w:val="Char Char332"/>
    <w:qFormat/>
    <w:uiPriority w:val="0"/>
    <w:rPr>
      <w:rFonts w:ascii="Times New Roman" w:hAnsi="Times New Roman" w:eastAsia="宋体" w:cs="Times New Roman"/>
      <w:kern w:val="2"/>
      <w:sz w:val="18"/>
      <w:szCs w:val="18"/>
    </w:rPr>
  </w:style>
  <w:style w:type="character" w:customStyle="1" w:styleId="3873">
    <w:name w:val="Char Char Char Char Char1"/>
    <w:qFormat/>
    <w:uiPriority w:val="0"/>
    <w:rPr>
      <w:rFonts w:eastAsia="宋体"/>
      <w:kern w:val="2"/>
      <w:sz w:val="21"/>
      <w:szCs w:val="24"/>
      <w:lang w:val="en-US" w:eastAsia="zh-CN" w:bidi="ar-SA"/>
    </w:rPr>
  </w:style>
  <w:style w:type="character" w:customStyle="1" w:styleId="3874">
    <w:name w:val="访问过的超链接1"/>
    <w:qFormat/>
    <w:uiPriority w:val="0"/>
    <w:rPr>
      <w:rFonts w:hint="default" w:ascii="Times New Roman"/>
      <w:color w:val="800080"/>
      <w:u w:val="single"/>
    </w:rPr>
  </w:style>
  <w:style w:type="character" w:customStyle="1" w:styleId="3875">
    <w:name w:val="Char Char52"/>
    <w:qFormat/>
    <w:uiPriority w:val="0"/>
    <w:rPr>
      <w:rFonts w:eastAsia="宋体"/>
      <w:kern w:val="2"/>
      <w:sz w:val="18"/>
      <w:szCs w:val="18"/>
      <w:lang w:val="en-US" w:eastAsia="zh-CN" w:bidi="ar-SA"/>
    </w:rPr>
  </w:style>
  <w:style w:type="character" w:customStyle="1" w:styleId="3876">
    <w:name w:val="Char Char62"/>
    <w:qFormat/>
    <w:uiPriority w:val="0"/>
    <w:rPr>
      <w:kern w:val="2"/>
      <w:sz w:val="18"/>
    </w:rPr>
  </w:style>
  <w:style w:type="character" w:customStyle="1" w:styleId="3877">
    <w:name w:val="Char Char71"/>
    <w:qFormat/>
    <w:uiPriority w:val="0"/>
    <w:rPr>
      <w:b/>
      <w:kern w:val="2"/>
      <w:sz w:val="36"/>
    </w:rPr>
  </w:style>
  <w:style w:type="character" w:customStyle="1" w:styleId="3878">
    <w:name w:val="Char Char131"/>
    <w:qFormat/>
    <w:uiPriority w:val="0"/>
    <w:rPr>
      <w:rFonts w:ascii="Cambria" w:hAnsi="Cambria"/>
      <w:b/>
      <w:kern w:val="2"/>
      <w:sz w:val="28"/>
    </w:rPr>
  </w:style>
  <w:style w:type="character" w:customStyle="1" w:styleId="3879">
    <w:name w:val="Char Char152"/>
    <w:qFormat/>
    <w:uiPriority w:val="0"/>
    <w:rPr>
      <w:b/>
      <w:kern w:val="2"/>
      <w:sz w:val="30"/>
    </w:rPr>
  </w:style>
  <w:style w:type="character" w:customStyle="1" w:styleId="3880">
    <w:name w:val="Char Char242"/>
    <w:qFormat/>
    <w:uiPriority w:val="0"/>
    <w:rPr>
      <w:rFonts w:eastAsia="宋体"/>
      <w:kern w:val="2"/>
      <w:sz w:val="18"/>
      <w:szCs w:val="18"/>
      <w:lang w:val="en-US" w:eastAsia="zh-CN" w:bidi="ar-SA"/>
    </w:rPr>
  </w:style>
  <w:style w:type="character" w:customStyle="1" w:styleId="3881">
    <w:name w:val="Char Char192"/>
    <w:qFormat/>
    <w:uiPriority w:val="0"/>
    <w:rPr>
      <w:rFonts w:eastAsia="宋体"/>
      <w:kern w:val="2"/>
      <w:sz w:val="21"/>
      <w:szCs w:val="24"/>
      <w:lang w:val="en-US" w:eastAsia="zh-CN" w:bidi="ar-SA"/>
    </w:rPr>
  </w:style>
  <w:style w:type="character" w:customStyle="1" w:styleId="3882">
    <w:name w:val="Char Char212"/>
    <w:qFormat/>
    <w:uiPriority w:val="0"/>
    <w:rPr>
      <w:rFonts w:eastAsia="宋体"/>
      <w:kern w:val="2"/>
      <w:sz w:val="21"/>
      <w:szCs w:val="24"/>
      <w:lang w:val="en-US" w:eastAsia="zh-CN" w:bidi="ar-SA"/>
    </w:rPr>
  </w:style>
  <w:style w:type="character" w:customStyle="1" w:styleId="3883">
    <w:name w:val="Char Char222"/>
    <w:qFormat/>
    <w:uiPriority w:val="0"/>
    <w:rPr>
      <w:color w:val="FF0000"/>
      <w:kern w:val="2"/>
      <w:sz w:val="24"/>
    </w:rPr>
  </w:style>
  <w:style w:type="character" w:customStyle="1" w:styleId="3884">
    <w:name w:val="Char Char82"/>
    <w:qFormat/>
    <w:uiPriority w:val="0"/>
    <w:rPr>
      <w:rFonts w:ascii="宋体" w:hAnsi="Courier New" w:eastAsia="宋体"/>
      <w:kern w:val="2"/>
      <w:sz w:val="21"/>
      <w:lang w:val="en-US" w:eastAsia="zh-CN" w:bidi="ar-SA"/>
    </w:rPr>
  </w:style>
  <w:style w:type="character" w:customStyle="1" w:styleId="3885">
    <w:name w:val="Char Char38"/>
    <w:qFormat/>
    <w:uiPriority w:val="0"/>
    <w:rPr>
      <w:rFonts w:ascii="Times New Roman" w:hAnsi="Times New Roman" w:eastAsia="宋体" w:cs="Times New Roman"/>
      <w:szCs w:val="24"/>
    </w:rPr>
  </w:style>
  <w:style w:type="character" w:customStyle="1" w:styleId="3886">
    <w:name w:val="Char Char121"/>
    <w:qFormat/>
    <w:uiPriority w:val="0"/>
    <w:rPr>
      <w:b/>
      <w:kern w:val="2"/>
      <w:sz w:val="28"/>
    </w:rPr>
  </w:style>
  <w:style w:type="character" w:customStyle="1" w:styleId="3887">
    <w:name w:val="Char Char111"/>
    <w:qFormat/>
    <w:uiPriority w:val="0"/>
    <w:rPr>
      <w:rFonts w:ascii="Cambria" w:hAnsi="Cambria"/>
      <w:b/>
      <w:kern w:val="2"/>
      <w:sz w:val="24"/>
    </w:rPr>
  </w:style>
  <w:style w:type="character" w:customStyle="1" w:styleId="3888">
    <w:name w:val="Char Char161"/>
    <w:qFormat/>
    <w:uiPriority w:val="0"/>
    <w:rPr>
      <w:b/>
      <w:kern w:val="44"/>
      <w:sz w:val="32"/>
    </w:rPr>
  </w:style>
  <w:style w:type="character" w:customStyle="1" w:styleId="3889">
    <w:name w:val="Char Char141"/>
    <w:qFormat/>
    <w:uiPriority w:val="0"/>
    <w:rPr>
      <w:b/>
      <w:kern w:val="2"/>
      <w:sz w:val="28"/>
    </w:rPr>
  </w:style>
  <w:style w:type="character" w:customStyle="1" w:styleId="3890">
    <w:name w:val="Char Char252"/>
    <w:qFormat/>
    <w:uiPriority w:val="0"/>
    <w:rPr>
      <w:rFonts w:ascii="Cambria" w:hAnsi="Cambria" w:eastAsia="宋体" w:cs="Times New Roman"/>
      <w:b/>
      <w:kern w:val="28"/>
      <w:sz w:val="32"/>
      <w:szCs w:val="20"/>
    </w:rPr>
  </w:style>
  <w:style w:type="character" w:customStyle="1" w:styleId="3891">
    <w:name w:val="Char Char232"/>
    <w:qFormat/>
    <w:uiPriority w:val="0"/>
    <w:rPr>
      <w:rFonts w:eastAsia="宋体"/>
      <w:kern w:val="2"/>
      <w:sz w:val="16"/>
      <w:szCs w:val="16"/>
      <w:lang w:val="en-US" w:eastAsia="zh-CN" w:bidi="ar-SA"/>
    </w:rPr>
  </w:style>
  <w:style w:type="character" w:customStyle="1" w:styleId="3892">
    <w:name w:val="Char Char262"/>
    <w:qFormat/>
    <w:uiPriority w:val="0"/>
    <w:rPr>
      <w:rFonts w:ascii="Times New Roman" w:hAnsi="Times New Roman" w:eastAsia="宋体" w:cs="Times New Roman"/>
      <w:b/>
      <w:kern w:val="2"/>
      <w:sz w:val="36"/>
      <w:szCs w:val="20"/>
    </w:rPr>
  </w:style>
  <w:style w:type="paragraph" w:customStyle="1" w:styleId="3893">
    <w:name w:val="Char Char110"/>
    <w:basedOn w:val="26"/>
    <w:qFormat/>
    <w:uiPriority w:val="0"/>
    <w:pPr>
      <w:widowControl w:val="0"/>
      <w:shd w:val="clear" w:color="auto" w:fill="000080"/>
      <w:jc w:val="both"/>
    </w:pPr>
    <w:rPr>
      <w:rFonts w:ascii="Tahoma" w:hAnsi="Tahoma" w:cs="Times New Roman"/>
      <w:sz w:val="28"/>
      <w:szCs w:val="24"/>
    </w:rPr>
  </w:style>
  <w:style w:type="paragraph" w:customStyle="1" w:styleId="3894">
    <w:name w:val="Char Char1 Char Char Char Char2"/>
    <w:basedOn w:val="1"/>
    <w:qFormat/>
    <w:uiPriority w:val="0"/>
    <w:rPr>
      <w:rFonts w:ascii="Calibri" w:hAnsi="Calibri" w:cs="Times New Roman"/>
      <w:spacing w:val="-2"/>
      <w:szCs w:val="20"/>
    </w:rPr>
  </w:style>
  <w:style w:type="paragraph" w:customStyle="1" w:styleId="3895">
    <w:name w:val="Char Char Char Char Char Char Char Char Char Char Char Char1 Char1"/>
    <w:basedOn w:val="1"/>
    <w:qFormat/>
    <w:uiPriority w:val="0"/>
    <w:pPr>
      <w:widowControl w:val="0"/>
      <w:spacing w:line="360" w:lineRule="auto"/>
      <w:ind w:firstLine="200" w:firstLineChars="200"/>
      <w:jc w:val="both"/>
    </w:pPr>
    <w:rPr>
      <w:rFonts w:ascii="Calibri" w:hAnsi="Calibri" w:cs="Times New Roman"/>
      <w:spacing w:val="-2"/>
      <w:szCs w:val="20"/>
    </w:rPr>
  </w:style>
  <w:style w:type="paragraph" w:customStyle="1" w:styleId="3896">
    <w:name w:val="Char Char Char Char Char Char Char Char Char Char Char Char Char2"/>
    <w:basedOn w:val="1"/>
    <w:qFormat/>
    <w:uiPriority w:val="0"/>
    <w:pPr>
      <w:widowControl w:val="0"/>
      <w:jc w:val="both"/>
    </w:pPr>
    <w:rPr>
      <w:rFonts w:ascii="Calibri" w:hAnsi="Calibri" w:cs="Times New Roman"/>
      <w:spacing w:val="-2"/>
      <w:sz w:val="28"/>
      <w:szCs w:val="21"/>
    </w:rPr>
  </w:style>
  <w:style w:type="paragraph" w:customStyle="1" w:styleId="3897">
    <w:name w:val="要点12"/>
    <w:basedOn w:val="21"/>
    <w:qFormat/>
    <w:uiPriority w:val="0"/>
    <w:pPr>
      <w:widowControl w:val="0"/>
      <w:tabs>
        <w:tab w:val="left" w:pos="360"/>
        <w:tab w:val="left" w:pos="945"/>
      </w:tabs>
      <w:adjustRightInd w:val="0"/>
      <w:snapToGrid w:val="0"/>
      <w:spacing w:before="156" w:beforeLines="50" w:line="360" w:lineRule="exact"/>
      <w:ind w:left="945" w:right="567" w:rightChars="270" w:hanging="360" w:hangingChars="200"/>
      <w:jc w:val="both"/>
    </w:pPr>
    <w:rPr>
      <w:rFonts w:ascii="Times New Roman" w:hAnsi="Times New Roman" w:cs="Times New Roman"/>
      <w:sz w:val="20"/>
    </w:rPr>
  </w:style>
  <w:style w:type="paragraph" w:customStyle="1" w:styleId="3898">
    <w:name w:val="表标题7"/>
    <w:basedOn w:val="1"/>
    <w:qFormat/>
    <w:uiPriority w:val="0"/>
    <w:pPr>
      <w:keepNext/>
      <w:autoSpaceDE w:val="0"/>
      <w:autoSpaceDN w:val="0"/>
      <w:adjustRightInd w:val="0"/>
      <w:spacing w:before="180" w:after="120" w:line="408" w:lineRule="atLeast"/>
      <w:jc w:val="center"/>
      <w:textAlignment w:val="baseline"/>
    </w:pPr>
    <w:rPr>
      <w:rFonts w:ascii="Calibri" w:hAnsi="Calibri" w:cs="Times New Roman"/>
      <w:b/>
      <w:spacing w:val="2"/>
      <w:sz w:val="28"/>
      <w:szCs w:val="20"/>
    </w:rPr>
  </w:style>
  <w:style w:type="paragraph" w:customStyle="1" w:styleId="3899">
    <w:name w:val="普通(网站)14"/>
    <w:basedOn w:val="1"/>
    <w:qFormat/>
    <w:uiPriority w:val="0"/>
    <w:pPr>
      <w:spacing w:before="100" w:beforeAutospacing="1" w:after="100" w:afterAutospacing="1"/>
    </w:pPr>
    <w:rPr>
      <w:rFonts w:cs="Times New Roman"/>
      <w:spacing w:val="-2"/>
      <w:szCs w:val="20"/>
    </w:rPr>
  </w:style>
  <w:style w:type="paragraph" w:customStyle="1" w:styleId="3900">
    <w:name w:val="Char1 Char Char Char2"/>
    <w:basedOn w:val="1"/>
    <w:qFormat/>
    <w:uiPriority w:val="0"/>
    <w:pPr>
      <w:widowControl w:val="0"/>
      <w:adjustRightInd w:val="0"/>
      <w:spacing w:line="360" w:lineRule="auto"/>
      <w:jc w:val="both"/>
    </w:pPr>
    <w:rPr>
      <w:rFonts w:ascii="Calibri" w:hAnsi="Calibri" w:cs="Times New Roman"/>
      <w:spacing w:val="-2"/>
      <w:szCs w:val="20"/>
    </w:rPr>
  </w:style>
  <w:style w:type="paragraph" w:customStyle="1" w:styleId="3901">
    <w:name w:val="Char Char Char1 Char Char Char Char Char Char Char Char Char Char Char Char Char Char Char Char2"/>
    <w:basedOn w:val="1"/>
    <w:qFormat/>
    <w:uiPriority w:val="0"/>
    <w:pPr>
      <w:widowControl w:val="0"/>
      <w:spacing w:line="360" w:lineRule="auto"/>
      <w:ind w:firstLine="200" w:firstLineChars="200"/>
      <w:jc w:val="both"/>
    </w:pPr>
    <w:rPr>
      <w:spacing w:val="-2"/>
      <w:szCs w:val="20"/>
    </w:rPr>
  </w:style>
  <w:style w:type="paragraph" w:customStyle="1" w:styleId="3902">
    <w:name w:val="Char Char4 Char Char1"/>
    <w:basedOn w:val="1"/>
    <w:qFormat/>
    <w:uiPriority w:val="99"/>
    <w:pPr>
      <w:spacing w:after="160" w:line="240" w:lineRule="exact"/>
    </w:pPr>
    <w:rPr>
      <w:rFonts w:ascii="Verdana" w:hAnsi="Verdana" w:cs="Times New Roman"/>
      <w:spacing w:val="-2"/>
      <w:sz w:val="20"/>
      <w:szCs w:val="20"/>
      <w:lang w:eastAsia="en-US"/>
    </w:rPr>
  </w:style>
  <w:style w:type="character" w:customStyle="1" w:styleId="3903">
    <w:name w:val="Char Char Char Char Char Char Char Char Char Char Char Char Char Char Char Char Char Char Char Char Char Char Char Char Char Char Char Char Char Char Char Char Char Char Char Char Char Char Char Char Char Char Char Char Char Char Char Char Char Char  C2"/>
    <w:qFormat/>
    <w:uiPriority w:val="0"/>
    <w:rPr>
      <w:rFonts w:ascii="宋体" w:hAnsi="Courier New" w:eastAsia="宋体"/>
      <w:kern w:val="2"/>
      <w:sz w:val="21"/>
      <w:lang w:val="en-US" w:eastAsia="zh-CN" w:bidi="ar-SA"/>
    </w:rPr>
  </w:style>
  <w:style w:type="character" w:customStyle="1" w:styleId="3904">
    <w:name w:val="明显参考11"/>
    <w:qFormat/>
    <w:uiPriority w:val="0"/>
    <w:rPr>
      <w:b/>
      <w:bCs/>
      <w:smallCaps/>
      <w:color w:val="C0504D"/>
      <w:spacing w:val="5"/>
      <w:u w:val="single"/>
    </w:rPr>
  </w:style>
  <w:style w:type="character" w:customStyle="1" w:styleId="3905">
    <w:name w:val="不明显强调11"/>
    <w:qFormat/>
    <w:uiPriority w:val="0"/>
    <w:rPr>
      <w:i/>
      <w:iCs/>
      <w:color w:val="808080"/>
    </w:rPr>
  </w:style>
  <w:style w:type="character" w:customStyle="1" w:styleId="3906">
    <w:name w:val="明显强调11"/>
    <w:qFormat/>
    <w:uiPriority w:val="0"/>
    <w:rPr>
      <w:b/>
      <w:bCs/>
      <w:i/>
      <w:iCs/>
      <w:color w:val="4F81BD"/>
    </w:rPr>
  </w:style>
  <w:style w:type="character" w:customStyle="1" w:styleId="3907">
    <w:name w:val="Char1 Char Char Char Char Char Char Char Char2"/>
    <w:qFormat/>
    <w:uiPriority w:val="0"/>
    <w:rPr>
      <w:rFonts w:ascii="宋体" w:hAnsi="宋体" w:eastAsia="宋体" w:cs="宋体"/>
      <w:kern w:val="2"/>
      <w:sz w:val="24"/>
      <w:szCs w:val="24"/>
      <w:lang w:val="en-US" w:eastAsia="zh-CN" w:bidi="ar-SA"/>
    </w:rPr>
  </w:style>
  <w:style w:type="character" w:customStyle="1" w:styleId="3908">
    <w:name w:val="占位符文本11"/>
    <w:qFormat/>
    <w:uiPriority w:val="0"/>
    <w:rPr>
      <w:color w:val="808080"/>
    </w:rPr>
  </w:style>
  <w:style w:type="character" w:customStyle="1" w:styleId="3909">
    <w:name w:val="不明显参考11"/>
    <w:qFormat/>
    <w:uiPriority w:val="0"/>
    <w:rPr>
      <w:smallCaps/>
      <w:color w:val="C0504D"/>
      <w:u w:val="single"/>
    </w:rPr>
  </w:style>
  <w:style w:type="character" w:customStyle="1" w:styleId="3910">
    <w:name w:val="Char Char210"/>
    <w:qFormat/>
    <w:uiPriority w:val="0"/>
    <w:rPr>
      <w:rFonts w:hint="eastAsia" w:ascii="宋体" w:hAnsi="宋体" w:eastAsia="宋体"/>
      <w:sz w:val="24"/>
      <w:lang w:val="en-US" w:eastAsia="zh-CN" w:bidi="ar-SA"/>
    </w:rPr>
  </w:style>
  <w:style w:type="paragraph" w:customStyle="1" w:styleId="3911">
    <w:name w:val="Char Char Char Char Char Char11"/>
    <w:basedOn w:val="1"/>
    <w:qFormat/>
    <w:uiPriority w:val="0"/>
    <w:pPr>
      <w:widowControl w:val="0"/>
      <w:ind w:firstLine="200" w:firstLineChars="200"/>
      <w:jc w:val="both"/>
    </w:pPr>
    <w:rPr>
      <w:rFonts w:ascii="Times New Roman" w:hAnsi="Times New Roman" w:cs="Times New Roman"/>
      <w:kern w:val="2"/>
      <w:sz w:val="21"/>
      <w:szCs w:val="20"/>
    </w:rPr>
  </w:style>
  <w:style w:type="paragraph" w:customStyle="1" w:styleId="3912">
    <w:name w:val="Char Char Char Char Char Char2 Char Char Char2 Char2"/>
    <w:basedOn w:val="1"/>
    <w:qFormat/>
    <w:uiPriority w:val="0"/>
    <w:pPr>
      <w:widowControl w:val="0"/>
      <w:jc w:val="both"/>
    </w:pPr>
    <w:rPr>
      <w:rFonts w:ascii="Times New Roman" w:hAnsi="Times New Roman" w:cs="Times New Roman"/>
      <w:kern w:val="2"/>
      <w:sz w:val="21"/>
    </w:rPr>
  </w:style>
  <w:style w:type="paragraph" w:customStyle="1" w:styleId="3913">
    <w:name w:val="Char Char Char Char Char Char Char Char Char Char Char Char Char Char Char Char Char Char Char Char Char Char2"/>
    <w:basedOn w:val="1"/>
    <w:qFormat/>
    <w:uiPriority w:val="0"/>
    <w:pPr>
      <w:widowControl w:val="0"/>
      <w:spacing w:line="480" w:lineRule="exact"/>
      <w:jc w:val="both"/>
    </w:pPr>
    <w:rPr>
      <w:rFonts w:ascii="Times New Roman" w:hAnsi="Times New Roman" w:cs="Times New Roman"/>
      <w:kern w:val="2"/>
      <w:sz w:val="21"/>
    </w:rPr>
  </w:style>
  <w:style w:type="paragraph" w:customStyle="1" w:styleId="3914">
    <w:name w:val="Char Char5 Char2"/>
    <w:basedOn w:val="1"/>
    <w:qFormat/>
    <w:uiPriority w:val="0"/>
    <w:pPr>
      <w:widowControl w:val="0"/>
      <w:ind w:firstLine="200" w:firstLineChars="200"/>
      <w:jc w:val="both"/>
    </w:pPr>
    <w:rPr>
      <w:kern w:val="2"/>
      <w:sz w:val="21"/>
    </w:rPr>
  </w:style>
  <w:style w:type="paragraph" w:customStyle="1" w:styleId="3915">
    <w:name w:val="Char Char8 Char2"/>
    <w:basedOn w:val="1"/>
    <w:qFormat/>
    <w:uiPriority w:val="0"/>
    <w:pPr>
      <w:widowControl w:val="0"/>
      <w:ind w:firstLine="200" w:firstLineChars="200"/>
      <w:jc w:val="both"/>
    </w:pPr>
    <w:rPr>
      <w:kern w:val="2"/>
      <w:sz w:val="21"/>
    </w:rPr>
  </w:style>
  <w:style w:type="paragraph" w:customStyle="1" w:styleId="3916">
    <w:name w:val="Char Char Char Char Char Char Char Char Char Char Char Char Char Char Char Char Char Char Char1"/>
    <w:basedOn w:val="1"/>
    <w:qFormat/>
    <w:uiPriority w:val="0"/>
    <w:pPr>
      <w:widowControl w:val="0"/>
      <w:spacing w:after="160" w:line="240" w:lineRule="exact"/>
      <w:jc w:val="both"/>
    </w:pPr>
    <w:rPr>
      <w:rFonts w:ascii="Arial" w:hAnsi="Arial" w:eastAsia="Times New Roman" w:cs="Verdana"/>
      <w:b/>
      <w:kern w:val="2"/>
      <w:sz w:val="21"/>
      <w:lang w:eastAsia="en-US"/>
    </w:rPr>
  </w:style>
  <w:style w:type="paragraph" w:customStyle="1" w:styleId="3917">
    <w:name w:val="Char1 Char Char Char Char Char Char1"/>
    <w:basedOn w:val="1"/>
    <w:qFormat/>
    <w:uiPriority w:val="99"/>
    <w:pPr>
      <w:widowControl w:val="0"/>
      <w:ind w:firstLine="200" w:firstLineChars="200"/>
      <w:jc w:val="both"/>
    </w:pPr>
    <w:rPr>
      <w:kern w:val="2"/>
      <w:sz w:val="21"/>
    </w:rPr>
  </w:style>
  <w:style w:type="paragraph" w:customStyle="1" w:styleId="3918">
    <w:name w:val="正文文本缩进 214"/>
    <w:basedOn w:val="1"/>
    <w:qFormat/>
    <w:uiPriority w:val="0"/>
    <w:pPr>
      <w:widowControl w:val="0"/>
      <w:adjustRightInd w:val="0"/>
      <w:spacing w:after="120" w:line="400" w:lineRule="exact"/>
      <w:ind w:firstLine="525" w:firstLineChars="200"/>
      <w:jc w:val="both"/>
    </w:pPr>
    <w:rPr>
      <w:rFonts w:hAnsi="Times New Roman" w:cs="Times New Roman"/>
      <w:spacing w:val="16"/>
      <w:kern w:val="2"/>
      <w:sz w:val="21"/>
      <w:szCs w:val="20"/>
    </w:rPr>
  </w:style>
  <w:style w:type="paragraph" w:customStyle="1" w:styleId="3919">
    <w:name w:val="Char Char3 Char Char2"/>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920">
    <w:name w:val="Char1 Char Char2 Char Char Char Char Char Char Char Char Char Char Char Char Char Char Char Char Char Char Char Char Char12"/>
    <w:basedOn w:val="1"/>
    <w:qFormat/>
    <w:uiPriority w:val="0"/>
    <w:pPr>
      <w:widowControl w:val="0"/>
      <w:spacing w:after="160" w:line="240" w:lineRule="exact"/>
      <w:jc w:val="both"/>
    </w:pPr>
    <w:rPr>
      <w:rFonts w:ascii="Verdana" w:hAnsi="Verdana" w:eastAsia="仿宋_GB2312" w:cs="Times New Roman"/>
      <w:sz w:val="30"/>
      <w:szCs w:val="30"/>
      <w:lang w:eastAsia="en-US"/>
    </w:rPr>
  </w:style>
  <w:style w:type="paragraph" w:customStyle="1" w:styleId="3921">
    <w:name w:val="Char Char Char2 Char Char2"/>
    <w:basedOn w:val="1"/>
    <w:qFormat/>
    <w:uiPriority w:val="0"/>
    <w:pPr>
      <w:widowControl w:val="0"/>
      <w:ind w:firstLine="200" w:firstLineChars="200"/>
      <w:jc w:val="both"/>
    </w:pPr>
    <w:rPr>
      <w:kern w:val="2"/>
      <w:sz w:val="21"/>
    </w:rPr>
  </w:style>
  <w:style w:type="paragraph" w:customStyle="1" w:styleId="3922">
    <w:name w:val="Char Char2 Char Char Char Char Char Char Char2"/>
    <w:basedOn w:val="1"/>
    <w:qFormat/>
    <w:uiPriority w:val="0"/>
    <w:pPr>
      <w:widowControl w:val="0"/>
      <w:ind w:firstLine="200" w:firstLineChars="200"/>
      <w:jc w:val="both"/>
    </w:pPr>
    <w:rPr>
      <w:kern w:val="2"/>
      <w:sz w:val="21"/>
    </w:rPr>
  </w:style>
  <w:style w:type="paragraph" w:customStyle="1" w:styleId="3923">
    <w:name w:val="Char Char Char Char Char Char1 Char Char Char Char2"/>
    <w:basedOn w:val="1"/>
    <w:qFormat/>
    <w:uiPriority w:val="0"/>
    <w:pPr>
      <w:widowControl w:val="0"/>
      <w:spacing w:after="160" w:line="240" w:lineRule="exact"/>
      <w:jc w:val="both"/>
    </w:pPr>
    <w:rPr>
      <w:rFonts w:ascii="Verdana" w:hAnsi="Verdana" w:eastAsia="仿宋_GB2312" w:cs="Times New Roman"/>
      <w:sz w:val="30"/>
      <w:szCs w:val="30"/>
      <w:lang w:eastAsia="en-US"/>
    </w:rPr>
  </w:style>
  <w:style w:type="paragraph" w:customStyle="1" w:styleId="3924">
    <w:name w:val="Char Char Char Char Char Char Char Char Char1 Char2"/>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8"/>
    </w:rPr>
  </w:style>
  <w:style w:type="paragraph" w:customStyle="1" w:styleId="3925">
    <w:name w:val="无间隔1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926">
    <w:name w:val="正文缩进11"/>
    <w:basedOn w:val="1"/>
    <w:qFormat/>
    <w:uiPriority w:val="0"/>
    <w:pPr>
      <w:widowControl w:val="0"/>
      <w:adjustRightInd w:val="0"/>
      <w:snapToGrid w:val="0"/>
      <w:ind w:firstLine="150" w:firstLineChars="150"/>
      <w:jc w:val="both"/>
    </w:pPr>
    <w:rPr>
      <w:rFonts w:ascii="Times New Roman" w:hAnsi="Times New Roman" w:cs="Times New Roman"/>
      <w:kern w:val="2"/>
      <w:sz w:val="21"/>
      <w:szCs w:val="20"/>
    </w:rPr>
  </w:style>
  <w:style w:type="paragraph" w:customStyle="1" w:styleId="3927">
    <w:name w:val="Char Char Char Char Char Char Char Char Char Char Char Char Char Char Char Char Char Char Char Char Char Char Char Char Char Char Char Char Char Char Char Char Char Char Char Char Char Char Char Char1"/>
    <w:basedOn w:val="1"/>
    <w:qFormat/>
    <w:uiPriority w:val="0"/>
    <w:pPr>
      <w:widowControl w:val="0"/>
      <w:jc w:val="both"/>
    </w:pPr>
    <w:rPr>
      <w:rFonts w:ascii="Times New Roman" w:hAnsi="Times New Roman" w:cs="Times New Roman"/>
      <w:kern w:val="2"/>
      <w:sz w:val="21"/>
    </w:rPr>
  </w:style>
  <w:style w:type="paragraph" w:customStyle="1" w:styleId="3928">
    <w:name w:val="Char1 Char Char2"/>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929">
    <w:name w:val="列出段落11"/>
    <w:basedOn w:val="1"/>
    <w:qFormat/>
    <w:uiPriority w:val="0"/>
    <w:pPr>
      <w:widowControl w:val="0"/>
      <w:ind w:firstLine="420" w:firstLineChars="200"/>
      <w:jc w:val="both"/>
    </w:pPr>
    <w:rPr>
      <w:rFonts w:ascii="Times New Roman" w:hAnsi="Times New Roman" w:cs="Times New Roman"/>
      <w:kern w:val="2"/>
      <w:sz w:val="21"/>
    </w:rPr>
  </w:style>
  <w:style w:type="paragraph" w:customStyle="1" w:styleId="3930">
    <w:name w:val="明显引用11"/>
    <w:basedOn w:val="1"/>
    <w:next w:val="1"/>
    <w:qFormat/>
    <w:uiPriority w:val="0"/>
    <w:pPr>
      <w:widowControl w:val="0"/>
      <w:pBdr>
        <w:bottom w:val="single" w:color="4F81BD" w:sz="4" w:space="4"/>
      </w:pBdr>
      <w:spacing w:before="200" w:after="280"/>
      <w:ind w:left="936" w:right="936"/>
      <w:jc w:val="both"/>
    </w:pPr>
    <w:rPr>
      <w:rFonts w:ascii="Times New Roman" w:hAnsi="Times New Roman" w:cs="Times New Roman"/>
      <w:b/>
      <w:bCs/>
      <w:i/>
      <w:iCs/>
      <w:color w:val="4F81BD"/>
      <w:sz w:val="20"/>
    </w:rPr>
  </w:style>
  <w:style w:type="paragraph" w:customStyle="1" w:styleId="3931">
    <w:name w:val="Char Char2 Char Char Char Char Char Char Char Char Char Char2"/>
    <w:basedOn w:val="1"/>
    <w:qFormat/>
    <w:uiPriority w:val="0"/>
    <w:pPr>
      <w:widowControl w:val="0"/>
      <w:ind w:firstLine="200" w:firstLineChars="200"/>
      <w:jc w:val="both"/>
    </w:pPr>
    <w:rPr>
      <w:kern w:val="2"/>
      <w:sz w:val="21"/>
    </w:rPr>
  </w:style>
  <w:style w:type="paragraph" w:customStyle="1" w:styleId="3932">
    <w:name w:val="Char Char Char Char Char Char1 Char Char Char1 Char2"/>
    <w:basedOn w:val="1"/>
    <w:qFormat/>
    <w:uiPriority w:val="0"/>
    <w:pPr>
      <w:widowControl w:val="0"/>
      <w:spacing w:after="160" w:line="240" w:lineRule="exact"/>
      <w:jc w:val="both"/>
    </w:pPr>
    <w:rPr>
      <w:rFonts w:ascii="Verdana" w:hAnsi="Verdana" w:eastAsia="仿宋_GB2312" w:cs="Times New Roman"/>
      <w:sz w:val="30"/>
      <w:szCs w:val="30"/>
      <w:lang w:eastAsia="en-US"/>
    </w:rPr>
  </w:style>
  <w:style w:type="paragraph" w:customStyle="1" w:styleId="3933">
    <w:name w:val="引用21"/>
    <w:basedOn w:val="1"/>
    <w:next w:val="1"/>
    <w:qFormat/>
    <w:uiPriority w:val="0"/>
    <w:pPr>
      <w:widowControl w:val="0"/>
      <w:jc w:val="both"/>
    </w:pPr>
    <w:rPr>
      <w:rFonts w:ascii="Times New Roman" w:hAnsi="Times New Roman" w:cs="Times New Roman"/>
      <w:i/>
      <w:iCs/>
      <w:color w:val="000000"/>
      <w:sz w:val="20"/>
    </w:rPr>
  </w:style>
  <w:style w:type="paragraph" w:customStyle="1" w:styleId="3934">
    <w:name w:val="Char Char Char Char Char Char1 Char Char Char1 Char Char Char Char2"/>
    <w:basedOn w:val="1"/>
    <w:qFormat/>
    <w:uiPriority w:val="0"/>
    <w:pPr>
      <w:widowControl w:val="0"/>
      <w:spacing w:after="160" w:line="240" w:lineRule="exact"/>
      <w:jc w:val="both"/>
    </w:pPr>
    <w:rPr>
      <w:rFonts w:ascii="Verdana" w:hAnsi="Verdana" w:eastAsia="仿宋_GB2312" w:cs="Times New Roman"/>
      <w:sz w:val="30"/>
      <w:szCs w:val="30"/>
      <w:lang w:eastAsia="en-US"/>
    </w:rPr>
  </w:style>
  <w:style w:type="paragraph" w:customStyle="1" w:styleId="3935">
    <w:name w:val="Char Char Char1 Char11"/>
    <w:basedOn w:val="1"/>
    <w:qFormat/>
    <w:uiPriority w:val="0"/>
    <w:pPr>
      <w:widowControl w:val="0"/>
      <w:jc w:val="both"/>
    </w:pPr>
    <w:rPr>
      <w:rFonts w:ascii="Times New Roman" w:hAnsi="Times New Roman" w:cs="Times New Roman"/>
      <w:kern w:val="2"/>
      <w:sz w:val="21"/>
    </w:rPr>
  </w:style>
  <w:style w:type="paragraph" w:customStyle="1" w:styleId="3936">
    <w:name w:val="Char Char Char Char Char Char Char Char Char1 Char Char Char Char2"/>
    <w:basedOn w:val="1"/>
    <w:qFormat/>
    <w:uiPriority w:val="0"/>
    <w:pPr>
      <w:widowControl w:val="0"/>
      <w:jc w:val="both"/>
    </w:pPr>
    <w:rPr>
      <w:rFonts w:ascii="Times New Roman" w:hAnsi="Times New Roman" w:cs="Times New Roman"/>
      <w:kern w:val="2"/>
      <w:sz w:val="21"/>
      <w:szCs w:val="21"/>
    </w:rPr>
  </w:style>
  <w:style w:type="paragraph" w:customStyle="1" w:styleId="3937">
    <w:name w:val="Char Char Char Char Char Char Char Char Char Char Char Char Char Char Char Char Char Char Char Char Char Char Char Char Char Char Char Char Char Char Char Char Char Char Char Char Char Char Char Char Char Char Char1"/>
    <w:basedOn w:val="1"/>
    <w:next w:val="1"/>
    <w:qFormat/>
    <w:uiPriority w:val="0"/>
    <w:pPr>
      <w:widowControl w:val="0"/>
      <w:jc w:val="both"/>
    </w:pPr>
    <w:rPr>
      <w:rFonts w:ascii="Times New Roman" w:hAnsi="Times New Roman" w:cs="Times New Roman"/>
      <w:kern w:val="2"/>
      <w:sz w:val="21"/>
    </w:rPr>
  </w:style>
  <w:style w:type="paragraph" w:customStyle="1" w:styleId="3938">
    <w:name w:val="Char Char Char Char Char Char Char Char Char1 Char Char Char Char Char Char Char2"/>
    <w:basedOn w:val="1"/>
    <w:qFormat/>
    <w:uiPriority w:val="0"/>
    <w:pPr>
      <w:widowControl w:val="0"/>
      <w:jc w:val="both"/>
    </w:pPr>
    <w:rPr>
      <w:rFonts w:ascii="Times New Roman" w:hAnsi="Times New Roman" w:cs="Times New Roman"/>
      <w:kern w:val="2"/>
      <w:sz w:val="21"/>
      <w:szCs w:val="21"/>
    </w:rPr>
  </w:style>
  <w:style w:type="paragraph" w:customStyle="1" w:styleId="3939">
    <w:name w:val="Char4 Char Char Char Char Char Char2"/>
    <w:basedOn w:val="1"/>
    <w:qFormat/>
    <w:uiPriority w:val="99"/>
    <w:pPr>
      <w:widowControl w:val="0"/>
      <w:jc w:val="both"/>
    </w:pPr>
    <w:rPr>
      <w:rFonts w:ascii="Times New Roman" w:hAnsi="Times New Roman" w:cs="Times New Roman"/>
      <w:kern w:val="2"/>
      <w:sz w:val="21"/>
    </w:rPr>
  </w:style>
  <w:style w:type="paragraph" w:customStyle="1" w:styleId="3940">
    <w:name w:val="Char Char4 Char Char Char Char3"/>
    <w:basedOn w:val="1"/>
    <w:qFormat/>
    <w:uiPriority w:val="0"/>
    <w:pPr>
      <w:widowControl w:val="0"/>
      <w:ind w:firstLine="200" w:firstLineChars="200"/>
      <w:jc w:val="both"/>
    </w:pPr>
    <w:rPr>
      <w:kern w:val="2"/>
      <w:sz w:val="21"/>
    </w:rPr>
  </w:style>
  <w:style w:type="paragraph" w:customStyle="1" w:styleId="3941">
    <w:name w:val="Char1 Char Char Char Char Char Char Char Char Char Char Char Char Char Char Char2"/>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942">
    <w:name w:val="Char51"/>
    <w:basedOn w:val="86"/>
    <w:next w:val="1"/>
    <w:qFormat/>
    <w:uiPriority w:val="0"/>
    <w:pPr>
      <w:spacing w:after="120" w:line="360" w:lineRule="auto"/>
      <w:ind w:firstLine="480" w:firstLineChars="200"/>
    </w:pPr>
    <w:rPr>
      <w:rFonts w:ascii="Verdana" w:hAnsi="Verdana"/>
      <w:kern w:val="2"/>
      <w:sz w:val="21"/>
      <w:lang w:eastAsia="en-US"/>
    </w:rPr>
  </w:style>
  <w:style w:type="paragraph" w:customStyle="1" w:styleId="3943">
    <w:name w:val="Char5 Char Char Char1 Char Char Char1"/>
    <w:basedOn w:val="1"/>
    <w:qFormat/>
    <w:uiPriority w:val="0"/>
    <w:pPr>
      <w:widowControl w:val="0"/>
      <w:jc w:val="both"/>
    </w:pPr>
    <w:rPr>
      <w:rFonts w:ascii="Times New Roman" w:hAnsi="Times New Roman" w:cs="Times New Roman"/>
      <w:kern w:val="2"/>
      <w:sz w:val="21"/>
    </w:rPr>
  </w:style>
  <w:style w:type="paragraph" w:customStyle="1" w:styleId="3944">
    <w:name w:val="Char Char Char1 Char Char Char Char2"/>
    <w:basedOn w:val="1"/>
    <w:qFormat/>
    <w:uiPriority w:val="0"/>
    <w:pPr>
      <w:widowControl w:val="0"/>
      <w:adjustRightInd w:val="0"/>
      <w:jc w:val="both"/>
    </w:pPr>
    <w:rPr>
      <w:rFonts w:ascii="Times New Roman" w:hAnsi="Times New Roman" w:cs="Times New Roman"/>
      <w:sz w:val="21"/>
      <w:szCs w:val="20"/>
    </w:rPr>
  </w:style>
  <w:style w:type="paragraph" w:customStyle="1" w:styleId="3945">
    <w:name w:val="字元 字元11"/>
    <w:basedOn w:val="1"/>
    <w:qFormat/>
    <w:uiPriority w:val="0"/>
    <w:pPr>
      <w:widowControl w:val="0"/>
      <w:adjustRightInd w:val="0"/>
      <w:snapToGrid w:val="0"/>
      <w:ind w:firstLine="200" w:firstLineChars="200"/>
      <w:jc w:val="both"/>
    </w:pPr>
    <w:rPr>
      <w:rFonts w:ascii="Times New Roman" w:hAnsi="Times New Roman" w:cs="Times New Roman"/>
      <w:kern w:val="2"/>
      <w:sz w:val="21"/>
    </w:rPr>
  </w:style>
  <w:style w:type="paragraph" w:customStyle="1" w:styleId="3946">
    <w:name w:val="Char1 Char Char Char1 Char Char2"/>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947">
    <w:name w:val="Char Char1 Char Char Char Char Char Char Char Char Char Char Char Char Char Char Char Char Char Char Char Char1 Char1"/>
    <w:basedOn w:val="1"/>
    <w:qFormat/>
    <w:uiPriority w:val="0"/>
    <w:pPr>
      <w:widowControl w:val="0"/>
      <w:spacing w:line="360" w:lineRule="auto"/>
      <w:ind w:firstLine="200" w:firstLineChars="200"/>
      <w:jc w:val="both"/>
    </w:pPr>
    <w:rPr>
      <w:kern w:val="2"/>
    </w:rPr>
  </w:style>
  <w:style w:type="paragraph" w:customStyle="1" w:styleId="3948">
    <w:name w:val="Char41"/>
    <w:basedOn w:val="1"/>
    <w:qFormat/>
    <w:uiPriority w:val="0"/>
    <w:pPr>
      <w:widowControl w:val="0"/>
      <w:jc w:val="both"/>
    </w:pPr>
    <w:rPr>
      <w:rFonts w:ascii="Times New Roman" w:hAnsi="Times New Roman" w:cs="Times New Roman"/>
      <w:color w:val="000000"/>
      <w:kern w:val="2"/>
      <w:sz w:val="21"/>
    </w:rPr>
  </w:style>
  <w:style w:type="paragraph" w:customStyle="1" w:styleId="3949">
    <w:name w:val="Char1 Char Char1 Char1"/>
    <w:basedOn w:val="1"/>
    <w:qFormat/>
    <w:uiPriority w:val="0"/>
    <w:pPr>
      <w:widowControl w:val="0"/>
      <w:adjustRightInd w:val="0"/>
      <w:snapToGrid w:val="0"/>
      <w:spacing w:line="400" w:lineRule="exact"/>
      <w:ind w:firstLine="200" w:firstLineChars="200"/>
      <w:jc w:val="both"/>
    </w:pPr>
    <w:rPr>
      <w:rFonts w:ascii="Times New Roman" w:hAnsi="Times New Roman" w:cs="Times New Roman"/>
      <w:kern w:val="2"/>
      <w:szCs w:val="20"/>
    </w:rPr>
  </w:style>
  <w:style w:type="paragraph" w:customStyle="1" w:styleId="3950">
    <w:name w:val="Char Char Char Char Zchn Zchn Char Char2"/>
    <w:basedOn w:val="26"/>
    <w:qFormat/>
    <w:uiPriority w:val="0"/>
    <w:pPr>
      <w:widowControl w:val="0"/>
      <w:shd w:val="clear" w:color="auto" w:fill="000080"/>
      <w:adjustRightInd w:val="0"/>
      <w:spacing w:line="436" w:lineRule="exact"/>
      <w:ind w:left="357"/>
      <w:jc w:val="both"/>
      <w:outlineLvl w:val="3"/>
    </w:pPr>
    <w:rPr>
      <w:rFonts w:ascii="Tahoma" w:hAnsi="Tahoma" w:cs="Times New Roman"/>
      <w:b/>
      <w:kern w:val="2"/>
      <w:sz w:val="21"/>
      <w:szCs w:val="24"/>
    </w:rPr>
  </w:style>
  <w:style w:type="paragraph" w:customStyle="1" w:styleId="3951">
    <w:name w:val="Char1 Char Char Char Char Char Char1 Char Char Char1"/>
    <w:basedOn w:val="1"/>
    <w:qFormat/>
    <w:uiPriority w:val="0"/>
    <w:pPr>
      <w:widowControl w:val="0"/>
      <w:ind w:firstLine="200" w:firstLineChars="200"/>
      <w:jc w:val="both"/>
    </w:pPr>
    <w:rPr>
      <w:kern w:val="2"/>
      <w:sz w:val="21"/>
    </w:rPr>
  </w:style>
  <w:style w:type="paragraph" w:customStyle="1" w:styleId="3952">
    <w:name w:val="Char Char Char Char Char Char Char Char Char Char1 Char Char Char Char Char Char Char Char Char Char Char Char Char Char Char Char Char Char2"/>
    <w:basedOn w:val="1"/>
    <w:qFormat/>
    <w:uiPriority w:val="0"/>
    <w:pPr>
      <w:widowControl w:val="0"/>
      <w:jc w:val="both"/>
    </w:pPr>
    <w:rPr>
      <w:rFonts w:ascii="Times New Roman" w:hAnsi="Times New Roman" w:cs="Times New Roman"/>
      <w:kern w:val="2"/>
      <w:sz w:val="21"/>
    </w:rPr>
  </w:style>
  <w:style w:type="paragraph" w:customStyle="1" w:styleId="3953">
    <w:name w:val="TOC 标题11"/>
    <w:basedOn w:val="3"/>
    <w:next w:val="1"/>
    <w:qFormat/>
    <w:uiPriority w:val="0"/>
    <w:pPr>
      <w:keepNext w:val="0"/>
      <w:keepLines/>
      <w:tabs>
        <w:tab w:val="left" w:pos="0"/>
        <w:tab w:val="left" w:pos="4614"/>
      </w:tabs>
      <w:overflowPunct/>
      <w:adjustRightInd w:val="0"/>
      <w:spacing w:before="156" w:after="156" w:line="576" w:lineRule="auto"/>
      <w:ind w:left="0" w:firstLine="0"/>
      <w:jc w:val="center"/>
      <w:outlineLvl w:val="9"/>
    </w:pPr>
    <w:rPr>
      <w:rFonts w:ascii="Times New Roman" w:hAnsi="Times New Roman" w:eastAsia="宋体" w:cs="仿宋_GB2312"/>
      <w:bCs w:val="0"/>
      <w:color w:val="auto"/>
      <w:sz w:val="36"/>
      <w:szCs w:val="44"/>
    </w:rPr>
  </w:style>
  <w:style w:type="character" w:customStyle="1" w:styleId="3954">
    <w:name w:val="Char Char371"/>
    <w:qFormat/>
    <w:uiPriority w:val="0"/>
    <w:rPr>
      <w:rFonts w:ascii="Times New Roman" w:hAnsi="Times New Roman" w:eastAsia="宋体" w:cs="Times New Roman"/>
      <w:sz w:val="24"/>
      <w:szCs w:val="24"/>
      <w:shd w:val="clear" w:color="auto" w:fill="000080"/>
    </w:rPr>
  </w:style>
  <w:style w:type="character" w:customStyle="1" w:styleId="3955">
    <w:name w:val="Char Char362"/>
    <w:qFormat/>
    <w:uiPriority w:val="0"/>
    <w:rPr>
      <w:rFonts w:ascii="Times New Roman" w:hAnsi="Times New Roman" w:eastAsia="宋体" w:cs="Times New Roman"/>
      <w:szCs w:val="24"/>
    </w:rPr>
  </w:style>
  <w:style w:type="character" w:customStyle="1" w:styleId="3956">
    <w:name w:val="Char Char352"/>
    <w:qFormat/>
    <w:uiPriority w:val="0"/>
    <w:rPr>
      <w:rFonts w:ascii="Times New Roman" w:hAnsi="Times New Roman" w:eastAsia="宋体" w:cs="Times New Roman"/>
      <w:sz w:val="18"/>
      <w:szCs w:val="18"/>
    </w:rPr>
  </w:style>
  <w:style w:type="character" w:customStyle="1" w:styleId="3957">
    <w:name w:val="Char Char341"/>
    <w:qFormat/>
    <w:uiPriority w:val="0"/>
    <w:rPr>
      <w:rFonts w:ascii="Times New Roman" w:hAnsi="Times New Roman" w:eastAsia="宋体" w:cs="Times New Roman"/>
      <w:sz w:val="24"/>
      <w:szCs w:val="20"/>
    </w:rPr>
  </w:style>
  <w:style w:type="character" w:customStyle="1" w:styleId="3958">
    <w:name w:val="Char Char321"/>
    <w:qFormat/>
    <w:uiPriority w:val="0"/>
    <w:rPr>
      <w:rFonts w:ascii="Times New Roman" w:hAnsi="Times New Roman" w:eastAsia="宋体" w:cs="Times New Roman"/>
      <w:b/>
      <w:bCs/>
      <w:sz w:val="24"/>
      <w:szCs w:val="24"/>
    </w:rPr>
  </w:style>
  <w:style w:type="character" w:customStyle="1" w:styleId="3959">
    <w:name w:val="Char Char311"/>
    <w:qFormat/>
    <w:uiPriority w:val="0"/>
    <w:rPr>
      <w:rFonts w:ascii="Arial" w:hAnsi="Arial" w:eastAsia="仿宋_GB2312" w:cs="Arial"/>
      <w:bCs/>
      <w:sz w:val="24"/>
      <w:szCs w:val="32"/>
    </w:rPr>
  </w:style>
  <w:style w:type="character" w:customStyle="1" w:styleId="3960">
    <w:name w:val="Char Char301"/>
    <w:qFormat/>
    <w:uiPriority w:val="0"/>
    <w:rPr>
      <w:rFonts w:ascii="Times New Roman" w:hAnsi="Times New Roman" w:eastAsia="宋体" w:cs="Times New Roman"/>
      <w:szCs w:val="24"/>
    </w:rPr>
  </w:style>
  <w:style w:type="paragraph" w:customStyle="1" w:styleId="3961">
    <w:name w:val="3 Char2"/>
    <w:basedOn w:val="1"/>
    <w:qFormat/>
    <w:uiPriority w:val="99"/>
    <w:pPr>
      <w:widowControl w:val="0"/>
      <w:jc w:val="both"/>
    </w:pPr>
    <w:rPr>
      <w:rFonts w:ascii="Times New Roman" w:hAnsi="Times New Roman" w:cs="Times New Roman"/>
      <w:kern w:val="2"/>
      <w:sz w:val="21"/>
      <w:szCs w:val="21"/>
    </w:rPr>
  </w:style>
  <w:style w:type="paragraph" w:customStyle="1" w:styleId="3962">
    <w:name w:val="Char Char54 Char Char"/>
    <w:basedOn w:val="1"/>
    <w:qFormat/>
    <w:uiPriority w:val="0"/>
    <w:pPr>
      <w:tabs>
        <w:tab w:val="left" w:pos="363"/>
      </w:tabs>
      <w:ind w:left="363" w:hanging="360"/>
    </w:pPr>
    <w:rPr>
      <w:rFonts w:ascii="Times New Roman" w:hAnsi="Times New Roman" w:cs="Times New Roman"/>
      <w:kern w:val="2"/>
      <w:sz w:val="21"/>
      <w:szCs w:val="20"/>
    </w:rPr>
  </w:style>
  <w:style w:type="paragraph" w:customStyle="1" w:styleId="3963">
    <w:name w:val="yxp_正文段落"/>
    <w:basedOn w:val="1"/>
    <w:qFormat/>
    <w:uiPriority w:val="0"/>
    <w:pPr>
      <w:widowControl w:val="0"/>
      <w:spacing w:line="360" w:lineRule="auto"/>
      <w:ind w:firstLine="560" w:firstLineChars="200"/>
      <w:jc w:val="both"/>
    </w:pPr>
    <w:rPr>
      <w:rFonts w:ascii="Times New Roman" w:hAnsi="Times New Roman" w:cs="Times New Roman"/>
      <w:sz w:val="28"/>
      <w:szCs w:val="20"/>
    </w:rPr>
  </w:style>
  <w:style w:type="paragraph" w:customStyle="1" w:styleId="3964">
    <w:name w:val="yxp_表格内文字"/>
    <w:basedOn w:val="1"/>
    <w:qFormat/>
    <w:uiPriority w:val="0"/>
    <w:pPr>
      <w:widowControl w:val="0"/>
      <w:jc w:val="both"/>
    </w:pPr>
    <w:rPr>
      <w:rFonts w:ascii="Times New Roman" w:hAnsi="Times New Roman"/>
      <w:sz w:val="28"/>
    </w:rPr>
  </w:style>
  <w:style w:type="character" w:customStyle="1" w:styleId="3965">
    <w:name w:val="title10"/>
    <w:qFormat/>
    <w:uiPriority w:val="0"/>
  </w:style>
  <w:style w:type="character" w:customStyle="1" w:styleId="3966">
    <w:name w:val="albumcount"/>
    <w:qFormat/>
    <w:uiPriority w:val="0"/>
  </w:style>
  <w:style w:type="character" w:customStyle="1" w:styleId="3967">
    <w:name w:val="count4"/>
    <w:qFormat/>
    <w:uiPriority w:val="0"/>
  </w:style>
  <w:style w:type="character" w:customStyle="1" w:styleId="3968">
    <w:name w:val="yxp_正文 Char"/>
    <w:link w:val="3969"/>
    <w:qFormat/>
    <w:uiPriority w:val="0"/>
    <w:rPr>
      <w:rFonts w:eastAsia="Times New Roman"/>
      <w:sz w:val="28"/>
    </w:rPr>
  </w:style>
  <w:style w:type="paragraph" w:customStyle="1" w:styleId="3969">
    <w:name w:val="yxp_正文"/>
    <w:link w:val="3968"/>
    <w:qFormat/>
    <w:uiPriority w:val="0"/>
    <w:pPr>
      <w:spacing w:line="360" w:lineRule="auto"/>
      <w:jc w:val="both"/>
    </w:pPr>
    <w:rPr>
      <w:rFonts w:ascii="Times New Roman" w:hAnsi="Times New Roman" w:eastAsia="Times New Roman" w:cs="Times New Roman"/>
      <w:sz w:val="28"/>
      <w:lang w:val="en-US" w:eastAsia="zh-CN" w:bidi="ar-SA"/>
    </w:rPr>
  </w:style>
  <w:style w:type="character" w:customStyle="1" w:styleId="3970">
    <w:name w:val="dash6b63_6587__char1"/>
    <w:qFormat/>
    <w:uiPriority w:val="0"/>
    <w:rPr>
      <w:rFonts w:hint="default" w:ascii="Times New Roman" w:hAnsi="Times New Roman" w:cs="Times New Roman"/>
      <w:sz w:val="20"/>
      <w:szCs w:val="20"/>
      <w:u w:val="none"/>
    </w:rPr>
  </w:style>
  <w:style w:type="paragraph" w:customStyle="1" w:styleId="3971">
    <w:name w:val="gb1"/>
    <w:basedOn w:val="1"/>
    <w:qFormat/>
    <w:uiPriority w:val="0"/>
    <w:pPr>
      <w:tabs>
        <w:tab w:val="left" w:pos="227"/>
      </w:tabs>
      <w:overflowPunct w:val="0"/>
      <w:autoSpaceDE w:val="0"/>
      <w:autoSpaceDN w:val="0"/>
      <w:adjustRightInd w:val="0"/>
      <w:spacing w:before="120" w:after="120"/>
      <w:jc w:val="both"/>
      <w:textAlignment w:val="baseline"/>
    </w:pPr>
    <w:rPr>
      <w:rFonts w:ascii="Arial" w:hAnsi="Arial" w:eastAsia="仿宋体" w:cs="Times New Roman"/>
      <w:sz w:val="21"/>
      <w:szCs w:val="20"/>
    </w:rPr>
  </w:style>
  <w:style w:type="paragraph" w:customStyle="1" w:styleId="3972">
    <w:name w:val="样式 正文样式 首行缩进:  2 字符 + 左侧:  0.17 厘米"/>
    <w:basedOn w:val="1"/>
    <w:qFormat/>
    <w:uiPriority w:val="0"/>
    <w:pPr>
      <w:widowControl w:val="0"/>
      <w:autoSpaceDE w:val="0"/>
      <w:autoSpaceDN w:val="0"/>
      <w:adjustRightInd w:val="0"/>
      <w:spacing w:line="300" w:lineRule="auto"/>
      <w:ind w:right="-96" w:rightChars="-40" w:firstLine="480" w:firstLineChars="200"/>
      <w:jc w:val="center"/>
    </w:pPr>
    <w:rPr>
      <w:rFonts w:ascii="Times New Roman" w:cs="Times New Roman"/>
      <w:spacing w:val="8"/>
      <w:kern w:val="2"/>
      <w:szCs w:val="20"/>
    </w:rPr>
  </w:style>
  <w:style w:type="paragraph" w:customStyle="1" w:styleId="3973">
    <w:name w:val="表格样式4"/>
    <w:basedOn w:val="1"/>
    <w:qFormat/>
    <w:uiPriority w:val="0"/>
    <w:pPr>
      <w:widowControl w:val="0"/>
      <w:overflowPunct w:val="0"/>
      <w:adjustRightInd w:val="0"/>
      <w:snapToGrid w:val="0"/>
      <w:spacing w:line="120" w:lineRule="atLeast"/>
      <w:jc w:val="center"/>
      <w:textAlignment w:val="baseline"/>
    </w:pPr>
    <w:rPr>
      <w:rFonts w:ascii="Arial" w:hAnsi="Arial" w:eastAsia="仿宋_GB2312" w:cs="Times New Roman"/>
      <w:sz w:val="21"/>
      <w:szCs w:val="20"/>
    </w:rPr>
  </w:style>
  <w:style w:type="paragraph" w:customStyle="1" w:styleId="3974">
    <w:name w:val="album-div"/>
    <w:basedOn w:val="1"/>
    <w:qFormat/>
    <w:uiPriority w:val="0"/>
    <w:pPr>
      <w:spacing w:before="100" w:beforeAutospacing="1" w:after="100" w:afterAutospacing="1"/>
    </w:pPr>
  </w:style>
  <w:style w:type="paragraph" w:customStyle="1" w:styleId="3975">
    <w:name w:val="yxp_标题序号 2 (2)"/>
    <w:basedOn w:val="1"/>
    <w:qFormat/>
    <w:uiPriority w:val="0"/>
    <w:pPr>
      <w:tabs>
        <w:tab w:val="left" w:pos="630"/>
      </w:tabs>
      <w:spacing w:line="360" w:lineRule="auto"/>
      <w:ind w:left="630" w:hanging="420"/>
      <w:jc w:val="both"/>
    </w:pPr>
    <w:rPr>
      <w:rFonts w:ascii="Times New Roman" w:hAnsi="Times New Roman" w:cs="Times New Roman"/>
      <w:sz w:val="28"/>
      <w:szCs w:val="20"/>
      <w:lang w:val="zh-CN"/>
    </w:rPr>
  </w:style>
  <w:style w:type="paragraph" w:customStyle="1" w:styleId="3976">
    <w:name w:val="yxp_标题序号 1 1)"/>
    <w:basedOn w:val="1"/>
    <w:qFormat/>
    <w:uiPriority w:val="0"/>
    <w:pPr>
      <w:widowControl w:val="0"/>
      <w:tabs>
        <w:tab w:val="left" w:pos="1050"/>
      </w:tabs>
      <w:spacing w:before="156" w:beforeLines="50" w:line="360" w:lineRule="auto"/>
      <w:ind w:left="567" w:hanging="420"/>
    </w:pPr>
    <w:rPr>
      <w:rFonts w:cs="Times New Roman"/>
      <w:sz w:val="28"/>
      <w:szCs w:val="20"/>
      <w:lang w:val="zh-CN"/>
    </w:rPr>
  </w:style>
  <w:style w:type="paragraph" w:customStyle="1" w:styleId="3977">
    <w:name w:val="Char1 Char Char Char11"/>
    <w:basedOn w:val="1"/>
    <w:qFormat/>
    <w:uiPriority w:val="0"/>
    <w:pPr>
      <w:widowControl w:val="0"/>
      <w:spacing w:after="156" w:afterLines="50"/>
      <w:ind w:firstLine="200" w:firstLineChars="200"/>
      <w:jc w:val="both"/>
    </w:pPr>
    <w:rPr>
      <w:rFonts w:ascii="Times New Roman" w:hAnsi="Times New Roman" w:cs="Times New Roman"/>
      <w:spacing w:val="10"/>
      <w:kern w:val="2"/>
    </w:rPr>
  </w:style>
  <w:style w:type="paragraph" w:customStyle="1" w:styleId="3978">
    <w:name w:val="Main"/>
    <w:basedOn w:val="1"/>
    <w:qFormat/>
    <w:uiPriority w:val="0"/>
    <w:pPr>
      <w:widowControl w:val="0"/>
      <w:spacing w:line="480" w:lineRule="atLeast"/>
      <w:ind w:left="400" w:leftChars="400" w:right="400" w:firstLine="200"/>
      <w:jc w:val="both"/>
    </w:pPr>
    <w:rPr>
      <w:rFonts w:hint="eastAsia" w:ascii="Tahoma" w:hAnsi="Tahoma" w:cs="Times New Roman"/>
      <w:kern w:val="2"/>
      <w:sz w:val="21"/>
      <w:szCs w:val="21"/>
    </w:rPr>
  </w:style>
  <w:style w:type="paragraph" w:customStyle="1" w:styleId="3979">
    <w:name w:val="a正文"/>
    <w:basedOn w:val="1"/>
    <w:link w:val="3980"/>
    <w:qFormat/>
    <w:uiPriority w:val="0"/>
    <w:pPr>
      <w:widowControl w:val="0"/>
      <w:spacing w:line="360" w:lineRule="auto"/>
      <w:ind w:firstLine="200" w:firstLineChars="200"/>
      <w:jc w:val="both"/>
    </w:pPr>
    <w:rPr>
      <w:rFonts w:ascii="Times New Roman" w:hAnsi="Times New Roman" w:cs="Times New Roman"/>
      <w:kern w:val="28"/>
      <w:sz w:val="28"/>
      <w:szCs w:val="21"/>
      <w:lang w:val="zh-CN"/>
    </w:rPr>
  </w:style>
  <w:style w:type="character" w:customStyle="1" w:styleId="3980">
    <w:name w:val="a正文 Char"/>
    <w:link w:val="3979"/>
    <w:qFormat/>
    <w:uiPriority w:val="0"/>
    <w:rPr>
      <w:kern w:val="28"/>
      <w:sz w:val="28"/>
      <w:szCs w:val="21"/>
      <w:lang w:val="zh-CN"/>
    </w:rPr>
  </w:style>
  <w:style w:type="paragraph" w:customStyle="1" w:styleId="3981">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3982">
    <w:name w:val="中大正文 + 首行缩进:  2 字符"/>
    <w:basedOn w:val="1627"/>
    <w:link w:val="3983"/>
    <w:qFormat/>
    <w:uiPriority w:val="0"/>
    <w:pPr>
      <w:wordWrap w:val="0"/>
    </w:pPr>
    <w:rPr>
      <w:szCs w:val="20"/>
    </w:rPr>
  </w:style>
  <w:style w:type="character" w:customStyle="1" w:styleId="3983">
    <w:name w:val="中大正文 + 首行缩进:  2 字符 Char"/>
    <w:link w:val="3982"/>
    <w:qFormat/>
    <w:uiPriority w:val="0"/>
    <w:rPr>
      <w:rFonts w:ascii="宋体" w:hAnsi="宋体"/>
      <w:sz w:val="24"/>
      <w:lang w:val="zh-CN"/>
    </w:rPr>
  </w:style>
  <w:style w:type="paragraph" w:customStyle="1" w:styleId="3984">
    <w:name w:val="样式 样式 中大3级 + 段前: 0.5 行 段后: 0.5 行 + (复杂文种) Times New Roman"/>
    <w:basedOn w:val="1"/>
    <w:qFormat/>
    <w:uiPriority w:val="0"/>
    <w:pPr>
      <w:keepNext/>
      <w:keepLines/>
      <w:widowControl w:val="0"/>
      <w:tabs>
        <w:tab w:val="left" w:pos="720"/>
      </w:tabs>
      <w:spacing w:before="156" w:beforeLines="50" w:after="156" w:afterLines="50" w:line="360" w:lineRule="auto"/>
      <w:jc w:val="both"/>
      <w:outlineLvl w:val="2"/>
    </w:pPr>
    <w:rPr>
      <w:rFonts w:ascii="Times New Roman" w:hAnsi="Times New Roman" w:cs="Times New Roman"/>
      <w:b/>
      <w:bCs/>
      <w:snapToGrid w:val="0"/>
      <w:sz w:val="28"/>
      <w:szCs w:val="20"/>
      <w:lang w:val="zh-CN"/>
    </w:rPr>
  </w:style>
  <w:style w:type="character" w:customStyle="1" w:styleId="3985">
    <w:name w:val="图表 Char"/>
    <w:qFormat/>
    <w:uiPriority w:val="0"/>
    <w:rPr>
      <w:rFonts w:ascii="Times New Roman" w:hAnsi="Times New Roman" w:eastAsia="宋体" w:cs="Times New Roman"/>
      <w:sz w:val="24"/>
      <w:szCs w:val="24"/>
    </w:rPr>
  </w:style>
  <w:style w:type="character" w:customStyle="1" w:styleId="3986">
    <w:name w:val="紧凑表格表名 Char Char"/>
    <w:link w:val="3987"/>
    <w:qFormat/>
    <w:uiPriority w:val="0"/>
  </w:style>
  <w:style w:type="paragraph" w:customStyle="1" w:styleId="3987">
    <w:name w:val="紧凑表格表名"/>
    <w:basedOn w:val="3988"/>
    <w:next w:val="1"/>
    <w:link w:val="3986"/>
    <w:qFormat/>
    <w:uiPriority w:val="0"/>
    <w:pPr>
      <w:spacing w:beforeLines="50" w:line="400" w:lineRule="exact"/>
      <w:ind w:firstLine="284"/>
      <w:jc w:val="left"/>
    </w:pPr>
    <w:rPr>
      <w:rFonts w:ascii="Times New Roman" w:hAnsi="Times New Roman"/>
      <w:kern w:val="0"/>
      <w:sz w:val="20"/>
      <w:szCs w:val="20"/>
    </w:rPr>
  </w:style>
  <w:style w:type="paragraph" w:customStyle="1" w:styleId="3988">
    <w:name w:val="6图名"/>
    <w:link w:val="3989"/>
    <w:qFormat/>
    <w:uiPriority w:val="0"/>
    <w:pPr>
      <w:spacing w:before="120" w:after="50" w:line="360" w:lineRule="auto"/>
      <w:ind w:firstLine="198"/>
      <w:jc w:val="center"/>
    </w:pPr>
    <w:rPr>
      <w:rFonts w:ascii="宋体" w:hAnsi="宋体" w:eastAsia="宋体" w:cs="Times New Roman"/>
      <w:kern w:val="2"/>
      <w:sz w:val="24"/>
      <w:szCs w:val="24"/>
      <w:lang w:val="en-US" w:eastAsia="zh-CN" w:bidi="ar-SA"/>
    </w:rPr>
  </w:style>
  <w:style w:type="character" w:customStyle="1" w:styleId="3989">
    <w:name w:val="6图名 Char Char"/>
    <w:link w:val="3988"/>
    <w:qFormat/>
    <w:uiPriority w:val="0"/>
    <w:rPr>
      <w:rFonts w:ascii="宋体" w:hAnsi="宋体"/>
      <w:kern w:val="2"/>
      <w:sz w:val="24"/>
      <w:szCs w:val="24"/>
    </w:rPr>
  </w:style>
  <w:style w:type="character" w:customStyle="1" w:styleId="3990">
    <w:name w:val="样式 标题 41.1.1.1 Char1.1.1.1标题 4.1.1.1.1标题 4 Char款标4段H4H4... Char Char"/>
    <w:link w:val="3991"/>
    <w:qFormat/>
    <w:uiPriority w:val="0"/>
    <w:rPr>
      <w:rFonts w:ascii="宋体" w:hAnsi="宋体"/>
      <w:b/>
      <w:bCs/>
      <w:sz w:val="24"/>
      <w:szCs w:val="28"/>
    </w:rPr>
  </w:style>
  <w:style w:type="paragraph" w:customStyle="1" w:styleId="3991">
    <w:name w:val="样式 标题 41.1.1.1 Char1.1.1.1标题 4.1.1.1.1标题 4 Char款标4段H4H4..."/>
    <w:basedOn w:val="6"/>
    <w:link w:val="3990"/>
    <w:qFormat/>
    <w:uiPriority w:val="0"/>
    <w:pPr>
      <w:widowControl w:val="0"/>
      <w:tabs>
        <w:tab w:val="left" w:pos="945"/>
        <w:tab w:val="left" w:pos="1620"/>
        <w:tab w:val="left" w:pos="4614"/>
      </w:tabs>
      <w:spacing w:before="120" w:beforeLines="50" w:after="0" w:line="360" w:lineRule="auto"/>
      <w:jc w:val="both"/>
    </w:pPr>
    <w:rPr>
      <w:rFonts w:ascii="宋体" w:hAnsi="宋体" w:eastAsia="宋体" w:cs="Times New Roman"/>
      <w:sz w:val="24"/>
    </w:rPr>
  </w:style>
  <w:style w:type="character" w:customStyle="1" w:styleId="3992">
    <w:name w:val="图表 Char Char"/>
    <w:qFormat/>
    <w:uiPriority w:val="0"/>
    <w:rPr>
      <w:rFonts w:eastAsia="宋体"/>
      <w:snapToGrid w:val="0"/>
      <w:sz w:val="21"/>
      <w:szCs w:val="21"/>
      <w:lang w:val="en-US" w:eastAsia="zh-CN" w:bidi="ar-SA"/>
    </w:rPr>
  </w:style>
  <w:style w:type="character" w:customStyle="1" w:styleId="3993">
    <w:name w:val="4正文 Char Char"/>
    <w:link w:val="3994"/>
    <w:qFormat/>
    <w:uiPriority w:val="0"/>
    <w:rPr>
      <w:rFonts w:ascii="宋体" w:hAnsi="宋体"/>
      <w:sz w:val="24"/>
      <w:szCs w:val="24"/>
    </w:rPr>
  </w:style>
  <w:style w:type="paragraph" w:customStyle="1" w:styleId="3994">
    <w:name w:val="4正文"/>
    <w:basedOn w:val="1"/>
    <w:link w:val="3993"/>
    <w:qFormat/>
    <w:uiPriority w:val="0"/>
    <w:pPr>
      <w:widowControl w:val="0"/>
      <w:adjustRightInd w:val="0"/>
      <w:spacing w:before="120" w:after="120" w:line="400" w:lineRule="atLeast"/>
      <w:ind w:firstLine="200" w:firstLineChars="200"/>
      <w:textAlignment w:val="baseline"/>
    </w:pPr>
    <w:rPr>
      <w:rFonts w:cs="Times New Roman"/>
    </w:rPr>
  </w:style>
  <w:style w:type="character" w:customStyle="1" w:styleId="3995">
    <w:name w:val="紧凑表格文字 Char Char"/>
    <w:link w:val="3996"/>
    <w:qFormat/>
    <w:uiPriority w:val="0"/>
    <w:rPr>
      <w:szCs w:val="21"/>
    </w:rPr>
  </w:style>
  <w:style w:type="paragraph" w:customStyle="1" w:styleId="3996">
    <w:name w:val="紧凑表格文字"/>
    <w:basedOn w:val="1"/>
    <w:link w:val="3995"/>
    <w:qFormat/>
    <w:uiPriority w:val="0"/>
    <w:pPr>
      <w:widowControl w:val="0"/>
      <w:snapToGrid w:val="0"/>
      <w:spacing w:line="360" w:lineRule="exact"/>
      <w:jc w:val="center"/>
    </w:pPr>
    <w:rPr>
      <w:rFonts w:ascii="Times New Roman" w:hAnsi="Times New Roman" w:cs="Times New Roman"/>
      <w:sz w:val="20"/>
      <w:szCs w:val="21"/>
    </w:rPr>
  </w:style>
  <w:style w:type="table" w:customStyle="1" w:styleId="3997">
    <w:name w:val="Table Normal"/>
    <w:semiHidden/>
    <w:unhideWhenUsed/>
    <w:qFormat/>
    <w:uiPriority w:val="0"/>
    <w:rPr>
      <w:rFonts w:ascii="Arial" w:hAnsi="Arial" w:cs="Arial" w:eastAsiaTheme="minorEastAsia"/>
    </w:rPr>
    <w:tblPr>
      <w:tblCellMar>
        <w:top w:w="0" w:type="dxa"/>
        <w:left w:w="0" w:type="dxa"/>
        <w:bottom w:w="0" w:type="dxa"/>
        <w:right w:w="0" w:type="dxa"/>
      </w:tblCellMar>
    </w:tblPr>
  </w:style>
  <w:style w:type="paragraph" w:customStyle="1" w:styleId="3998">
    <w:name w:val="Table Text"/>
    <w:basedOn w:val="1"/>
    <w:semiHidden/>
    <w:qFormat/>
    <w:uiPriority w:val="0"/>
    <w:pPr>
      <w:kinsoku w:val="0"/>
      <w:autoSpaceDE w:val="0"/>
      <w:autoSpaceDN w:val="0"/>
      <w:adjustRightInd w:val="0"/>
      <w:snapToGrid w:val="0"/>
      <w:textAlignment w:val="baseline"/>
    </w:pPr>
    <w:rPr>
      <w:snapToGrid w:val="0"/>
      <w:color w:val="000000"/>
      <w:lang w:eastAsia="en-US"/>
    </w:rPr>
  </w:style>
  <w:style w:type="character" w:styleId="3999">
    <w:name w:val="Placeholder Text"/>
    <w:basedOn w:val="90"/>
    <w:unhideWhenUsed/>
    <w:qFormat/>
    <w:uiPriority w:val="99"/>
    <w:rPr>
      <w:color w:val="808080"/>
    </w:rPr>
  </w:style>
  <w:style w:type="paragraph" w:customStyle="1" w:styleId="4000">
    <w:name w:val="二级标题"/>
    <w:basedOn w:val="1"/>
    <w:link w:val="4002"/>
    <w:qFormat/>
    <w:uiPriority w:val="0"/>
    <w:pPr>
      <w:spacing w:line="360" w:lineRule="auto"/>
      <w:ind w:firstLine="482" w:firstLineChars="200"/>
    </w:pPr>
    <w:rPr>
      <w:b/>
    </w:rPr>
  </w:style>
  <w:style w:type="paragraph" w:customStyle="1" w:styleId="4001">
    <w:name w:val="自—三级标题"/>
    <w:basedOn w:val="346"/>
    <w:link w:val="4005"/>
    <w:qFormat/>
    <w:uiPriority w:val="0"/>
    <w:pPr>
      <w:ind w:firstLine="482" w:firstLineChars="200"/>
      <w:outlineLvl w:val="2"/>
    </w:pPr>
  </w:style>
  <w:style w:type="character" w:customStyle="1" w:styleId="4002">
    <w:name w:val="二级标题 Char"/>
    <w:basedOn w:val="90"/>
    <w:link w:val="4000"/>
    <w:qFormat/>
    <w:uiPriority w:val="0"/>
    <w:rPr>
      <w:rFonts w:ascii="宋体" w:hAnsi="宋体" w:cs="宋体"/>
      <w:b/>
      <w:sz w:val="24"/>
      <w:szCs w:val="24"/>
    </w:rPr>
  </w:style>
  <w:style w:type="paragraph" w:customStyle="1" w:styleId="4003">
    <w:name w:val="***自（三级标题）"/>
    <w:basedOn w:val="346"/>
    <w:link w:val="4006"/>
    <w:qFormat/>
    <w:uiPriority w:val="0"/>
    <w:pPr>
      <w:ind w:firstLine="482" w:firstLineChars="200"/>
      <w:outlineLvl w:val="2"/>
    </w:pPr>
  </w:style>
  <w:style w:type="character" w:customStyle="1" w:styleId="4004">
    <w:name w:val="2.二级标题 Char"/>
    <w:basedOn w:val="90"/>
    <w:link w:val="346"/>
    <w:qFormat/>
    <w:uiPriority w:val="0"/>
    <w:rPr>
      <w:b/>
      <w:kern w:val="2"/>
      <w:sz w:val="24"/>
      <w:szCs w:val="22"/>
    </w:rPr>
  </w:style>
  <w:style w:type="character" w:customStyle="1" w:styleId="4005">
    <w:name w:val="自—三级标题 Char"/>
    <w:basedOn w:val="4004"/>
    <w:link w:val="4001"/>
    <w:qFormat/>
    <w:uiPriority w:val="0"/>
    <w:rPr>
      <w:kern w:val="2"/>
      <w:sz w:val="24"/>
      <w:szCs w:val="22"/>
    </w:rPr>
  </w:style>
  <w:style w:type="character" w:customStyle="1" w:styleId="4006">
    <w:name w:val="***自（三级标题） Char"/>
    <w:basedOn w:val="4004"/>
    <w:link w:val="4003"/>
    <w:qFormat/>
    <w:uiPriority w:val="0"/>
    <w:rPr>
      <w:kern w:val="2"/>
      <w:sz w:val="24"/>
      <w:szCs w:val="22"/>
    </w:rPr>
  </w:style>
  <w:style w:type="character" w:customStyle="1" w:styleId="4007">
    <w:name w:val="5正文 Char Char"/>
    <w:link w:val="4008"/>
    <w:qFormat/>
    <w:uiPriority w:val="0"/>
    <w:rPr>
      <w:kern w:val="2"/>
      <w:sz w:val="24"/>
    </w:rPr>
  </w:style>
  <w:style w:type="paragraph" w:customStyle="1" w:styleId="4008">
    <w:name w:val="5正文"/>
    <w:link w:val="4007"/>
    <w:qFormat/>
    <w:uiPriority w:val="0"/>
    <w:pPr>
      <w:widowControl w:val="0"/>
      <w:spacing w:line="520" w:lineRule="exact"/>
      <w:ind w:firstLine="200" w:firstLineChars="200"/>
      <w:jc w:val="both"/>
    </w:pPr>
    <w:rPr>
      <w:rFonts w:ascii="Times New Roman" w:hAnsi="Times New Roman" w:eastAsia="宋体" w:cs="Times New Roman"/>
      <w:kern w:val="2"/>
      <w:sz w:val="24"/>
      <w:lang w:val="en-US" w:eastAsia="zh-CN" w:bidi="ar-SA"/>
    </w:rPr>
  </w:style>
  <w:style w:type="paragraph" w:customStyle="1" w:styleId="4009">
    <w:name w:val="****报告表表格标题"/>
    <w:basedOn w:val="2332"/>
    <w:link w:val="4011"/>
    <w:qFormat/>
    <w:uiPriority w:val="0"/>
    <w:pPr>
      <w:spacing w:before="0" w:beforeAutospacing="0" w:after="0" w:afterAutospacing="0"/>
      <w:jc w:val="center"/>
    </w:pPr>
    <w:rPr>
      <w:rFonts w:ascii="Times New Roman" w:hAnsi="Times New Roman" w:cs="Times New Roman"/>
    </w:rPr>
  </w:style>
  <w:style w:type="character" w:customStyle="1" w:styleId="4010">
    <w:name w:val="main-shadow1 Char"/>
    <w:basedOn w:val="90"/>
    <w:link w:val="2332"/>
    <w:qFormat/>
    <w:uiPriority w:val="0"/>
    <w:rPr>
      <w:rFonts w:ascii="宋体" w:hAnsi="宋体" w:cs="宋体"/>
      <w:sz w:val="24"/>
      <w:szCs w:val="24"/>
    </w:rPr>
  </w:style>
  <w:style w:type="character" w:customStyle="1" w:styleId="4011">
    <w:name w:val="****报告表表格标题 Char"/>
    <w:basedOn w:val="4010"/>
    <w:link w:val="4009"/>
    <w:qFormat/>
    <w:uiPriority w:val="0"/>
    <w:rPr>
      <w:rFonts w:ascii="宋体" w:hAnsi="宋体" w:cs="宋体"/>
      <w:sz w:val="24"/>
      <w:szCs w:val="24"/>
    </w:rPr>
  </w:style>
  <w:style w:type="paragraph" w:customStyle="1" w:styleId="4012">
    <w:name w:val="paragraph"/>
    <w:basedOn w:val="1"/>
    <w:semiHidden/>
    <w:qFormat/>
    <w:uiPriority w:val="0"/>
    <w:pPr>
      <w:spacing w:before="100" w:beforeAutospacing="1" w:after="100" w:afterAutospacing="1"/>
    </w:pPr>
    <w:rPr>
      <w:rFonts w:ascii="等线" w:hAnsi="等线" w:eastAsia="等线" w:cs="Times New Roman"/>
    </w:rPr>
  </w:style>
  <w:style w:type="character" w:customStyle="1" w:styleId="4013">
    <w:name w:val="样式1 字符"/>
    <w:basedOn w:val="90"/>
    <w:qFormat/>
    <w:uiPriority w:val="0"/>
    <w:rPr>
      <w:kern w:val="2"/>
      <w:sz w:val="21"/>
      <w:szCs w:val="21"/>
    </w:rPr>
  </w:style>
  <w:style w:type="paragraph" w:customStyle="1" w:styleId="4014">
    <w:name w:val="标准正文样式-MHZ-标准正文段落"/>
    <w:basedOn w:val="1"/>
    <w:qFormat/>
    <w:uiPriority w:val="0"/>
    <w:pPr>
      <w:spacing w:line="312" w:lineRule="auto"/>
      <w:ind w:firstLine="480" w:firstLineChars="200"/>
    </w:pPr>
    <w:rPr>
      <w:kern w:val="24"/>
    </w:rPr>
  </w:style>
  <w:style w:type="table" w:customStyle="1" w:styleId="4015">
    <w:name w:val="Table Normal2"/>
    <w:unhideWhenUsed/>
    <w:qFormat/>
    <w:uiPriority w:val="0"/>
    <w:tblPr>
      <w:tblCellMar>
        <w:top w:w="0" w:type="dxa"/>
        <w:left w:w="0" w:type="dxa"/>
        <w:bottom w:w="0" w:type="dxa"/>
        <w:right w:w="0" w:type="dxa"/>
      </w:tblCellMar>
    </w:tblPr>
  </w:style>
  <w:style w:type="paragraph" w:customStyle="1" w:styleId="4016">
    <w:name w:val="列表段落1"/>
    <w:basedOn w:val="1"/>
    <w:qFormat/>
    <w:uiPriority w:val="99"/>
    <w:pPr>
      <w:autoSpaceDE w:val="0"/>
      <w:autoSpaceDN w:val="0"/>
      <w:ind w:left="1988" w:hanging="709"/>
    </w:pPr>
    <w:rPr>
      <w:sz w:val="22"/>
      <w:szCs w:val="22"/>
      <w:lang w:val="zh-CN" w:bidi="zh-CN"/>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1" Type="http://schemas.openxmlformats.org/officeDocument/2006/relationships/fontTable" Target="fontTable.xml"/><Relationship Id="rId80" Type="http://schemas.openxmlformats.org/officeDocument/2006/relationships/customXml" Target="../customXml/item3.xml"/><Relationship Id="rId8" Type="http://schemas.openxmlformats.org/officeDocument/2006/relationships/footer" Target="footer4.xml"/><Relationship Id="rId79" Type="http://schemas.openxmlformats.org/officeDocument/2006/relationships/customXml" Target="../customXml/item2.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56.png"/><Relationship Id="rId75" Type="http://schemas.openxmlformats.org/officeDocument/2006/relationships/image" Target="media/image55.png"/><Relationship Id="rId74" Type="http://schemas.openxmlformats.org/officeDocument/2006/relationships/image" Target="media/image54.png"/><Relationship Id="rId73" Type="http://schemas.openxmlformats.org/officeDocument/2006/relationships/image" Target="media/image53.png"/><Relationship Id="rId72" Type="http://schemas.openxmlformats.org/officeDocument/2006/relationships/image" Target="media/image52.png"/><Relationship Id="rId71" Type="http://schemas.openxmlformats.org/officeDocument/2006/relationships/image" Target="media/image51.png"/><Relationship Id="rId70" Type="http://schemas.openxmlformats.org/officeDocument/2006/relationships/image" Target="media/image50.png"/><Relationship Id="rId7" Type="http://schemas.openxmlformats.org/officeDocument/2006/relationships/footer" Target="footer3.xml"/><Relationship Id="rId69" Type="http://schemas.openxmlformats.org/officeDocument/2006/relationships/image" Target="media/image49.png"/><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jpeg"/><Relationship Id="rId60" Type="http://schemas.openxmlformats.org/officeDocument/2006/relationships/image" Target="media/image40.png"/><Relationship Id="rId6" Type="http://schemas.openxmlformats.org/officeDocument/2006/relationships/header" Target="header2.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emf"/><Relationship Id="rId50" Type="http://schemas.openxmlformats.org/officeDocument/2006/relationships/oleObject" Target="embeddings/oleObject7.bin"/><Relationship Id="rId5" Type="http://schemas.openxmlformats.org/officeDocument/2006/relationships/footer" Target="footer2.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emf"/><Relationship Id="rId45" Type="http://schemas.openxmlformats.org/officeDocument/2006/relationships/oleObject" Target="embeddings/oleObject6.bin"/><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footer" Target="footer1.xml"/><Relationship Id="rId39" Type="http://schemas.openxmlformats.org/officeDocument/2006/relationships/image" Target="media/image21.jpeg"/><Relationship Id="rId38" Type="http://schemas.openxmlformats.org/officeDocument/2006/relationships/image" Target="media/image20.png"/><Relationship Id="rId37" Type="http://schemas.openxmlformats.org/officeDocument/2006/relationships/image" Target="media/image19.jpeg"/><Relationship Id="rId36" Type="http://schemas.openxmlformats.org/officeDocument/2006/relationships/image" Target="media/image18.png"/><Relationship Id="rId35" Type="http://schemas.openxmlformats.org/officeDocument/2006/relationships/image" Target="media/image17.emf"/><Relationship Id="rId34" Type="http://schemas.openxmlformats.org/officeDocument/2006/relationships/oleObject" Target="embeddings/oleObject5.bin"/><Relationship Id="rId33" Type="http://schemas.openxmlformats.org/officeDocument/2006/relationships/image" Target="media/image16.emf"/><Relationship Id="rId32" Type="http://schemas.openxmlformats.org/officeDocument/2006/relationships/oleObject" Target="embeddings/oleObject4.bin"/><Relationship Id="rId31" Type="http://schemas.openxmlformats.org/officeDocument/2006/relationships/image" Target="media/image15.emf"/><Relationship Id="rId30" Type="http://schemas.openxmlformats.org/officeDocument/2006/relationships/oleObject" Target="embeddings/oleObject3.bin"/><Relationship Id="rId3" Type="http://schemas.openxmlformats.org/officeDocument/2006/relationships/header" Target="header1.xml"/><Relationship Id="rId29" Type="http://schemas.openxmlformats.org/officeDocument/2006/relationships/image" Target="media/image14.emf"/><Relationship Id="rId28" Type="http://schemas.openxmlformats.org/officeDocument/2006/relationships/oleObject" Target="embeddings/oleObject2.bin"/><Relationship Id="rId27" Type="http://schemas.openxmlformats.org/officeDocument/2006/relationships/image" Target="media/image13.emf"/><Relationship Id="rId26" Type="http://schemas.openxmlformats.org/officeDocument/2006/relationships/oleObject" Target="embeddings/oleObject1.bin"/><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jpe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B050"/>
        </a:solidFill>
        <a:ln w="0">
          <a:solidFill>
            <a:srgbClr val="00B050"/>
          </a:solid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lumMod val="75000"/>
          </a:schemeClr>
        </a:lnRef>
        <a:fillRef idx="1">
          <a:schemeClr val="accent1"/>
        </a:fillRef>
        <a:effectRef idx="0">
          <a:srgbClr val="FFFFFF"/>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9d6ca645-89ca-4dcd-8f3d-06d023933160</errorID>
      <errorWord>截止</errorWord>
      <group>L1_Word</group>
      <groupName>字词问题</groupName>
      <ability>L2_Typo</ability>
      <abilityName>字词错误</abilityName>
      <candidateList>
        <item>截至</item>
      </candidateList>
      <explain>存在发音相同字词的误用。</explain>
      <paraID>43901F6A</paraID>
      <start>20</start>
      <end>22</end>
      <status>unmodified</status>
      <modifiedWord/>
      <trackRevisions>false</trackRevisions>
    </reviewItem>
    <reviewItem>
      <errorID>217e2c22-2b44-4a0e-bf1b-0526534449af</errorID>
      <errorWord>(</errorWord>
      <group>L1_Format</group>
      <groupName>格式问题</groupName>
      <ability>L2_HalfPunc</ability>
      <abilityName>全半角检查</abilityName>
      <candidateList>
        <item>（</item>
      </candidateList>
      <explain>文本全半角错误。</explain>
      <paraID>177F016F</paraID>
      <start>20</start>
      <end>21</end>
      <status>unmodified</status>
      <modifiedWord/>
      <trackRevisions>false</trackRevisions>
    </reviewItem>
    <reviewItem>
      <errorID>81d110a6-fdf9-41c4-a1e9-e9e07252966c</errorID>
      <errorWord>)</errorWord>
      <group>L1_Format</group>
      <groupName>格式问题</groupName>
      <ability>L2_HalfPunc</ability>
      <abilityName>全半角检查</abilityName>
      <candidateList>
        <item>）</item>
      </candidateList>
      <explain>文本全半角错误。</explain>
      <paraID>177F016F</paraID>
      <start>26</start>
      <end>27</end>
      <status>unmodified</status>
      <modifiedWord/>
      <trackRevisions>false</trackRevisions>
    </reviewItem>
    <reviewItem>
      <errorID>898b476f-b1eb-4b6f-aa78-7f742cc3b517</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177F016F</paraID>
      <start>29</start>
      <end>30</end>
      <status>unmodified</status>
      <modifiedWord/>
      <trackRevisions>false</trackRevisions>
    </reviewItem>
    <reviewItem>
      <errorID>f5447a58-5d88-469e-b9f3-25a27db75203</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157F3EED</paraID>
      <start>76</start>
      <end>80</end>
      <status>unmodified</status>
      <modifiedWord/>
      <trackRevisions>false</trackRevisions>
    </reviewItem>
    <reviewItem>
      <errorID>9a95a41a-3663-4827-9fd5-d375f6cc0a04</errorID>
      <errorWord>(</errorWord>
      <group>L1_Format</group>
      <groupName>格式问题</groupName>
      <ability>L2_HalfPunc</ability>
      <abilityName>全半角检查</abilityName>
      <candidateList>
        <item>（</item>
      </candidateList>
      <explain>文本全半角错误。</explain>
      <paraID>52CC3DE8</paraID>
      <start>99</start>
      <end>100</end>
      <status>unmodified</status>
      <modifiedWord/>
      <trackRevisions>false</trackRevisions>
    </reviewItem>
    <reviewItem>
      <errorID>7378af47-18c9-4027-bf64-800a442f7c4f</errorID>
      <errorWord>)(</errorWord>
      <group>L1_Format</group>
      <groupName>格式问题</groupName>
      <ability>L2_HalfPunc</ability>
      <abilityName>全半角检查</abilityName>
      <candidateList>
        <item>）（</item>
      </candidateList>
      <explain>文本全半角错误。</explain>
      <paraID>52CC3DE8</paraID>
      <start>105</start>
      <end>107</end>
      <status>unmodified</status>
      <modifiedWord/>
      <trackRevisions>false</trackRevisions>
    </reviewItem>
    <reviewItem>
      <errorID>85f264a4-c2b7-4e53-9f94-26b34b87a721</errorID>
      <errorWord>)</errorWord>
      <group>L1_Format</group>
      <groupName>格式问题</groupName>
      <ability>L2_HalfPunc</ability>
      <abilityName>全半角检查</abilityName>
      <candidateList>
        <item>）</item>
      </candidateList>
      <explain>文本全半角错误。</explain>
      <paraID>52CC3DE8</paraID>
      <start>109</start>
      <end>110</end>
      <status>unmodified</status>
      <modifiedWord/>
      <trackRevisions>false</trackRevisions>
    </reviewItem>
    <reviewItem>
      <errorID>828a2ade-2955-4bc3-8786-dc2d53a8f70e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52CC3DE8</paraID>
      <start>110</start>
      <end>111</end>
      <status>unmodified</status>
      <modifiedWord/>
      <trackRevisions>false</trackRevisions>
    </reviewItem>
    <reviewItem>
      <errorID>4283e5b7-a926-469a-89aa-6463f5f05eac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359B7D9</paraID>
      <start>0</start>
      <end>2</end>
      <status>unmodified</status>
      <modifiedWord/>
      <trackRevisions>false</trackRevisions>
    </reviewItem>
    <reviewItem>
      <errorID>20b92bf8-a96a-4d2c-b31c-65bcc0a01d8b</errorID>
      <errorWord>&lt;</errorWord>
      <group>L1_Format</group>
      <groupName>格式问题</groupName>
      <ability>L2_HalfPunc</ability>
      <abilityName>全半角检查</abilityName>
      <candidateList>
        <item>〈</item>
      </candidateList>
      <explain>文本全半角错误。</explain>
      <paraID> 4F3214D</paraID>
      <start>25</start>
      <end>26</end>
      <status>unmodified</status>
      <modifiedWord/>
      <trackRevisions>false</trackRevisions>
    </reviewItem>
    <reviewItem>
      <errorID>d282af5c-66f0-4e0e-a9bf-1be26be59085</errorID>
      <errorWord>&gt;</errorWord>
      <group>L1_Format</group>
      <groupName>格式问题</groupName>
      <ability>L2_HalfPunc</ability>
      <abilityName>全半角检查</abilityName>
      <candidateList>
        <item>〉</item>
      </candidateList>
      <explain>文本全半角错误。</explain>
      <paraID> 4F3214D</paraID>
      <start>48</start>
      <end>49</end>
      <status>unmodified</status>
      <modifiedWord/>
      <trackRevisions>false</trackRevisions>
    </reviewItem>
    <reviewItem>
      <errorID>c04c7f9e-7db6-4b28-9852-c66b6482193f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3F61C53</paraID>
      <start>0</start>
      <end>2</end>
      <status>unmodified</status>
      <modifiedWord/>
      <trackRevisions>false</trackRevisions>
    </reviewItem>
    <reviewItem>
      <errorID>d0b190da-f921-4a24-8a28-874726afde42</errorID>
      <errorWord>水污染排放</errorWord>
      <group>L1_Word</group>
      <groupName>字词问题</groupName>
      <ability>L2_Typo</ability>
      <abilityName>字词错误</abilityName>
      <candidateList>
        <item>水污染物排放</item>
      </candidateList>
      <explain/>
      <paraID> 330C4C3</paraID>
      <start>53</start>
      <end>58</end>
      <status>unmodified</status>
      <modifiedWord/>
      <trackRevisions>false</trackRevisions>
    </reviewItem>
    <reviewItem>
      <errorID>6e31039e-9ccb-45ff-85d6-c03c50cb82ec</errorID>
      <errorWord>涉及到</errorWord>
      <group>L1_Grammar</group>
      <groupName>语法问题</groupName>
      <ability>L2_Grammar</ability>
      <abilityName>语法错误</abilityName>
      <candidateList>
        <item>涉及</item>
      </candidateList>
      <explain>〈动〉牵涉到；关联到：案子～好几个人｜这个问题～面很广。</explain>
      <paraID>350C7885</paraID>
      <start>14</start>
      <end>17</end>
      <status>unmodified</status>
      <modifiedWord/>
      <trackRevisions>false</trackRevisions>
    </reviewItem>
    <reviewItem>
      <errorID>58f71864-4441-4a61-92da-ab2884d356ac</errorID>
      <errorWord>险</errorWord>
      <group>L1_Word</group>
      <groupName>字词问题</groupName>
      <ability>L2_Typo</ability>
      <abilityName>字词错误</abilityName>
      <candidateList>
        <item>险和</item>
      </candidateList>
      <explain/>
      <paraID>1A356A16</paraID>
      <start>40</start>
      <end>41</end>
      <status>unmodified</status>
      <modifiedWord/>
      <trackRevisions>false</trackRevisions>
    </reviewItem>
    <reviewItem>
      <errorID>dfc1e043-6357-42ce-ace0-0535bc4e431b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289B1EEC</paraID>
      <start>0</start>
      <end>2</end>
      <status>unmodified</status>
      <modifiedWord/>
      <trackRevisions>false</trackRevisions>
    </reviewItem>
    <reviewItem>
      <errorID>6c430ff0-7b8f-4583-9574-e6f0787711bc</errorID>
      <errorWord>(</errorWord>
      <group>L1_Format</group>
      <groupName>格式问题</groupName>
      <ability>L2_HalfPunc</ability>
      <abilityName>全半角检查</abilityName>
      <candidateList>
        <item>（</item>
      </candidateList>
      <explain>文本全半角错误。</explain>
      <paraID>289B1EEC</paraID>
      <start>21</start>
      <end>22</end>
      <status>unmodified</status>
      <modifiedWord/>
      <trackRevisions>false</trackRevisions>
    </reviewItem>
    <reviewItem>
      <errorID>5d16a0d1-62b2-4a9a-8578-e12d0ea6a05a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289B1EEC</paraID>
      <start>26</start>
      <end>27</end>
      <status>unmodified</status>
      <modifiedWord/>
      <trackRevisions>false</trackRevisions>
    </reviewItem>
    <reviewItem>
      <errorID>0b542fbb-d1a3-4b35-8ad0-46a5bba25b7d</errorID>
      <errorWord>)</errorWord>
      <group>L1_Format</group>
      <groupName>格式问题</groupName>
      <ability>L2_HalfPunc</ability>
      <abilityName>全半角检查</abilityName>
      <candidateList>
        <item>）</item>
      </candidateList>
      <explain>文本全半角错误。</explain>
      <paraID>289B1EEC</paraID>
      <start>32</start>
      <end>33</end>
      <status>unmodified</status>
      <modifiedWord/>
      <trackRevisions>false</trackRevisions>
    </reviewItem>
    <reviewItem>
      <errorID>1246bb0b-39f7-47c1-84cd-64ca8aeb715b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3FA840DA</paraID>
      <start>0</start>
      <end>3</end>
      <status>unmodified</status>
      <modifiedWord/>
      <trackRevisions>false</trackRevisions>
    </reviewItem>
    <reviewItem>
      <errorID>8c508ea2-6ed2-48a6-8fde-7e9e36979663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39AE90CB</paraID>
      <start>0</start>
      <end>3</end>
      <status>unmodified</status>
      <modifiedWord/>
      <trackRevisions>false</trackRevisions>
    </reviewItem>
    <reviewItem>
      <errorID>d5dfd47b-2064-47e2-82f9-e0341dc1c601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300758BC</paraID>
      <start>0</start>
      <end>3</end>
      <status>unmodified</status>
      <modifiedWord/>
      <trackRevisions>false</trackRevisions>
    </reviewItem>
    <reviewItem>
      <errorID>a361d96f-1b35-42ac-b745-68177add62a7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508B7CF2</paraID>
      <start>0</start>
      <end>3</end>
      <status>unmodified</status>
      <modifiedWord/>
      <trackRevisions>false</trackRevisions>
    </reviewItem>
    <reviewItem>
      <errorID>e94ef81f-1bdc-40fa-bd8f-a99d679883ca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76AE2663</paraID>
      <start>0</start>
      <end>3</end>
      <status>unmodified</status>
      <modifiedWord/>
      <trackRevisions>false</trackRevisions>
    </reviewItem>
    <reviewItem>
      <errorID>10fb4dbf-ae96-4a53-b0b2-2ff417001906</errorID>
      <errorWord>；；</errorWord>
      <group>L1_Punc</group>
      <groupName>标点问题</groupName>
      <ability>L2_Punc</ability>
      <abilityName>标点符号检查</abilityName>
      <candidateList>
        <item>；</item>
      </candidateList>
      <explain/>
      <paraID>12073FE5</paraID>
      <start>108</start>
      <end>110</end>
      <status>unmodified</status>
      <modifiedWord/>
      <trackRevisions>false</trackRevisions>
    </reviewItem>
    <reviewItem>
      <errorID>01453d08-266e-4924-b0ff-4b09bbd963d6</errorID>
      <errorWord>环保基础设施建设</errorWord>
      <group>L1_Political</group>
      <groupName>政治性问题</groupName>
      <ability>L2_Keyword</ability>
      <abilityName>固定表述</abilityName>
      <candidateList>
        <item>环境基础设施建设</item>
      </candidateList>
      <explain>词汇“环境基础设施建设”在特定场景下为固定表述形式，请确认此处的“环保基础设施建设”是否存在不当。</explain>
      <paraID>48A99F21</paraID>
      <start>299</start>
      <end>307</end>
      <status>unmodified</status>
      <modifiedWord/>
      <trackRevisions>false</trackRevisions>
    </reviewItem>
    <reviewItem>
      <errorID>712b7e3b-f343-4706-a6d9-948966a8891e</errorID>
      <errorWord>鯛</errorWord>
      <group>L1_Word</group>
      <groupName>字词问题</groupName>
      <ability>L2_Fanti</ability>
      <abilityName>繁转简</abilityName>
      <candidateList>
        <item>鲷</item>
      </candidateList>
      <explain/>
      <paraID>388DA2B2</paraID>
      <start>46</start>
      <end>47</end>
      <status>unmodified</status>
      <modifiedWord/>
      <trackRevisions>false</trackRevisions>
    </reviewItem>
    <reviewItem>
      <errorID>284978bd-db18-42f0-a9dd-2f5d38785a05</errorID>
      <errorWord>着力于</errorWord>
      <group>L1_Word</group>
      <groupName>字词问题</groupName>
      <ability>L2_Typo</ability>
      <abilityName>字词错误</abilityName>
      <candidateList>
        <item>着力</item>
      </candidateList>
      <explain/>
      <paraID>388DA2B2</paraID>
      <start>105</start>
      <end>108</end>
      <status>unmodified</status>
      <modifiedWord/>
      <trackRevisions>false</trackRevisions>
    </reviewItem>
    <reviewItem>
      <errorID>3ce6099c-d00a-4839-850f-b584346b0551</errorID>
      <errorWord>，</errorWord>
      <group>L1_Word</group>
      <groupName>字词问题</groupName>
      <ability>L2_Typo</ability>
      <abilityName>字词错误</abilityName>
      <candidateList>
        <item>，在</item>
      </candidateList>
      <explain/>
      <paraID>388DA2B2</paraID>
      <start>271</start>
      <end>272</end>
      <status>unmodified</status>
      <modifiedWord/>
      <trackRevisions>false</trackRevisions>
    </reviewItem>
    <reviewItem>
      <errorID>507ae7e6-ff2d-4bd0-afea-b061421d271a</errorID>
      <errorWord>《广西工业产业结构调整指导目录》（2021年本）</errorWord>
      <group>L1_Knowledge</group>
      <groupName>知识性问题</groupName>
      <ability>L2_Knowledge</ability>
      <abilityName>其他知识</abilityName>
      <candidateList>
        <item>《广西工业产业结构调整指导目录（2021年本）》</item>
      </candidateList>
      <explain>疑似政策文件、法律法规名称等书写不规范，请注意检查。</explain>
      <paraID>74BF6D18</paraID>
      <start>53</start>
      <end>77</end>
      <status>modified</status>
      <modifiedWord>《广西工业产业结构调整指导目录（2021年本）》</modifiedWord>
      <trackRevisions>false</trackRevisions>
    </reviewItem>
    <reviewItem>
      <errorID>8204a405-a78a-4fc7-94f5-e43a1af4c987</errorID>
      <errorWord>&lt;</errorWord>
      <group>L1_Format</group>
      <groupName>格式问题</groupName>
      <ability>L2_HalfPunc</ability>
      <abilityName>全半角检查</abilityName>
      <candidateList>
        <item>〈</item>
      </candidateList>
      <explain>文本全半角错误。</explain>
      <paraID>74BF6D18</paraID>
      <start>112</start>
      <end>113</end>
      <status>unmodified</status>
      <modifiedWord/>
      <trackRevisions>false</trackRevisions>
    </reviewItem>
    <reviewItem>
      <errorID>6f7802f9-f1f3-411d-8bab-1f1c6566d7b2</errorID>
      <errorWord>&gt;</errorWord>
      <group>L1_Format</group>
      <groupName>格式问题</groupName>
      <ability>L2_HalfPunc</ability>
      <abilityName>全半角检查</abilityName>
      <candidateList>
        <item>〉</item>
      </candidateList>
      <explain>文本全半角错误。</explain>
      <paraID>74BF6D18</paraID>
      <start>125</start>
      <end>126</end>
      <status>unmodified</status>
      <modifiedWord/>
      <trackRevisions>false</trackRevisions>
    </reviewItem>
    <reviewItem>
      <errorID>72702dfe-992d-40b1-b8bb-8a5da1c33127</errorID>
      <errorWord>(</errorWord>
      <group>L1_Format</group>
      <groupName>格式问题</groupName>
      <ability>L2_HalfPunc</ability>
      <abilityName>全半角检查</abilityName>
      <candidateList>
        <item>（</item>
      </candidateList>
      <explain>文本全半角错误。</explain>
      <paraID>74BF6D18</paraID>
      <start>130</start>
      <end>131</end>
      <status>unmodified</status>
      <modifiedWord/>
      <trackRevisions>false</trackRevisions>
    </reviewItem>
    <reviewItem>
      <errorID>19192462-43d0-4a25-abe1-c44b75cc0e22</errorID>
      <errorWord>(2005) 40号</errorWord>
      <group>L1_Knowledge</group>
      <groupName>知识性问题</groupName>
      <ability>L2_Knowledge</ability>
      <abilityName>其他知识</abilityName>
      <candidateList>
        <item>〔2005〕40号</item>
      </candidateList>
      <explain>发文字号格式错误。</explain>
      <paraID>74BF6D18</paraID>
      <start>134</start>
      <end>144</end>
      <status>unmodified</status>
      <modifiedWord/>
      <trackRevisions>false</trackRevisions>
    </reviewItem>
    <reviewItem>
      <errorID>c7961312-5302-4959-9d16-6f57304d9ad6</errorID>
      <errorWord>)</errorWord>
      <group>L1_Format</group>
      <groupName>格式问题</groupName>
      <ability>L2_HalfPunc</ability>
      <abilityName>全半角检查</abilityName>
      <candidateList>
        <item>）</item>
      </candidateList>
      <explain>文本全半角错误。</explain>
      <paraID>74BF6D18</paraID>
      <start>144</start>
      <end>145</end>
      <status>unmodified</status>
      <modifiedWord/>
      <trackRevisions>false</trackRevisions>
    </reviewItem>
    <reviewItem>
      <errorID>1af81811-1c01-4590-bcaf-40b1613ede67</errorID>
      <errorWord>法律、法规</errorWord>
      <group>L1_Word</group>
      <groupName>字词问题</groupName>
      <ability>L2_Typo</ability>
      <abilityName>字词错误</abilityName>
      <candidateList>
        <item>法律法规</item>
      </candidateList>
      <explain/>
      <paraID>74BF6D18</paraID>
      <start>174</start>
      <end>179</end>
      <status>unmodified</status>
      <modifiedWord/>
      <trackRevisions>false</trackRevisions>
    </reviewItem>
    <reviewItem>
      <errorID>342fe730-a559-42c1-98da-51bd3ce1e1a3</errorID>
      <errorWord>法律、法规</errorWord>
      <group>L1_Word</group>
      <groupName>字词问题</groupName>
      <ability>L2_Typo</ability>
      <abilityName>字词错误</abilityName>
      <candidateList>
        <item>法律法规</item>
      </candidateList>
      <explain/>
      <paraID>74BF6D18</paraID>
      <start>205</start>
      <end>210</end>
      <status>unmodified</status>
      <modifiedWord/>
      <trackRevisions>false</trackRevisions>
    </reviewItem>
    <reviewItem>
      <errorID>13ed96ff-0ae6-41e7-9962-61c61b3025be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7111D4A3</paraID>
      <start>0</start>
      <end>2</end>
      <status>unmodified</status>
      <modifiedWord/>
      <trackRevisions>false</trackRevisions>
    </reviewItem>
    <reviewItem>
      <errorID>ba84c37a-6779-4bd3-830b-2ae9ff48c910</errorID>
      <errorWord>&lt;</errorWord>
      <group>L1_Format</group>
      <groupName>格式问题</groupName>
      <ability>L2_HalfPunc</ability>
      <abilityName>全半角检查</abilityName>
      <candidateList>
        <item>〈</item>
      </candidateList>
      <explain>文本全半角错误。</explain>
      <paraID>13C56F31</paraID>
      <start>15</start>
      <end>16</end>
      <status>unmodified</status>
      <modifiedWord/>
      <trackRevisions>false</trackRevisions>
    </reviewItem>
    <reviewItem>
      <errorID>22558d86-88d2-4147-9d11-00839c4fd9db</errorID>
      <errorWord>(</errorWord>
      <group>L1_Format</group>
      <groupName>格式问题</groupName>
      <ability>L2_HalfPunc</ability>
      <abilityName>全半角检查</abilityName>
      <candidateList>
        <item>（</item>
      </candidateList>
      <explain>文本全半角错误。</explain>
      <paraID>13C56F31</paraID>
      <start>33</start>
      <end>34</end>
      <status>unmodified</status>
      <modifiedWord/>
      <trackRevisions>false</trackRevisions>
    </reviewItem>
    <reviewItem>
      <errorID>e4dba5c9-a17f-4f17-ada4-11fba92dd1e1</errorID>
      <errorWord>)</errorWord>
      <group>L1_Format</group>
      <groupName>格式问题</groupName>
      <ability>L2_HalfPunc</ability>
      <abilityName>全半角检查</abilityName>
      <candidateList>
        <item>）</item>
      </candidateList>
      <explain>文本全半角错误。</explain>
      <paraID>13C56F31</paraID>
      <start>39</start>
      <end>40</end>
      <status>unmodified</status>
      <modifiedWord/>
      <trackRevisions>false</trackRevisions>
    </reviewItem>
    <reviewItem>
      <errorID>d7ea529b-5f16-45a6-9b36-31a362763df9</errorID>
      <errorWord>&gt;的通知》</errorWord>
      <group>L1_Punc</group>
      <groupName>标点问题</groupName>
      <ability>L2_Punc</ability>
      <abilityName>标点符号检查</abilityName>
      <candidateList>
        <item>〉的通知》</item>
      </candidateList>
      <explain/>
      <paraID>13C56F31</paraID>
      <start>40</start>
      <end>45</end>
      <status>unmodified</status>
      <modifiedWord/>
      <trackRevisions>false</trackRevisions>
    </reviewItem>
    <reviewItem>
      <errorID>20a32ac3-878e-4276-ae2f-4ce8f8f143e8</errorID>
      <errorWord>(</errorWord>
      <group>L1_Format</group>
      <groupName>格式问题</groupName>
      <ability>L2_HalfPunc</ability>
      <abilityName>全半角检查</abilityName>
      <candidateList>
        <item>（</item>
      </candidateList>
      <explain>文本全半角错误。</explain>
      <paraID>7EE11653</paraID>
      <start>111</start>
      <end>112</end>
      <status>unmodified</status>
      <modifiedWord/>
      <trackRevisions>false</trackRevisions>
    </reviewItem>
    <reviewItem>
      <errorID>615ccf75-d60f-4f18-a32f-80882a2ef9b7</errorID>
      <errorWord>)</errorWord>
      <group>L1_Format</group>
      <groupName>格式问题</groupName>
      <ability>L2_HalfPunc</ability>
      <abilityName>全半角检查</abilityName>
      <candidateList>
        <item>）</item>
      </candidateList>
      <explain>文本全半角错误。</explain>
      <paraID>7EE11653</paraID>
      <start>117</start>
      <end>118</end>
      <status>unmodified</status>
      <modifiedWord/>
      <trackRevisions>false</trackRevisions>
    </reviewItem>
    <reviewItem>
      <errorID>33f0eb4e-a6df-4a56-9a7d-2c6b31f5ae23</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7EE11653</paraID>
      <start>118</start>
      <end>119</end>
      <status>unmodified</status>
      <modifiedWord/>
      <trackRevisions>false</trackRevisions>
    </reviewItem>
    <reviewItem>
      <errorID>10729761-ffee-43bb-b32f-d9c594d0500e</errorID>
      <errorWord>(</errorWord>
      <group>L1_Format</group>
      <groupName>格式问题</groupName>
      <ability>L2_HalfPunc</ability>
      <abilityName>全半角检查</abilityName>
      <candidateList>
        <item>（</item>
      </candidateList>
      <explain>文本全半角错误。</explain>
      <paraID> DCCFB72</paraID>
      <start>23</start>
      <end>24</end>
      <status>unmodified</status>
      <modifiedWord/>
      <trackRevisions>false</trackRevisions>
    </reviewItem>
    <reviewItem>
      <errorID>fdd75728-00a7-4320-89be-89b70b1e9f52</errorID>
      <errorWord>)</errorWord>
      <group>L1_Format</group>
      <groupName>格式问题</groupName>
      <ability>L2_HalfPunc</ability>
      <abilityName>全半角检查</abilityName>
      <candidateList>
        <item>）</item>
      </candidateList>
      <explain>文本全半角错误。</explain>
      <paraID> DCCFB72</paraID>
      <start>29</start>
      <end>30</end>
      <status>unmodified</status>
      <modifiedWord/>
      <trackRevisions>false</trackRevisions>
    </reviewItem>
    <reviewItem>
      <errorID>6c03e005-80e1-4bfd-bddf-c452c83151d1</errorID>
      <errorWord>局局</errorWord>
      <group>L1_Word</group>
      <groupName>字词问题</groupName>
      <ability>L2_Typo</ability>
      <abilityName>字词错误</abilityName>
      <candidateList>
        <item>局</item>
      </candidateList>
      <explain/>
      <paraID>6F8B29A8</paraID>
      <start>3</start>
      <end>5</end>
      <status>unmodified</status>
      <modifiedWord/>
      <trackRevisions>false</trackRevisions>
    </reviewItem>
    <reviewItem>
      <errorID>2587f5ba-e273-47e9-8203-c4a981047426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1683EF74</paraID>
      <start>0</start>
      <end>2</end>
      <status>unmodified</status>
      <modifiedWord/>
      <trackRevisions>false</trackRevisions>
    </reviewItem>
    <reviewItem>
      <errorID>b16c0d90-b0cf-4d34-b0b7-eca3dccbf61a</errorID>
      <errorWord>污水厂</errorWord>
      <group>L1_Word</group>
      <groupName>字词问题</groupName>
      <ability>L2_Typo</ability>
      <abilityName>字词错误</abilityName>
      <candidateList>
        <item>污水处理厂</item>
      </candidateList>
      <explain/>
      <paraID>51B50BCE</paraID>
      <start>80</start>
      <end>85</end>
      <status>modified</status>
      <modifiedWord>污水处理厂</modifiedWord>
      <trackRevisions>false</trackRevisions>
    </reviewItem>
    <reviewItem>
      <errorID>65ab5db6-60e5-4055-b0d7-bf68a75e0aac</errorID>
      <errorWord>农业面源等污染</errorWord>
      <group>L1_Political</group>
      <groupName>政治性问题</groupName>
      <ability>L2_Keyword</ability>
      <abilityName>固定表述</abilityName>
      <candidateList>
        <item>农业面源污染</item>
      </candidateList>
      <explain>词汇“农业面源污染”在特定场景下为固定表述形式，请确认此处的“农业面源等污染”是否存在不当。</explain>
      <paraID> 59DBFB5</paraID>
      <start>91</start>
      <end>98</end>
      <status>unmodified</status>
      <modifiedWord/>
      <trackRevisions>false</trackRevisions>
    </reviewItem>
    <reviewItem>
      <errorID>373c6a0d-96d9-4c4e-8df1-8bdd7a37c570</errorID>
      <errorWord>，</errorWord>
      <group>L1_Word</group>
      <groupName>字词问题</groupName>
      <ability>L2_Typo</ability>
      <abilityName>字词错误</abilityName>
      <candidateList>
        <item>，在</item>
      </candidateList>
      <explain/>
      <paraID>3288D1C7</paraID>
      <start>22</start>
      <end>23</end>
      <status>unmodified</status>
      <modifiedWord/>
      <trackRevisions>false</trackRevisions>
    </reviewItem>
    <reviewItem>
      <errorID>5cb30e70-eebc-49e8-b560-4c3b5ef0f3bd</errorID>
      <errorWord>污水厂</errorWord>
      <group>L1_Word</group>
      <groupName>字词问题</groupName>
      <ability>L2_Typo</ability>
      <abilityName>字词错误</abilityName>
      <candidateList>
        <item>污水处理厂</item>
      </candidateList>
      <explain/>
      <paraID>67BAEB08</paraID>
      <start>90</start>
      <end>95</end>
      <status>modified</status>
      <modifiedWord>污水处理厂</modifiedWord>
      <trackRevisions>false</trackRevisions>
    </reviewItem>
    <reviewItem>
      <errorID>cc5efa3e-620c-4bef-a612-c774b859d9c2</errorID>
      <errorWord>用地土壤</errorWord>
      <group>L1_Knowledge</group>
      <groupName>知识性问题</groupName>
      <ability>L2_Term</ability>
      <abilityName>专业术语</abilityName>
      <candidateList>
        <item>迹地土壤</item>
      </candidateList>
      <explain/>
      <paraID>337F92B1</paraID>
      <start>114</start>
      <end>118</end>
      <status>unmodified</status>
      <modifiedWord/>
      <trackRevisions>false</trackRevisions>
    </reviewItem>
    <reviewItem>
      <errorID>fb9558b1-f4cc-4962-b192-017f7af32a9f</errorID>
      <errorWord>矿石</errorWord>
      <group>L1_Word</group>
      <groupName>字词问题</groupName>
      <ability>L2_Typo</ability>
      <abilityName>字词错误</abilityName>
      <candidateList>
        <item>矿山</item>
      </candidateList>
      <explain/>
      <paraID> 8730D19</paraID>
      <start>18</start>
      <end>20</end>
      <status>unmodified</status>
      <modifiedWord/>
      <trackRevisions>false</trackRevisions>
    </reviewItem>
    <reviewItem>
      <errorID>ba276c6e-c089-4667-8880-0266fc58929f</errorID>
      <errorWord>(</errorWord>
      <group>L1_Format</group>
      <groupName>格式问题</groupName>
      <ability>L2_HalfPunc</ability>
      <abilityName>全半角检查</abilityName>
      <candidateList>
        <item>（</item>
      </candidateList>
      <explain>文本全半角错误。</explain>
      <paraID>58B25995</paraID>
      <start>30</start>
      <end>31</end>
      <status>unmodified</status>
      <modifiedWord/>
      <trackRevisions>false</trackRevisions>
    </reviewItem>
    <reviewItem>
      <errorID>1584020f-fd88-48e6-8cd9-70fd04b4307e</errorID>
      <errorWord>)</errorWord>
      <group>L1_Format</group>
      <groupName>格式问题</groupName>
      <ability>L2_HalfPunc</ability>
      <abilityName>全半角检查</abilityName>
      <candidateList>
        <item>）</item>
      </candidateList>
      <explain>文本全半角错误。</explain>
      <paraID>58B25995</paraID>
      <start>37</start>
      <end>38</end>
      <status>unmodified</status>
      <modifiedWord/>
      <trackRevisions>false</trackRevisions>
    </reviewItem>
    <reviewItem>
      <errorID>3d2963f3-3f90-4eef-b693-ea7daed95747</errorID>
      <errorWord>(</errorWord>
      <group>L1_Format</group>
      <groupName>格式问题</groupName>
      <ability>L2_HalfPunc</ability>
      <abilityName>全半角检查</abilityName>
      <candidateList>
        <item>（</item>
      </candidateList>
      <explain>文本全半角错误。</explain>
      <paraID>351606A1</paraID>
      <start>76</start>
      <end>77</end>
      <status>unmodified</status>
      <modifiedWord/>
      <trackRevisions>false</trackRevisions>
    </reviewItem>
    <reviewItem>
      <errorID>81573168-9d9a-4fb5-a01d-1661c48ed7b8</errorID>
      <errorWord>)</errorWord>
      <group>L1_Format</group>
      <groupName>格式问题</groupName>
      <ability>L2_HalfPunc</ability>
      <abilityName>全半角检查</abilityName>
      <candidateList>
        <item>）</item>
      </candidateList>
      <explain>文本全半角错误。</explain>
      <paraID>351606A1</paraID>
      <start>79</start>
      <end>80</end>
      <status>unmodified</status>
      <modifiedWord/>
      <trackRevisions>false</trackRevisions>
    </reviewItem>
    <reviewItem>
      <errorID>50c1c195-c4f9-47ad-a0a9-6296a5512e01</errorID>
      <errorWord>&gt;&gt;</errorWord>
      <group>L1_Punc</group>
      <groupName>标点问题</groupName>
      <ability>L2_Punc</ability>
      <abilityName>标点符号检查</abilityName>
      <candidateList>
        <item>&gt;</item>
      </candidateList>
      <explain/>
      <paraID>351606A1</paraID>
      <start>92</start>
      <end>94</end>
      <status>unmodified</status>
      <modifiedWord/>
      <trackRevisions>false</trackRevisions>
    </reviewItem>
    <reviewItem>
      <errorID>e182ced3-6cd8-453d-a976-9cf99c567f25</errorID>
      <errorWord>)</errorWord>
      <group>L1_Format</group>
      <groupName>格式问题</groupName>
      <ability>L2_HalfPunc</ability>
      <abilityName>全半角检查</abilityName>
      <candidateList>
        <item>）</item>
      </candidateList>
      <explain>文本全半角错误。</explain>
      <paraID>351606A1</paraID>
      <start>110</start>
      <end>111</end>
      <status>unmodified</status>
      <modifiedWord/>
      <trackRevisions>false</trackRevisions>
    </reviewItem>
    <reviewItem>
      <errorID>4e842af4-6b14-4140-9504-bcb1f6aac792</errorID>
      <errorWord>"</errorWord>
      <group>L1_Format</group>
      <groupName>格式问题</groupName>
      <ability>L2_HalfPunc</ability>
      <abilityName>全半角检查</abilityName>
      <candidateList>
        <item>“</item>
      </candidateList>
      <explain>文本全半角错误。</explain>
      <paraID>1AC7890F</paraID>
      <start>4</start>
      <end>5</end>
      <status>unmodified</status>
      <modifiedWord/>
      <trackRevisions>false</trackRevisions>
    </reviewItem>
    <reviewItem>
      <errorID>64cf906c-76a1-4f8d-bdb2-f240924a1c6d</errorID>
      <errorWord>"</errorWord>
      <group>L1_Format</group>
      <groupName>格式问题</groupName>
      <ability>L2_HalfPunc</ability>
      <abilityName>全半角检查</abilityName>
      <candidateList>
        <item>”</item>
      </candidateList>
      <explain>文本全半角错误。</explain>
      <paraID>1AC7890F</paraID>
      <start>7</start>
      <end>8</end>
      <status>unmodified</status>
      <modifiedWord/>
      <trackRevisions>false</trackRevisions>
    </reviewItem>
    <reviewItem>
      <errorID>16a0ba4b-5e2b-4db1-b1c0-054a79e31254</errorID>
      <errorWord>"</errorWord>
      <group>L1_Format</group>
      <groupName>格式问题</groupName>
      <ability>L2_HalfPunc</ability>
      <abilityName>全半角检查</abilityName>
      <candidateList>
        <item>“</item>
      </candidateList>
      <explain>文本全半角错误。</explain>
      <paraID>1AC7890F</paraID>
      <start>25</start>
      <end>26</end>
      <status>unmodified</status>
      <modifiedWord/>
      <trackRevisions>false</trackRevisions>
    </reviewItem>
    <reviewItem>
      <errorID>5f93abea-c747-4ab9-866f-4a0a43ab01db</errorID>
      <errorWord>"</errorWord>
      <group>L1_Format</group>
      <groupName>格式问题</groupName>
      <ability>L2_HalfPunc</ability>
      <abilityName>全半角检查</abilityName>
      <candidateList>
        <item>”</item>
      </candidateList>
      <explain>文本全半角错误。</explain>
      <paraID>1AC7890F</paraID>
      <start>28</start>
      <end>29</end>
      <status>unmodified</status>
      <modifiedWord/>
      <trackRevisions>false</trackRevisions>
    </reviewItem>
    <reviewItem>
      <errorID>b22669d5-46d1-433a-bc4d-fdb6bec02724</errorID>
      <errorWord>(</errorWord>
      <group>L1_Format</group>
      <groupName>格式问题</groupName>
      <ability>L2_HalfPunc</ability>
      <abilityName>全半角检查</abilityName>
      <candidateList>
        <item>（</item>
      </candidateList>
      <explain>文本全半角错误。</explain>
      <paraID>176B056B</paraID>
      <start>20</start>
      <end>21</end>
      <status>unmodified</status>
      <modifiedWord/>
      <trackRevisions>false</trackRevisions>
    </reviewItem>
    <reviewItem>
      <errorID>9452e35a-2716-4e46-8482-a0f62fc03a4a</errorID>
      <errorWord>)</errorWord>
      <group>L1_Format</group>
      <groupName>格式问题</groupName>
      <ability>L2_HalfPunc</ability>
      <abilityName>全半角检查</abilityName>
      <candidateList>
        <item>）</item>
      </candidateList>
      <explain>文本全半角错误。</explain>
      <paraID>176B056B</paraID>
      <start>38</start>
      <end>39</end>
      <status>unmodified</status>
      <modifiedWord/>
      <trackRevisions>false</trackRevisions>
    </reviewItem>
    <reviewItem>
      <errorID>c554fb28-c7b7-4e39-a015-091abf1e9021</errorID>
      <errorWord>(</errorWord>
      <group>L1_Format</group>
      <groupName>格式问题</groupName>
      <ability>L2_HalfPunc</ability>
      <abilityName>全半角检查</abilityName>
      <candidateList>
        <item>（</item>
      </candidateList>
      <explain>文本全半角错误。</explain>
      <paraID>13203DB3</paraID>
      <start>39</start>
      <end>40</end>
      <status>unmodified</status>
      <modifiedWord/>
      <trackRevisions>false</trackRevisions>
    </reviewItem>
    <reviewItem>
      <errorID>847150d3-fada-442c-ba6f-bcb84bca899e</errorID>
      <errorWord>)</errorWord>
      <group>L1_Format</group>
      <groupName>格式问题</groupName>
      <ability>L2_HalfPunc</ability>
      <abilityName>全半角检查</abilityName>
      <candidateList>
        <item>）</item>
      </candidateList>
      <explain>文本全半角错误。</explain>
      <paraID>13203DB3</paraID>
      <start>44</start>
      <end>45</end>
      <status>unmodified</status>
      <modifiedWord/>
      <trackRevisions>false</trackRevisions>
    </reviewItem>
    <reviewItem>
      <errorID>0d12480d-3982-4c8b-8e52-4fc968275bce</errorID>
      <errorWord>"</errorWord>
      <group>L1_Format</group>
      <groupName>格式问题</groupName>
      <ability>L2_HalfPunc</ability>
      <abilityName>全半角检查</abilityName>
      <candidateList>
        <item>“</item>
      </candidateList>
      <explain>文本全半角错误。</explain>
      <paraID>17313B1F</paraID>
      <start>88</start>
      <end>89</end>
      <status>unmodified</status>
      <modifiedWord/>
      <trackRevisions>false</trackRevisions>
    </reviewItem>
    <reviewItem>
      <errorID>1e9ef59f-3730-4840-9065-18eb3e4edc1f</errorID>
      <errorWord>"</errorWord>
      <group>L1_Format</group>
      <groupName>格式问题</groupName>
      <ability>L2_HalfPunc</ability>
      <abilityName>全半角检查</abilityName>
      <candidateList>
        <item>”</item>
      </candidateList>
      <explain>文本全半角错误。</explain>
      <paraID>17313B1F</paraID>
      <start>98</start>
      <end>99</end>
      <status>unmodified</status>
      <modifiedWord/>
      <trackRevisions>false</trackRevisions>
    </reviewItem>
    <reviewItem>
      <errorID>a2b3a582-6259-44e4-bf8c-f08e61fe137f</errorID>
      <errorWord>"</errorWord>
      <group>L1_Format</group>
      <groupName>格式问题</groupName>
      <ability>L2_HalfPunc</ability>
      <abilityName>全半角检查</abilityName>
      <candidateList>
        <item>“</item>
      </candidateList>
      <explain>文本全半角错误。</explain>
      <paraID>6D4C60DE</paraID>
      <start>14</start>
      <end>15</end>
      <status>unmodified</status>
      <modifiedWord/>
      <trackRevisions>false</trackRevisions>
    </reviewItem>
    <reviewItem>
      <errorID>bd3621a1-60ed-48bc-a8ac-e29e66e70c02</errorID>
      <errorWord>"</errorWord>
      <group>L1_Format</group>
      <groupName>格式问题</groupName>
      <ability>L2_HalfPunc</ability>
      <abilityName>全半角检查</abilityName>
      <candidateList>
        <item>”</item>
      </candidateList>
      <explain>文本全半角错误。</explain>
      <paraID>6D4C60DE</paraID>
      <start>24</start>
      <end>25</end>
      <status>unmodified</status>
      <modifiedWord/>
      <trackRevisions>false</trackRevisions>
    </reviewItem>
    <reviewItem>
      <errorID>f5c792ea-a8a5-44e7-8821-1f2a15b39c54</errorID>
      <errorWord>;</errorWord>
      <group>L1_Format</group>
      <groupName>格式问题</groupName>
      <ability>L2_HalfPunc</ability>
      <abilityName>全半角检查</abilityName>
      <candidateList>
        <item>；</item>
      </candidateList>
      <explain>文本全半角错误。</explain>
      <paraID>798728D5</paraID>
      <start>76</start>
      <end>77</end>
      <status>unmodified</status>
      <modifiedWord/>
      <trackRevisions>false</trackRevisions>
    </reviewItem>
    <reviewItem>
      <errorID>32f70c15-539c-4a4d-95b0-244b4386ab69</errorID>
      <errorWord>污水厂</errorWord>
      <group>L1_Word</group>
      <groupName>字词问题</groupName>
      <ability>L2_Typo</ability>
      <abilityName>字词错误</abilityName>
      <candidateList>
        <item>污水处理厂</item>
      </candidateList>
      <explain/>
      <paraID>2D040573</paraID>
      <start>90</start>
      <end>95</end>
      <status>modified</status>
      <modifiedWord>污水处理厂</modifiedWord>
      <trackRevisions>false</trackRevisions>
    </reviewItem>
    <reviewItem>
      <errorID>e918df32-fcb5-4dc8-ab39-fd1a43c489d5</errorID>
      <errorWord>(</errorWord>
      <group>L1_Format</group>
      <groupName>格式问题</groupName>
      <ability>L2_HalfPunc</ability>
      <abilityName>全半角检查</abilityName>
      <candidateList>
        <item>（</item>
      </candidateList>
      <explain>文本全半角错误。</explain>
      <paraID>7631EF1E</paraID>
      <start>44</start>
      <end>45</end>
      <status>unmodified</status>
      <modifiedWord/>
      <trackRevisions>false</trackRevisions>
    </reviewItem>
    <reviewItem>
      <errorID>4fd56b6f-1e27-4923-abfd-b39414e5c649</errorID>
      <errorWord>)</errorWord>
      <group>L1_Format</group>
      <groupName>格式问题</groupName>
      <ability>L2_HalfPunc</ability>
      <abilityName>全半角检查</abilityName>
      <candidateList>
        <item>）</item>
      </candidateList>
      <explain>文本全半角错误。</explain>
      <paraID>7631EF1E</paraID>
      <start>49</start>
      <end>50</end>
      <status>unmodified</status>
      <modifiedWord/>
      <trackRevisions>false</trackRevisions>
    </reviewItem>
    <reviewItem>
      <errorID>fd2bb2a2-63b9-4e12-9a91-a535c06ebc00</errorID>
      <errorWord>(</errorWord>
      <group>L1_Format</group>
      <groupName>格式问题</groupName>
      <ability>L2_HalfPunc</ability>
      <abilityName>全半角检查</abilityName>
      <candidateList>
        <item>（</item>
      </candidateList>
      <explain>文本全半角错误。</explain>
      <paraID>7631EF1E</paraID>
      <start>55</start>
      <end>56</end>
      <status>unmodified</status>
      <modifiedWord/>
      <trackRevisions>false</trackRevisions>
    </reviewItem>
    <reviewItem>
      <errorID>7f2ca0dc-8f4f-4fb0-95e8-2d3222b0d830</errorID>
      <errorWord>)</errorWord>
      <group>L1_Format</group>
      <groupName>格式问题</groupName>
      <ability>L2_HalfPunc</ability>
      <abilityName>全半角检查</abilityName>
      <candidateList>
        <item>）</item>
      </candidateList>
      <explain>文本全半角错误。</explain>
      <paraID>7631EF1E</paraID>
      <start>59</start>
      <end>60</end>
      <status>unmodified</status>
      <modifiedWord/>
      <trackRevisions>false</trackRevisions>
    </reviewItem>
    <reviewItem>
      <errorID>b392f8d4-56ab-4260-a1b5-55d779bc3c0a</errorID>
      <errorWord>污水厂</errorWord>
      <group>L1_Word</group>
      <groupName>字词问题</groupName>
      <ability>L2_Typo</ability>
      <abilityName>字词错误</abilityName>
      <candidateList>
        <item>污水处理厂</item>
      </candidateList>
      <explain/>
      <paraID>78DD3218</paraID>
      <start>30</start>
      <end>35</end>
      <status>modified</status>
      <modifiedWord>污水处理厂</modifiedWord>
      <trackRevisions>false</trackRevisions>
    </reviewItem>
    <reviewItem>
      <errorID>573b8eca-32cd-4cd3-af08-be904e7e783a</errorID>
      <errorWord>。。</errorWord>
      <group>L1_Punc</group>
      <groupName>标点问题</groupName>
      <ability>L2_Punc</ability>
      <abilityName>标点符号检查</abilityName>
      <candidateList>
        <item>。</item>
      </candidateList>
      <explain/>
      <paraID> 9C62355</paraID>
      <start>54</start>
      <end>56</end>
      <status>unmodified</status>
      <modifiedWord/>
      <trackRevisions>false</trackRevisions>
    </reviewItem>
    <reviewItem>
      <errorID>fc6d2626-0cd3-4095-920c-e214fb3d7fe0</errorID>
      <errorWord>、与</errorWord>
      <group>L1_Word</group>
      <groupName>字词问题</groupName>
      <ability>L2_Typo</ability>
      <abilityName>字词错误</abilityName>
      <candidateList>
        <item>、</item>
      </candidateList>
      <explain/>
      <paraID>6D46C987</paraID>
      <start>16</start>
      <end>18</end>
      <status>unmodified</status>
      <modifiedWord/>
      <trackRevisions>false</trackRevisions>
    </reviewItem>
    <reviewItem>
      <errorID>99140141-ff38-4860-a566-77b35a0be491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795194AF</paraID>
      <start>22</start>
      <end>23</end>
      <status>unmodified</status>
      <modifiedWord/>
      <trackRevisions>false</trackRevisions>
    </reviewItem>
    <reviewItem>
      <errorID>3d6f3de3-74bc-434f-8350-e668788a7421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64D75C4E</paraID>
      <start>16</start>
      <end>17</end>
      <status>unmodified</status>
      <modifiedWord/>
      <trackRevisions>false</trackRevisions>
    </reviewItem>
    <reviewItem>
      <errorID>e7a11ec3-1117-4e9a-a6ca-3eb2e42a6a29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2DF58F81</paraID>
      <start>114</start>
      <end>115</end>
      <status>unmodified</status>
      <modifiedWord/>
      <trackRevisions>false</trackRevisions>
    </reviewItem>
    <reviewItem>
      <errorID>ac5769e0-f961-417c-bdcd-27a49930c211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64EBADDE</paraID>
      <start>0</start>
      <end>2</end>
      <status>unmodified</status>
      <modifiedWord/>
      <trackRevisions>false</trackRevisions>
    </reviewItem>
    <reviewItem>
      <errorID>ac4b7724-3a13-4dc6-8d57-ba86508007e3</errorID>
      <errorWord>发展改革委员会</errorWord>
      <group>L1_Word</group>
      <groupName>字词问题</groupName>
      <ability>L2_Typo</ability>
      <abilityName>字词错误</abilityName>
      <candidateList>
        <item>发展和改革委员会</item>
      </candidateList>
      <explain/>
      <paraID>64EBADDE</paraID>
      <start>17</start>
      <end>25</end>
      <status>modified</status>
      <modifiedWord>发展和改革委员会</modifiedWord>
      <trackRevisions>false</trackRevisions>
    </reviewItem>
    <reviewItem>
      <errorID>22ac8c86-aca3-4723-91dc-61ebd2b6a0fc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58A69E11</paraID>
      <start>0</start>
      <end>2</end>
      <status>unmodified</status>
      <modifiedWord/>
      <trackRevisions>false</trackRevisions>
    </reviewItem>
    <reviewItem>
      <errorID>02d1c3e3-9840-4154-8ce6-5f71d154b9e1</errorID>
      <errorWord>再</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 537523A</paraID>
      <start>64</start>
      <end>65</end>
      <status>unmodified</status>
      <modifiedWord/>
      <trackRevisions>false</trackRevisions>
    </reviewItem>
    <reviewItem>
      <errorID>4b757e95-ef37-4d0d-a553-d1275decb525</errorID>
      <errorWord>(</errorWord>
      <group>L1_Format</group>
      <groupName>格式问题</groupName>
      <ability>L2_HalfPunc</ability>
      <abilityName>全半角检查</abilityName>
      <candidateList>
        <item>（</item>
      </candidateList>
      <explain>文本全半角错误。</explain>
      <paraID> 537523A</paraID>
      <start>257</start>
      <end>258</end>
      <status>unmodified</status>
      <modifiedWord/>
      <trackRevisions>false</trackRevisions>
    </reviewItem>
    <reviewItem>
      <errorID>51dadf1d-397b-4313-ab9a-cb13476a8a9e</errorID>
      <errorWord>)</errorWord>
      <group>L1_Format</group>
      <groupName>格式问题</groupName>
      <ability>L2_HalfPunc</ability>
      <abilityName>全半角检查</abilityName>
      <candidateList>
        <item>）</item>
      </candidateList>
      <explain>文本全半角错误。</explain>
      <paraID> 537523A</paraID>
      <start>278</start>
      <end>279</end>
      <status>unmodified</status>
      <modifiedWord/>
      <trackRevisions>false</trackRevisions>
    </reviewItem>
    <reviewItem>
      <errorID>a04527cc-5cea-4b79-81c5-a7a18b77b2c4</errorID>
      <errorWord>(</errorWord>
      <group>L1_Format</group>
      <groupName>格式问题</groupName>
      <ability>L2_HalfPunc</ability>
      <abilityName>全半角检查</abilityName>
      <candidateList>
        <item>（</item>
      </candidateList>
      <explain>文本全半角错误。</explain>
      <paraID> 537523A</paraID>
      <start>304</start>
      <end>305</end>
      <status>unmodified</status>
      <modifiedWord/>
      <trackRevisions>false</trackRevisions>
    </reviewItem>
    <reviewItem>
      <errorID>6d54f9ad-025a-478e-b7b7-f69a7d637bad</errorID>
      <errorWord>)</errorWord>
      <group>L1_Format</group>
      <groupName>格式问题</groupName>
      <ability>L2_HalfPunc</ability>
      <abilityName>全半角检查</abilityName>
      <candidateList>
        <item>）</item>
      </candidateList>
      <explain>文本全半角错误。</explain>
      <paraID> 537523A</paraID>
      <start>324</start>
      <end>325</end>
      <status>unmodified</status>
      <modifiedWord/>
      <trackRevisions>false</trackRevisions>
    </reviewItem>
    <reviewItem>
      <errorID>a94ad4d1-eced-42d6-9647-f2a518c178c8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12C405C7</paraID>
      <start>17</start>
      <end>20</end>
      <status>unmodified</status>
      <modifiedWord/>
      <trackRevisions>false</trackRevisions>
    </reviewItem>
    <reviewItem>
      <errorID>964fb863-952f-40d7-ab45-dd1311636539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12C405C7</paraID>
      <start>32</start>
      <end>35</end>
      <status>unmodified</status>
      <modifiedWord/>
      <trackRevisions>false</trackRevisions>
    </reviewItem>
    <reviewItem>
      <errorID>df634f6b-83d5-4f67-9b91-a0f606221ddd</errorID>
      <errorWord>(</errorWord>
      <group>L1_Format</group>
      <groupName>格式问题</groupName>
      <ability>L2_HalfPunc</ability>
      <abilityName>全半角检查</abilityName>
      <candidateList>
        <item>（</item>
      </candidateList>
      <explain>文本全半角错误。</explain>
      <paraID>1F508AC5</paraID>
      <start>119</start>
      <end>120</end>
      <status>unmodified</status>
      <modifiedWord/>
      <trackRevisions>false</trackRevisions>
    </reviewItem>
    <reviewItem>
      <errorID>daa7a0ef-52d9-4936-8f81-b8fcbf274c2f</errorID>
      <errorWord>)</errorWord>
      <group>L1_Format</group>
      <groupName>格式问题</groupName>
      <ability>L2_HalfPunc</ability>
      <abilityName>全半角检查</abilityName>
      <candidateList>
        <item>）</item>
      </candidateList>
      <explain>文本全半角错误。</explain>
      <paraID>1F508AC5</paraID>
      <start>122</start>
      <end>123</end>
      <status>unmodified</status>
      <modifiedWord/>
      <trackRevisions>false</trackRevisions>
    </reviewItem>
    <reviewItem>
      <errorID>8b64e0eb-da8d-4b5e-90f5-e4f9b6ed28ae</errorID>
      <errorWord>(</errorWord>
      <group>L1_Format</group>
      <groupName>格式问题</groupName>
      <ability>L2_HalfPunc</ability>
      <abilityName>全半角检查</abilityName>
      <candidateList>
        <item>（</item>
      </candidateList>
      <explain>文本全半角错误。</explain>
      <paraID>1F508AC5</paraID>
      <start>153</start>
      <end>154</end>
      <status>unmodified</status>
      <modifiedWord/>
      <trackRevisions>false</trackRevisions>
    </reviewItem>
    <reviewItem>
      <errorID>e1569e7d-c8db-4bd9-bc12-dcf21950f6a9</errorID>
      <errorWord>)</errorWord>
      <group>L1_Format</group>
      <groupName>格式问题</groupName>
      <ability>L2_HalfPunc</ability>
      <abilityName>全半角检查</abilityName>
      <candidateList>
        <item>）</item>
      </candidateList>
      <explain>文本全半角错误。</explain>
      <paraID>1F508AC5</paraID>
      <start>174</start>
      <end>175</end>
      <status>unmodified</status>
      <modifiedWord/>
      <trackRevisions>false</trackRevisions>
    </reviewItem>
    <reviewItem>
      <errorID>234f6f74-e826-4de9-81fd-f843111a0463</errorID>
      <errorWord>(</errorWord>
      <group>L1_Format</group>
      <groupName>格式问题</groupName>
      <ability>L2_HalfPunc</ability>
      <abilityName>全半角检查</abilityName>
      <candidateList>
        <item>（</item>
      </candidateList>
      <explain>文本全半角错误。</explain>
      <paraID>1F508AC5</paraID>
      <start>199</start>
      <end>200</end>
      <status>unmodified</status>
      <modifiedWord/>
      <trackRevisions>false</trackRevisions>
    </reviewItem>
    <reviewItem>
      <errorID>98a82887-b5da-41ab-be07-606a32cf1e16</errorID>
      <errorWord>)</errorWord>
      <group>L1_Format</group>
      <groupName>格式问题</groupName>
      <ability>L2_HalfPunc</ability>
      <abilityName>全半角检查</abilityName>
      <candidateList>
        <item>）</item>
      </candidateList>
      <explain>文本全半角错误。</explain>
      <paraID>1F508AC5</paraID>
      <start>219</start>
      <end>220</end>
      <status>unmodified</status>
      <modifiedWord/>
      <trackRevisions>false</trackRevisions>
    </reviewItem>
    <reviewItem>
      <errorID>4a39fe2e-6418-4bbb-bef0-ef12668ad433</errorID>
      <errorWord>(</errorWord>
      <group>L1_Format</group>
      <groupName>格式问题</groupName>
      <ability>L2_HalfPunc</ability>
      <abilityName>全半角检查</abilityName>
      <candidateList>
        <item>（</item>
      </candidateList>
      <explain>文本全半角错误。</explain>
      <paraID>1F508AC5</paraID>
      <start>244</start>
      <end>245</end>
      <status>unmodified</status>
      <modifiedWord/>
      <trackRevisions>false</trackRevisions>
    </reviewItem>
    <reviewItem>
      <errorID>53b2e958-a61a-440e-932e-217fa01d1b74</errorID>
      <errorWord>)</errorWord>
      <group>L1_Format</group>
      <groupName>格式问题</groupName>
      <ability>L2_HalfPunc</ability>
      <abilityName>全半角检查</abilityName>
      <candidateList>
        <item>）</item>
      </candidateList>
      <explain>文本全半角错误。</explain>
      <paraID>1F508AC5</paraID>
      <start>252</start>
      <end>253</end>
      <status>unmodified</status>
      <modifiedWord/>
      <trackRevisions>false</trackRevisions>
    </reviewItem>
    <reviewItem>
      <errorID>3bc47777-73ed-4d2d-a27f-874576c7f735</errorID>
      <errorWord>(</errorWord>
      <group>L1_Format</group>
      <groupName>格式问题</groupName>
      <ability>L2_HalfPunc</ability>
      <abilityName>全半角检查</abilityName>
      <candidateList>
        <item>（</item>
      </candidateList>
      <explain>文本全半角错误。</explain>
      <paraID>45E58A34</paraID>
      <start>76</start>
      <end>77</end>
      <status>unmodified</status>
      <modifiedWord/>
      <trackRevisions>false</trackRevisions>
    </reviewItem>
    <reviewItem>
      <errorID>6432ea1a-88a2-4e69-a3df-caf71e8f50d3</errorID>
      <errorWord>)</errorWord>
      <group>L1_Format</group>
      <groupName>格式问题</groupName>
      <ability>L2_HalfPunc</ability>
      <abilityName>全半角检查</abilityName>
      <candidateList>
        <item>）</item>
      </candidateList>
      <explain>文本全半角错误。</explain>
      <paraID>45E58A34</paraID>
      <start>97</start>
      <end>98</end>
      <status>unmodified</status>
      <modifiedWord/>
      <trackRevisions>false</trackRevisions>
    </reviewItem>
    <reviewItem>
      <errorID>822a0d21-023a-4710-90ed-3569e4b28395</errorID>
      <errorWord>(</errorWord>
      <group>L1_Format</group>
      <groupName>格式问题</groupName>
      <ability>L2_HalfPunc</ability>
      <abilityName>全半角检查</abilityName>
      <candidateList>
        <item>（</item>
      </candidateList>
      <explain>文本全半角错误。</explain>
      <paraID>45E58A34</paraID>
      <start>122</start>
      <end>123</end>
      <status>unmodified</status>
      <modifiedWord/>
      <trackRevisions>false</trackRevisions>
    </reviewItem>
    <reviewItem>
      <errorID>d4fbc301-8451-47b0-b980-f3ff6bcde707</errorID>
      <errorWord>)</errorWord>
      <group>L1_Format</group>
      <groupName>格式问题</groupName>
      <ability>L2_HalfPunc</ability>
      <abilityName>全半角检查</abilityName>
      <candidateList>
        <item>）</item>
      </candidateList>
      <explain>文本全半角错误。</explain>
      <paraID>45E58A34</paraID>
      <start>142</start>
      <end>143</end>
      <status>unmodified</status>
      <modifiedWord/>
      <trackRevisions>false</trackRevisions>
    </reviewItem>
    <reviewItem>
      <errorID>eab6ee70-4f16-4ccb-b21a-2b32108d01b5</errorID>
      <errorWord>污水厂</errorWord>
      <group>L1_Word</group>
      <groupName>字词问题</groupName>
      <ability>L2_Typo</ability>
      <abilityName>字词错误</abilityName>
      <candidateList>
        <item>污水处理厂</item>
      </candidateList>
      <explain/>
      <paraID>5C967C8B</paraID>
      <start>95</start>
      <end>100</end>
      <status>modified</status>
      <modifiedWord>污水处理厂</modifiedWord>
      <trackRevisions>false</trackRevisions>
    </reviewItem>
    <reviewItem>
      <errorID>abf57b4d-0695-4c23-8829-87f59a4b603d</errorID>
      <errorWord>污水厂</errorWord>
      <group>L1_Word</group>
      <groupName>字词问题</groupName>
      <ability>L2_Typo</ability>
      <abilityName>字词错误</abilityName>
      <candidateList>
        <item>污水处理厂</item>
      </candidateList>
      <explain/>
      <paraID> 36EE66C</paraID>
      <start>6</start>
      <end>11</end>
      <status>modified</status>
      <modifiedWord>污水处理厂</modifiedWord>
      <trackRevisions>false</trackRevisions>
    </reviewItem>
    <reviewItem>
      <errorID>90b3483a-465d-4be1-b5eb-fdcc207a2592</errorID>
      <errorWord>(</errorWord>
      <group>L1_Format</group>
      <groupName>格式问题</groupName>
      <ability>L2_HalfPunc</ability>
      <abilityName>全半角检查</abilityName>
      <candidateList>
        <item>（</item>
      </candidateList>
      <explain>文本全半角错误。</explain>
      <paraID>66824D07</paraID>
      <start>43</start>
      <end>44</end>
      <status>unmodified</status>
      <modifiedWord/>
      <trackRevisions>false</trackRevisions>
    </reviewItem>
    <reviewItem>
      <errorID>3e119c2f-6406-4e0e-85bb-5e3d21bd68b4</errorID>
      <errorWord>)</errorWord>
      <group>L1_Format</group>
      <groupName>格式问题</groupName>
      <ability>L2_HalfPunc</ability>
      <abilityName>全半角检查</abilityName>
      <candidateList>
        <item>）</item>
      </candidateList>
      <explain>文本全半角错误。</explain>
      <paraID>66824D07</paraID>
      <start>60</start>
      <end>61</end>
      <status>unmodified</status>
      <modifiedWord/>
      <trackRevisions>false</trackRevisions>
    </reviewItem>
    <reviewItem>
      <errorID>a1ea501a-a497-40db-9869-8b9a3aeb6a15</errorID>
      <errorWord>(</errorWord>
      <group>L1_Format</group>
      <groupName>格式问题</groupName>
      <ability>L2_HalfPunc</ability>
      <abilityName>全半角检查</abilityName>
      <candidateList>
        <item>（</item>
      </candidateList>
      <explain>文本全半角错误。</explain>
      <paraID>66824D07</paraID>
      <start>119</start>
      <end>120</end>
      <status>unmodified</status>
      <modifiedWord/>
      <trackRevisions>false</trackRevisions>
    </reviewItem>
    <reviewItem>
      <errorID>9321d504-e828-4952-ac54-9a85eb1f9631</errorID>
      <errorWord>)</errorWord>
      <group>L1_Format</group>
      <groupName>格式问题</groupName>
      <ability>L2_HalfPunc</ability>
      <abilityName>全半角检查</abilityName>
      <candidateList>
        <item>）</item>
      </candidateList>
      <explain>文本全半角错误。</explain>
      <paraID>66824D07</paraID>
      <start>125</start>
      <end>126</end>
      <status>unmodified</status>
      <modifiedWord/>
      <trackRevisions>false</trackRevisions>
    </reviewItem>
    <reviewItem>
      <errorID>03d58fc5-44b9-4c53-b91c-a5477d3de83b</errorID>
      <errorWord>68%~98%</errorWord>
      <group>L1_Knowledge</group>
      <groupName>知识性问题</groupName>
      <ability>L2_Knowledge</ability>
      <abilityName>其他知识</abilityName>
      <candidateList>
        <item>68%～98%</item>
      </candidateList>
      <explain>1. “68%~98%”中的单位“%”仅出现在后一个数字上，容易引起歧义；根据《现代汉语标点符号数字用法规范手册》，数字表示范围两边需要使用统一的格式。2. 根据标点国标 4.13 中的规则，数字、时间或地域连接符应使用（视觉上更长的）“—”或“～”。</explain>
      <paraID>66824D07</paraID>
      <start>132</start>
      <end>139</end>
      <status>unmodified</status>
      <modifiedWord/>
      <trackRevisions>false</trackRevisions>
    </reviewItem>
    <reviewItem>
      <errorID>7c895182-1800-4f38-8401-bd5b6ff0990c</errorID>
      <errorWord>(</errorWord>
      <group>L1_Format</group>
      <groupName>格式问题</groupName>
      <ability>L2_HalfPunc</ability>
      <abilityName>全半角检查</abilityName>
      <candidateList>
        <item>（</item>
      </candidateList>
      <explain>文本全半角错误。</explain>
      <paraID>66824D07</paraID>
      <start>148</start>
      <end>149</end>
      <status>unmodified</status>
      <modifiedWord/>
      <trackRevisions>false</trackRevisions>
    </reviewItem>
    <reviewItem>
      <errorID>89b76a3c-8b1d-4a90-8892-7a376b11b65b</errorID>
      <errorWord>)</errorWord>
      <group>L1_Format</group>
      <groupName>格式问题</groupName>
      <ability>L2_HalfPunc</ability>
      <abilityName>全半角检查</abilityName>
      <candidateList>
        <item>）</item>
      </candidateList>
      <explain>文本全半角错误。</explain>
      <paraID>66824D07</paraID>
      <start>154</start>
      <end>155</end>
      <status>unmodified</status>
      <modifiedWord/>
      <trackRevisions>false</trackRevisions>
    </reviewItem>
    <reviewItem>
      <errorID>38e507df-d846-42ca-bde2-7d093af1c234</errorID>
      <errorWord>0~50%</errorWord>
      <group>L1_Knowledge</group>
      <groupName>知识性问题</groupName>
      <ability>L2_Knowledge</ability>
      <abilityName>其他知识</abilityName>
      <candidateList>
        <item>0～50%</item>
      </candidateList>
      <explain>1. “0~50%”中的单位“%”仅出现在后一个数字上，容易引起歧义；根据《现代汉语标点符号数字用法规范手册》，数字表示范围两边需要使用统一的格式。2. 根据标点国标 4.13 中的规则，数字、时间或地域连接符应使用（视觉上更长的）“—”或“～”。</explain>
      <paraID>66824D07</paraID>
      <start>161</start>
      <end>166</end>
      <status>unmodified</status>
      <modifiedWord/>
      <trackRevisions>false</trackRevisions>
    </reviewItem>
    <reviewItem>
      <errorID>b849c57f-d2a5-49f3-a9ab-6f39648b1be4</errorID>
      <errorWord>至由</errorWord>
      <group>L1_Word</group>
      <groupName>字词问题</groupName>
      <ability>L2_Typo</ability>
      <abilityName>字词错误</abilityName>
      <candidateList>
        <item>至</item>
      </candidateList>
      <explain>❶〈动〉到：～今｜自始～终｜～死不屈。❷至于：甚～。❸〈副〉极；最：为感谢～｜你要早来，～迟下星期内一定赶到。</explain>
      <paraID>6AB85F55</paraID>
      <start>25</start>
      <end>27</end>
      <status>unmodified</status>
      <modifiedWord/>
      <trackRevisions>false</trackRevisions>
    </reviewItem>
    <reviewItem>
      <errorID>c2962f64-b5b6-4b83-8efc-4ab76f562764</errorID>
      <errorWord>污水厂</errorWord>
      <group>L1_Word</group>
      <groupName>字词问题</groupName>
      <ability>L2_Typo</ability>
      <abilityName>字词错误</abilityName>
      <candidateList>
        <item>污水处理厂</item>
      </candidateList>
      <explain/>
      <paraID>6AB85F55</paraID>
      <start>91</start>
      <end>96</end>
      <status>modified</status>
      <modifiedWord>污水处理厂</modifiedWord>
      <trackRevisions>false</trackRevisions>
    </reviewItem>
    <reviewItem>
      <errorID>41ac1a66-611c-4de4-9a2c-5cdae0064233</errorID>
      <errorWord>设</errorWord>
      <group>L1_Word</group>
      <groupName>字词问题</groupName>
      <ability>L2_Typo</ability>
      <abilityName>字词错误</abilityName>
      <candidateList>
        <item>设置</item>
      </candidateList>
      <explain>〈动〉❶设立：这座剧院是为儿童～的。❷安放；安装：～障碍。</explain>
      <paraID>72F19F7E</paraID>
      <start>6</start>
      <end>7</end>
      <status>unmodified</status>
      <modifiedWord/>
      <trackRevisions>false</trackRevisions>
    </reviewItem>
    <reviewItem>
      <errorID>99f6c7db-bf39-4446-825a-b074e3572b8b</errorID>
      <errorWord>(</errorWord>
      <group>L1_Format</group>
      <groupName>格式问题</groupName>
      <ability>L2_HalfPunc</ability>
      <abilityName>全半角检查</abilityName>
      <candidateList>
        <item>（</item>
      </candidateList>
      <explain>文本全半角错误。</explain>
      <paraID>439F2700</paraID>
      <start>28</start>
      <end>29</end>
      <status>unmodified</status>
      <modifiedWord/>
      <trackRevisions>false</trackRevisions>
    </reviewItem>
    <reviewItem>
      <errorID>10c6f7b2-2a3b-45f1-8236-73421edfb3c4</errorID>
      <errorWord>)</errorWord>
      <group>L1_Format</group>
      <groupName>格式问题</groupName>
      <ability>L2_HalfPunc</ability>
      <abilityName>全半角检查</abilityName>
      <candidateList>
        <item>）</item>
      </candidateList>
      <explain>文本全半角错误。</explain>
      <paraID>439F2700</paraID>
      <start>58</start>
      <end>59</end>
      <status>unmodified</status>
      <modifiedWord/>
      <trackRevisions>false</trackRevisions>
    </reviewItem>
    <reviewItem>
      <errorID>ff5051d6-6bcc-4e97-ae3c-964a873bce5c</errorID>
      <errorWord>（</errorWord>
      <group>L1_Format</group>
      <groupName>格式问题</groupName>
      <ability>L2_HalfPunc</ability>
      <abilityName>全半角检查</abilityName>
      <candidateList>
        <item>(</item>
      </candidateList>
      <explain>文本全半角错误。</explain>
      <paraID>65FFDE46</paraID>
      <start>0</start>
      <end>1</end>
      <status>unmodified</status>
      <modifiedWord/>
      <trackRevisions>false</trackRevisions>
    </reviewItem>
    <reviewItem>
      <errorID>006822f9-ab2c-41a6-ada8-eb1fdd26d600</errorID>
      <errorWord>）</errorWord>
      <group>L1_Format</group>
      <groupName>格式问题</groupName>
      <ability>L2_HalfPunc</ability>
      <abilityName>全半角检查</abilityName>
      <candidateList>
        <item>)</item>
      </candidateList>
      <explain>文本全半角错误。</explain>
      <paraID>65FFDE46</paraID>
      <start>5</start>
      <end>6</end>
      <status>unmodified</status>
      <modifiedWord/>
      <trackRevisions>false</trackRevisions>
    </reviewItem>
    <reviewItem>
      <errorID>c844a61b-9170-4a4e-9345-4378edaa9119</errorID>
      <errorWord>（</errorWord>
      <group>L1_Format</group>
      <groupName>格式问题</groupName>
      <ability>L2_HalfPunc</ability>
      <abilityName>全半角检查</abilityName>
      <candidateList>
        <item>(</item>
      </candidateList>
      <explain>文本全半角错误。</explain>
      <paraID>68784F91</paraID>
      <start>5</start>
      <end>6</end>
      <status>unmodified</status>
      <modifiedWord/>
      <trackRevisions>false</trackRevisions>
    </reviewItem>
    <reviewItem>
      <errorID>f2148e58-fc9f-4152-b175-1b704010807e</errorID>
      <errorWord>）</errorWord>
      <group>L1_Format</group>
      <groupName>格式问题</groupName>
      <ability>L2_HalfPunc</ability>
      <abilityName>全半角检查</abilityName>
      <candidateList>
        <item>)</item>
      </candidateList>
      <explain>文本全半角错误。</explain>
      <paraID>68784F91</paraID>
      <start>12</start>
      <end>13</end>
      <status>unmodified</status>
      <modifiedWord/>
      <trackRevisions>false</trackRevisions>
    </reviewItem>
    <reviewItem>
      <errorID>ef9a59d1-55ac-4334-9ba1-cf19815f5403</errorID>
      <errorWord>（</errorWord>
      <group>L1_Format</group>
      <groupName>格式问题</groupName>
      <ability>L2_HalfPunc</ability>
      <abilityName>全半角检查</abilityName>
      <candidateList>
        <item>(</item>
      </candidateList>
      <explain>文本全半角错误。</explain>
      <paraID>4EEE01D7</paraID>
      <start>4</start>
      <end>5</end>
      <status>unmodified</status>
      <modifiedWord/>
      <trackRevisions>false</trackRevisions>
    </reviewItem>
    <reviewItem>
      <errorID>9c9ee6cc-decf-447d-8cb5-9cf1927178cc</errorID>
      <errorWord>）</errorWord>
      <group>L1_Format</group>
      <groupName>格式问题</groupName>
      <ability>L2_HalfPunc</ability>
      <abilityName>全半角检查</abilityName>
      <candidateList>
        <item>)</item>
      </candidateList>
      <explain>文本全半角错误。</explain>
      <paraID>4EEE01D7</paraID>
      <start>11</start>
      <end>12</end>
      <status>unmodified</status>
      <modifiedWord/>
      <trackRevisions>false</trackRevisions>
    </reviewItem>
    <reviewItem>
      <errorID>448f3e64-6d55-4cc6-b2ac-b352d84d7ee0</errorID>
      <errorWord>(</errorWord>
      <group>L1_Format</group>
      <groupName>格式问题</groupName>
      <ability>L2_HalfPunc</ability>
      <abilityName>全半角检查</abilityName>
      <candidateList>
        <item>（</item>
      </candidateList>
      <explain>文本全半角错误。</explain>
      <paraID>15F8D74B</paraID>
      <start>2</start>
      <end>3</end>
      <status>unmodified</status>
      <modifiedWord/>
      <trackRevisions>false</trackRevisions>
    </reviewItem>
    <reviewItem>
      <errorID>48cf26cf-da17-4993-a665-06570d4a317a</errorID>
      <errorWord>（</errorWord>
      <group>L1_Format</group>
      <groupName>格式问题</groupName>
      <ability>L2_HalfPunc</ability>
      <abilityName>全半角检查</abilityName>
      <candidateList>
        <item>(</item>
      </candidateList>
      <explain>文本全半角错误。</explain>
      <paraID> E6E6BD9</paraID>
      <start>4</start>
      <end>5</end>
      <status>unmodified</status>
      <modifiedWord/>
      <trackRevisions>false</trackRevisions>
    </reviewItem>
    <reviewItem>
      <errorID>1fc2ccaf-9642-4662-bd28-0dc574117133</errorID>
      <errorWord>）</errorWord>
      <group>L1_Format</group>
      <groupName>格式问题</groupName>
      <ability>L2_HalfPunc</ability>
      <abilityName>全半角检查</abilityName>
      <candidateList>
        <item>)</item>
      </candidateList>
      <explain>文本全半角错误。</explain>
      <paraID> E6E6BD9</paraID>
      <start>10</start>
      <end>11</end>
      <status>unmodified</status>
      <modifiedWord/>
      <trackRevisions>false</trackRevisions>
    </reviewItem>
    <reviewItem>
      <errorID>4847f0b1-d19d-4288-bef6-6e08393bd934</errorID>
      <errorWord>)</errorWord>
      <group>L1_Format</group>
      <groupName>格式问题</groupName>
      <ability>L2_HalfPunc</ability>
      <abilityName>全半角检查</abilityName>
      <candidateList>
        <item>）</item>
      </candidateList>
      <explain>文本全半角错误。</explain>
      <paraID>7171C94C</paraID>
      <start>99</start>
      <end>100</end>
      <status>unmodified</status>
      <modifiedWord/>
      <trackRevisions>false</trackRevisions>
    </reviewItem>
    <reviewItem>
      <errorID>56bf90a0-a136-40fc-8834-97c790eb046a</errorID>
      <errorWord>（</errorWord>
      <group>L1_Format</group>
      <groupName>格式问题</groupName>
      <ability>L2_HalfPunc</ability>
      <abilityName>全半角检查</abilityName>
      <candidateList>
        <item>(</item>
      </candidateList>
      <explain>文本全半角错误。</explain>
      <paraID>386E806B</paraID>
      <start>0</start>
      <end>1</end>
      <status>unmodified</status>
      <modifiedWord/>
      <trackRevisions>false</trackRevisions>
    </reviewItem>
    <reviewItem>
      <errorID>4aa1994e-0612-40a8-948e-cfe9f55385e9</errorID>
      <errorWord>）</errorWord>
      <group>L1_Format</group>
      <groupName>格式问题</groupName>
      <ability>L2_HalfPunc</ability>
      <abilityName>全半角检查</abilityName>
      <candidateList>
        <item>)</item>
      </candidateList>
      <explain>文本全半角错误。</explain>
      <paraID>386E806B</paraID>
      <start>4</start>
      <end>5</end>
      <status>unmodified</status>
      <modifiedWord/>
      <trackRevisions>false</trackRevisions>
    </reviewItem>
    <reviewItem>
      <errorID>712c6dbe-6dc1-4d68-a21c-0392e620639b</errorID>
      <errorWord>（</errorWord>
      <group>L1_Format</group>
      <groupName>格式问题</groupName>
      <ability>L2_HalfPunc</ability>
      <abilityName>全半角检查</abilityName>
      <candidateList>
        <item>(</item>
      </candidateList>
      <explain>文本全半角错误。</explain>
      <paraID>6BF5D387</paraID>
      <start>0</start>
      <end>1</end>
      <status>unmodified</status>
      <modifiedWord/>
      <trackRevisions>false</trackRevisions>
    </reviewItem>
    <reviewItem>
      <errorID>97b6705c-c715-42ee-adb1-e2ddac8d2964</errorID>
      <errorWord>）</errorWord>
      <group>L1_Format</group>
      <groupName>格式问题</groupName>
      <ability>L2_HalfPunc</ability>
      <abilityName>全半角检查</abilityName>
      <candidateList>
        <item>)</item>
      </candidateList>
      <explain>文本全半角错误。</explain>
      <paraID>6BF5D387</paraID>
      <start>2</start>
      <end>3</end>
      <status>unmodified</status>
      <modifiedWord/>
      <trackRevisions>false</trackRevisions>
    </reviewItem>
    <reviewItem>
      <errorID>0421ebb7-af15-4efb-bdef-b1c113aeec06</errorID>
      <errorWord>:</errorWord>
      <group>L1_Format</group>
      <groupName>格式问题</groupName>
      <ability>L2_HalfPunc</ability>
      <abilityName>全半角检查</abilityName>
      <candidateList>
        <item>：</item>
      </candidateList>
      <explain>文本全半角错误。</explain>
      <paraID>4B35D1C7</paraID>
      <start>2</start>
      <end>3</end>
      <status>unmodified</status>
      <modifiedWord/>
      <trackRevisions>false</trackRevisions>
    </reviewItem>
    <reviewItem>
      <errorID>64c8724c-b72a-475c-8a85-8aa38a8f6ef6</errorID>
      <errorWord>:</errorWord>
      <group>L1_Format</group>
      <groupName>格式问题</groupName>
      <ability>L2_HalfPunc</ability>
      <abilityName>全半角检查</abilityName>
      <candidateList>
        <item>：</item>
      </candidateList>
      <explain>文本全半角错误。</explain>
      <paraID>3ED644D3</paraID>
      <start>2</start>
      <end>3</end>
      <status>unmodified</status>
      <modifiedWord/>
      <trackRevisions>false</trackRevisions>
    </reviewItem>
    <reviewItem>
      <errorID>3538ab35-7432-4c0d-8bb3-54fe57a8fb40</errorID>
      <errorWord>:</errorWord>
      <group>L1_Format</group>
      <groupName>格式问题</groupName>
      <ability>L2_HalfPunc</ability>
      <abilityName>全半角检查</abilityName>
      <candidateList>
        <item>：</item>
      </candidateList>
      <explain>文本全半角错误。</explain>
      <paraID> FDC0E9E</paraID>
      <start>2</start>
      <end>3</end>
      <status>unmodified</status>
      <modifiedWord/>
      <trackRevisions>false</trackRevisions>
    </reviewItem>
    <reviewItem>
      <errorID>1ba1d744-be8b-4c32-b0c8-c6a2efa0887f</errorID>
      <errorWord>:</errorWord>
      <group>L1_Format</group>
      <groupName>格式问题</groupName>
      <ability>L2_HalfPunc</ability>
      <abilityName>全半角检查</abilityName>
      <candidateList>
        <item>：</item>
      </candidateList>
      <explain>文本全半角错误。</explain>
      <paraID>62D0F7CD</paraID>
      <start>2</start>
      <end>3</end>
      <status>unmodified</status>
      <modifiedWord/>
      <trackRevisions>false</trackRevisions>
    </reviewItem>
    <reviewItem>
      <errorID>111b5e81-8dc8-4c5b-b0b1-d1ee1cb7dba7</errorID>
      <errorWord>:</errorWord>
      <group>L1_Format</group>
      <groupName>格式问题</groupName>
      <ability>L2_HalfPunc</ability>
      <abilityName>全半角检查</abilityName>
      <candidateList>
        <item>：</item>
      </candidateList>
      <explain>文本全半角错误。</explain>
      <paraID>768E9615</paraID>
      <start>2</start>
      <end>3</end>
      <status>unmodified</status>
      <modifiedWord/>
      <trackRevisions>false</trackRevisions>
    </reviewItem>
    <reviewItem>
      <errorID>c0ed1af7-9a15-4726-b8c7-792a3425e19d</errorID>
      <errorWord>:</errorWord>
      <group>L1_Format</group>
      <groupName>格式问题</groupName>
      <ability>L2_HalfPunc</ability>
      <abilityName>全半角检查</abilityName>
      <candidateList>
        <item>：</item>
      </candidateList>
      <explain>文本全半角错误。</explain>
      <paraID>43F8C386</paraID>
      <start>2</start>
      <end>3</end>
      <status>unmodified</status>
      <modifiedWord/>
      <trackRevisions>false</trackRevisions>
    </reviewItem>
    <reviewItem>
      <errorID>f825f154-24de-4c6e-823e-2e59c3b128a3</errorID>
      <errorWord>:</errorWord>
      <group>L1_Format</group>
      <groupName>格式问题</groupName>
      <ability>L2_HalfPunc</ability>
      <abilityName>全半角检查</abilityName>
      <candidateList>
        <item>：</item>
      </candidateList>
      <explain>文本全半角错误。</explain>
      <paraID> DD47577</paraID>
      <start>2</start>
      <end>3</end>
      <status>unmodified</status>
      <modifiedWord/>
      <trackRevisions>false</trackRevisions>
    </reviewItem>
    <reviewItem>
      <errorID>7bcb5d16-4671-457e-9323-86959817488c</errorID>
      <errorWord>污水厂</errorWord>
      <group>L1_Word</group>
      <groupName>字词问题</groupName>
      <ability>L2_Typo</ability>
      <abilityName>字词错误</abilityName>
      <candidateList>
        <item>污水处理厂</item>
      </candidateList>
      <explain/>
      <paraID>71E6835B</paraID>
      <start>59</start>
      <end>64</end>
      <status>modified</status>
      <modifiedWord>污水处理厂</modifiedWord>
      <trackRevisions>false</trackRevisions>
    </reviewItem>
    <reviewItem>
      <errorID>f358d843-ee64-4cf9-b9bc-41ac129b8bfa</errorID>
      <errorWord>污水厂</errorWord>
      <group>L1_Word</group>
      <groupName>字词问题</groupName>
      <ability>L2_Typo</ability>
      <abilityName>字词错误</abilityName>
      <candidateList>
        <item>污水处理厂</item>
      </candidateList>
      <explain/>
      <paraID>71E6835B</paraID>
      <start>95</start>
      <end>100</end>
      <status>modified</status>
      <modifiedWord>污水处理厂</modifiedWord>
      <trackRevisions>false</trackRevisions>
    </reviewItem>
    <reviewItem>
      <errorID>261e3398-3db4-4724-823e-df7a482f1e8f</errorID>
      <errorWord>(</errorWord>
      <group>L1_Format</group>
      <groupName>格式问题</groupName>
      <ability>L2_HalfPunc</ability>
      <abilityName>全半角检查</abilityName>
      <candidateList>
        <item>（</item>
      </candidateList>
      <explain>文本全半角错误。</explain>
      <paraID> 129BF73</paraID>
      <start>45</start>
      <end>46</end>
      <status>unmodified</status>
      <modifiedWord/>
      <trackRevisions>false</trackRevisions>
    </reviewItem>
    <reviewItem>
      <errorID>f93cfb12-ff68-40a7-9535-80901847b865</errorID>
      <errorWord>)</errorWord>
      <group>L1_Format</group>
      <groupName>格式问题</groupName>
      <ability>L2_HalfPunc</ability>
      <abilityName>全半角检查</abilityName>
      <candidateList>
        <item>）</item>
      </candidateList>
      <explain>文本全半角错误。</explain>
      <paraID> 129BF73</paraID>
      <start>47</start>
      <end>48</end>
      <status>unmodified</status>
      <modifiedWord/>
      <trackRevisions>false</trackRevisions>
    </reviewItem>
    <reviewItem>
      <errorID>02839971-a7e4-4659-a49f-069bcc529828</errorID>
      <errorWord>(</errorWord>
      <group>L1_Format</group>
      <groupName>格式问题</groupName>
      <ability>L2_HalfPunc</ability>
      <abilityName>全半角检查</abilityName>
      <candidateList>
        <item>（</item>
      </candidateList>
      <explain>文本全半角错误。</explain>
      <paraID> 129BF73</paraID>
      <start>94</start>
      <end>95</end>
      <status>unmodified</status>
      <modifiedWord/>
      <trackRevisions>false</trackRevisions>
    </reviewItem>
    <reviewItem>
      <errorID>7e0cce42-e0c7-4522-9982-f1a2a7c1eb2c</errorID>
      <errorWord>)</errorWord>
      <group>L1_Format</group>
      <groupName>格式问题</groupName>
      <ability>L2_HalfPunc</ability>
      <abilityName>全半角检查</abilityName>
      <candidateList>
        <item>）</item>
      </candidateList>
      <explain>文本全半角错误。</explain>
      <paraID> 129BF73</paraID>
      <start>96</start>
      <end>97</end>
      <status>unmodified</status>
      <modifiedWord/>
      <trackRevisions>false</trackRevisions>
    </reviewItem>
    <reviewItem>
      <errorID>c1020483-7f5f-4430-a9f7-ac8c555ae030</errorID>
      <errorWord>,</errorWord>
      <group>L1_Format</group>
      <groupName>格式问题</groupName>
      <ability>L2_HalfPunc</ability>
      <abilityName>全半角检查</abilityName>
      <candidateList>
        <item>，</item>
      </candidateList>
      <explain>文本全半角错误。</explain>
      <paraID> 129BF73</paraID>
      <start>163</start>
      <end>164</end>
      <status>unmodified</status>
      <modifiedWord/>
      <trackRevisions>false</trackRevisions>
    </reviewItem>
    <reviewItem>
      <errorID>bcd1db1a-b0d4-4e80-a044-b11b2e1932c7</errorID>
      <errorWord>(</errorWord>
      <group>L1_Format</group>
      <groupName>格式问题</groupName>
      <ability>L2_HalfPunc</ability>
      <abilityName>全半角检查</abilityName>
      <candidateList>
        <item>（</item>
      </candidateList>
      <explain>文本全半角错误。</explain>
      <paraID> 9C6F034</paraID>
      <start>59</start>
      <end>60</end>
      <status>unmodified</status>
      <modifiedWord/>
      <trackRevisions>false</trackRevisions>
    </reviewItem>
    <reviewItem>
      <errorID>5486809c-3fdc-4f8c-9f94-738edf6d17a7</errorID>
      <errorWord>)</errorWord>
      <group>L1_Format</group>
      <groupName>格式问题</groupName>
      <ability>L2_HalfPunc</ability>
      <abilityName>全半角检查</abilityName>
      <candidateList>
        <item>）</item>
      </candidateList>
      <explain>文本全半角错误。</explain>
      <paraID> 9C6F034</paraID>
      <start>61</start>
      <end>62</end>
      <status>unmodified</status>
      <modifiedWord/>
      <trackRevisions>false</trackRevisions>
    </reviewItem>
    <reviewItem>
      <errorID>93e7b7c7-3e55-464e-9e3e-55c2a0cd18de</errorID>
      <errorWord>连锁</errorWord>
      <group>L1_Word</group>
      <groupName>字词问题</groupName>
      <ability>L2_Typo</ability>
      <abilityName>字词错误</abilityName>
      <candidateList>
        <item>联锁</item>
      </candidateList>
      <explain>存在发音相同字词的误用。</explain>
      <paraID> A38ACFD</paraID>
      <start>61</start>
      <end>63</end>
      <status>unmodified</status>
      <modifiedWord/>
      <trackRevisions>false</trackRevisions>
    </reviewItem>
    <reviewItem>
      <errorID>26c93894-6e0f-4813-b928-ca7a2a312471</errorID>
      <errorWord>水管</errorWord>
      <group>L1_Word</group>
      <groupName>字词问题</groupName>
      <ability>L2_Typo</ability>
      <abilityName>字词错误</abilityName>
      <candidateList>
        <item>水罐</item>
      </candidateList>
      <explain/>
      <paraID>6AECECA6</paraID>
      <start>51</start>
      <end>53</end>
      <status>unmodified</status>
      <modifiedWord/>
      <trackRevisions>false</trackRevisions>
    </reviewItem>
    <reviewItem>
      <errorID>2787ec3e-7316-499f-ab0e-e599b97ead9d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B9B00D7</paraID>
      <start>0</start>
      <end>2</end>
      <status>unmodified</status>
      <modifiedWord/>
      <trackRevisions>false</trackRevisions>
    </reviewItem>
    <reviewItem>
      <errorID>45b1fcf9-3418-4961-8eeb-11aa29d7b865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101CE4EE</paraID>
      <start>0</start>
      <end>2</end>
      <status>unmodified</status>
      <modifiedWord/>
      <trackRevisions>false</trackRevisions>
    </reviewItem>
    <reviewItem>
      <errorID>23bd646d-7ab9-4785-ac97-004b520335c9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492C7BE5</paraID>
      <start>0</start>
      <end>2</end>
      <status>unmodified</status>
      <modifiedWord/>
      <trackRevisions>false</trackRevisions>
    </reviewItem>
    <reviewItem>
      <errorID>ee61988e-c260-4bd2-b8be-e87a33a32e66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230EA655</paraID>
      <start>0</start>
      <end>2</end>
      <status>unmodified</status>
      <modifiedWord/>
      <trackRevisions>false</trackRevisions>
    </reviewItem>
    <reviewItem>
      <errorID>cb112f84-405f-4d13-99e6-dcca8ec88baf</errorID>
      <errorWord>工程工程</errorWord>
      <group>L1_Word</group>
      <groupName>字词问题</groupName>
      <ability>L2_Typo</ability>
      <abilityName>字词错误</abilityName>
      <candidateList>
        <item>工程</item>
      </candidateList>
      <explain/>
      <paraID>25793D71</paraID>
      <start>13</start>
      <end>15</end>
      <status>modified</status>
      <modifiedWord>工程</modifiedWord>
      <trackRevisions>false</trackRevisions>
    </reviewItem>
    <reviewItem>
      <errorID>dd1ecd02-1514-4645-b82b-cddf83e0cb49</errorID>
      <errorWord>氨</errorWord>
      <group>L1_Word</group>
      <groupName>字词问题</groupName>
      <ability>L2_Typo</ability>
      <abilityName>字词错误</abilityName>
      <candidateList>
        <item>氨等</item>
      </candidateList>
      <explain/>
      <paraID>25793D71</paraID>
      <start>112</start>
      <end>113</end>
      <status>unmodified</status>
      <modifiedWord/>
      <trackRevisions>false</trackRevisions>
    </reviewItem>
    <reviewItem>
      <errorID>d8407e9f-e96d-4d50-9724-d4d870025a63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505722A</paraID>
      <start>0</start>
      <end>2</end>
      <status>unmodified</status>
      <modifiedWord/>
      <trackRevisions>false</trackRevisions>
    </reviewItem>
    <reviewItem>
      <errorID>b7b99d49-b453-40ff-90ae-8b8d5322c832</errorID>
      <errorWord>由由</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52A59C87</paraID>
      <start>46</start>
      <end>47</end>
      <status>modified</status>
      <modifiedWord>由</modifiedWord>
      <trackRevisions>false</trackRevisions>
    </reviewItem>
    <reviewItem>
      <errorID>5e9b8a69-2855-416d-a708-07eeda7e4ff8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1F963090</paraID>
      <start>6</start>
      <end>7</end>
      <status>unmodified</status>
      <modifiedWord/>
      <trackRevisions>false</trackRevisions>
    </reviewItem>
    <reviewItem>
      <errorID>5063e7f3-7b2c-45a6-b213-0daf1186117f</errorID>
      <errorWord>项目项目</errorWord>
      <group>L1_Word</group>
      <groupName>字词问题</groupName>
      <ability>L2_Typo</ability>
      <abilityName>字词错误</abilityName>
      <candidateList>
        <item>项目</item>
      </candidateList>
      <explain>〈名〉事物分成的门类：服务～｜体育～｜建设～。</explain>
      <paraID> 54E4A46</paraID>
      <start>1</start>
      <end>3</end>
      <status>modified</status>
      <modifiedWord>项目</modifiedWord>
      <trackRevisions>false</trackRevisions>
    </reviewItem>
    <reviewItem>
      <errorID>e7e93bd0-4f11-47eb-b2cd-59af6ce582c6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58CE8D04</paraID>
      <start>0</start>
      <end>2</end>
      <status>unmodified</status>
      <modifiedWord/>
      <trackRevisions>false</trackRevisions>
    </reviewItem>
    <reviewItem>
      <errorID>3816c284-8d5c-4e25-b67e-7b912ff7cb36</errorID>
      <errorWord>截止</errorWord>
      <group>L1_Word</group>
      <groupName>字词问题</groupName>
      <ability>L2_Typo</ability>
      <abilityName>字词错误</abilityName>
      <candidateList>
        <item>截至</item>
      </candidateList>
      <explain>存在发音相同字词的误用。</explain>
      <paraID>5FBFB51C</paraID>
      <start>0</start>
      <end>2</end>
      <status>unmodified</status>
      <modifiedWord/>
      <trackRevisions>false</trackRevisions>
    </reviewItem>
    <reviewItem>
      <errorID>6671332b-686e-4897-8418-63202ccf7568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3D77B95D</paraID>
      <start>0</start>
      <end>2</end>
      <status>unmodified</status>
      <modifiedWord/>
      <trackRevisions>false</trackRevisions>
    </reviewItem>
    <reviewItem>
      <errorID>b68889fe-c1fd-45c5-9dd0-5c8465c7828a</errorID>
      <errorWord>(</errorWord>
      <group>L1_Format</group>
      <groupName>格式问题</groupName>
      <ability>L2_HalfPunc</ability>
      <abilityName>全半角检查</abilityName>
      <candidateList>
        <item>（</item>
      </candidateList>
      <explain>文本全半角错误。</explain>
      <paraID>2D989EBE</paraID>
      <start>66</start>
      <end>67</end>
      <status>unmodified</status>
      <modifiedWord/>
      <trackRevisions>false</trackRevisions>
    </reviewItem>
    <reviewItem>
      <errorID>99335f6a-2964-498c-b6e1-bf27ae329c9e</errorID>
      <errorWord>)</errorWord>
      <group>L1_Format</group>
      <groupName>格式问题</groupName>
      <ability>L2_HalfPunc</ability>
      <abilityName>全半角检查</abilityName>
      <candidateList>
        <item>）</item>
      </candidateList>
      <explain>文本全半角错误。</explain>
      <paraID>2D989EBE</paraID>
      <start>78</start>
      <end>79</end>
      <status>unmodified</status>
      <modifiedWord/>
      <trackRevisions>false</trackRevisions>
    </reviewItem>
    <reviewItem>
      <errorID>dc0a212f-8c7b-40b6-a67d-607575556324</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CA7FFB</paraID>
      <start>11</start>
      <end>12</end>
      <status>unmodified</status>
      <modifiedWord/>
      <trackRevisions>false</trackRevisions>
    </reviewItem>
    <reviewItem>
      <errorID>f03f4fc6-84df-47d4-bf42-2ff777a4a7d5</errorID>
      <errorWord>（</errorWord>
      <group>L1_Format</group>
      <groupName>格式问题</groupName>
      <ability>L2_HalfPunc</ability>
      <abilityName>全半角检查</abilityName>
      <candidateList>
        <item>(</item>
      </candidateList>
      <explain>文本全半角错误。</explain>
      <paraID> 661B219</paraID>
      <start>0</start>
      <end>1</end>
      <status>unmodified</status>
      <modifiedWord/>
      <trackRevisions>false</trackRevisions>
    </reviewItem>
    <reviewItem>
      <errorID>3653bd37-deaa-4c97-9aae-935640df6050</errorID>
      <errorWord>）</errorWord>
      <group>L1_Format</group>
      <groupName>格式问题</groupName>
      <ability>L2_HalfPunc</ability>
      <abilityName>全半角检查</abilityName>
      <candidateList>
        <item>)</item>
      </candidateList>
      <explain>文本全半角错误。</explain>
      <paraID> 661B219</paraID>
      <start>6</start>
      <end>7</end>
      <status>unmodified</status>
      <modifiedWord/>
      <trackRevisions>false</trackRevisions>
    </reviewItem>
    <reviewItem>
      <errorID>87821638-d944-4c6f-9d4e-3422d819807f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4E07D91A</paraID>
      <start>0</start>
      <end>2</end>
      <status>unmodified</status>
      <modifiedWord/>
      <trackRevisions>false</trackRevisions>
    </reviewItem>
    <reviewItem>
      <errorID>af710aa6-9bbd-4942-a785-ba0801ef5897</errorID>
      <errorWord>[2023]9号</errorWord>
      <group>L1_Knowledge</group>
      <groupName>知识性问题</groupName>
      <ability>L2_Knowledge</ability>
      <abilityName>其他知识</abilityName>
      <candidateList>
        <item>〔2023〕9号</item>
      </candidateList>
      <explain>发文字号格式错误。</explain>
      <paraID>1948C3F2</paraID>
      <start>120</start>
      <end>128</end>
      <status>unmodified</status>
      <modifiedWord/>
      <trackRevisions>false</trackRevisions>
    </reviewItem>
    <reviewItem>
      <errorID>5d3db9fe-9757-4048-b20c-2ca0338b1fc9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1766FF52</paraID>
      <start>0</start>
      <end>2</end>
      <status>unmodified</status>
      <modifiedWord/>
      <trackRevisions>false</trackRevisions>
    </reviewItem>
    <reviewItem>
      <errorID>96229fc6-3dda-4e3f-a5cb-6989ab9f2d48</errorID>
      <errorWord>根为</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1FD23519</paraID>
      <start>0</start>
      <end>2</end>
      <status>unmodified</status>
      <modifiedWord/>
      <trackRevisions>false</trackRevisions>
    </reviewItem>
    <reviewItem>
      <errorID>14214569-aa95-45d9-a931-86c083cf6e54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1FD23519</paraID>
      <start>90</start>
      <end>91</end>
      <status>unmodified</status>
      <modifiedWord/>
      <trackRevisions>false</trackRevisions>
    </reviewItem>
    <reviewItem>
      <errorID>8a4e3c6e-63dc-4983-8eab-ad1735ad5f6d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5883F264</paraID>
      <start>0</start>
      <end>2</end>
      <status>unmodified</status>
      <modifiedWord/>
      <trackRevisions>false</trackRevisions>
    </reviewItem>
    <reviewItem>
      <errorID>fdf19320-7d51-4ab9-ac6d-d1edcaebb269</errorID>
      <errorWord>须赤</errorWord>
      <group>L1_Word</group>
      <groupName>字词问题</groupName>
      <ability>L2_Typo</ability>
      <abilityName>字词错误</abilityName>
      <candidateList>
        <item>赤须</item>
      </candidateList>
      <explain/>
      <paraID>3A321C55</paraID>
      <start>125</start>
      <end>127</end>
      <status>unmodified</status>
      <modifiedWord/>
      <trackRevisions>false</trackRevisions>
    </reviewItem>
    <reviewItem>
      <errorID>90981522-6f58-424d-abf1-2cf2780bc299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57349E99</paraID>
      <start>0</start>
      <end>2</end>
      <status>unmodified</status>
      <modifiedWord/>
      <trackRevisions>false</trackRevisions>
    </reviewItem>
    <reviewItem>
      <errorID>495cdb7b-de56-4d2c-8891-291fd932c556</errorID>
      <errorWord>根据根据</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 546DF84</paraID>
      <start>96</start>
      <end>98</end>
      <status>modified</status>
      <modifiedWord>根据</modifiedWord>
      <trackRevisions>false</trackRevisions>
    </reviewItem>
    <reviewItem>
      <errorID>cba66ce5-15e6-4a24-ac40-a8c4f2b933d6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672B60DB</paraID>
      <start>0</start>
      <end>2</end>
      <status>unmodified</status>
      <modifiedWord/>
      <trackRevisions>false</trackRevisions>
    </reviewItem>
    <reviewItem>
      <errorID>6077f981-3d3f-4d02-8c26-0034d9cc7dbd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5A313A75</paraID>
      <start>0</start>
      <end>2</end>
      <status>unmodified</status>
      <modifiedWord/>
      <trackRevisions>false</trackRevisions>
    </reviewItem>
    <reviewItem>
      <errorID>f8442a90-defb-4c33-a7bc-48da73536077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401FA09A</paraID>
      <start>0</start>
      <end>2</end>
      <status>unmodified</status>
      <modifiedWord/>
      <trackRevisions>false</trackRevisions>
    </reviewItem>
    <reviewItem>
      <errorID>f3e495ad-0e2e-4cff-9ab0-a49a507c0186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23CA61C2</paraID>
      <start>0</start>
      <end>2</end>
      <status>unmodified</status>
      <modifiedWord/>
      <trackRevisions>false</trackRevisions>
    </reviewItem>
    <reviewItem>
      <errorID>554668ac-4d0a-40bd-89bf-01f1e2e37e89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3B31FFA5</paraID>
      <start>0</start>
      <end>2</end>
      <status>unmodified</status>
      <modifiedWord/>
      <trackRevisions>false</trackRevisions>
    </reviewItem>
    <reviewItem>
      <errorID>dc776f7c-fa94-46a0-8089-9099b1d6e437</errorID>
      <errorWord>(</errorWord>
      <group>L1_Format</group>
      <groupName>格式问题</groupName>
      <ability>L2_HalfPunc</ability>
      <abilityName>全半角检查</abilityName>
      <candidateList>
        <item>（</item>
      </candidateList>
      <explain>文本全半角错误。</explain>
      <paraID>67AD9D31</paraID>
      <start>38</start>
      <end>39</end>
      <status>unmodified</status>
      <modifiedWord/>
      <trackRevisions>false</trackRevisions>
    </reviewItem>
    <reviewItem>
      <errorID>4d5d5725-76e5-4a78-b950-35aa3b08fbb1</errorID>
      <errorWord>)</errorWord>
      <group>L1_Format</group>
      <groupName>格式问题</groupName>
      <ability>L2_HalfPunc</ability>
      <abilityName>全半角检查</abilityName>
      <candidateList>
        <item>）</item>
      </candidateList>
      <explain>文本全半角错误。</explain>
      <paraID>67AD9D31</paraID>
      <start>51</start>
      <end>52</end>
      <status>unmodified</status>
      <modifiedWord/>
      <trackRevisions>false</trackRevisions>
    </reviewItem>
    <reviewItem>
      <errorID>d8d19c6c-91f2-454b-bc7e-29b8d4688b8b</errorID>
      <errorWord>(</errorWord>
      <group>L1_Format</group>
      <groupName>格式问题</groupName>
      <ability>L2_HalfPunc</ability>
      <abilityName>全半角检查</abilityName>
      <candidateList>
        <item>（</item>
      </candidateList>
      <explain>文本全半角错误。</explain>
      <paraID>6BA566D4</paraID>
      <start>17</start>
      <end>18</end>
      <status>unmodified</status>
      <modifiedWord/>
      <trackRevisions>false</trackRevisions>
    </reviewItem>
    <reviewItem>
      <errorID>e4fbc73c-28a7-468e-b22c-ad9ad265a9fe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79823AD</paraID>
      <start>0</start>
      <end>2</end>
      <status>unmodified</status>
      <modifiedWord/>
      <trackRevisions>false</trackRevisions>
    </reviewItem>
    <reviewItem>
      <errorID>441db2cc-bc3a-432c-9fdb-918020115448</errorID>
      <errorWord>污水厂</errorWord>
      <group>L1_Word</group>
      <groupName>字词问题</groupName>
      <ability>L2_Typo</ability>
      <abilityName>字词错误</abilityName>
      <candidateList>
        <item>污水处理厂</item>
      </candidateList>
      <explain/>
      <paraID>4AE391F7</paraID>
      <start>33</start>
      <end>38</end>
      <status>modified</status>
      <modifiedWord>污水处理厂</modifiedWord>
      <trackRevisions>false</trackRevisions>
    </reviewItem>
    <reviewItem>
      <errorID>d589d7f2-dedf-432b-b3e2-b8267529941c</errorID>
      <errorWord>(</errorWord>
      <group>L1_Format</group>
      <groupName>格式问题</groupName>
      <ability>L2_HalfPunc</ability>
      <abilityName>全半角检查</abilityName>
      <candidateList>
        <item>（</item>
      </candidateList>
      <explain>文本全半角错误。</explain>
      <paraID>4AE391F7</paraID>
      <start>158</start>
      <end>159</end>
      <status>unmodified</status>
      <modifiedWord/>
      <trackRevisions>false</trackRevisions>
    </reviewItem>
    <reviewItem>
      <errorID>2028b2ed-7be0-4b3b-b45c-3d3401d9c179</errorID>
      <errorWord>)</errorWord>
      <group>L1_Format</group>
      <groupName>格式问题</groupName>
      <ability>L2_HalfPunc</ability>
      <abilityName>全半角检查</abilityName>
      <candidateList>
        <item>）</item>
      </candidateList>
      <explain>文本全半角错误。</explain>
      <paraID>4AE391F7</paraID>
      <start>171</start>
      <end>172</end>
      <status>unmodified</status>
      <modifiedWord/>
      <trackRevisions>false</trackRevisions>
    </reviewItem>
    <reviewItem>
      <errorID>439952cf-084f-4eaa-a49b-811773029786</errorID>
      <errorWord>(</errorWord>
      <group>L1_Format</group>
      <groupName>格式问题</groupName>
      <ability>L2_HalfPunc</ability>
      <abilityName>全半角检查</abilityName>
      <candidateList>
        <item>（</item>
      </candidateList>
      <explain>文本全半角错误。</explain>
      <paraID>4AE391F7</paraID>
      <start>185</start>
      <end>186</end>
      <status>unmodified</status>
      <modifiedWord/>
      <trackRevisions>false</trackRevisions>
    </reviewItem>
    <reviewItem>
      <errorID>65b3cbd7-d9be-4210-9fdc-1f7232a6a7e1</errorID>
      <errorWord>)</errorWord>
      <group>L1_Format</group>
      <groupName>格式问题</groupName>
      <ability>L2_HalfPunc</ability>
      <abilityName>全半角检查</abilityName>
      <candidateList>
        <item>）</item>
      </candidateList>
      <explain>文本全半角错误。</explain>
      <paraID>4AE391F7</paraID>
      <start>197</start>
      <end>198</end>
      <status>unmodified</status>
      <modifiedWord/>
      <trackRevisions>false</trackRevisions>
    </reviewItem>
    <reviewItem>
      <errorID>2c4c5096-2be6-4348-a022-4ecbce4a91e4</errorID>
      <errorWord>(</errorWord>
      <group>L1_Format</group>
      <groupName>格式问题</groupName>
      <ability>L2_HalfPunc</ability>
      <abilityName>全半角检查</abilityName>
      <candidateList>
        <item>（</item>
      </candidateList>
      <explain>文本全半角错误。</explain>
      <paraID>4AE391F7</paraID>
      <start>202</start>
      <end>203</end>
      <status>unmodified</status>
      <modifiedWord/>
      <trackRevisions>false</trackRevisions>
    </reviewItem>
    <reviewItem>
      <errorID>9176b626-b887-44b6-91df-edd579cf5623</errorID>
      <errorWord>)</errorWord>
      <group>L1_Format</group>
      <groupName>格式问题</groupName>
      <ability>L2_HalfPunc</ability>
      <abilityName>全半角检查</abilityName>
      <candidateList>
        <item>）</item>
      </candidateList>
      <explain>文本全半角错误。</explain>
      <paraID>4AE391F7</paraID>
      <start>233</start>
      <end>234</end>
      <status>unmodified</status>
      <modifiedWord/>
      <trackRevisions>false</trackRevisions>
    </reviewItem>
    <reviewItem>
      <errorID>6fe1c598-4905-4caa-8119-7f7aa26fec4b</errorID>
      <errorWord>准</errorWord>
      <group>L1_Word</group>
      <groupName>字词问题</groupName>
      <ability>L2_Typo</ability>
      <abilityName>字词错误</abilityName>
      <candidateList>
        <item>准如</item>
      </candidateList>
      <explain/>
      <paraID>4AE391F7</paraID>
      <start>256</start>
      <end>257</end>
      <status>unmodified</status>
      <modifiedWord/>
      <trackRevisions>false</trackRevisions>
    </reviewItem>
    <reviewItem>
      <errorID>cb7aee08-d2c6-4e72-af52-edc1ca7f497e</errorID>
      <errorWord>(</errorWord>
      <group>L1_Format</group>
      <groupName>格式问题</groupName>
      <ability>L2_HalfPunc</ability>
      <abilityName>全半角检查</abilityName>
      <candidateList>
        <item>（</item>
      </candidateList>
      <explain>文本全半角错误。</explain>
      <paraID>22BA8152</paraID>
      <start>29</start>
      <end>30</end>
      <status>unmodified</status>
      <modifiedWord/>
      <trackRevisions>false</trackRevisions>
    </reviewItem>
    <reviewItem>
      <errorID>53e4f151-4673-4f82-aef6-d7b559498606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4DE16733</paraID>
      <start>0</start>
      <end>2</end>
      <status>unmodified</status>
      <modifiedWord/>
      <trackRevisions>false</trackRevisions>
    </reviewItem>
    <reviewItem>
      <errorID>535b03a3-ed0d-4155-95e9-ee17ea92207f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4703FDB9</paraID>
      <start>0</start>
      <end>2</end>
      <status>unmodified</status>
      <modifiedWord/>
      <trackRevisions>false</trackRevisions>
    </reviewItem>
    <reviewItem>
      <errorID>7e49ff82-3c28-484c-b12a-f1e897b69908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6C27FBD1</paraID>
      <start>0</start>
      <end>2</end>
      <status>unmodified</status>
      <modifiedWord/>
      <trackRevisions>false</trackRevisions>
    </reviewItem>
    <reviewItem>
      <errorID>c3720346-0dac-4350-8335-1c525cd04721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3253283</paraID>
      <start>0</start>
      <end>2</end>
      <status>unmodified</status>
      <modifiedWord/>
      <trackRevisions>false</trackRevisions>
    </reviewItem>
    <reviewItem>
      <errorID>540effe3-36aa-4451-98d9-7dfbc3e6c8c4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1D598AA1</paraID>
      <start>0</start>
      <end>2</end>
      <status>unmodified</status>
      <modifiedWord/>
      <trackRevisions>false</trackRevisions>
    </reviewItem>
    <reviewItem>
      <errorID>67a3ed88-f2b4-445f-b83c-7e7a46eaf417</errorID>
      <errorWord>泥砂</errorWord>
      <group>L1_Word</group>
      <groupName>字词问题</groupName>
      <ability>L2_Typo</ability>
      <abilityName>字词错误</abilityName>
      <candidateList>
        <item>泥沙</item>
      </candidateList>
      <explain/>
      <paraID>4FF17F83</paraID>
      <start>26</start>
      <end>28</end>
      <status>unmodified</status>
      <modifiedWord/>
      <trackRevisions>false</trackRevisions>
    </reviewItem>
    <reviewItem>
      <errorID>99286eed-9a3b-4259-9009-2ea24cbcf51a</errorID>
      <errorWord>在经</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2AC4E738</paraID>
      <start>18</start>
      <end>20</end>
      <status>unmodified</status>
      <modifiedWord/>
      <trackRevisions>false</trackRevisions>
    </reviewItem>
    <reviewItem>
      <errorID>3789f0ce-b924-4e78-9e64-09400c62b4d5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3A6BFF81</paraID>
      <start>0</start>
      <end>2</end>
      <status>unmodified</status>
      <modifiedWord/>
      <trackRevisions>false</trackRevisions>
    </reviewItem>
    <reviewItem>
      <errorID>eb67bdf0-17d1-43fd-8554-14e58ca13bb2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4AB64F39</paraID>
      <start>0</start>
      <end>2</end>
      <status>unmodified</status>
      <modifiedWord/>
      <trackRevisions>false</trackRevisions>
    </reviewItem>
    <reviewItem>
      <errorID>62647497-4f37-419c-a5f7-3421e0e670f4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E3D61CA</paraID>
      <start>0</start>
      <end>2</end>
      <status>unmodified</status>
      <modifiedWord/>
      <trackRevisions>false</trackRevisions>
    </reviewItem>
    <reviewItem>
      <errorID>24f61980-6b93-416d-82c4-ce9521421021</errorID>
      <errorWord>部部</errorWord>
      <group>L1_Word</group>
      <groupName>字词问题</groupName>
      <ability>L2_Typo</ability>
      <abilityName>字词错误</abilityName>
      <candidateList>
        <item>部</item>
      </candidateList>
      <explain>❶部分；部位：内～｜上～｜胸～｜局～。❷〈名〉中央政府按业务划分的单位（级别比局、厅高）：外交～｜商务～。❸一般机关企业按业务划分的单位：编辑～｜门市～。❹军队（连以上）等的领导机构或其所在地：连～｜司令～。❺〈名〉指部队：率～突围。❻〈书〉统辖；统率；所～｜～领。❼〈量〉a）用于书籍、影片等：两～字典｜一～纪录片｜三～电视剧。</explain>
      <paraID>453E5C0F</paraID>
      <start>117</start>
      <end>118</end>
      <status>modified</status>
      <modifiedWord>部</modifiedWord>
      <trackRevisions>false</trackRevisions>
    </reviewItem>
    <reviewItem>
      <errorID>4cbd1095-f637-40c2-a24a-d6cb54632a64</errorID>
      <errorWord>附</errorWord>
      <group>L1_Word</group>
      <groupName>字词问题</groupName>
      <ability>L2_Typo</ability>
      <abilityName>字词错误</abilityName>
      <candidateList>
        <item>涂</item>
      </candidateList>
      <explain>存在发音相近字词的误用。</explain>
      <paraID> 261B8CE</paraID>
      <start>17</start>
      <end>18</end>
      <status>unmodified</status>
      <modifiedWord/>
      <trackRevisions>false</trackRevisions>
    </reviewItem>
    <reviewItem>
      <errorID>fde82b00-0baa-4e2d-a63b-473a5d99011c</errorID>
      <errorWord>以上的</errorWord>
      <group>L1_Word</group>
      <groupName>字词问题</groupName>
      <ability>L2_Typo</ability>
      <abilityName>字词错误</abilityName>
      <candidateList>
        <item>以上</item>
      </candidateList>
      <explain/>
      <paraID>632EAC85</paraID>
      <start>4</start>
      <end>6</end>
      <status>modified</status>
      <modifiedWord>以上</modifiedWord>
      <trackRevisions>false</trackRevisions>
    </reviewItem>
    <reviewItem>
      <errorID>6c7a708e-942e-48f7-875c-bb518ba0d45f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9B96E84</paraID>
      <start>0</start>
      <end>2</end>
      <status>unmodified</status>
      <modifiedWord/>
      <trackRevisions>false</trackRevisions>
    </reviewItem>
    <reviewItem>
      <errorID>1cebf85f-094b-413d-a87f-be385141fd15</errorID>
      <errorWord>（</errorWord>
      <group>L1_Format</group>
      <groupName>格式问题</groupName>
      <ability>L2_HalfPunc</ability>
      <abilityName>全半角检查</abilityName>
      <candidateList>
        <item>(</item>
      </candidateList>
      <explain>文本全半角错误。</explain>
      <paraID> D24D618</paraID>
      <start>9</start>
      <end>10</end>
      <status>unmodified</status>
      <modifiedWord/>
      <trackRevisions>false</trackRevisions>
    </reviewItem>
    <reviewItem>
      <errorID>e89f5a74-0cd5-4831-a999-36d12b5eb764</errorID>
      <errorWord>）</errorWord>
      <group>L1_Format</group>
      <groupName>格式问题</groupName>
      <ability>L2_HalfPunc</ability>
      <abilityName>全半角检查</abilityName>
      <candidateList>
        <item>)</item>
      </candidateList>
      <explain>文本全半角错误。</explain>
      <paraID> D24D618</paraID>
      <start>20</start>
      <end>21</end>
      <status>unmodified</status>
      <modifiedWord/>
      <trackRevisions>false</trackRevisions>
    </reviewItem>
    <reviewItem>
      <errorID>60b3ee54-7f08-41d8-8e12-4ab9213c8407</errorID>
      <errorWord>（</errorWord>
      <group>L1_Format</group>
      <groupName>格式问题</groupName>
      <ability>L2_HalfPunc</ability>
      <abilityName>全半角检查</abilityName>
      <candidateList>
        <item>(</item>
      </candidateList>
      <explain>文本全半角错误。</explain>
      <paraID> D24D618</paraID>
      <start>23</start>
      <end>24</end>
      <status>unmodified</status>
      <modifiedWord/>
      <trackRevisions>false</trackRevisions>
    </reviewItem>
    <reviewItem>
      <errorID>32d3dfe5-0bff-4d3d-ad1e-160a8646486e</errorID>
      <errorWord>）</errorWord>
      <group>L1_Format</group>
      <groupName>格式问题</groupName>
      <ability>L2_HalfPunc</ability>
      <abilityName>全半角检查</abilityName>
      <candidateList>
        <item>)</item>
      </candidateList>
      <explain>文本全半角错误。</explain>
      <paraID> D24D618</paraID>
      <start>29</start>
      <end>30</end>
      <status>unmodified</status>
      <modifiedWord/>
      <trackRevisions>false</trackRevisions>
    </reviewItem>
    <reviewItem>
      <errorID>aada2fe9-dc6a-452c-912c-5f828913cd19</errorID>
      <errorWord>(</errorWord>
      <group>L1_Format</group>
      <groupName>格式问题</groupName>
      <ability>L2_HalfPunc</ability>
      <abilityName>全半角检查</abilityName>
      <candidateList>
        <item>（</item>
      </candidateList>
      <explain>文本全半角错误。</explain>
      <paraID>17CCF07A</paraID>
      <start>9</start>
      <end>10</end>
      <status>unmodified</status>
      <modifiedWord/>
      <trackRevisions>false</trackRevisions>
    </reviewItem>
    <reviewItem>
      <errorID>84492c37-374d-4c39-8ce4-6d5607ff69f5</errorID>
      <errorWord>)</errorWord>
      <group>L1_Format</group>
      <groupName>格式问题</groupName>
      <ability>L2_HalfPunc</ability>
      <abilityName>全半角检查</abilityName>
      <candidateList>
        <item>）</item>
      </candidateList>
      <explain>文本全半角错误。</explain>
      <paraID>17CCF07A</paraID>
      <start>12</start>
      <end>13</end>
      <status>unmodified</status>
      <modifiedWord/>
      <trackRevisions>false</trackRevisions>
    </reviewItem>
    <reviewItem>
      <errorID>7a88a48d-0081-4971-875e-8b7cd7413528</errorID>
      <errorWord>&gt;</errorWord>
      <group>L1_Format</group>
      <groupName>格式问题</groupName>
      <ability>L2_HalfPunc</ability>
      <abilityName>全半角检查</abilityName>
      <candidateList>
        <item>〉</item>
      </candidateList>
      <explain>文本全半角错误。</explain>
      <paraID>2EA47C7E</paraID>
      <start>99</start>
      <end>100</end>
      <status>unmodified</status>
      <modifiedWord/>
      <trackRevisions>false</trackRevisions>
    </reviewItem>
    <reviewItem>
      <errorID>f9980978-683d-4822-a8c3-cc4d00780aee</errorID>
      <errorWord>&gt;</errorWord>
      <group>L1_Format</group>
      <groupName>格式问题</groupName>
      <ability>L2_HalfPunc</ability>
      <abilityName>全半角检查</abilityName>
      <candidateList>
        <item>〉</item>
      </candidateList>
      <explain>文本全半角错误。</explain>
      <paraID>2EA47C7E</paraID>
      <start>103</start>
      <end>104</end>
      <status>unmodified</status>
      <modifiedWord/>
      <trackRevisions>false</trackRevisions>
    </reviewItem>
    <reviewItem>
      <errorID>8f46f375-b518-4eea-a9e6-09b5c59e666d</errorID>
      <errorWord>种类</errorWord>
      <group>L1_Word</group>
      <groupName>字词问题</groupName>
      <ability>L2_Typo</ability>
      <abilityName>字词错误</abilityName>
      <candidateList>
        <item>种</item>
      </candidateList>
      <explain>（種）zhònɡ〈动〉种植：～田｜～麦子｜～棉花◇～牛痘。</explain>
      <paraID>2EA47C7E</paraID>
      <start>168</start>
      <end>170</end>
      <status>unmodified</status>
      <modifiedWord/>
      <trackRevisions>false</trackRevisions>
    </reviewItem>
    <reviewItem>
      <errorID>47111171-a524-437f-8f2f-01475199717f</errorID>
      <errorWord>污水厂</errorWord>
      <group>L1_Word</group>
      <groupName>字词问题</groupName>
      <ability>L2_Typo</ability>
      <abilityName>字词错误</abilityName>
      <candidateList>
        <item>污水处理厂</item>
      </candidateList>
      <explain/>
      <paraID>2EA47C7E</paraID>
      <start>271</start>
      <end>276</end>
      <status>modified</status>
      <modifiedWord>污水处理厂</modifiedWord>
      <trackRevisions>false</trackRevisions>
    </reviewItem>
    <reviewItem>
      <errorID>98f72d45-5434-4130-a4b7-f215a2d65c6b</errorID>
      <errorWord>污水厂</errorWord>
      <group>L1_Word</group>
      <groupName>字词问题</groupName>
      <ability>L2_Typo</ability>
      <abilityName>字词错误</abilityName>
      <candidateList>
        <item>污水处理厂</item>
      </candidateList>
      <explain/>
      <paraID>1F85A5FB</paraID>
      <start>108</start>
      <end>113</end>
      <status>modified</status>
      <modifiedWord>污水处理厂</modifiedWord>
      <trackRevisions>false</trackRevisions>
    </reviewItem>
    <reviewItem>
      <errorID>531a99b6-e4aa-4eb9-b917-38f8889aa0ca</errorID>
      <errorWord>污水厂</errorWord>
      <group>L1_Word</group>
      <groupName>字词问题</groupName>
      <ability>L2_Typo</ability>
      <abilityName>字词错误</abilityName>
      <candidateList>
        <item>污水处理厂</item>
      </candidateList>
      <explain/>
      <paraID>3FD2E01B</paraID>
      <start>54</start>
      <end>59</end>
      <status>modified</status>
      <modifiedWord>污水处理厂</modifiedWord>
      <trackRevisions>false</trackRevisions>
    </reviewItem>
    <reviewItem>
      <errorID>82cd809a-25af-4a37-b043-7df088c8e814</errorID>
      <errorWord>污水厂</errorWord>
      <group>L1_Word</group>
      <groupName>字词问题</groupName>
      <ability>L2_Typo</ability>
      <abilityName>字词错误</abilityName>
      <candidateList>
        <item>污水处理厂</item>
      </candidateList>
      <explain/>
      <paraID>3E5ADEFA</paraID>
      <start>103</start>
      <end>108</end>
      <status>modified</status>
      <modifiedWord>污水处理厂</modifiedWord>
      <trackRevisions>false</trackRevisions>
    </reviewItem>
    <reviewItem>
      <errorID>dd120dd7-c7dc-44f5-b85a-cb80432b171a</errorID>
      <errorWord>污水厂</errorWord>
      <group>L1_Word</group>
      <groupName>字词问题</groupName>
      <ability>L2_Typo</ability>
      <abilityName>字词错误</abilityName>
      <candidateList>
        <item>污水处理厂</item>
      </candidateList>
      <explain/>
      <paraID>3A441330</paraID>
      <start>51</start>
      <end>56</end>
      <status>modified</status>
      <modifiedWord>污水处理厂</modifiedWord>
      <trackRevisions>false</trackRevisions>
    </reviewItem>
    <reviewItem>
      <errorID>cd44b01f-2154-4c79-b6c3-7d7b21b826f5</errorID>
      <errorWord>污水厂</errorWord>
      <group>L1_Word</group>
      <groupName>字词问题</groupName>
      <ability>L2_Typo</ability>
      <abilityName>字词错误</abilityName>
      <candidateList>
        <item>污水处理厂</item>
      </candidateList>
      <explain/>
      <paraID>3A441330</paraID>
      <start>120</start>
      <end>125</end>
      <status>modified</status>
      <modifiedWord>污水处理厂</modifiedWord>
      <trackRevisions>false</trackRevisions>
    </reviewItem>
    <reviewItem>
      <errorID>bcb66e35-4270-4799-a443-a00227750415</errorID>
      <errorWord>（</errorWord>
      <group>L1_Punc</group>
      <groupName>标点问题</groupName>
      <ability>L2_Punc</ability>
      <abilityName>标点符号检查</abilityName>
      <candidateList/>
      <explain>同一形式括号套用。</explain>
      <paraID> 7BAB389</paraID>
      <start>111</start>
      <end>112</end>
      <status>unmodified</status>
      <modifiedWord/>
      <trackRevisions>false</trackRevisions>
    </reviewItem>
    <reviewItem>
      <errorID>25bd3b85-0c64-4cdb-ba5a-2d3b418970d2</errorID>
      <errorWord>）</errorWord>
      <group>L1_Punc</group>
      <groupName>标点问题</groupName>
      <ability>L2_Punc</ability>
      <abilityName>标点符号检查</abilityName>
      <candidateList/>
      <explain>同一形式括号套用。</explain>
      <paraID> 7BAB389</paraID>
      <start>124</start>
      <end>125</end>
      <status>unmodified</status>
      <modifiedWord/>
      <trackRevisions>false</trackRevisions>
    </reviewItem>
    <reviewItem>
      <errorID>fc024954-8224-496c-8833-b6e55bedb5e9</errorID>
      <errorWord>（</errorWord>
      <group>L1_Punc</group>
      <groupName>标点问题</groupName>
      <ability>L2_Punc</ability>
      <abilityName>标点符号检查</abilityName>
      <candidateList/>
      <explain>同一形式括号套用。</explain>
      <paraID> 7BAB389</paraID>
      <start>138</start>
      <end>139</end>
      <status>unmodified</status>
      <modifiedWord/>
      <trackRevisions>false</trackRevisions>
    </reviewItem>
    <reviewItem>
      <errorID>e6c55ece-eb9b-4e58-a979-8a823a838d41</errorID>
      <errorWord>）</errorWord>
      <group>L1_Punc</group>
      <groupName>标点问题</groupName>
      <ability>L2_Punc</ability>
      <abilityName>标点符号检查</abilityName>
      <candidateList/>
      <explain>同一形式括号套用。</explain>
      <paraID> 7BAB389</paraID>
      <start>150</start>
      <end>151</end>
      <status>unmodified</status>
      <modifiedWord/>
      <trackRevisions>false</trackRevisions>
    </reviewItem>
    <reviewItem>
      <errorID>09bbffd8-b7a0-4952-b3ac-a655903aa9d6</errorID>
      <errorWord>1.2~1.3万</errorWord>
      <group>L1_Knowledge</group>
      <groupName>知识性问题</groupName>
      <ability>L2_Knowledge</ability>
      <abilityName>其他知识</abilityName>
      <candidateList>
        <item>1.2万～1.3万</item>
      </candidateList>
      <explain>1. “1.2~1.3万”中的单位“万”仅出现在后一个数字上，容易引起歧义；根据《现代汉语标点符号数字用法规范手册》，数字表示范围两边需要使用统一的格式。2.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3A1DF5E6</paraID>
      <start>83</start>
      <end>91</end>
      <status>unmodified</status>
      <modifiedWord/>
      <trackRevisions>false</trackRevisions>
    </reviewItem>
    <reviewItem>
      <errorID>c9647081-1707-4413-8c49-e071aa5dd02d</errorID>
      <errorWord>0.6~0.7万</errorWord>
      <group>L1_Knowledge</group>
      <groupName>知识性问题</groupName>
      <ability>L2_Knowledge</ability>
      <abilityName>其他知识</abilityName>
      <candidateList>
        <item>0.6万～0.7万</item>
      </candidateList>
      <explain>1. “0.6~0.7万”中的单位“万”仅出现在后一个数字上，容易引起歧义；根据《现代汉语标点符号数字用法规范手册》，数字表示范围两边需要使用统一的格式。2.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3A1DF5E6</paraID>
      <start>105</start>
      <end>113</end>
      <status>unmodified</status>
      <modifiedWord/>
      <trackRevisions>false</trackRevisions>
    </reviewItem>
    <reviewItem>
      <errorID>dc62e94c-7540-4cd9-ab7e-7d2f2e96b954</errorID>
      <errorWord>设施施</errorWord>
      <group>L1_Word</group>
      <groupName>字词问题</groupName>
      <ability>L2_Typo</ability>
      <abilityName>字词错误</abilityName>
      <candidateList>
        <item>设施</item>
      </candidateList>
      <explain/>
      <paraID>3FA5A3D9</paraID>
      <start>2</start>
      <end>4</end>
      <status>modified</status>
      <modifiedWord>设施</modifiedWord>
      <trackRevisions>false</trackRevisions>
    </reviewItem>
    <reviewItem>
      <errorID>395740ec-8b0a-4dab-8c57-2a31b8764377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32ED048</paraID>
      <start>0</start>
      <end>2</end>
      <status>unmodified</status>
      <modifiedWord/>
      <trackRevisions>false</trackRevisions>
    </reviewItem>
    <reviewItem>
      <errorID>a3a2bac2-f8ac-4848-a716-72571d0afbff</errorID>
      <errorWord>（</errorWord>
      <group>L1_Format</group>
      <groupName>格式问题</groupName>
      <ability>L2_HalfPunc</ability>
      <abilityName>全半角检查</abilityName>
      <candidateList>
        <item>(</item>
      </candidateList>
      <explain>文本全半角错误。</explain>
      <paraID>5D9C82BF</paraID>
      <start>2</start>
      <end>3</end>
      <status>unmodified</status>
      <modifiedWord/>
      <trackRevisions>false</trackRevisions>
    </reviewItem>
    <reviewItem>
      <errorID>392a36bc-d82a-4591-8c6b-1ffb70ad8206</errorID>
      <errorWord>）</errorWord>
      <group>L1_Format</group>
      <groupName>格式问题</groupName>
      <ability>L2_HalfPunc</ability>
      <abilityName>全半角检查</abilityName>
      <candidateList>
        <item>)</item>
      </candidateList>
      <explain>文本全半角错误。</explain>
      <paraID>5D9C82BF</paraID>
      <start>5</start>
      <end>6</end>
      <status>unmodified</status>
      <modifiedWord/>
      <trackRevisions>false</trackRevisions>
    </reviewItem>
    <reviewItem>
      <errorID>587e8567-2c67-4da8-9cb2-1bbf6102f1b9</errorID>
      <errorWord>（</errorWord>
      <group>L1_Format</group>
      <groupName>格式问题</groupName>
      <ability>L2_HalfPunc</ability>
      <abilityName>全半角检查</abilityName>
      <candidateList>
        <item>(</item>
      </candidateList>
      <explain>文本全半角错误。</explain>
      <paraID>1B6A247A</paraID>
      <start>1</start>
      <end>2</end>
      <status>unmodified</status>
      <modifiedWord/>
      <trackRevisions>false</trackRevisions>
    </reviewItem>
    <reviewItem>
      <errorID>416929cd-9639-4fd5-8ca6-e55456b64f97</errorID>
      <errorWord>）</errorWord>
      <group>L1_Format</group>
      <groupName>格式问题</groupName>
      <ability>L2_HalfPunc</ability>
      <abilityName>全半角检查</abilityName>
      <candidateList>
        <item>)</item>
      </candidateList>
      <explain>文本全半角错误。</explain>
      <paraID>1B6A247A</paraID>
      <start>7</start>
      <end>8</end>
      <status>unmodified</status>
      <modifiedWord/>
      <trackRevisions>false</trackRevisions>
    </reviewItem>
    <reviewItem>
      <errorID>381bb347-d61c-4709-a40d-0c50ffe05731</errorID>
      <errorWord>（</errorWord>
      <group>L1_Format</group>
      <groupName>格式问题</groupName>
      <ability>L2_HalfPunc</ability>
      <abilityName>全半角检查</abilityName>
      <candidateList>
        <item>(</item>
      </candidateList>
      <explain>文本全半角错误。</explain>
      <paraID>47A2B011</paraID>
      <start>1</start>
      <end>2</end>
      <status>unmodified</status>
      <modifiedWord/>
      <trackRevisions>false</trackRevisions>
    </reviewItem>
    <reviewItem>
      <errorID>a71e842f-3ddd-438c-9700-b12051ec2227</errorID>
      <errorWord>）</errorWord>
      <group>L1_Format</group>
      <groupName>格式问题</groupName>
      <ability>L2_HalfPunc</ability>
      <abilityName>全半角检查</abilityName>
      <candidateList>
        <item>)</item>
      </candidateList>
      <explain>文本全半角错误。</explain>
      <paraID>47A2B011</paraID>
      <start>3</start>
      <end>4</end>
      <status>unmodified</status>
      <modifiedWord/>
      <trackRevisions>false</trackRevisions>
    </reviewItem>
    <reviewItem>
      <errorID>d49a7e9d-5f69-44c8-b191-8402bbe3b43e</errorID>
      <errorWord>（</errorWord>
      <group>L1_Format</group>
      <groupName>格式问题</groupName>
      <ability>L2_HalfPunc</ability>
      <abilityName>全半角检查</abilityName>
      <candidateList>
        <item>(</item>
      </candidateList>
      <explain>文本全半角错误。</explain>
      <paraID>47DCEAF7</paraID>
      <start>2</start>
      <end>3</end>
      <status>unmodified</status>
      <modifiedWord/>
      <trackRevisions>false</trackRevisions>
    </reviewItem>
    <reviewItem>
      <errorID>f7ad30cf-e9c8-4a82-8f00-c92a0f96bf59</errorID>
      <errorWord>）</errorWord>
      <group>L1_Format</group>
      <groupName>格式问题</groupName>
      <ability>L2_HalfPunc</ability>
      <abilityName>全半角检查</abilityName>
      <candidateList>
        <item>)</item>
      </candidateList>
      <explain>文本全半角错误。</explain>
      <paraID>47DCEAF7</paraID>
      <start>8</start>
      <end>9</end>
      <status>unmodified</status>
      <modifiedWord/>
      <trackRevisions>false</trackRevisions>
    </reviewItem>
    <reviewItem>
      <errorID>e7189a56-87c7-403f-869d-0c5417f06916</errorID>
      <errorWord>（</errorWord>
      <group>L1_Format</group>
      <groupName>格式问题</groupName>
      <ability>L2_HalfPunc</ability>
      <abilityName>全半角检查</abilityName>
      <candidateList>
        <item>(</item>
      </candidateList>
      <explain>文本全半角错误。</explain>
      <paraID>3E85AE76</paraID>
      <start>1</start>
      <end>2</end>
      <status>unmodified</status>
      <modifiedWord/>
      <trackRevisions>false</trackRevisions>
    </reviewItem>
    <reviewItem>
      <errorID>1a5dcaf1-75ef-403a-9d8f-bcaf012727e1</errorID>
      <errorWord>）</errorWord>
      <group>L1_Format</group>
      <groupName>格式问题</groupName>
      <ability>L2_HalfPunc</ability>
      <abilityName>全半角检查</abilityName>
      <candidateList>
        <item>)</item>
      </candidateList>
      <explain>文本全半角错误。</explain>
      <paraID>3E85AE76</paraID>
      <start>6</start>
      <end>7</end>
      <status>unmodified</status>
      <modifiedWord/>
      <trackRevisions>false</trackRevisions>
    </reviewItem>
    <reviewItem>
      <errorID>fb8dc9d5-23fd-413d-a5d1-9ea82e1d541c</errorID>
      <errorWord>（</errorWord>
      <group>L1_Format</group>
      <groupName>格式问题</groupName>
      <ability>L2_HalfPunc</ability>
      <abilityName>全半角检查</abilityName>
      <candidateList>
        <item>(</item>
      </candidateList>
      <explain>文本全半角错误。</explain>
      <paraID>64DCD4F4</paraID>
      <start>1</start>
      <end>2</end>
      <status>unmodified</status>
      <modifiedWord/>
      <trackRevisions>false</trackRevisions>
    </reviewItem>
    <reviewItem>
      <errorID>9551c9b4-ff87-460f-9ded-11e95c23d71b</errorID>
      <errorWord>）</errorWord>
      <group>L1_Format</group>
      <groupName>格式问题</groupName>
      <ability>L2_HalfPunc</ability>
      <abilityName>全半角检查</abilityName>
      <candidateList>
        <item>)</item>
      </candidateList>
      <explain>文本全半角错误。</explain>
      <paraID>64DCD4F4</paraID>
      <start>5</start>
      <end>6</end>
      <status>unmodified</status>
      <modifiedWord/>
      <trackRevisions>false</trackRevisions>
    </reviewItem>
    <reviewItem>
      <errorID>15d61079-5449-4cb3-bf9b-e9fe63b0c25b</errorID>
      <errorWord>（&gt;</errorWord>
      <group>L1_Punc</group>
      <groupName>标点问题</groupName>
      <ability>L2_Punc</ability>
      <abilityName>标点符号检查</abilityName>
      <candidateList>
        <item>（</item>
      </candidateList>
      <explain/>
      <paraID>6657FC5B</paraID>
      <start>0</start>
      <end>2</end>
      <status>unmodified</status>
      <modifiedWord/>
      <trackRevisions>false</trackRevisions>
    </reviewItem>
    <reviewItem>
      <errorID>8484ba04-ece5-4970-9023-f29bd5bf54f4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6EABE40A</paraID>
      <start>280</start>
      <end>283</end>
      <status>unmodified</status>
      <modifiedWord/>
      <trackRevisions>false</trackRevisions>
    </reviewItem>
    <reviewItem>
      <errorID>31c2589d-3f6c-44e5-bbec-cebc36c98351</errorID>
      <errorWord>，</errorWord>
      <group>L1_Format</group>
      <groupName>格式问题</groupName>
      <ability>L2_HalfPunc</ability>
      <abilityName>全半角检查</abilityName>
      <candidateList>
        <item>, </item>
      </candidateList>
      <explain>文本全半角错误。</explain>
      <paraID>407168F0</paraID>
      <start>31</start>
      <end>32</end>
      <status>unmodified</status>
      <modifiedWord/>
      <trackRevisions>false</trackRevisions>
    </reviewItem>
    <reviewItem>
      <errorID>29ac03e3-d5c8-4ece-ab40-60c4f4a95d12</errorID>
      <errorWord>；</errorWord>
      <group>L1_Format</group>
      <groupName>格式问题</groupName>
      <ability>L2_HalfPunc</ability>
      <abilityName>全半角检查</abilityName>
      <candidateList>
        <item>;</item>
      </candidateList>
      <explain>文本全半角错误。</explain>
      <paraID>407168F0</paraID>
      <start>36</start>
      <end>37</end>
      <status>unmodified</status>
      <modifiedWord/>
      <trackRevisions>false</trackRevisions>
    </reviewItem>
    <reviewItem>
      <errorID>44750975-e678-4cc2-ac2d-e75e295f1258</errorID>
      <errorWord>，</errorWord>
      <group>L1_Format</group>
      <groupName>格式问题</groupName>
      <ability>L2_HalfPunc</ability>
      <abilityName>全半角检查</abilityName>
      <candidateList>
        <item>, </item>
      </candidateList>
      <explain>文本全半角错误。</explain>
      <paraID>407168F0</paraID>
      <start>45</start>
      <end>46</end>
      <status>unmodified</status>
      <modifiedWord/>
      <trackRevisions>false</trackRevisions>
    </reviewItem>
    <reviewItem>
      <errorID>072bbd94-8d20-4635-96ab-10302026fa78</errorID>
      <errorWord>；</errorWord>
      <group>L1_Format</group>
      <groupName>格式问题</groupName>
      <ability>L2_HalfPunc</ability>
      <abilityName>全半角检查</abilityName>
      <candidateList>
        <item>; </item>
      </candidateList>
      <explain>文本全半角错误。</explain>
      <paraID>407168F0</paraID>
      <start>64</start>
      <end>65</end>
      <status>unmodified</status>
      <modifiedWord/>
      <trackRevisions>false</trackRevisions>
    </reviewItem>
    <reviewItem>
      <errorID>25d24bf9-53e5-4435-9308-6b6416f352e1</errorID>
      <errorWord>，</errorWord>
      <group>L1_Format</group>
      <groupName>格式问题</groupName>
      <ability>L2_HalfPunc</ability>
      <abilityName>全半角检查</abilityName>
      <candidateList>
        <item>, </item>
      </candidateList>
      <explain>文本全半角错误。</explain>
      <paraID>407168F0</paraID>
      <start>70</start>
      <end>71</end>
      <status>unmodified</status>
      <modifiedWord/>
      <trackRevisions>false</trackRevisions>
    </reviewItem>
    <reviewItem>
      <errorID>36278282-7993-48ed-b521-36124392e493</errorID>
      <errorWord>。</errorWord>
      <group>L1_Format</group>
      <groupName>格式问题</groupName>
      <ability>L2_HalfPunc</ability>
      <abilityName>全半角检查</abilityName>
      <candidateList>
        <item>.</item>
      </candidateList>
      <explain>文本全半角错误。</explain>
      <paraID>407168F0</paraID>
      <start>78</start>
      <end>79</end>
      <status>unmodified</status>
      <modifiedWord/>
      <trackRevisions>false</trackRevisions>
    </reviewItem>
    <reviewItem>
      <errorID>64d05101-ec8b-4c52-bf38-fceb9d9b2abe</errorID>
      <errorWord>）</errorWord>
      <group>L1_Format</group>
      <groupName>格式问题</groupName>
      <ability>L2_HalfPunc</ability>
      <abilityName>全半角检查</abilityName>
      <candidateList>
        <item>)</item>
      </candidateList>
      <explain>文本全半角错误。</explain>
      <paraID>49736A0C</paraID>
      <start>6</start>
      <end>7</end>
      <status>unmodified</status>
      <modifiedWord/>
      <trackRevisions>false</trackRevisions>
    </reviewItem>
    <reviewItem>
      <errorID>bd23e3c3-978b-45fd-893e-49c47d7bcde7</errorID>
      <errorWord>（</errorWord>
      <group>L1_Format</group>
      <groupName>格式问题</groupName>
      <ability>L2_HalfPunc</ability>
      <abilityName>全半角检查</abilityName>
      <candidateList>
        <item>(</item>
      </candidateList>
      <explain>文本全半角错误。</explain>
      <paraID>512502B0</paraID>
      <start>0</start>
      <end>1</end>
      <status>unmodified</status>
      <modifiedWord/>
      <trackRevisions>false</trackRevisions>
    </reviewItem>
    <reviewItem>
      <errorID>4ab8050a-f74c-4c95-9421-1f612dcceb1f</errorID>
      <errorWord>）</errorWord>
      <group>L1_Format</group>
      <groupName>格式问题</groupName>
      <ability>L2_HalfPunc</ability>
      <abilityName>全半角检查</abilityName>
      <candidateList>
        <item>)</item>
      </candidateList>
      <explain>文本全半角错误。</explain>
      <paraID>512502B0</paraID>
      <start>3</start>
      <end>4</end>
      <status>unmodified</status>
      <modifiedWord/>
      <trackRevisions>false</trackRevisions>
    </reviewItem>
    <reviewItem>
      <errorID>4e3b7c9a-e634-40b1-9acb-1a6519be48df</errorID>
      <errorWord>（</errorWord>
      <group>L1_Format</group>
      <groupName>格式问题</groupName>
      <ability>L2_HalfPunc</ability>
      <abilityName>全半角检查</abilityName>
      <candidateList>
        <item>(</item>
      </candidateList>
      <explain>文本全半角错误。</explain>
      <paraID>704F5642</paraID>
      <start>0</start>
      <end>1</end>
      <status>unmodified</status>
      <modifiedWord/>
      <trackRevisions>false</trackRevisions>
    </reviewItem>
    <reviewItem>
      <errorID>ef52380c-e55a-4afe-88e8-db42e9c42876</errorID>
      <errorWord>）</errorWord>
      <group>L1_Format</group>
      <groupName>格式问题</groupName>
      <ability>L2_HalfPunc</ability>
      <abilityName>全半角检查</abilityName>
      <candidateList>
        <item>)</item>
      </candidateList>
      <explain>文本全半角错误。</explain>
      <paraID>704F5642</paraID>
      <start>2</start>
      <end>3</end>
      <status>unmodified</status>
      <modifiedWord/>
      <trackRevisions>false</trackRevisions>
    </reviewItem>
    <reviewItem>
      <errorID>29d8023c-e94b-4cc7-9d01-4c1905f51fa1</errorID>
      <errorWord>（</errorWord>
      <group>L1_Format</group>
      <groupName>格式问题</groupName>
      <ability>L2_HalfPunc</ability>
      <abilityName>全半角检查</abilityName>
      <candidateList>
        <item>(</item>
      </candidateList>
      <explain>文本全半角错误。</explain>
      <paraID>1E7C8922</paraID>
      <start>0</start>
      <end>1</end>
      <status>unmodified</status>
      <modifiedWord/>
      <trackRevisions>false</trackRevisions>
    </reviewItem>
    <reviewItem>
      <errorID>e6dde66b-c0f0-41c0-9b44-28a6d73474f9</errorID>
      <errorWord>）</errorWord>
      <group>L1_Format</group>
      <groupName>格式问题</groupName>
      <ability>L2_HalfPunc</ability>
      <abilityName>全半角检查</abilityName>
      <candidateList>
        <item>)</item>
      </candidateList>
      <explain>文本全半角错误。</explain>
      <paraID>1E7C8922</paraID>
      <start>2</start>
      <end>3</end>
      <status>unmodified</status>
      <modifiedWord/>
      <trackRevisions>false</trackRevisions>
    </reviewItem>
    <reviewItem>
      <errorID>28a3b3b6-8813-4e7a-9006-af7b86359ceb</errorID>
      <errorWord>（</errorWord>
      <group>L1_Format</group>
      <groupName>格式问题</groupName>
      <ability>L2_HalfPunc</ability>
      <abilityName>全半角检查</abilityName>
      <candidateList>
        <item>(</item>
      </candidateList>
      <explain>文本全半角错误。</explain>
      <paraID>62FFD21D</paraID>
      <start>2</start>
      <end>3</end>
      <status>unmodified</status>
      <modifiedWord/>
      <trackRevisions>false</trackRevisions>
    </reviewItem>
    <reviewItem>
      <errorID>a4d7e9b3-7b75-42bb-b84c-6b837cf2650a</errorID>
      <errorWord>）</errorWord>
      <group>L1_Format</group>
      <groupName>格式问题</groupName>
      <ability>L2_HalfPunc</ability>
      <abilityName>全半角检查</abilityName>
      <candidateList>
        <item>)</item>
      </candidateList>
      <explain>文本全半角错误。</explain>
      <paraID>62FFD21D</paraID>
      <start>4</start>
      <end>5</end>
      <status>unmodified</status>
      <modifiedWord/>
      <trackRevisions>false</trackRevisions>
    </reviewItem>
    <reviewItem>
      <errorID>326223b5-9a66-4530-9e83-6c60fd40f6de</errorID>
      <errorWord>(</errorWord>
      <group>L1_Format</group>
      <groupName>格式问题</groupName>
      <ability>L2_HalfPunc</ability>
      <abilityName>全半角检查</abilityName>
      <candidateList>
        <item>（</item>
      </candidateList>
      <explain>文本全半角错误。</explain>
      <paraID>72423FEE</paraID>
      <start>0</start>
      <end>1</end>
      <status>unmodified</status>
      <modifiedWord/>
      <trackRevisions>false</trackRevisions>
    </reviewItem>
    <reviewItem>
      <errorID>eef2a303-04b8-435e-8181-2c9eb593df24</errorID>
      <errorWord>)</errorWord>
      <group>L1_Format</group>
      <groupName>格式问题</groupName>
      <ability>L2_HalfPunc</ability>
      <abilityName>全半角检查</abilityName>
      <candidateList>
        <item>）</item>
      </candidateList>
      <explain>文本全半角错误。</explain>
      <paraID>72423FEE</paraID>
      <start>4</start>
      <end>5</end>
      <status>unmodified</status>
      <modifiedWord/>
      <trackRevisions>false</trackRevisions>
    </reviewItem>
    <reviewItem>
      <errorID>e4694358-db65-494f-a896-fdc434e31689</errorID>
      <errorWord>（</errorWord>
      <group>L1_Format</group>
      <groupName>格式问题</groupName>
      <ability>L2_HalfPunc</ability>
      <abilityName>全半角检查</abilityName>
      <candidateList>
        <item>(</item>
      </candidateList>
      <explain>文本全半角错误。</explain>
      <paraID>54D97B3D</paraID>
      <start>0</start>
      <end>1</end>
      <status>unmodified</status>
      <modifiedWord/>
      <trackRevisions>false</trackRevisions>
    </reviewItem>
    <reviewItem>
      <errorID>31588576-f662-4bf3-9614-b86352cea95a</errorID>
      <errorWord>）</errorWord>
      <group>L1_Format</group>
      <groupName>格式问题</groupName>
      <ability>L2_HalfPunc</ability>
      <abilityName>全半角检查</abilityName>
      <candidateList>
        <item>)</item>
      </candidateList>
      <explain>文本全半角错误。</explain>
      <paraID>54D97B3D</paraID>
      <start>3</start>
      <end>4</end>
      <status>unmodified</status>
      <modifiedWord/>
      <trackRevisions>false</trackRevisions>
    </reviewItem>
    <reviewItem>
      <errorID>795d40b3-cd8e-4099-8b61-f7d44453d991</errorID>
      <errorWord>（</errorWord>
      <group>L1_Format</group>
      <groupName>格式问题</groupName>
      <ability>L2_HalfPunc</ability>
      <abilityName>全半角检查</abilityName>
      <candidateList>
        <item>(</item>
      </candidateList>
      <explain>文本全半角错误。</explain>
      <paraID>4AE33D9F</paraID>
      <start>0</start>
      <end>1</end>
      <status>unmodified</status>
      <modifiedWord/>
      <trackRevisions>false</trackRevisions>
    </reviewItem>
    <reviewItem>
      <errorID>7f0ae2c3-c51a-436e-8f6b-1324175f677c</errorID>
      <errorWord>）</errorWord>
      <group>L1_Format</group>
      <groupName>格式问题</groupName>
      <ability>L2_HalfPunc</ability>
      <abilityName>全半角检查</abilityName>
      <candidateList>
        <item>)</item>
      </candidateList>
      <explain>文本全半角错误。</explain>
      <paraID>4AE33D9F</paraID>
      <start>4</start>
      <end>5</end>
      <status>unmodified</status>
      <modifiedWord/>
      <trackRevisions>false</trackRevisions>
    </reviewItem>
    <reviewItem>
      <errorID>ca015155-4c75-43e8-8719-60fe2d1820d4</errorID>
      <errorWord>(</errorWord>
      <group>L1_Format</group>
      <groupName>格式问题</groupName>
      <ability>L2_HalfPunc</ability>
      <abilityName>全半角检查</abilityName>
      <candidateList>
        <item>（</item>
      </candidateList>
      <explain>文本全半角错误。</explain>
      <paraID>6BB54A23</paraID>
      <start>3</start>
      <end>4</end>
      <status>unmodified</status>
      <modifiedWord/>
      <trackRevisions>false</trackRevisions>
    </reviewItem>
    <reviewItem>
      <errorID>798b0822-b458-4069-bac3-a3d60e816f76</errorID>
      <errorWord>)</errorWord>
      <group>L1_Format</group>
      <groupName>格式问题</groupName>
      <ability>L2_HalfPunc</ability>
      <abilityName>全半角检查</abilityName>
      <candidateList>
        <item>）</item>
      </candidateList>
      <explain>文本全半角错误。</explain>
      <paraID>6BB54A23</paraID>
      <start>9</start>
      <end>10</end>
      <status>unmodified</status>
      <modifiedWord/>
      <trackRevisions>false</trackRevisions>
    </reviewItem>
    <reviewItem>
      <errorID>1ff9ab9c-215b-4e90-bc28-93531750477d</errorID>
      <errorWord>(</errorWord>
      <group>L1_Format</group>
      <groupName>格式问题</groupName>
      <ability>L2_HalfPunc</ability>
      <abilityName>全半角检查</abilityName>
      <candidateList>
        <item>（</item>
      </candidateList>
      <explain>文本全半角错误。</explain>
      <paraID>7AEE7599</paraID>
      <start>4</start>
      <end>5</end>
      <status>unmodified</status>
      <modifiedWord/>
      <trackRevisions>false</trackRevisions>
    </reviewItem>
    <reviewItem>
      <errorID>0fda19a7-daed-4d25-a113-c0a65b18b355</errorID>
      <errorWord>)</errorWord>
      <group>L1_Format</group>
      <groupName>格式问题</groupName>
      <ability>L2_HalfPunc</ability>
      <abilityName>全半角检查</abilityName>
      <candidateList>
        <item>）</item>
      </candidateList>
      <explain>文本全半角错误。</explain>
      <paraID>7AEE7599</paraID>
      <start>10</start>
      <end>11</end>
      <status>unmodified</status>
      <modifiedWord/>
      <trackRevisions>false</trackRevisions>
    </reviewItem>
    <reviewItem>
      <errorID>ad1d0dae-41ca-4e08-9fcd-0c0f36c5bcd3</errorID>
      <errorWord>（</errorWord>
      <group>L1_Format</group>
      <groupName>格式问题</groupName>
      <ability>L2_HalfPunc</ability>
      <abilityName>全半角检查</abilityName>
      <candidateList>
        <item>(</item>
      </candidateList>
      <explain>文本全半角错误。</explain>
      <paraID> 110D87F</paraID>
      <start>0</start>
      <end>1</end>
      <status>unmodified</status>
      <modifiedWord/>
      <trackRevisions>false</trackRevisions>
    </reviewItem>
    <reviewItem>
      <errorID>3c1ab6bf-fb9f-4a76-a07a-aa03b8e8e2b2</errorID>
      <errorWord>）</errorWord>
      <group>L1_Format</group>
      <groupName>格式问题</groupName>
      <ability>L2_HalfPunc</ability>
      <abilityName>全半角检查</abilityName>
      <candidateList>
        <item>)</item>
      </candidateList>
      <explain>文本全半角错误。</explain>
      <paraID> 110D87F</paraID>
      <start>7</start>
      <end>8</end>
      <status>unmodified</status>
      <modifiedWord/>
      <trackRevisions>false</trackRevisions>
    </reviewItem>
    <reviewItem>
      <errorID>cf346238-e21a-4ade-a00e-eaacac96978d</errorID>
      <errorWord>，</errorWord>
      <group>L1_Format</group>
      <groupName>格式问题</groupName>
      <ability>L2_HalfPunc</ability>
      <abilityName>全半角检查</abilityName>
      <candidateList>
        <item>, </item>
      </candidateList>
      <explain>文本全半角错误。</explain>
      <paraID>20FD84A5</paraID>
      <start>7</start>
      <end>8</end>
      <status>unmodified</status>
      <modifiedWord/>
      <trackRevisions>false</trackRevisions>
    </reviewItem>
    <reviewItem>
      <errorID>34988e8f-1e73-47a8-b885-81a59988ab27</errorID>
      <errorWord>(</errorWord>
      <group>L1_Format</group>
      <groupName>格式问题</groupName>
      <ability>L2_HalfPunc</ability>
      <abilityName>全半角检查</abilityName>
      <candidateList>
        <item>（</item>
      </candidateList>
      <explain>文本全半角错误。</explain>
      <paraID> C590CC1</paraID>
      <start>178</start>
      <end>179</end>
      <status>unmodified</status>
      <modifiedWord/>
      <trackRevisions>false</trackRevisions>
    </reviewItem>
    <reviewItem>
      <errorID>4861c89d-b943-4e4e-bf73-b1f76f3ca7aa</errorID>
      <errorWord>)</errorWord>
      <group>L1_Format</group>
      <groupName>格式问题</groupName>
      <ability>L2_HalfPunc</ability>
      <abilityName>全半角检查</abilityName>
      <candidateList>
        <item>）</item>
      </candidateList>
      <explain>文本全半角错误。</explain>
      <paraID> C590CC1</paraID>
      <start>191</start>
      <end>192</end>
      <status>unmodified</status>
      <modifiedWord/>
      <trackRevisions>false</trackRevisions>
    </reviewItem>
    <reviewItem>
      <errorID>58839176-3d3a-4d03-b878-8ea5650f38c5</errorID>
      <errorWord>68%~98%</errorWord>
      <group>L1_Knowledge</group>
      <groupName>知识性问题</groupName>
      <ability>L2_Knowledge</ability>
      <abilityName>其他知识</abilityName>
      <candidateList>
        <item>68%～98%</item>
      </candidateList>
      <explain>1. “68%~98%”中的单位“%”仅出现在后一个数字上，容易引起歧义；根据《现代汉语标点符号数字用法规范手册》，数字表示范围两边需要使用统一的格式。2. 根据标点国标 4.13 中的规则，数字、时间或地域连接符应使用（视觉上更长的）“—”或“～”。</explain>
      <paraID>6321C57A</paraID>
      <start>149</start>
      <end>156</end>
      <status>unmodified</status>
      <modifiedWord/>
      <trackRevisions>false</trackRevisions>
    </reviewItem>
    <reviewItem>
      <errorID>ac6d73a6-4a4c-4a7c-ae78-b8282d065193</errorID>
      <errorWord>0~50%</errorWord>
      <group>L1_Knowledge</group>
      <groupName>知识性问题</groupName>
      <ability>L2_Knowledge</ability>
      <abilityName>其他知识</abilityName>
      <candidateList>
        <item>0～50%</item>
      </candidateList>
      <explain>1. “0~50%”中的单位“%”仅出现在后一个数字上，容易引起歧义；根据《现代汉语标点符号数字用法规范手册》，数字表示范围两边需要使用统一的格式。2. 根据标点国标 4.13 中的规则，数字、时间或地域连接符应使用（视觉上更长的）“—”或“～”。</explain>
      <paraID>6321C57A</paraID>
      <start>177</start>
      <end>182</end>
      <status>unmodified</status>
      <modifiedWord/>
      <trackRevisions>false</trackRevisions>
    </reviewItem>
    <reviewItem>
      <errorID>aef761af-b98d-480c-9d29-eb53ec59f171</errorID>
      <errorWord>(</errorWord>
      <group>L1_Format</group>
      <groupName>格式问题</groupName>
      <ability>L2_HalfPunc</ability>
      <abilityName>全半角检查</abilityName>
      <candidateList>
        <item>（</item>
      </candidateList>
      <explain>文本全半角错误。</explain>
      <paraID>6321C57A</paraID>
      <start>356</start>
      <end>357</end>
      <status>unmodified</status>
      <modifiedWord/>
      <trackRevisions>false</trackRevisions>
    </reviewItem>
    <reviewItem>
      <errorID>b46a3386-501d-47e8-8ef8-0d0f1874cfe1</errorID>
      <errorWord>)</errorWord>
      <group>L1_Format</group>
      <groupName>格式问题</groupName>
      <ability>L2_HalfPunc</ability>
      <abilityName>全半角检查</abilityName>
      <candidateList>
        <item>）</item>
      </candidateList>
      <explain>文本全半角错误。</explain>
      <paraID>6321C57A</paraID>
      <start>369</start>
      <end>370</end>
      <status>unmodified</status>
      <modifiedWord/>
      <trackRevisions>false</trackRevisions>
    </reviewItem>
    <reviewItem>
      <errorID>efa94338-b3c8-4833-b437-338e1bf85727</errorID>
      <errorWord>(</errorWord>
      <group>L1_Format</group>
      <groupName>格式问题</groupName>
      <ability>L2_HalfPunc</ability>
      <abilityName>全半角检查</abilityName>
      <candidateList>
        <item>（</item>
      </candidateList>
      <explain>文本全半角错误。</explain>
      <paraID>74C5B2C3</paraID>
      <start>133</start>
      <end>134</end>
      <status>unmodified</status>
      <modifiedWord/>
      <trackRevisions>false</trackRevisions>
    </reviewItem>
    <reviewItem>
      <errorID>8b0106db-adee-4194-8efb-ec1ba8c4af27</errorID>
      <errorWord>)</errorWord>
      <group>L1_Format</group>
      <groupName>格式问题</groupName>
      <ability>L2_HalfPunc</ability>
      <abilityName>全半角检查</abilityName>
      <candidateList>
        <item>）</item>
      </candidateList>
      <explain>文本全半角错误。</explain>
      <paraID>74C5B2C3</paraID>
      <start>146</start>
      <end>147</end>
      <status>unmodified</status>
      <modifiedWord/>
      <trackRevisions>false</trackRevisions>
    </reviewItem>
    <reviewItem>
      <errorID>55d01c42-66e1-4f17-a0e3-d1e83ca3c32e</errorID>
      <errorWord>(</errorWord>
      <group>L1_Format</group>
      <groupName>格式问题</groupName>
      <ability>L2_HalfPunc</ability>
      <abilityName>全半角检查</abilityName>
      <candidateList>
        <item>（</item>
      </candidateList>
      <explain>文本全半角错误。</explain>
      <paraID>43E802BE</paraID>
      <start>129</start>
      <end>130</end>
      <status>unmodified</status>
      <modifiedWord/>
      <trackRevisions>false</trackRevisions>
    </reviewItem>
    <reviewItem>
      <errorID>ff0e9c33-e6ba-4220-a892-75a5391d30b2</errorID>
      <errorWord>)</errorWord>
      <group>L1_Format</group>
      <groupName>格式问题</groupName>
      <ability>L2_HalfPunc</ability>
      <abilityName>全半角检查</abilityName>
      <candidateList>
        <item>）</item>
      </candidateList>
      <explain>文本全半角错误。</explain>
      <paraID>43E802BE</paraID>
      <start>142</start>
      <end>143</end>
      <status>unmodified</status>
      <modifiedWord/>
      <trackRevisions>false</trackRevisions>
    </reviewItem>
    <reviewItem>
      <errorID>aff51657-562c-4ee3-b722-fdab132fe7f6</errorID>
      <errorWord>(</errorWord>
      <group>L1_Format</group>
      <groupName>格式问题</groupName>
      <ability>L2_HalfPunc</ability>
      <abilityName>全半角检查</abilityName>
      <candidateList>
        <item>（</item>
      </candidateList>
      <explain>文本全半角错误。</explain>
      <paraID> 4724ACD</paraID>
      <start>2</start>
      <end>3</end>
      <status>unmodified</status>
      <modifiedWord/>
      <trackRevisions>false</trackRevisions>
    </reviewItem>
    <reviewItem>
      <errorID>c0504314-e66f-4d14-a0da-3fd59d56a04f</errorID>
      <errorWord>)</errorWord>
      <group>L1_Format</group>
      <groupName>格式问题</groupName>
      <ability>L2_HalfPunc</ability>
      <abilityName>全半角检查</abilityName>
      <candidateList>
        <item>）</item>
      </candidateList>
      <explain>文本全半角错误。</explain>
      <paraID> 4724ACD</paraID>
      <start>4</start>
      <end>5</end>
      <status>unmodified</status>
      <modifiedWord/>
      <trackRevisions>false</trackRevisions>
    </reviewItem>
    <reviewItem>
      <errorID>80e3fa7f-2339-49dd-a145-9390e069b002</errorID>
      <errorWord>(</errorWord>
      <group>L1_Format</group>
      <groupName>格式问题</groupName>
      <ability>L2_HalfPunc</ability>
      <abilityName>全半角检查</abilityName>
      <candidateList>
        <item>（</item>
      </candidateList>
      <explain>文本全半角错误。</explain>
      <paraID>37ED2286</paraID>
      <start>2</start>
      <end>3</end>
      <status>unmodified</status>
      <modifiedWord/>
      <trackRevisions>false</trackRevisions>
    </reviewItem>
    <reviewItem>
      <errorID>f18993f1-6afc-450c-a53f-eb057567deef</errorID>
      <errorWord>)</errorWord>
      <group>L1_Format</group>
      <groupName>格式问题</groupName>
      <ability>L2_HalfPunc</ability>
      <abilityName>全半角检查</abilityName>
      <candidateList>
        <item>）</item>
      </candidateList>
      <explain>文本全半角错误。</explain>
      <paraID>37ED2286</paraID>
      <start>4</start>
      <end>5</end>
      <status>unmodified</status>
      <modifiedWord/>
      <trackRevisions>false</trackRevisions>
    </reviewItem>
    <reviewItem>
      <errorID>8002478e-92ef-4d70-bff6-5c102b7c3d96</errorID>
      <errorWord>(</errorWord>
      <group>L1_Format</group>
      <groupName>格式问题</groupName>
      <ability>L2_HalfPunc</ability>
      <abilityName>全半角检查</abilityName>
      <candidateList>
        <item>（</item>
      </candidateList>
      <explain>文本全半角错误。</explain>
      <paraID>2E6642DA</paraID>
      <start>2</start>
      <end>3</end>
      <status>unmodified</status>
      <modifiedWord/>
      <trackRevisions>false</trackRevisions>
    </reviewItem>
    <reviewItem>
      <errorID>ac67d089-9542-4c5f-a597-5823c22ea805</errorID>
      <errorWord>)</errorWord>
      <group>L1_Format</group>
      <groupName>格式问题</groupName>
      <ability>L2_HalfPunc</ability>
      <abilityName>全半角检查</abilityName>
      <candidateList>
        <item>）</item>
      </candidateList>
      <explain>文本全半角错误。</explain>
      <paraID>2E6642DA</paraID>
      <start>4</start>
      <end>5</end>
      <status>unmodified</status>
      <modifiedWord/>
      <trackRevisions>false</trackRevisions>
    </reviewItem>
    <reviewItem>
      <errorID>0d759d9d-6e32-48fa-aaeb-92d34965b680</errorID>
      <errorWord>(</errorWord>
      <group>L1_Format</group>
      <groupName>格式问题</groupName>
      <ability>L2_HalfPunc</ability>
      <abilityName>全半角检查</abilityName>
      <candidateList>
        <item>（</item>
      </candidateList>
      <explain>文本全半角错误。</explain>
      <paraID>2994179A</paraID>
      <start>2</start>
      <end>3</end>
      <status>unmodified</status>
      <modifiedWord/>
      <trackRevisions>false</trackRevisions>
    </reviewItem>
    <reviewItem>
      <errorID>7cb917f0-61b9-4b68-b87b-1188fcff9284</errorID>
      <errorWord>)</errorWord>
      <group>L1_Format</group>
      <groupName>格式问题</groupName>
      <ability>L2_HalfPunc</ability>
      <abilityName>全半角检查</abilityName>
      <candidateList>
        <item>）</item>
      </candidateList>
      <explain>文本全半角错误。</explain>
      <paraID>2994179A</paraID>
      <start>4</start>
      <end>5</end>
      <status>unmodified</status>
      <modifiedWord/>
      <trackRevisions>false</trackRevisions>
    </reviewItem>
    <reviewItem>
      <errorID>fda0c61c-0721-4370-9be2-16175cdfcf93</errorID>
      <errorWord>(</errorWord>
      <group>L1_Format</group>
      <groupName>格式问题</groupName>
      <ability>L2_HalfPunc</ability>
      <abilityName>全半角检查</abilityName>
      <candidateList>
        <item>（</item>
      </candidateList>
      <explain>文本全半角错误。</explain>
      <paraID> 76A9F6E</paraID>
      <start>2</start>
      <end>3</end>
      <status>unmodified</status>
      <modifiedWord/>
      <trackRevisions>false</trackRevisions>
    </reviewItem>
    <reviewItem>
      <errorID>33c3d216-1916-4733-998e-f2b0625aa78d</errorID>
      <errorWord>)</errorWord>
      <group>L1_Format</group>
      <groupName>格式问题</groupName>
      <ability>L2_HalfPunc</ability>
      <abilityName>全半角检查</abilityName>
      <candidateList>
        <item>）</item>
      </candidateList>
      <explain>文本全半角错误。</explain>
      <paraID> 76A9F6E</paraID>
      <start>6</start>
      <end>7</end>
      <status>unmodified</status>
      <modifiedWord/>
      <trackRevisions>false</trackRevisions>
    </reviewItem>
    <reviewItem>
      <errorID>ab8812a1-1492-4392-8ea8-79539248dee0</errorID>
      <errorWord>废气系统</errorWord>
      <group>L1_Knowledge</group>
      <groupName>知识性问题</groupName>
      <ability>L2_Term</ability>
      <abilityName>专业术语</abilityName>
      <candidateList>
        <item>放气系统</item>
      </candidateList>
      <explain/>
      <paraID>5BE92E80</paraID>
      <start>107</start>
      <end>111</end>
      <status>unmodified</status>
      <modifiedWord/>
      <trackRevisions>false</trackRevisions>
    </reviewItem>
    <reviewItem>
      <errorID>e5fc4311-1afe-4873-80ff-e6c1ce39172f</errorID>
      <errorWord>硫磺</errorWord>
      <group>L1_Word</group>
      <groupName>字词问题</groupName>
      <ability>L2_Typo</ability>
      <abilityName>字词错误</abilityName>
      <candidateList>
        <item>硫黄</item>
      </candidateList>
      <explain/>
      <paraID>1D0CC533</paraID>
      <start>33</start>
      <end>35</end>
      <status>unmodified</status>
      <modifiedWord/>
      <trackRevisions>false</trackRevisions>
    </reviewItem>
    <reviewItem>
      <errorID>0cbcd826-0237-424a-9e80-99b46d242a0a</errorID>
      <errorWord>68%~98%</errorWord>
      <group>L1_Knowledge</group>
      <groupName>知识性问题</groupName>
      <ability>L2_Knowledge</ability>
      <abilityName>其他知识</abilityName>
      <candidateList>
        <item>68%～98%</item>
      </candidateList>
      <explain>1. “68%~98%”中的单位“%”仅出现在后一个数字上，容易引起歧义；根据《现代汉语标点符号数字用法规范手册》，数字表示范围两边需要使用统一的格式。2. 根据标点国标 4.13 中的规则，数字、时间或地域连接符应使用（视觉上更长的）“—”或“～”。</explain>
      <paraID>78E3445B</paraID>
      <start>137</start>
      <end>144</end>
      <status>unmodified</status>
      <modifiedWord/>
      <trackRevisions>false</trackRevisions>
    </reviewItem>
    <reviewItem>
      <errorID>776fdd8d-de27-4fe2-9dac-3bf29e510987</errorID>
      <errorWord>0~50%</errorWord>
      <group>L1_Knowledge</group>
      <groupName>知识性问题</groupName>
      <ability>L2_Knowledge</ability>
      <abilityName>其他知识</abilityName>
      <candidateList>
        <item>0～50%</item>
      </candidateList>
      <explain>1. “0~50%”中的单位“%”仅出现在后一个数字上，容易引起歧义；根据《现代汉语标点符号数字用法规范手册》，数字表示范围两边需要使用统一的格式。2. 根据标点国标 4.13 中的规则，数字、时间或地域连接符应使用（视觉上更长的）“—”或“～”。</explain>
      <paraID>78E3445B</paraID>
      <start>165</start>
      <end>170</end>
      <status>unmodified</status>
      <modifiedWord/>
      <trackRevisions>false</trackRevisions>
    </reviewItem>
    <reviewItem>
      <errorID>c28a0a5e-9b12-4d4c-b6b8-9c0b850a0fb4</errorID>
      <errorWord>减少</errorWord>
      <group>L1_Word</group>
      <groupName>字词问题</groupName>
      <ability>L2_Typo</ability>
      <abilityName>字词错误</abilityName>
      <candidateList>
        <item>减小</item>
      </candidateList>
      <explain/>
      <paraID> 2DB0A1F</paraID>
      <start>87</start>
      <end>89</end>
      <status>unmodified</status>
      <modifiedWord/>
      <trackRevisions>false</trackRevisions>
    </reviewItem>
    <reviewItem>
      <errorID>6104edbb-b59c-4fa0-972f-66fd75be36e0</errorID>
      <errorWord>(</errorWord>
      <group>L1_Format</group>
      <groupName>格式问题</groupName>
      <ability>L2_HalfPunc</ability>
      <abilityName>全半角检查</abilityName>
      <candidateList>
        <item>（</item>
      </candidateList>
      <explain>文本全半角错误。</explain>
      <paraID>5EA9DC0B</paraID>
      <start>161</start>
      <end>162</end>
      <status>unmodified</status>
      <modifiedWord/>
      <trackRevisions>false</trackRevisions>
    </reviewItem>
    <reviewItem>
      <errorID>477ba647-6615-4c5f-a179-e847b94aad07</errorID>
      <errorWord>)</errorWord>
      <group>L1_Format</group>
      <groupName>格式问题</groupName>
      <ability>L2_HalfPunc</ability>
      <abilityName>全半角检查</abilityName>
      <candidateList>
        <item>）</item>
      </candidateList>
      <explain>文本全半角错误。</explain>
      <paraID>5EA9DC0B</paraID>
      <start>174</start>
      <end>175</end>
      <status>unmodified</status>
      <modifiedWord/>
      <trackRevisions>false</trackRevisions>
    </reviewItem>
    <reviewItem>
      <errorID>17c429d9-6ee9-43bf-924a-215b9e845ed7</errorID>
      <errorWord>(</errorWord>
      <group>L1_Format</group>
      <groupName>格式问题</groupName>
      <ability>L2_HalfPunc</ability>
      <abilityName>全半角检查</abilityName>
      <candidateList>
        <item>（</item>
      </candidateList>
      <explain>文本全半角错误。</explain>
      <paraID>3FE71F2B</paraID>
      <start>136</start>
      <end>137</end>
      <status>unmodified</status>
      <modifiedWord/>
      <trackRevisions>false</trackRevisions>
    </reviewItem>
    <reviewItem>
      <errorID>2dba4809-3c18-40a2-9c23-c67d1c156543</errorID>
      <errorWord>)</errorWord>
      <group>L1_Format</group>
      <groupName>格式问题</groupName>
      <ability>L2_HalfPunc</ability>
      <abilityName>全半角检查</abilityName>
      <candidateList>
        <item>）</item>
      </candidateList>
      <explain>文本全半角错误。</explain>
      <paraID>3FE71F2B</paraID>
      <start>149</start>
      <end>150</end>
      <status>unmodified</status>
      <modifiedWord/>
      <trackRevisions>false</trackRevisions>
    </reviewItem>
    <reviewItem>
      <errorID>6889b2a4-36f4-4f72-aaa1-ffbae8161eaf</errorID>
      <errorWord>(</errorWord>
      <group>L1_Format</group>
      <groupName>格式问题</groupName>
      <ability>L2_HalfPunc</ability>
      <abilityName>全半角检查</abilityName>
      <candidateList>
        <item>（</item>
      </candidateList>
      <explain>文本全半角错误。</explain>
      <paraID>7424D659</paraID>
      <start>133</start>
      <end>134</end>
      <status>unmodified</status>
      <modifiedWord/>
      <trackRevisions>false</trackRevisions>
    </reviewItem>
    <reviewItem>
      <errorID>208a1d31-bbcc-4575-81ad-8e9311a9cf79</errorID>
      <errorWord>)</errorWord>
      <group>L1_Format</group>
      <groupName>格式问题</groupName>
      <ability>L2_HalfPunc</ability>
      <abilityName>全半角检查</abilityName>
      <candidateList>
        <item>）</item>
      </candidateList>
      <explain>文本全半角错误。</explain>
      <paraID>7424D659</paraID>
      <start>146</start>
      <end>147</end>
      <status>unmodified</status>
      <modifiedWord/>
      <trackRevisions>false</trackRevisions>
    </reviewItem>
    <reviewItem>
      <errorID>e40fde22-a0d7-48d7-bcdd-6046fbbcaeb7</errorID>
      <errorWord>(</errorWord>
      <group>L1_Format</group>
      <groupName>格式问题</groupName>
      <ability>L2_HalfPunc</ability>
      <abilityName>全半角检查</abilityName>
      <candidateList>
        <item>（</item>
      </candidateList>
      <explain>文本全半角错误。</explain>
      <paraID>22AE15EF</paraID>
      <start>129</start>
      <end>130</end>
      <status>unmodified</status>
      <modifiedWord/>
      <trackRevisions>false</trackRevisions>
    </reviewItem>
    <reviewItem>
      <errorID>a400832d-9354-422e-b4aa-49af56e220ae</errorID>
      <errorWord>)</errorWord>
      <group>L1_Format</group>
      <groupName>格式问题</groupName>
      <ability>L2_HalfPunc</ability>
      <abilityName>全半角检查</abilityName>
      <candidateList>
        <item>）</item>
      </candidateList>
      <explain>文本全半角错误。</explain>
      <paraID>22AE15EF</paraID>
      <start>142</start>
      <end>143</end>
      <status>unmodified</status>
      <modifiedWord/>
      <trackRevisions>false</trackRevisions>
    </reviewItem>
    <reviewItem>
      <errorID>d7b005ca-faa5-40a3-a107-deb5d72621d9</errorID>
      <errorWord>(</errorWord>
      <group>L1_Format</group>
      <groupName>格式问题</groupName>
      <ability>L2_HalfPunc</ability>
      <abilityName>全半角检查</abilityName>
      <candidateList>
        <item>（</item>
      </candidateList>
      <explain>文本全半角错误。</explain>
      <paraID>7F93678A</paraID>
      <start>44</start>
      <end>45</end>
      <status>unmodified</status>
      <modifiedWord/>
      <trackRevisions>false</trackRevisions>
    </reviewItem>
    <reviewItem>
      <errorID>25a6329e-1d9f-48c6-9f19-1557e9523dc7</errorID>
      <errorWord>)</errorWord>
      <group>L1_Format</group>
      <groupName>格式问题</groupName>
      <ability>L2_HalfPunc</ability>
      <abilityName>全半角检查</abilityName>
      <candidateList>
        <item>）</item>
      </candidateList>
      <explain>文本全半角错误。</explain>
      <paraID>7F93678A</paraID>
      <start>57</start>
      <end>58</end>
      <status>unmodified</status>
      <modifiedWord/>
      <trackRevisions>false</trackRevisions>
    </reviewItem>
    <reviewItem>
      <errorID>64dab283-d695-41cb-bac0-79f0a9e383a6</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6598C0E3</paraID>
      <start>114</start>
      <end>115</end>
      <status>modified</status>
      <modifiedWord>地</modifiedWord>
      <trackRevisions>false</trackRevisions>
    </reviewItem>
    <reviewItem>
      <errorID>3958e2a9-e0ad-4611-bd33-afe681bdc4d3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16A5C9BE</paraID>
      <start>0</start>
      <end>2</end>
      <status>unmodified</status>
      <modifiedWord/>
      <trackRevisions>false</trackRevisions>
    </reviewItem>
    <reviewItem>
      <errorID>9ba7460b-b498-4f55-b6eb-61d2a9a8b491</errorID>
      <errorWord>)</errorWord>
      <group>L1_Format</group>
      <groupName>格式问题</groupName>
      <ability>L2_HalfPunc</ability>
      <abilityName>全半角检查</abilityName>
      <candidateList>
        <item>）</item>
      </candidateList>
      <explain>文本全半角错误。</explain>
      <paraID>4748BAE2</paraID>
      <start>50</start>
      <end>51</end>
      <status>unmodified</status>
      <modifiedWord/>
      <trackRevisions>false</trackRevisions>
    </reviewItem>
    <reviewItem>
      <errorID>6f44cb4c-cde2-47e8-bcc1-2605e3242365</errorID>
      <errorWord>）</errorWord>
      <group>L1_Format</group>
      <groupName>格式问题</groupName>
      <ability>L2_HalfPunc</ability>
      <abilityName>全半角检查</abilityName>
      <candidateList>
        <item>)</item>
      </candidateList>
      <explain>文本全半角错误。</explain>
      <paraID>41D6BD51</paraID>
      <start>24</start>
      <end>25</end>
      <status>unmodified</status>
      <modifiedWord/>
      <trackRevisions>false</trackRevisions>
    </reviewItem>
    <reviewItem>
      <errorID>8c28c40b-9400-4e18-87e6-2cb3bc569397</errorID>
      <errorWord>(</errorWord>
      <group>L1_Format</group>
      <groupName>格式问题</groupName>
      <ability>L2_HalfPunc</ability>
      <abilityName>全半角检查</abilityName>
      <candidateList>
        <item>（</item>
      </candidateList>
      <explain>文本全半角错误。</explain>
      <paraID> 3BDBBAB</paraID>
      <start>16</start>
      <end>17</end>
      <status>unmodified</status>
      <modifiedWord/>
      <trackRevisions>false</trackRevisions>
    </reviewItem>
    <reviewItem>
      <errorID>8a95466d-eac9-42cb-87db-74085ed082f9</errorID>
      <errorWord>)</errorWord>
      <group>L1_Format</group>
      <groupName>格式问题</groupName>
      <ability>L2_HalfPunc</ability>
      <abilityName>全半角检查</abilityName>
      <candidateList>
        <item>）</item>
      </candidateList>
      <explain>文本全半角错误。</explain>
      <paraID> 3BDBBAB</paraID>
      <start>32</start>
      <end>33</end>
      <status>unmodified</status>
      <modifiedWord/>
      <trackRevisions>false</trackRevisions>
    </reviewItem>
    <reviewItem>
      <errorID>e9abfe78-2303-4bbb-9262-dc154bbc2fe7</errorID>
      <errorWord>途径</errorWord>
      <group>L1_Word</group>
      <groupName>字词问题</groupName>
      <ability>L2_Typo</ability>
      <abilityName>字词错误</abilityName>
      <candidateList>
        <item>途经</item>
      </candidateList>
      <explain/>
      <paraID>5970971A</paraID>
      <start>29</start>
      <end>31</end>
      <status>unmodified</status>
      <modifiedWord/>
      <trackRevisions>false</trackRevisions>
    </reviewItem>
    <reviewItem>
      <errorID>d16130fd-bffd-45db-922c-97bb65d762d6</errorID>
      <errorWord>程</errorWord>
      <group>L1_Word</group>
      <groupName>字词问题</groupName>
      <ability>L2_Typo</ability>
      <abilityName>字词错误</abilityName>
      <candidateList>
        <item>程中</item>
      </candidateList>
      <explain/>
      <paraID>1F4686D1</paraID>
      <start>157</start>
      <end>158</end>
      <status>unmodified</status>
      <modifiedWord/>
      <trackRevisions>false</trackRevisions>
    </reviewItem>
    <reviewItem>
      <errorID>8346d6a8-9ee1-4ad9-a284-66fe56b8f867</errorID>
      <errorWord>（</errorWord>
      <group>L1_Punc</group>
      <groupName>标点问题</groupName>
      <ability>L2_Punc</ability>
      <abilityName>标点符号检查</abilityName>
      <candidateList>
        <item/>
      </candidateList>
      <explain>同一形式括号套用。</explain>
      <paraID>651F3DF6</paraID>
      <start>12</start>
      <end>13</end>
      <status>unmodified</status>
      <modifiedWord/>
      <trackRevisions>false</trackRevisions>
    </reviewItem>
    <reviewItem>
      <errorID>fcc07279-9eea-49e9-8aa7-aa8b8d4d9554</errorID>
      <errorWord>(</errorWord>
      <group>L1_Punc</group>
      <groupName>标点问题</groupName>
      <ability>L2_Punc</ability>
      <abilityName>标点符号检查</abilityName>
      <candidateList/>
      <explain>同一形式括号套用。</explain>
      <paraID>651F3DF6</paraID>
      <start>15</start>
      <end>16</end>
      <status>unmodified</status>
      <modifiedWord/>
      <trackRevisions>false</trackRevisions>
    </reviewItem>
    <reviewItem>
      <errorID>58034854-093c-4ec0-90fa-9f5a0c400047</errorID>
      <errorWord>)</errorWord>
      <group>L1_Punc</group>
      <groupName>标点问题</groupName>
      <ability>L2_Punc</ability>
      <abilityName>标点符号检查</abilityName>
      <candidateList/>
      <explain>同一形式括号套用。</explain>
      <paraID>651F3DF6</paraID>
      <start>17</start>
      <end>18</end>
      <status>unmodified</status>
      <modifiedWord/>
      <trackRevisions>false</trackRevisions>
    </reviewItem>
    <reviewItem>
      <errorID>c9eb770d-0e77-4c75-9029-bcc181c7abe5</errorID>
      <errorWord>）</errorWord>
      <group>L1_Punc</group>
      <groupName>标点问题</groupName>
      <ability>L2_Punc</ability>
      <abilityName>标点符号检查</abilityName>
      <candidateList/>
      <explain>同一形式括号套用。</explain>
      <paraID>651F3DF6</paraID>
      <start>18</start>
      <end>19</end>
      <status>unmodified</status>
      <modifiedWord/>
      <trackRevisions>false</trackRevisions>
    </reviewItem>
    <reviewItem>
      <errorID>cfbe52e4-2c39-4c79-93db-a5996cb2f7ba</errorID>
      <errorWord>（</errorWord>
      <group>L1_Punc</group>
      <groupName>标点问题</groupName>
      <ability>L2_Punc</ability>
      <abilityName>标点符号检查</abilityName>
      <candidateList>
        <item/>
      </candidateList>
      <explain>同一形式括号套用。</explain>
      <paraID>214F8942</paraID>
      <start>5</start>
      <end>6</end>
      <status>unmodified</status>
      <modifiedWord/>
      <trackRevisions>false</trackRevisions>
    </reviewItem>
    <reviewItem>
      <errorID>5bf89ba7-0da3-4b6e-b452-c4536dcd84c4</errorID>
      <errorWord>(</errorWord>
      <group>L1_Punc</group>
      <groupName>标点问题</groupName>
      <ability>L2_Punc</ability>
      <abilityName>标点符号检查</abilityName>
      <candidateList/>
      <explain>同一形式括号套用。</explain>
      <paraID>214F8942</paraID>
      <start>8</start>
      <end>9</end>
      <status>unmodified</status>
      <modifiedWord/>
      <trackRevisions>false</trackRevisions>
    </reviewItem>
    <reviewItem>
      <errorID>9a4d9bd9-0c7f-4c01-8e2f-e6ec4a881508</errorID>
      <errorWord>)</errorWord>
      <group>L1_Punc</group>
      <groupName>标点问题</groupName>
      <ability>L2_Punc</ability>
      <abilityName>标点符号检查</abilityName>
      <candidateList/>
      <explain>同一形式括号套用。</explain>
      <paraID>214F8942</paraID>
      <start>10</start>
      <end>11</end>
      <status>unmodified</status>
      <modifiedWord/>
      <trackRevisions>false</trackRevisions>
    </reviewItem>
    <reviewItem>
      <errorID>303d0ec9-5b2c-4bcd-9eb8-de78bf0bb255</errorID>
      <errorWord>）</errorWord>
      <group>L1_Punc</group>
      <groupName>标点问题</groupName>
      <ability>L2_Punc</ability>
      <abilityName>标点符号检查</abilityName>
      <candidateList/>
      <explain>同一形式括号套用。</explain>
      <paraID>214F8942</paraID>
      <start>11</start>
      <end>12</end>
      <status>unmodified</status>
      <modifiedWord/>
      <trackRevisions>false</trackRevisions>
    </reviewItem>
    <reviewItem>
      <errorID>50ebf2e1-5ced-434e-a142-93d143d75b74</errorID>
      <errorWord>泵泵</errorWord>
      <group>L1_Word</group>
      <groupName>字词问题</groupName>
      <ability>L2_Typo</ability>
      <abilityName>字词错误</abilityName>
      <candidateList>
        <item>泵</item>
      </candidateList>
      <explain/>
      <paraID> 7BFD0E8</paraID>
      <start>2</start>
      <end>4</end>
      <status>unmodified</status>
      <modifiedWord/>
      <trackRevisions>false</trackRevisions>
    </reviewItem>
    <reviewItem>
      <errorID>710e0bb8-d1bf-4488-8fcf-8e8ea73dbf78</errorID>
      <errorWord>)</errorWord>
      <group>L1_Format</group>
      <groupName>格式问题</groupName>
      <ability>L2_HalfPunc</ability>
      <abilityName>全半角检查</abilityName>
      <candidateList>
        <item>）</item>
      </candidateList>
      <explain>文本全半角错误。</explain>
      <paraID> 78BC803</paraID>
      <start>25</start>
      <end>26</end>
      <status>unmodified</status>
      <modifiedWord/>
      <trackRevisions>false</trackRevisions>
    </reviewItem>
    <reviewItem>
      <errorID>6af09614-fc33-4371-bc38-01a8daf0d477</errorID>
      <errorWord>)</errorWord>
      <group>L1_Format</group>
      <groupName>格式问题</groupName>
      <ability>L2_HalfPunc</ability>
      <abilityName>全半角检查</abilityName>
      <candidateList>
        <item>）</item>
      </candidateList>
      <explain>文本全半角错误。</explain>
      <paraID>43A9F2DA</paraID>
      <start>28</start>
      <end>29</end>
      <status>unmodified</status>
      <modifiedWord/>
      <trackRevisions>false</trackRevisions>
    </reviewItem>
    <reviewItem>
      <errorID>d31df4c4-2cfa-4b4b-91f0-1bea3e5f9707</errorID>
      <errorWord>)</errorWord>
      <group>L1_Format</group>
      <groupName>格式问题</groupName>
      <ability>L2_HalfPunc</ability>
      <abilityName>全半角检查</abilityName>
      <candidateList>
        <item>）</item>
      </candidateList>
      <explain>文本全半角错误。</explain>
      <paraID>1CAFF5EA</paraID>
      <start>38</start>
      <end>39</end>
      <status>unmodified</status>
      <modifiedWord/>
      <trackRevisions>false</trackRevisions>
    </reviewItem>
    <reviewItem>
      <errorID>9d1b4e43-2d5f-4d64-b6e6-9ca744fb063d</errorID>
      <errorWord>公示</errorWord>
      <group>L1_Word</group>
      <groupName>字词问题</groupName>
      <ability>L2_Typo</ability>
      <abilityName>字词错误</abilityName>
      <candidateList>
        <item>公式</item>
      </candidateList>
      <explain/>
      <paraID>65835ADB</paraID>
      <start>27</start>
      <end>29</end>
      <status>modified</status>
      <modifiedWord>公式</modifiedWord>
      <trackRevisions>false</trackRevisions>
    </reviewItem>
    <reviewItem>
      <errorID>31ecd36d-ca2d-4030-b280-ddbd63374af3</errorID>
      <errorWord>)</errorWord>
      <group>L1_Format</group>
      <groupName>格式问题</groupName>
      <ability>L2_HalfPunc</ability>
      <abilityName>全半角检查</abilityName>
      <candidateList>
        <item>）</item>
      </candidateList>
      <explain>文本全半角错误。</explain>
      <paraID>59B1727D</paraID>
      <start>22</start>
      <end>23</end>
      <status>unmodified</status>
      <modifiedWord/>
      <trackRevisions>false</trackRevisions>
    </reviewItem>
    <reviewItem>
      <errorID>d89ce560-a975-4e54-890b-da83a5f24973</errorID>
      <errorWord>)</errorWord>
      <group>L1_Format</group>
      <groupName>格式问题</groupName>
      <ability>L2_HalfPunc</ability>
      <abilityName>全半角检查</abilityName>
      <candidateList>
        <item>）</item>
      </candidateList>
      <explain>文本全半角错误。</explain>
      <paraID>6FD5CF9D</paraID>
      <start>29</start>
      <end>30</end>
      <status>unmodified</status>
      <modifiedWord/>
      <trackRevisions>false</trackRevisions>
    </reviewItem>
    <reviewItem>
      <errorID>be89f479-a8ab-4427-8a87-f7f5d05585da</errorID>
      <errorWord>场</errorWord>
      <group>L1_Word</group>
      <groupName>字词问题</groupName>
      <ability>L2_Typo</ability>
      <abilityName>字词错误</abilityName>
      <candidateList>
        <item>厂</item>
      </candidateList>
      <explain/>
      <paraID>3846D613</paraID>
      <start>34</start>
      <end>35</end>
      <status>unmodified</status>
      <modifiedWord/>
      <trackRevisions>false</trackRevisions>
    </reviewItem>
    <reviewItem>
      <errorID>e482f84f-28d4-4dd3-80bb-bac1b500e926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A34ABC1</paraID>
      <start>0</start>
      <end>2</end>
      <status>unmodified</status>
      <modifiedWord/>
      <trackRevisions>false</trackRevisions>
    </reviewItem>
    <reviewItem>
      <errorID>37be66db-cb4b-41ae-bd9b-7fe490f788bf</errorID>
      <errorWord>(</errorWord>
      <group>L1_Format</group>
      <groupName>格式问题</groupName>
      <ability>L2_HalfPunc</ability>
      <abilityName>全半角检查</abilityName>
      <candidateList>
        <item>（</item>
      </candidateList>
      <explain>文本全半角错误。</explain>
      <paraID>26AE4BBF</paraID>
      <start>3</start>
      <end>4</end>
      <status>unmodified</status>
      <modifiedWord/>
      <trackRevisions>false</trackRevisions>
    </reviewItem>
    <reviewItem>
      <errorID>546e643b-d7e5-46ed-a81d-376702ced070</errorID>
      <errorWord>)</errorWord>
      <group>L1_Format</group>
      <groupName>格式问题</groupName>
      <ability>L2_HalfPunc</ability>
      <abilityName>全半角检查</abilityName>
      <candidateList>
        <item>）</item>
      </candidateList>
      <explain>文本全半角错误。</explain>
      <paraID>26AE4BBF</paraID>
      <start>7</start>
      <end>8</end>
      <status>unmodified</status>
      <modifiedWord/>
      <trackRevisions>false</trackRevisions>
    </reviewItem>
    <reviewItem>
      <errorID>913d0950-f6ad-4aff-aefa-833f03c2a008</errorID>
      <errorWord>，</errorWord>
      <group>L1_Format</group>
      <groupName>格式问题</groupName>
      <ability>L2_HalfPunc</ability>
      <abilityName>全半角检查</abilityName>
      <candidateList>
        <item>, </item>
      </candidateList>
      <explain>文本全半角错误。</explain>
      <paraID>4F082D47</paraID>
      <start>1</start>
      <end>2</end>
      <status>unmodified</status>
      <modifiedWord/>
      <trackRevisions>false</trackRevisions>
    </reviewItem>
    <reviewItem>
      <errorID>c9056643-36d6-4af8-88d5-7f916c55ed5f</errorID>
      <errorWord>暂存污染控制</errorWord>
      <group>L1_Word</group>
      <groupName>字词问题</groupName>
      <ability>L2_Typo</ability>
      <abilityName>字词错误</abilityName>
      <candidateList>
        <item>贮存污染控制</item>
      </candidateList>
      <explain/>
      <paraID> BB8A50E</paraID>
      <start>5</start>
      <end>11</end>
      <status>unmodified</status>
      <modifiedWord/>
      <trackRevisions>false</trackRevisions>
    </reviewItem>
    <reviewItem>
      <errorID>92d356ac-7720-409a-b60f-b2886a055773</errorID>
      <errorWord>。。</errorWord>
      <group>L1_Punc</group>
      <groupName>标点问题</groupName>
      <ability>L2_Punc</ability>
      <abilityName>标点符号检查</abilityName>
      <candidateList>
        <item>。</item>
      </candidateList>
      <explain/>
      <paraID>6668983A</paraID>
      <start>41</start>
      <end>43</end>
      <status>unmodified</status>
      <modifiedWord/>
      <trackRevisions>false</trackRevisions>
    </reviewItem>
    <reviewItem>
      <errorID>fadf3cc3-9ef6-46fa-94cb-916fce8fbb6a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456773E9</paraID>
      <start>0</start>
      <end>2</end>
      <status>unmodified</status>
      <modifiedWord/>
      <trackRevisions>false</trackRevisions>
    </reviewItem>
    <reviewItem>
      <errorID>b0f356a9-6473-497f-a8d4-0de17a8cda32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3E76AD27</paraID>
      <start>43</start>
      <end>44</end>
      <status>unmodified</status>
      <modifiedWord/>
      <trackRevisions>false</trackRevisions>
    </reviewItem>
    <reviewItem>
      <errorID>7ee0a080-bd56-4190-a51a-a1bb59fd85c6</errorID>
      <errorWord>(</errorWord>
      <group>L1_Format</group>
      <groupName>格式问题</groupName>
      <ability>L2_HalfPunc</ability>
      <abilityName>全半角检查</abilityName>
      <candidateList>
        <item>（</item>
      </candidateList>
      <explain>文本全半角错误。</explain>
      <paraID>7EDEE254</paraID>
      <start>188</start>
      <end>189</end>
      <status>unmodified</status>
      <modifiedWord/>
      <trackRevisions>false</trackRevisions>
    </reviewItem>
    <reviewItem>
      <errorID>d585081e-d3ca-4188-8e00-e59e2d0f1729</errorID>
      <errorWord>粘土砖</errorWord>
      <group>L1_Word</group>
      <groupName>字词问题</groupName>
      <ability>L2_Alias</ability>
      <abilityName>也作/曾用词</abilityName>
      <candidateList>
        <item>黏土砖</item>
      </candidateList>
      <explain>词汇[粘土砖]为不规范表述或旧称，其规范书面表述为[黏土砖]。</explain>
      <paraID>7EDEE254</paraID>
      <start>203</start>
      <end>206</end>
      <status>unmodified</status>
      <modifiedWord/>
      <trackRevisions>false</trackRevisions>
    </reviewItem>
    <reviewItem>
      <errorID>2461255e-a14f-4f37-801f-7be8b04410f1</errorID>
      <errorWord>)</errorWord>
      <group>L1_Format</group>
      <groupName>格式问题</groupName>
      <ability>L2_HalfPunc</ability>
      <abilityName>全半角检查</abilityName>
      <candidateList>
        <item>）</item>
      </candidateList>
      <explain>文本全半角错误。</explain>
      <paraID>7EDEE254</paraID>
      <start>208</start>
      <end>209</end>
      <status>unmodified</status>
      <modifiedWord/>
      <trackRevisions>false</trackRevisions>
    </reviewItem>
    <reviewItem>
      <errorID>794d0b7f-ea61-4634-8e7e-4fefeca156a7</errorID>
      <errorWord>(</errorWord>
      <group>L1_Format</group>
      <groupName>格式问题</groupName>
      <ability>L2_HalfPunc</ability>
      <abilityName>全半角检查</abilityName>
      <candidateList>
        <item>（</item>
      </candidateList>
      <explain>文本全半角错误。</explain>
      <paraID>7EDEE254</paraID>
      <start>216</start>
      <end>217</end>
      <status>unmodified</status>
      <modifiedWord/>
      <trackRevisions>false</trackRevisions>
    </reviewItem>
    <reviewItem>
      <errorID>51a019fd-98d8-4858-9f86-0c457169c618</errorID>
      <errorWord>)</errorWord>
      <group>L1_Format</group>
      <groupName>格式问题</groupName>
      <ability>L2_HalfPunc</ability>
      <abilityName>全半角检查</abilityName>
      <candidateList>
        <item>）</item>
      </candidateList>
      <explain>文本全半角错误。</explain>
      <paraID>7EDEE254</paraID>
      <start>226</start>
      <end>227</end>
      <status>unmodified</status>
      <modifiedWord/>
      <trackRevisions>false</trackRevisions>
    </reviewItem>
    <reviewItem>
      <errorID>55e8a102-b698-40e6-a881-def58476a01e</errorID>
      <errorWord>泄露</errorWord>
      <group>L1_Word</group>
      <groupName>字词问题</groupName>
      <ability>L2_Typo</ability>
      <abilityName>字词错误</abilityName>
      <candidateList>
        <item>泄漏</item>
      </candidateList>
      <explain/>
      <paraID> 6CAFD9D</paraID>
      <start>29</start>
      <end>31</end>
      <status>unmodified</status>
      <modifiedWord/>
      <trackRevisions>false</trackRevisions>
    </reviewItem>
    <reviewItem>
      <errorID>d942eb36-a29c-449f-adf0-ecdf9a4831d8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168C5159</paraID>
      <start>0</start>
      <end>2</end>
      <status>unmodified</status>
      <modifiedWord/>
      <trackRevisions>false</trackRevisions>
    </reviewItem>
    <reviewItem>
      <errorID>5fcb1186-3372-468c-95f7-35aa51de0db6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433BC438</paraID>
      <start>0</start>
      <end>2</end>
      <status>unmodified</status>
      <modifiedWord/>
      <trackRevisions>false</trackRevisions>
    </reviewItem>
    <reviewItem>
      <errorID>c8fc539d-eb02-4753-9ae9-19ca7b824c1b</errorID>
      <errorWord>，</errorWord>
      <group>L1_Word</group>
      <groupName>字词问题</groupName>
      <ability>L2_Typo</ability>
      <abilityName>字词错误</abilityName>
      <candidateList>
        <item>，以</item>
      </candidateList>
      <explain/>
      <paraID>6245DB83</paraID>
      <start>41</start>
      <end>42</end>
      <status>unmodified</status>
      <modifiedWord/>
      <trackRevisions>false</trackRevisions>
    </reviewItem>
    <reviewItem>
      <errorID>6b20e747-7804-4c98-bac9-863c050d1a9d</errorID>
      <errorWord>各</errorWord>
      <group>L1_Word</group>
      <groupName>字词问题</groupName>
      <ability>L2_Typo</ability>
      <abilityName>字词错误</abilityName>
      <candidateList>
        <item>各项</item>
      </candidateList>
      <explain/>
      <paraID>3E624ECE</paraID>
      <start>1</start>
      <end>2</end>
      <status>unmodified</status>
      <modifiedWord/>
      <trackRevisions>false</trackRevisions>
    </reviewItem>
    <reviewItem>
      <errorID>837a9175-70e8-4810-a4b5-253875394011</errorID>
      <errorWord>减震</errorWord>
      <group>L1_Word</group>
      <groupName>字词问题</groupName>
      <ability>L2_Typo</ability>
      <abilityName>字词错误</abilityName>
      <candidateList>
        <item>减振</item>
      </candidateList>
      <explain>存在发音相同字词的误用。</explain>
      <paraID>4F784B71</paraID>
      <start>8</start>
      <end>10</end>
      <status>unmodified</status>
      <modifiedWord/>
      <trackRevisions>false</trackRevisions>
    </reviewItem>
    <reviewItem>
      <errorID>dfe370e5-5405-4739-8410-69778b6e7058</errorID>
      <errorWord>(</errorWord>
      <group>L1_Format</group>
      <groupName>格式问题</groupName>
      <ability>L2_HalfPunc</ability>
      <abilityName>全半角检查</abilityName>
      <candidateList>
        <item>（</item>
      </candidateList>
      <explain>文本全半角错误。</explain>
      <paraID>5A25025E</paraID>
      <start>3</start>
      <end>4</end>
      <status>unmodified</status>
      <modifiedWord/>
      <trackRevisions>false</trackRevisions>
    </reviewItem>
    <reviewItem>
      <errorID>c7c975c3-739f-4cbc-95c3-801768fadaae</errorID>
      <errorWord>)</errorWord>
      <group>L1_Format</group>
      <groupName>格式问题</groupName>
      <ability>L2_HalfPunc</ability>
      <abilityName>全半角检查</abilityName>
      <candidateList>
        <item>）</item>
      </candidateList>
      <explain>文本全半角错误。</explain>
      <paraID>104A473C</paraID>
      <start>2</start>
      <end>3</end>
      <status>unmodified</status>
      <modifiedWord/>
      <trackRevisions>false</trackRevisions>
    </reviewItem>
    <reviewItem>
      <errorID>b7c4358f-4aae-4a59-8fc8-36a7ab16864e</errorID>
      <errorWord>(</errorWord>
      <group>L1_Format</group>
      <groupName>格式问题</groupName>
      <ability>L2_HalfPunc</ability>
      <abilityName>全半角检查</abilityName>
      <candidateList>
        <item>（</item>
      </candidateList>
      <explain>文本全半角错误。</explain>
      <paraID>666E69BB</paraID>
      <start>23</start>
      <end>24</end>
      <status>unmodified</status>
      <modifiedWord/>
      <trackRevisions>false</trackRevisions>
    </reviewItem>
    <reviewItem>
      <errorID>9ec8c5b0-9162-40cc-9db6-d85275604c4d</errorID>
      <errorWord>)</errorWord>
      <group>L1_Format</group>
      <groupName>格式问题</groupName>
      <ability>L2_HalfPunc</ability>
      <abilityName>全半角检查</abilityName>
      <candidateList>
        <item>）</item>
      </candidateList>
      <explain>文本全半角错误。</explain>
      <paraID>666E69BB</paraID>
      <start>36</start>
      <end>37</end>
      <status>unmodified</status>
      <modifiedWord/>
      <trackRevisions>false</trackRevisions>
    </reviewItem>
    <reviewItem>
      <errorID>8ed1da48-8ebe-4d90-8cf9-8d5c5885c2c4</errorID>
      <errorWord>(</errorWord>
      <group>L1_Format</group>
      <groupName>格式问题</groupName>
      <ability>L2_HalfPunc</ability>
      <abilityName>全半角检查</abilityName>
      <candidateList>
        <item>（</item>
      </candidateList>
      <explain>文本全半角错误。</explain>
      <paraID>2457FCC2</paraID>
      <start>34</start>
      <end>35</end>
      <status>unmodified</status>
      <modifiedWord/>
      <trackRevisions>false</trackRevisions>
    </reviewItem>
    <reviewItem>
      <errorID>d558394c-8262-44a4-8fb1-dcccc7457638</errorID>
      <errorWord>)</errorWord>
      <group>L1_Format</group>
      <groupName>格式问题</groupName>
      <ability>L2_HalfPunc</ability>
      <abilityName>全半角检查</abilityName>
      <candidateList>
        <item>）</item>
      </candidateList>
      <explain>文本全半角错误。</explain>
      <paraID>2457FCC2</paraID>
      <start>51</start>
      <end>52</end>
      <status>unmodified</status>
      <modifiedWord/>
      <trackRevisions>false</trackRevisions>
    </reviewItem>
    <reviewItem>
      <errorID>0d810bc1-367b-4cfb-8793-b8b2be3c9706</errorID>
      <errorWord>(</errorWord>
      <group>L1_Format</group>
      <groupName>格式问题</groupName>
      <ability>L2_HalfPunc</ability>
      <abilityName>全半角检查</abilityName>
      <candidateList>
        <item>（</item>
      </candidateList>
      <explain>文本全半角错误。</explain>
      <paraID>2817D296</paraID>
      <start>25</start>
      <end>26</end>
      <status>unmodified</status>
      <modifiedWord/>
      <trackRevisions>false</trackRevisions>
    </reviewItem>
    <reviewItem>
      <errorID>99885a2b-58ed-46e6-ba1c-599f80c0c155</errorID>
      <errorWord>)</errorWord>
      <group>L1_Format</group>
      <groupName>格式问题</groupName>
      <ability>L2_HalfPunc</ability>
      <abilityName>全半角检查</abilityName>
      <candidateList>
        <item>）</item>
      </candidateList>
      <explain>文本全半角错误。</explain>
      <paraID>2817D296</paraID>
      <start>28</start>
      <end>29</end>
      <status>unmodified</status>
      <modifiedWord/>
      <trackRevisions>false</trackRevisions>
    </reviewItem>
    <reviewItem>
      <errorID>369418a5-6897-4bad-a553-94df7622e8eb</errorID>
      <errorWord>[2017]4号</errorWord>
      <group>L1_Knowledge</group>
      <groupName>知识性问题</groupName>
      <ability>L2_Knowledge</ability>
      <abilityName>其他知识</abilityName>
      <candidateList>
        <item>〔2017〕4号</item>
      </candidateList>
      <explain>发文字号格式错误。</explain>
      <paraID>4CA83279</paraID>
      <start>28</start>
      <end>36</end>
      <status>unmodified</status>
      <modifiedWord/>
      <trackRevisions>false</trackRevisions>
    </reviewItem>
    <reviewItem>
      <errorID>4c65491e-c243-4dd7-96d5-6cc1db9dc04a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740A0B57</paraID>
      <start>56</start>
      <end>59</end>
      <status>unmodified</status>
      <modifiedWord/>
      <trackRevisions>false</trackRevisions>
    </reviewItem>
    <reviewItem>
      <errorID>af4d6198-945b-42d5-a70f-5fee865a1a41</errorID>
      <errorWord>建设项目环境管理条例</errorWord>
      <group>L1_Knowledge</group>
      <groupName>知识性问题</groupName>
      <ability>L2_Knowledge</ability>
      <abilityName>其他知识</abilityName>
      <candidateList>
        <item>建设项目环境保护管理条例</item>
      </candidateList>
      <explain>当前法律法规未收录或尚未生效，注意核查是否正确。</explain>
      <paraID>740A0B57</paraID>
      <start>59</start>
      <end>69</end>
      <status>unmodified</status>
      <modifiedWord/>
      <trackRevisions>false</trackRevisions>
    </reviewItem>
    <reviewItem>
      <errorID>a534e2ca-6a72-4c4b-aeda-92a784bef679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740A0B57</paraID>
      <start>87</start>
      <end>90</end>
      <status>unmodified</status>
      <modifiedWord/>
      <trackRevisions>false</trackRevisions>
    </reviewItem>
    <reviewItem>
      <errorID>56940f30-b976-4c3f-ad9a-d5a05f53ebdb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740A0B57</paraID>
      <start>104</start>
      <end>107</end>
      <status>unmodified</status>
      <modifiedWord/>
      <trackRevisions>false</trackRevisions>
    </reviewItem>
    <reviewItem>
      <errorID>29158cd6-e536-4fa1-9877-ae2296341b96</errorID>
      <errorWord>[2012]77号</errorWord>
      <group>L1_Knowledge</group>
      <groupName>知识性问题</groupName>
      <ability>L2_Knowledge</ability>
      <abilityName>其他知识</abilityName>
      <candidateList>
        <item>〔2012〕77号</item>
      </candidateList>
      <explain>发文字号格式错误。</explain>
      <paraID>740A0B57</paraID>
      <start>135</start>
      <end>144</end>
      <status>unmodified</status>
      <modifiedWord/>
      <trackRevisions>false</trackRevisions>
    </reviewItem>
    <reviewItem>
      <errorID>1dc0b1d2-501b-41ff-8e29-c04e79dc1697</errorID>
      <errorWord>》（试行）</errorWord>
      <group>L1_Word</group>
      <groupName>字词问题</groupName>
      <ability>L2_Typo</ability>
      <abilityName>字词错误</abilityName>
      <candidateList>
        <item>（试行）》</item>
      </candidateList>
      <explain/>
      <paraID>740A0B57</paraID>
      <start>171</start>
      <end>176</end>
      <status>unmodified</status>
      <modifiedWord/>
      <trackRevisions>false</trackRevisions>
    </reviewItem>
    <reviewItem>
      <errorID>e4326dd0-6e51-4f0d-ac81-80502ac04d29</errorID>
      <errorWord>法律、法规</errorWord>
      <group>L1_Word</group>
      <groupName>字词问题</groupName>
      <ability>L2_Typo</ability>
      <abilityName>字词错误</abilityName>
      <candidateList>
        <item>法律法规</item>
      </candidateList>
      <explain/>
      <paraID> 8135910</paraID>
      <start>9</start>
      <end>14</end>
      <status>unmodified</status>
      <modifiedWord/>
      <trackRevisions>false</trackRevisions>
    </reviewItem>
    <reviewItem>
      <errorID>f990e64e-b27d-4113-9120-03bcf305613b</errorID>
      <errorWord>[2013]101号</errorWord>
      <group>L1_Knowledge</group>
      <groupName>知识性问题</groupName>
      <ability>L2_Knowledge</ability>
      <abilityName>其他知识</abilityName>
      <candidateList>
        <item>〔2013〕101号</item>
      </candidateList>
      <explain>发文字号格式错误。</explain>
      <paraID>23ABC9F4</paraID>
      <start>18</start>
      <end>28</end>
      <status>unmodified</status>
      <modifiedWord/>
      <trackRevisions>false</trackRevisions>
    </reviewItem>
    <reviewItem>
      <errorID>e2dcd37b-09d5-45b5-a77d-9b0ca7c49fa1</errorID>
      <errorWord>(</errorWord>
      <group>L1_Format</group>
      <groupName>格式问题</groupName>
      <ability>L2_HalfPunc</ability>
      <abilityName>全半角检查</abilityName>
      <candidateList>
        <item>（</item>
      </candidateList>
      <explain>文本全半角错误。</explain>
      <paraID> 628A97D</paraID>
      <start>16</start>
      <end>17</end>
      <status>unmodified</status>
      <modifiedWord/>
      <trackRevisions>false</trackRevisions>
    </reviewItem>
    <reviewItem>
      <errorID>3d5eaec1-a407-4055-8f11-1db941d3fc21</errorID>
      <errorWord>)</errorWord>
      <group>L1_Format</group>
      <groupName>格式问题</groupName>
      <ability>L2_HalfPunc</ability>
      <abilityName>全半角检查</abilityName>
      <candidateList>
        <item>）</item>
      </candidateList>
      <explain>文本全半角错误。</explain>
      <paraID> 628A97D</paraID>
      <start>27</start>
      <end>28</end>
      <status>unmodified</status>
      <modifiedWord/>
      <trackRevisions>false</trackRevisions>
    </reviewItem>
    <reviewItem>
      <errorID>432287df-ed19-47c2-9d9e-fa8d2effcd78</errorID>
      <errorWord>&lt;</errorWord>
      <group>L1_Format</group>
      <groupName>格式问题</groupName>
      <ability>L2_HalfPunc</ability>
      <abilityName>全半角检查</abilityName>
      <candidateList>
        <item>〈</item>
      </candidateList>
      <explain>文本全半角错误。</explain>
      <paraID>4BD7FB53</paraID>
      <start>5</start>
      <end>6</end>
      <status>unmodified</status>
      <modifiedWord/>
      <trackRevisions>false</trackRevisions>
    </reviewItem>
    <reviewItem>
      <errorID>fcfc73f9-71ad-4ae7-a28f-660a92f156c4</errorID>
      <errorWord>&gt;</errorWord>
      <group>L1_Format</group>
      <groupName>格式问题</groupName>
      <ability>L2_HalfPunc</ability>
      <abilityName>全半角检查</abilityName>
      <candidateList>
        <item>〉</item>
      </candidateList>
      <explain>文本全半角错误。</explain>
      <paraID>4BD7FB53</paraID>
      <start>20</start>
      <end>21</end>
      <status>unmodified</status>
      <modifiedWord/>
      <trackRevisions>false</trackRevisions>
    </reviewItem>
    <reviewItem>
      <errorID>e4d4333f-cd52-429e-85d9-48fcd47ad33d</errorID>
      <errorWord>&lt;</errorWord>
      <group>L1_Format</group>
      <groupName>格式问题</groupName>
      <ability>L2_HalfPunc</ability>
      <abilityName>全半角检查</abilityName>
      <candidateList>
        <item>〈</item>
      </candidateList>
      <explain>文本全半角错误。</explain>
      <paraID>5F81D415</paraID>
      <start>5</start>
      <end>6</end>
      <status>unmodified</status>
      <modifiedWord/>
      <trackRevisions>false</trackRevisions>
    </reviewItem>
    <reviewItem>
      <errorID>5afb4823-a743-445f-90b8-0b21479a580e</errorID>
      <errorWord>&gt;</errorWord>
      <group>L1_Format</group>
      <groupName>格式问题</groupName>
      <ability>L2_HalfPunc</ability>
      <abilityName>全半角检查</abilityName>
      <candidateList>
        <item>〉</item>
      </candidateList>
      <explain>文本全半角错误。</explain>
      <paraID>5F81D415</paraID>
      <start>20</start>
      <end>21</end>
      <status>unmodified</status>
      <modifiedWord/>
      <trackRevisions>false</trackRevisions>
    </reviewItem>
    <reviewItem>
      <errorID>6c22c286-fb89-4714-a831-578e5e9db806</errorID>
      <errorWord>&lt;</errorWord>
      <group>L1_Format</group>
      <groupName>格式问题</groupName>
      <ability>L2_HalfPunc</ability>
      <abilityName>全半角检查</abilityName>
      <candidateList>
        <item>〈</item>
      </candidateList>
      <explain>文本全半角错误。</explain>
      <paraID>5D195439</paraID>
      <start>4</start>
      <end>5</end>
      <status>unmodified</status>
      <modifiedWord/>
      <trackRevisions>false</trackRevisions>
    </reviewItem>
    <reviewItem>
      <errorID>d195e875-4503-4510-b1b2-3eeda01f1b31</errorID>
      <errorWord>&gt;</errorWord>
      <group>L1_Format</group>
      <groupName>格式问题</groupName>
      <ability>L2_HalfPunc</ability>
      <abilityName>全半角检查</abilityName>
      <candidateList>
        <item>〉</item>
      </candidateList>
      <explain>文本全半角错误。</explain>
      <paraID>5D195439</paraID>
      <start>23</start>
      <end>24</end>
      <status>unmodified</status>
      <modifiedWord/>
      <trackRevisions>false</trackRevisions>
    </reviewItem>
    <reviewItem>
      <errorID>46820569-7f1a-45a8-8fd2-421a350df56b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5D195439</paraID>
      <start>27</start>
      <end>28</end>
      <status>unmodified</status>
      <modifiedWord/>
      <trackRevisions>false</trackRevisions>
    </reviewItem>
    <reviewItem>
      <errorID>13219b12-1142-4029-87b9-aa7d9553afe4</errorID>
      <errorWord>[2012]77号</errorWord>
      <group>L1_Knowledge</group>
      <groupName>知识性问题</groupName>
      <ability>L2_Knowledge</ability>
      <abilityName>其他知识</abilityName>
      <candidateList>
        <item>〔2012〕77号</item>
      </candidateList>
      <explain>发文字号格式错误。</explain>
      <paraID>3ACEFA88</paraID>
      <start>29</start>
      <end>38</end>
      <status>unmodified</status>
      <modifiedWord/>
      <trackRevisions>false</trackRevisions>
    </reviewItem>
    <reviewItem>
      <errorID>8603544c-ce31-4222-87e2-2524ef3f00d4</errorID>
      <errorWord>[2012]98号</errorWord>
      <group>L1_Knowledge</group>
      <groupName>知识性问题</groupName>
      <ability>L2_Knowledge</ability>
      <abilityName>其他知识</abilityName>
      <candidateList>
        <item>〔2012〕98号</item>
      </candidateList>
      <explain>发文字号格式错误。</explain>
      <paraID>239B4C60</paraID>
      <start>28</start>
      <end>37</end>
      <status>unmodified</status>
      <modifiedWord/>
      <trackRevisions>false</trackRevisions>
    </reviewItem>
    <reviewItem>
      <errorID>becc00d5-5cb3-47be-b5fe-bc3b164b8e8c</errorID>
      <errorWord>[2016]</errorWord>
      <group>L1_Punc</group>
      <groupName>标点问题</groupName>
      <ability>L2_Punc</ability>
      <abilityName>标点符号检查</abilityName>
      <candidateList>
        <item>〔2016〕</item>
      </candidateList>
      <explain/>
      <paraID>2DBC30E5</paraID>
      <start>33</start>
      <end>39</end>
      <status>unmodified</status>
      <modifiedWord/>
      <trackRevisions>false</trackRevisions>
    </reviewItem>
    <reviewItem>
      <errorID>40bedbc1-6582-4522-be3e-1376f3af6446</errorID>
      <errorWord>法律、法规</errorWord>
      <group>L1_Word</group>
      <groupName>字词问题</groupName>
      <ability>L2_Typo</ability>
      <abilityName>字词错误</abilityName>
      <candidateList>
        <item>法律法规</item>
      </candidateList>
      <explain/>
      <paraID>46860582</paraID>
      <start>9</start>
      <end>14</end>
      <status>unmodified</status>
      <modifiedWord/>
      <trackRevisions>false</trackRevisions>
    </reviewItem>
    <reviewItem>
      <errorID>31439f91-a91f-4db8-b741-62ae32e67508</errorID>
      <errorWord>（</errorWord>
      <group>L1_Punc</group>
      <groupName>标点问题</groupName>
      <ability>L2_Punc</ability>
      <abilityName>标点符号检查</abilityName>
      <candidateList/>
      <explain>同一形式括号套用。</explain>
      <paraID> 32B41B8</paraID>
      <start>34</start>
      <end>35</end>
      <status>unmodified</status>
      <modifiedWord/>
      <trackRevisions>false</trackRevisions>
    </reviewItem>
    <reviewItem>
      <errorID>3de771bf-e7a3-4e47-af88-680bff98cd80</errorID>
      <errorWord>）</errorWord>
      <group>L1_Punc</group>
      <groupName>标点问题</groupName>
      <ability>L2_Punc</ability>
      <abilityName>标点符号检查</abilityName>
      <candidateList/>
      <explain>同一形式括号套用。</explain>
      <paraID> 32B41B8</paraID>
      <start>37</start>
      <end>38</end>
      <status>unmodified</status>
      <modifiedWord/>
      <trackRevisions>false</trackRevisions>
    </reviewItem>
    <reviewItem>
      <errorID>df762122-a7a9-411e-9902-89de46e724e8</errorID>
      <errorWord>公厅</errorWord>
      <group>L1_Knowledge</group>
      <groupName>知识性问题</groupName>
      <ability>L2_Knowledge</ability>
      <abilityName>其他知识</abilityName>
      <candidateList>
        <item>公安厅</item>
      </candidateList>
      <explain/>
      <paraID> 32B41B8</paraID>
      <start>38</start>
      <end>40</end>
      <status>unmodified</status>
      <modifiedWord/>
      <trackRevisions>false</trackRevisions>
    </reviewItem>
    <reviewItem>
      <errorID>941c89a1-4cf2-477a-876d-5cc9c7446f46</errorID>
      <errorWord>[2020]24号</errorWord>
      <group>L1_Knowledge</group>
      <groupName>知识性问题</groupName>
      <ability>L2_Knowledge</ability>
      <abilityName>其他知识</abilityName>
      <candidateList>
        <item>〔2020〕24号</item>
      </candidateList>
      <explain>发文字号格式错误。</explain>
      <paraID> 32B41B8</paraID>
      <start>43</start>
      <end>52</end>
      <status>unmodified</status>
      <modifiedWord/>
      <trackRevisions>false</trackRevisions>
    </reviewItem>
    <reviewItem>
      <errorID>52b4f500-8cfa-4b1d-8a31-ebfbe1faf699</errorID>
      <errorWord>&lt;</errorWord>
      <group>L1_Format</group>
      <groupName>格式问题</groupName>
      <ability>L2_HalfPunc</ability>
      <abilityName>全半角检查</abilityName>
      <candidateList>
        <item>〈</item>
      </candidateList>
      <explain>文本全半角错误。</explain>
      <paraID>180C60EC</paraID>
      <start>13</start>
      <end>14</end>
      <status>unmodified</status>
      <modifiedWord/>
      <trackRevisions>false</trackRevisions>
    </reviewItem>
    <reviewItem>
      <errorID>dd688fb1-b9ba-405f-a001-bfaaebdd12cc</errorID>
      <errorWord>&gt;的通知》</errorWord>
      <group>L1_Punc</group>
      <groupName>标点问题</groupName>
      <ability>L2_Punc</ability>
      <abilityName>标点符号检查</abilityName>
      <candidateList>
        <item>〉的通知》</item>
      </candidateList>
      <explain/>
      <paraID>180C60EC</paraID>
      <start>38</start>
      <end>43</end>
      <status>unmodified</status>
      <modifiedWord/>
      <trackRevisions>false</trackRevisions>
    </reviewItem>
    <reviewItem>
      <errorID>edf65ed6-6aa7-4814-ab47-97df2d06e53b</errorID>
      <errorWord>[2012]139号</errorWord>
      <group>L1_Knowledge</group>
      <groupName>知识性问题</groupName>
      <ability>L2_Knowledge</ability>
      <abilityName>其他知识</abilityName>
      <candidateList>
        <item>〔2012〕139号</item>
      </candidateList>
      <explain>发文字号格式错误。</explain>
      <paraID> 89163C8</paraID>
      <start>41</start>
      <end>51</end>
      <status>unmodified</status>
      <modifiedWord/>
      <trackRevisions>false</trackRevisions>
    </reviewItem>
    <reviewItem>
      <errorID>304d4b35-ec76-42f9-a4f1-4d7181c14a6c</errorID>
      <errorWord>(</errorWord>
      <group>L1_Format</group>
      <groupName>格式问题</groupName>
      <ability>L2_HalfPunc</ability>
      <abilityName>全半角检查</abilityName>
      <candidateList>
        <item>（</item>
      </candidateList>
      <explain>文本全半角错误。</explain>
      <paraID>3E396222</paraID>
      <start>9</start>
      <end>10</end>
      <status>unmodified</status>
      <modifiedWord/>
      <trackRevisions>false</trackRevisions>
    </reviewItem>
    <reviewItem>
      <errorID>065529cf-1d61-47e0-ab25-04203136d3eb</errorID>
      <errorWord>)</errorWord>
      <group>L1_Format</group>
      <groupName>格式问题</groupName>
      <ability>L2_HalfPunc</ability>
      <abilityName>全半角检查</abilityName>
      <candidateList>
        <item>）</item>
      </candidateList>
      <explain>文本全半角错误。</explain>
      <paraID>3E396222</paraID>
      <start>22</start>
      <end>23</end>
      <status>unmodified</status>
      <modifiedWord/>
      <trackRevisions>false</trackRevisions>
    </reviewItem>
    <reviewItem>
      <errorID>353f67bf-567f-4061-876c-c925c58815a5</errorID>
      <errorWord>(</errorWord>
      <group>L1_Format</group>
      <groupName>格式问题</groupName>
      <ability>L2_HalfPunc</ability>
      <abilityName>全半角检查</abilityName>
      <candidateList>
        <item>（</item>
      </candidateList>
      <explain>文本全半角错误。</explain>
      <paraID>49588B37</paraID>
      <start>13</start>
      <end>14</end>
      <status>unmodified</status>
      <modifiedWord/>
      <trackRevisions>false</trackRevisions>
    </reviewItem>
    <reviewItem>
      <errorID>05624f20-a7cb-4cad-a682-79982700464a</errorID>
      <errorWord>)</errorWord>
      <group>L1_Format</group>
      <groupName>格式问题</groupName>
      <ability>L2_HalfPunc</ability>
      <abilityName>全半角检查</abilityName>
      <candidateList>
        <item>）</item>
      </candidateList>
      <explain>文本全半角错误。</explain>
      <paraID>49588B37</paraID>
      <start>26</start>
      <end>27</end>
      <status>unmodified</status>
      <modifiedWord/>
      <trackRevisions>false</trackRevisions>
    </reviewItem>
    <reviewItem>
      <errorID>68468561-1665-40d0-b4a4-5c965aae3b23</errorID>
      <errorWord>(</errorWord>
      <group>L1_Format</group>
      <groupName>格式问题</groupName>
      <ability>L2_HalfPunc</ability>
      <abilityName>全半角检查</abilityName>
      <candidateList>
        <item>（</item>
      </candidateList>
      <explain>文本全半角错误。</explain>
      <paraID>51773724</paraID>
      <start>10</start>
      <end>11</end>
      <status>unmodified</status>
      <modifiedWord/>
      <trackRevisions>false</trackRevisions>
    </reviewItem>
    <reviewItem>
      <errorID>317ae159-2d34-4f87-a2e3-0a59bb606662</errorID>
      <errorWord>)</errorWord>
      <group>L1_Format</group>
      <groupName>格式问题</groupName>
      <ability>L2_HalfPunc</ability>
      <abilityName>全半角检查</abilityName>
      <candidateList>
        <item>）</item>
      </candidateList>
      <explain>文本全半角错误。</explain>
      <paraID>51773724</paraID>
      <start>23</start>
      <end>24</end>
      <status>unmodified</status>
      <modifiedWord/>
      <trackRevisions>false</trackRevisions>
    </reviewItem>
    <reviewItem>
      <errorID>d9218811-0370-4e53-b68e-e2c652199007</errorID>
      <errorWord>(</errorWord>
      <group>L1_Format</group>
      <groupName>格式问题</groupName>
      <ability>L2_HalfPunc</ability>
      <abilityName>全半角检查</abilityName>
      <candidateList>
        <item>（</item>
      </candidateList>
      <explain>文本全半角错误。</explain>
      <paraID>5EC1B922</paraID>
      <start>17</start>
      <end>18</end>
      <status>unmodified</status>
      <modifiedWord/>
      <trackRevisions>false</trackRevisions>
    </reviewItem>
    <reviewItem>
      <errorID>5f86557c-5069-4a8f-8c96-676f5b744c8c</errorID>
      <errorWord>)</errorWord>
      <group>L1_Format</group>
      <groupName>格式问题</groupName>
      <ability>L2_HalfPunc</ability>
      <abilityName>全半角检查</abilityName>
      <candidateList>
        <item>）</item>
      </candidateList>
      <explain>文本全半角错误。</explain>
      <paraID>5EC1B922</paraID>
      <start>28</start>
      <end>29</end>
      <status>unmodified</status>
      <modifiedWord/>
      <trackRevisions>false</trackRevisions>
    </reviewItem>
    <reviewItem>
      <errorID>6609e752-ac3d-415b-a0d0-2c53d02d02a0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63C1D7B5</paraID>
      <start>0</start>
      <end>2</end>
      <status>unmodified</status>
      <modifiedWord/>
      <trackRevisions>false</trackRevisions>
    </reviewItem>
    <reviewItem>
      <errorID>c7d0c624-8401-4c99-a037-765261f6b9c9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580009E8</paraID>
      <start>0</start>
      <end>2</end>
      <status>unmodified</status>
      <modifiedWord/>
      <trackRevisions>false</trackRevisions>
    </reviewItem>
    <reviewItem>
      <errorID>67a8c780-8fdd-4925-ab15-282cb689b368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61A1BA72</paraID>
      <start>0</start>
      <end>2</end>
      <status>unmodified</status>
      <modifiedWord/>
      <trackRevisions>false</trackRevisions>
    </reviewItem>
    <reviewItem>
      <errorID>db42468a-01d4-45c0-aef5-dab417cef8e7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880D24A</paraID>
      <start>0</start>
      <end>2</end>
      <status>unmodified</status>
      <modifiedWord/>
      <trackRevisions>false</trackRevisions>
    </reviewItem>
    <reviewItem>
      <errorID>819b1ff0-9adf-49d6-b8a5-aafaae3dd53f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60EB8B1C</paraID>
      <start>0</start>
      <end>2</end>
      <status>unmodified</status>
      <modifiedWord/>
      <trackRevisions>false</trackRevisions>
    </reviewItem>
    <reviewItem>
      <errorID>db76a64d-f53f-4b8a-b68f-9cf6c9afad0d</errorID>
      <errorWord>(</errorWord>
      <group>L1_Format</group>
      <groupName>格式问题</groupName>
      <ability>L2_HalfPunc</ability>
      <abilityName>全半角检查</abilityName>
      <candidateList>
        <item>（</item>
      </candidateList>
      <explain>文本全半角错误。</explain>
      <paraID>60EB8B1C</paraID>
      <start>118</start>
      <end>119</end>
      <status>unmodified</status>
      <modifiedWord/>
      <trackRevisions>false</trackRevisions>
    </reviewItem>
    <reviewItem>
      <errorID>7270dfde-3098-44f6-9d1f-170bee4b0579</errorID>
      <errorWord>)</errorWord>
      <group>L1_Format</group>
      <groupName>格式问题</groupName>
      <ability>L2_HalfPunc</ability>
      <abilityName>全半角检查</abilityName>
      <candidateList>
        <item>）</item>
      </candidateList>
      <explain>文本全半角错误。</explain>
      <paraID>60EB8B1C</paraID>
      <start>121</start>
      <end>122</end>
      <status>unmodified</status>
      <modifiedWord/>
      <trackRevisions>false</trackRevisions>
    </reviewItem>
    <reviewItem>
      <errorID>2c040b30-ff16-4aa7-afbd-fb13c2cda4ef</errorID>
      <errorWord>(</errorWord>
      <group>L1_Format</group>
      <groupName>格式问题</groupName>
      <ability>L2_HalfPunc</ability>
      <abilityName>全半角检查</abilityName>
      <candidateList>
        <item>（</item>
      </candidateList>
      <explain>文本全半角错误。</explain>
      <paraID>60EB8B1C</paraID>
      <start>152</start>
      <end>153</end>
      <status>unmodified</status>
      <modifiedWord/>
      <trackRevisions>false</trackRevisions>
    </reviewItem>
    <reviewItem>
      <errorID>b028b0c8-7449-49ad-bee9-1c23cc128d65</errorID>
      <errorWord>)</errorWord>
      <group>L1_Format</group>
      <groupName>格式问题</groupName>
      <ability>L2_HalfPunc</ability>
      <abilityName>全半角检查</abilityName>
      <candidateList>
        <item>）</item>
      </candidateList>
      <explain>文本全半角错误。</explain>
      <paraID>60EB8B1C</paraID>
      <start>173</start>
      <end>174</end>
      <status>unmodified</status>
      <modifiedWord/>
      <trackRevisions>false</trackRevisions>
    </reviewItem>
    <reviewItem>
      <errorID>2a692ff1-4978-4d85-8392-79c40af9282e</errorID>
      <errorWord>(</errorWord>
      <group>L1_Format</group>
      <groupName>格式问题</groupName>
      <ability>L2_HalfPunc</ability>
      <abilityName>全半角检查</abilityName>
      <candidateList>
        <item>（</item>
      </candidateList>
      <explain>文本全半角错误。</explain>
      <paraID>60EB8B1C</paraID>
      <start>198</start>
      <end>199</end>
      <status>unmodified</status>
      <modifiedWord/>
      <trackRevisions>false</trackRevisions>
    </reviewItem>
    <reviewItem>
      <errorID>24015daf-1deb-4a73-acf5-0b84c9834b8f</errorID>
      <errorWord>)</errorWord>
      <group>L1_Format</group>
      <groupName>格式问题</groupName>
      <ability>L2_HalfPunc</ability>
      <abilityName>全半角检查</abilityName>
      <candidateList>
        <item>）</item>
      </candidateList>
      <explain>文本全半角错误。</explain>
      <paraID>60EB8B1C</paraID>
      <start>218</start>
      <end>219</end>
      <status>unmodified</status>
      <modifiedWord/>
      <trackRevisions>false</trackRevisions>
    </reviewItem>
    <reviewItem>
      <errorID>b08d638f-698d-438b-90b9-736cfb3f2f15</errorID>
      <errorWord>(</errorWord>
      <group>L1_Format</group>
      <groupName>格式问题</groupName>
      <ability>L2_HalfPunc</ability>
      <abilityName>全半角检查</abilityName>
      <candidateList>
        <item>（</item>
      </candidateList>
      <explain>文本全半角错误。</explain>
      <paraID>60EB8B1C</paraID>
      <start>243</start>
      <end>244</end>
      <status>unmodified</status>
      <modifiedWord/>
      <trackRevisions>false</trackRevisions>
    </reviewItem>
    <reviewItem>
      <errorID>1e470e31-962a-4a18-8eb6-7624c87f33c2</errorID>
      <errorWord>)</errorWord>
      <group>L1_Format</group>
      <groupName>格式问题</groupName>
      <ability>L2_HalfPunc</ability>
      <abilityName>全半角检查</abilityName>
      <candidateList>
        <item>）</item>
      </candidateList>
      <explain>文本全半角错误。</explain>
      <paraID>60EB8B1C</paraID>
      <start>251</start>
      <end>252</end>
      <status>unmodified</status>
      <modifiedWord/>
      <trackRevisions>false</trackRevisions>
    </reviewItem>
    <reviewItem>
      <errorID>facf00ad-0a13-4924-b42f-7cd60b43faa3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306A9276</paraID>
      <start>0</start>
      <end>2</end>
      <status>unmodified</status>
      <modifiedWord/>
      <trackRevisions>false</trackRevisions>
    </reviewItem>
    <reviewItem>
      <errorID>9ae11610-c3f9-4d52-ba07-09b11914e1ca</errorID>
      <errorWord>(</errorWord>
      <group>L1_Format</group>
      <groupName>格式问题</groupName>
      <ability>L2_HalfPunc</ability>
      <abilityName>全半角检查</abilityName>
      <candidateList>
        <item>（</item>
      </candidateList>
      <explain>文本全半角错误。</explain>
      <paraID>2CC84098</paraID>
      <start>76</start>
      <end>77</end>
      <status>unmodified</status>
      <modifiedWord/>
      <trackRevisions>false</trackRevisions>
    </reviewItem>
    <reviewItem>
      <errorID>295fd016-df21-4cc3-954f-96bf0bd6b775</errorID>
      <errorWord>)</errorWord>
      <group>L1_Format</group>
      <groupName>格式问题</groupName>
      <ability>L2_HalfPunc</ability>
      <abilityName>全半角检查</abilityName>
      <candidateList>
        <item>）</item>
      </candidateList>
      <explain>文本全半角错误。</explain>
      <paraID>2CC84098</paraID>
      <start>97</start>
      <end>98</end>
      <status>unmodified</status>
      <modifiedWord/>
      <trackRevisions>false</trackRevisions>
    </reviewItem>
    <reviewItem>
      <errorID>fcb91520-a00a-45e5-9e05-3d3a5a06c43b</errorID>
      <errorWord>(</errorWord>
      <group>L1_Format</group>
      <groupName>格式问题</groupName>
      <ability>L2_HalfPunc</ability>
      <abilityName>全半角检查</abilityName>
      <candidateList>
        <item>（</item>
      </candidateList>
      <explain>文本全半角错误。</explain>
      <paraID>2CC84098</paraID>
      <start>122</start>
      <end>123</end>
      <status>unmodified</status>
      <modifiedWord/>
      <trackRevisions>false</trackRevisions>
    </reviewItem>
    <reviewItem>
      <errorID>5bf67f4a-8909-4be4-ac21-28271e722259</errorID>
      <errorWord>)</errorWord>
      <group>L1_Format</group>
      <groupName>格式问题</groupName>
      <ability>L2_HalfPunc</ability>
      <abilityName>全半角检查</abilityName>
      <candidateList>
        <item>）</item>
      </candidateList>
      <explain>文本全半角错误。</explain>
      <paraID>2CC84098</paraID>
      <start>142</start>
      <end>143</end>
      <status>unmodified</status>
      <modifiedWord/>
      <trackRevisions>false</trackRevisions>
    </reviewItem>
    <reviewItem>
      <errorID>26dc3848-5e11-478b-9dd4-b4dee9660fc3</errorID>
      <errorWord>污水厂</errorWord>
      <group>L1_Word</group>
      <groupName>字词问题</groupName>
      <ability>L2_Typo</ability>
      <abilityName>字词错误</abilityName>
      <candidateList>
        <item>污水处理厂</item>
      </candidateList>
      <explain/>
      <paraID>4D2D80E7</paraID>
      <start>93</start>
      <end>98</end>
      <status>modified</status>
      <modifiedWord>污水处理厂</modifiedWord>
      <trackRevisions>false</trackRevisions>
    </reviewItem>
    <reviewItem>
      <errorID>f2681a6c-65bf-4e22-bc9f-49c300a6a176</errorID>
      <errorWord>污水厂</errorWord>
      <group>L1_Word</group>
      <groupName>字词问题</groupName>
      <ability>L2_Typo</ability>
      <abilityName>字词错误</abilityName>
      <candidateList>
        <item>污水处理厂</item>
      </candidateList>
      <explain/>
      <paraID>49E8410A</paraID>
      <start>6</start>
      <end>11</end>
      <status>modified</status>
      <modifiedWord>污水处理厂</modifiedWord>
      <trackRevisions>false</trackRevisions>
    </reviewItem>
    <reviewItem>
      <errorID>780ea17a-2c59-4a8f-9371-c8801ebefb96</errorID>
      <errorWord>(</errorWord>
      <group>L1_Format</group>
      <groupName>格式问题</groupName>
      <ability>L2_HalfPunc</ability>
      <abilityName>全半角检查</abilityName>
      <candidateList>
        <item>（</item>
      </candidateList>
      <explain>文本全半角错误。</explain>
      <paraID>2A13C4F6</paraID>
      <start>43</start>
      <end>44</end>
      <status>unmodified</status>
      <modifiedWord/>
      <trackRevisions>false</trackRevisions>
    </reviewItem>
    <reviewItem>
      <errorID>18ed44e9-66a8-47be-ad5e-74504ff84784</errorID>
      <errorWord>)</errorWord>
      <group>L1_Format</group>
      <groupName>格式问题</groupName>
      <ability>L2_HalfPunc</ability>
      <abilityName>全半角检查</abilityName>
      <candidateList>
        <item>）</item>
      </candidateList>
      <explain>文本全半角错误。</explain>
      <paraID>2A13C4F6</paraID>
      <start>60</start>
      <end>61</end>
      <status>unmodified</status>
      <modifiedWord/>
      <trackRevisions>false</trackRevisions>
    </reviewItem>
    <reviewItem>
      <errorID>839f6e91-5096-4c86-a21d-dd981f0212f9</errorID>
      <errorWord>(</errorWord>
      <group>L1_Format</group>
      <groupName>格式问题</groupName>
      <ability>L2_HalfPunc</ability>
      <abilityName>全半角检查</abilityName>
      <candidateList>
        <item>（</item>
      </candidateList>
      <explain>文本全半角错误。</explain>
      <paraID>2A13C4F6</paraID>
      <start>119</start>
      <end>120</end>
      <status>unmodified</status>
      <modifiedWord/>
      <trackRevisions>false</trackRevisions>
    </reviewItem>
    <reviewItem>
      <errorID>0e822014-fa8e-4c64-a6d1-b150ba7ee79a</errorID>
      <errorWord>)</errorWord>
      <group>L1_Format</group>
      <groupName>格式问题</groupName>
      <ability>L2_HalfPunc</ability>
      <abilityName>全半角检查</abilityName>
      <candidateList>
        <item>）</item>
      </candidateList>
      <explain>文本全半角错误。</explain>
      <paraID>2A13C4F6</paraID>
      <start>125</start>
      <end>126</end>
      <status>unmodified</status>
      <modifiedWord/>
      <trackRevisions>false</trackRevisions>
    </reviewItem>
    <reviewItem>
      <errorID>393ea7f5-ff10-440b-bc99-719e245deba1</errorID>
      <errorWord>68%~98%</errorWord>
      <group>L1_Knowledge</group>
      <groupName>知识性问题</groupName>
      <ability>L2_Knowledge</ability>
      <abilityName>其他知识</abilityName>
      <candidateList>
        <item>68%～98%</item>
      </candidateList>
      <explain>1. “68%~98%”中的单位“%”仅出现在后一个数字上，容易引起歧义；根据《现代汉语标点符号数字用法规范手册》，数字表示范围两边需要使用统一的格式。2. 根据标点国标 4.13 中的规则，数字、时间或地域连接符应使用（视觉上更长的）“—”或“～”。</explain>
      <paraID>2A13C4F6</paraID>
      <start>132</start>
      <end>139</end>
      <status>unmodified</status>
      <modifiedWord/>
      <trackRevisions>false</trackRevisions>
    </reviewItem>
    <reviewItem>
      <errorID>8f1e2515-e87b-4b1b-92b6-7f1cb0a3e36b</errorID>
      <errorWord>(</errorWord>
      <group>L1_Format</group>
      <groupName>格式问题</groupName>
      <ability>L2_HalfPunc</ability>
      <abilityName>全半角检查</abilityName>
      <candidateList>
        <item>（</item>
      </candidateList>
      <explain>文本全半角错误。</explain>
      <paraID>2A13C4F6</paraID>
      <start>148</start>
      <end>149</end>
      <status>unmodified</status>
      <modifiedWord/>
      <trackRevisions>false</trackRevisions>
    </reviewItem>
    <reviewItem>
      <errorID>2c52a35a-fe02-4d25-b9a2-9a701fe59338</errorID>
      <errorWord>)</errorWord>
      <group>L1_Format</group>
      <groupName>格式问题</groupName>
      <ability>L2_HalfPunc</ability>
      <abilityName>全半角检查</abilityName>
      <candidateList>
        <item>）</item>
      </candidateList>
      <explain>文本全半角错误。</explain>
      <paraID>2A13C4F6</paraID>
      <start>154</start>
      <end>155</end>
      <status>unmodified</status>
      <modifiedWord/>
      <trackRevisions>false</trackRevisions>
    </reviewItem>
    <reviewItem>
      <errorID>9161c921-79ec-47ea-8193-7323d0c8a226</errorID>
      <errorWord>0~50%</errorWord>
      <group>L1_Knowledge</group>
      <groupName>知识性问题</groupName>
      <ability>L2_Knowledge</ability>
      <abilityName>其他知识</abilityName>
      <candidateList>
        <item>0～50%</item>
      </candidateList>
      <explain>1. “0~50%”中的单位“%”仅出现在后一个数字上，容易引起歧义；根据《现代汉语标点符号数字用法规范手册》，数字表示范围两边需要使用统一的格式。2. 根据标点国标 4.13 中的规则，数字、时间或地域连接符应使用（视觉上更长的）“—”或“～”。</explain>
      <paraID>2A13C4F6</paraID>
      <start>161</start>
      <end>166</end>
      <status>unmodified</status>
      <modifiedWord/>
      <trackRevisions>false</trackRevisions>
    </reviewItem>
    <reviewItem>
      <errorID>c747d7d8-0f46-4ece-8e71-6862127397d2</errorID>
      <errorWord>至由</errorWord>
      <group>L1_Word</group>
      <groupName>字词问题</groupName>
      <ability>L2_Typo</ability>
      <abilityName>字词错误</abilityName>
      <candidateList>
        <item>至</item>
      </candidateList>
      <explain>❶〈动〉到：～今｜自始～终｜～死不屈。❷至于：甚～。❸〈副〉极；最：为感谢～｜你要早来，～迟下星期内一定赶到。</explain>
      <paraID>795075EB</paraID>
      <start>25</start>
      <end>27</end>
      <status>unmodified</status>
      <modifiedWord/>
      <trackRevisions>false</trackRevisions>
    </reviewItem>
    <reviewItem>
      <errorID>59ae0f7e-68ef-43b9-bcd0-859dd6aea8ff</errorID>
      <errorWord>污水厂</errorWord>
      <group>L1_Word</group>
      <groupName>字词问题</groupName>
      <ability>L2_Typo</ability>
      <abilityName>字词错误</abilityName>
      <candidateList>
        <item>污水处理厂</item>
      </candidateList>
      <explain/>
      <paraID>795075EB</paraID>
      <start>91</start>
      <end>96</end>
      <status>modified</status>
      <modifiedWord>污水处理厂</modifiedWord>
      <trackRevisions>false</trackRevisions>
    </reviewItem>
    <reviewItem>
      <errorID>83f6a658-657a-4bc9-82e4-09cf3931c62c</errorID>
      <errorWord>设</errorWord>
      <group>L1_Word</group>
      <groupName>字词问题</groupName>
      <ability>L2_Typo</ability>
      <abilityName>字词错误</abilityName>
      <candidateList>
        <item>设置</item>
      </candidateList>
      <explain>〈动〉❶设立：这座剧院是为儿童～的。❷安放；安装：～障碍。</explain>
      <paraID>58D9B576</paraID>
      <start>6</start>
      <end>7</end>
      <status>unmodified</status>
      <modifiedWord/>
      <trackRevisions>false</trackRevisions>
    </reviewItem>
    <reviewItem>
      <errorID>d382665d-7867-452d-a53d-0e6b49e51a0a</errorID>
      <errorWord>，。</errorWord>
      <group>L1_Punc</group>
      <groupName>标点问题</groupName>
      <ability>L2_Punc</ability>
      <abilityName>标点符号检查</abilityName>
      <candidateList>
        <item>，</item>
      </candidateList>
      <explain/>
      <paraID>66164959</paraID>
      <start>29</start>
      <end>31</end>
      <status>unmodified</status>
      <modifiedWord/>
      <trackRevisions>false</trackRevisions>
    </reviewItem>
    <reviewItem>
      <errorID>9e160108-10b2-44c3-8140-3f29e3051de5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70D053F8</paraID>
      <start>0</start>
      <end>2</end>
      <status>unmodified</status>
      <modifiedWord/>
      <trackRevisions>false</trackRevisions>
    </reviewItem>
    <reviewItem>
      <errorID>4b113ddc-a16e-402e-95e3-1c082713c082</errorID>
      <errorWord>项目的</errorWord>
      <group>L1_Word</group>
      <groupName>字词问题</groupName>
      <ability>L2_Typo</ability>
      <abilityName>字词错误</abilityName>
      <candidateList>
        <item>项目</item>
      </candidateList>
      <explain>〈名〉事物分成的门类：服务～｜体育～｜建设～。</explain>
      <paraID> CDD5709</paraID>
      <start>66</start>
      <end>69</end>
      <status>unmodified</status>
      <modifiedWord/>
      <trackRevisions>false</trackRevisions>
    </reviewItem>
    <reviewItem>
      <errorID>08b375df-2a4d-4b59-8857-55538f8e05ab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42329008</paraID>
      <start>0</start>
      <end>2</end>
      <status>unmodified</status>
      <modifiedWord/>
      <trackRevisions>false</trackRevisions>
    </reviewItem>
    <reviewItem>
      <errorID>8d8d4e69-62c1-4db2-8c7f-ae8daea8a293</errorID>
      <errorWord>(</errorWord>
      <group>L1_Format</group>
      <groupName>格式问题</groupName>
      <ability>L2_HalfPunc</ability>
      <abilityName>全半角检查</abilityName>
      <candidateList>
        <item>（</item>
      </candidateList>
      <explain>文本全半角错误。</explain>
      <paraID>4116850B</paraID>
      <start>18</start>
      <end>19</end>
      <status>unmodified</status>
      <modifiedWord/>
      <trackRevisions>false</trackRevisions>
    </reviewItem>
    <reviewItem>
      <errorID>0d05f2e0-3ce9-4a87-bced-e70a1f24dc73</errorID>
      <errorWord>)</errorWord>
      <group>L1_Format</group>
      <groupName>格式问题</groupName>
      <ability>L2_HalfPunc</ability>
      <abilityName>全半角检查</abilityName>
      <candidateList>
        <item>）</item>
      </candidateList>
      <explain>文本全半角错误。</explain>
      <paraID>4116850B</paraID>
      <start>29</start>
      <end>30</end>
      <status>unmodified</status>
      <modifiedWord/>
      <trackRevisions>false</trackRevisions>
    </reviewItem>
    <reviewItem>
      <errorID>6dbd7055-7985-4b13-b52a-6c6cfd04d798</errorID>
      <errorWord>(</errorWord>
      <group>L1_Format</group>
      <groupName>格式问题</groupName>
      <ability>L2_HalfPunc</ability>
      <abilityName>全半角检查</abilityName>
      <candidateList>
        <item>（</item>
      </candidateList>
      <explain>文本全半角错误。</explain>
      <paraID> 4AD2479</paraID>
      <start>6</start>
      <end>7</end>
      <status>unmodified</status>
      <modifiedWord/>
      <trackRevisions>false</trackRevisions>
    </reviewItem>
    <reviewItem>
      <errorID>4dc63d8d-c60d-4de5-8862-24af6b17eb6e</errorID>
      <errorWord>)</errorWord>
      <group>L1_Format</group>
      <groupName>格式问题</groupName>
      <ability>L2_HalfPunc</ability>
      <abilityName>全半角检查</abilityName>
      <candidateList>
        <item>）</item>
      </candidateList>
      <explain>文本全半角错误。</explain>
      <paraID> 4AD2479</paraID>
      <start>8</start>
      <end>9</end>
      <status>unmodified</status>
      <modifiedWord/>
      <trackRevisions>false</trackRevisions>
    </reviewItem>
    <reviewItem>
      <errorID>8df4a6c2-f6d9-4390-ae27-af014925258d</errorID>
      <errorWord>(</errorWord>
      <group>L1_Format</group>
      <groupName>格式问题</groupName>
      <ability>L2_HalfPunc</ability>
      <abilityName>全半角检查</abilityName>
      <candidateList>
        <item>（</item>
      </candidateList>
      <explain>文本全半角错误。</explain>
      <paraID>7936A6BD</paraID>
      <start>12</start>
      <end>13</end>
      <status>unmodified</status>
      <modifiedWord/>
      <trackRevisions>false</trackRevisions>
    </reviewItem>
    <reviewItem>
      <errorID>3167ea0a-0943-461f-900b-5cb04c29b663</errorID>
      <errorWord>)</errorWord>
      <group>L1_Format</group>
      <groupName>格式问题</groupName>
      <ability>L2_HalfPunc</ability>
      <abilityName>全半角检查</abilityName>
      <candidateList>
        <item>）</item>
      </candidateList>
      <explain>文本全半角错误。</explain>
      <paraID>7936A6BD</paraID>
      <start>14</start>
      <end>15</end>
      <status>unmodified</status>
      <modifiedWord/>
      <trackRevisions>false</trackRevisions>
    </reviewItem>
    <reviewItem>
      <errorID>2dca9fa8-7b00-4570-87ac-d28af80de7c3</errorID>
      <errorWord>(</errorWord>
      <group>L1_Format</group>
      <groupName>格式问题</groupName>
      <ability>L2_HalfPunc</ability>
      <abilityName>全半角检查</abilityName>
      <candidateList>
        <item>（</item>
      </candidateList>
      <explain>文本全半角错误。</explain>
      <paraID> 6EB568D</paraID>
      <start>4</start>
      <end>5</end>
      <status>unmodified</status>
      <modifiedWord/>
      <trackRevisions>false</trackRevisions>
    </reviewItem>
    <reviewItem>
      <errorID>560ab2e2-5e84-4a9c-a6f9-8f1d40f46f17</errorID>
      <errorWord>)</errorWord>
      <group>L1_Format</group>
      <groupName>格式问题</groupName>
      <ability>L2_HalfPunc</ability>
      <abilityName>全半角检查</abilityName>
      <candidateList>
        <item>）</item>
      </candidateList>
      <explain>文本全半角错误。</explain>
      <paraID> 6EB568D</paraID>
      <start>7</start>
      <end>8</end>
      <status>unmodified</status>
      <modifiedWord/>
      <trackRevisions>false</trackRevisions>
    </reviewItem>
    <reviewItem>
      <errorID>e09f1d46-5bde-498d-9707-d8adbdf1ed46</errorID>
      <errorWord>(</errorWord>
      <group>L1_Format</group>
      <groupName>格式问题</groupName>
      <ability>L2_HalfPunc</ability>
      <abilityName>全半角检查</abilityName>
      <candidateList>
        <item>（</item>
      </candidateList>
      <explain>文本全半角错误。</explain>
      <paraID>58D8237C</paraID>
      <start>4</start>
      <end>5</end>
      <status>unmodified</status>
      <modifiedWord/>
      <trackRevisions>false</trackRevisions>
    </reviewItem>
    <reviewItem>
      <errorID>50ac44e2-08f5-497c-8930-0a1077ae1f90</errorID>
      <errorWord>)</errorWord>
      <group>L1_Format</group>
      <groupName>格式问题</groupName>
      <ability>L2_HalfPunc</ability>
      <abilityName>全半角检查</abilityName>
      <candidateList>
        <item>）</item>
      </candidateList>
      <explain>文本全半角错误。</explain>
      <paraID>58D8237C</paraID>
      <start>7</start>
      <end>8</end>
      <status>unmodified</status>
      <modifiedWord/>
      <trackRevisions>false</trackRevisions>
    </reviewItem>
    <reviewItem>
      <errorID>75c4b01b-0e30-4b01-b28d-21b430e7b7a4</errorID>
      <errorWord>(</errorWord>
      <group>L1_Format</group>
      <groupName>格式问题</groupName>
      <ability>L2_HalfPunc</ability>
      <abilityName>全半角检查</abilityName>
      <candidateList>
        <item>（</item>
      </candidateList>
      <explain>文本全半角错误。</explain>
      <paraID>599AAF3A</paraID>
      <start>4</start>
      <end>5</end>
      <status>unmodified</status>
      <modifiedWord/>
      <trackRevisions>false</trackRevisions>
    </reviewItem>
    <reviewItem>
      <errorID>40860b91-5249-4871-9723-077f4744b529</errorID>
      <errorWord>)</errorWord>
      <group>L1_Format</group>
      <groupName>格式问题</groupName>
      <ability>L2_HalfPunc</ability>
      <abilityName>全半角检查</abilityName>
      <candidateList>
        <item>）</item>
      </candidateList>
      <explain>文本全半角错误。</explain>
      <paraID>599AAF3A</paraID>
      <start>7</start>
      <end>8</end>
      <status>unmodified</status>
      <modifiedWord/>
      <trackRevisions>false</trackRevisions>
    </reviewItem>
    <reviewItem>
      <errorID>f38ae560-4142-41a2-b6c4-ee30a404f156</errorID>
      <errorWord>(</errorWord>
      <group>L1_Format</group>
      <groupName>格式问题</groupName>
      <ability>L2_HalfPunc</ability>
      <abilityName>全半角检查</abilityName>
      <candidateList>
        <item>（</item>
      </candidateList>
      <explain>文本全半角错误。</explain>
      <paraID>7ED81CEF</paraID>
      <start>4</start>
      <end>5</end>
      <status>unmodified</status>
      <modifiedWord/>
      <trackRevisions>false</trackRevisions>
    </reviewItem>
    <reviewItem>
      <errorID>e9d8686b-8f31-4233-ab78-91b58a76804a</errorID>
      <errorWord>)</errorWord>
      <group>L1_Format</group>
      <groupName>格式问题</groupName>
      <ability>L2_HalfPunc</ability>
      <abilityName>全半角检查</abilityName>
      <candidateList>
        <item>）</item>
      </candidateList>
      <explain>文本全半角错误。</explain>
      <paraID>7ED81CEF</paraID>
      <start>7</start>
      <end>8</end>
      <status>unmodified</status>
      <modifiedWord/>
      <trackRevisions>false</trackRevisions>
    </reviewItem>
    <reviewItem>
      <errorID>5ee9e727-8c27-405e-8b2e-205d9fbdfc0c</errorID>
      <errorWord>(</errorWord>
      <group>L1_Format</group>
      <groupName>格式问题</groupName>
      <ability>L2_HalfPunc</ability>
      <abilityName>全半角检查</abilityName>
      <candidateList>
        <item>（</item>
      </candidateList>
      <explain>文本全半角错误。</explain>
      <paraID>5C676247</paraID>
      <start>7</start>
      <end>8</end>
      <status>unmodified</status>
      <modifiedWord/>
      <trackRevisions>false</trackRevisions>
    </reviewItem>
    <reviewItem>
      <errorID>a11c9a61-6c59-46e6-9a72-da9959cdadc3</errorID>
      <errorWord>)</errorWord>
      <group>L1_Format</group>
      <groupName>格式问题</groupName>
      <ability>L2_HalfPunc</ability>
      <abilityName>全半角检查</abilityName>
      <candidateList>
        <item>）</item>
      </candidateList>
      <explain>文本全半角错误。</explain>
      <paraID>5C676247</paraID>
      <start>10</start>
      <end>11</end>
      <status>unmodified</status>
      <modifiedWord/>
      <trackRevisions>false</trackRevisions>
    </reviewItem>
    <reviewItem>
      <errorID>7df252f0-7f03-43aa-be2f-4048efbf62b3</errorID>
      <errorWord>(</errorWord>
      <group>L1_Format</group>
      <groupName>格式问题</groupName>
      <ability>L2_HalfPunc</ability>
      <abilityName>全半角检查</abilityName>
      <candidateList>
        <item>（</item>
      </candidateList>
      <explain>文本全半角错误。</explain>
      <paraID>14B9FFB2</paraID>
      <start>7</start>
      <end>8</end>
      <status>unmodified</status>
      <modifiedWord/>
      <trackRevisions>false</trackRevisions>
    </reviewItem>
    <reviewItem>
      <errorID>53f4fd22-404d-4fc8-8d40-d38c17dc0983</errorID>
      <errorWord>)</errorWord>
      <group>L1_Format</group>
      <groupName>格式问题</groupName>
      <ability>L2_HalfPunc</ability>
      <abilityName>全半角检查</abilityName>
      <candidateList>
        <item>）</item>
      </candidateList>
      <explain>文本全半角错误。</explain>
      <paraID>14B9FFB2</paraID>
      <start>10</start>
      <end>11</end>
      <status>unmodified</status>
      <modifiedWord/>
      <trackRevisions>false</trackRevisions>
    </reviewItem>
    <reviewItem>
      <errorID>b11e8f3b-b0d5-4140-8f31-0cb5f3d7ed64</errorID>
      <errorWord>(</errorWord>
      <group>L1_Format</group>
      <groupName>格式问题</groupName>
      <ability>L2_HalfPunc</ability>
      <abilityName>全半角检查</abilityName>
      <candidateList>
        <item>（</item>
      </candidateList>
      <explain>文本全半角错误。</explain>
      <paraID>736362B6</paraID>
      <start>7</start>
      <end>8</end>
      <status>unmodified</status>
      <modifiedWord/>
      <trackRevisions>false</trackRevisions>
    </reviewItem>
    <reviewItem>
      <errorID>dbb9ac73-a99e-4bd9-8fcc-fd469964ae93</errorID>
      <errorWord>)</errorWord>
      <group>L1_Format</group>
      <groupName>格式问题</groupName>
      <ability>L2_HalfPunc</ability>
      <abilityName>全半角检查</abilityName>
      <candidateList>
        <item>）</item>
      </candidateList>
      <explain>文本全半角错误。</explain>
      <paraID>736362B6</paraID>
      <start>10</start>
      <end>11</end>
      <status>unmodified</status>
      <modifiedWord/>
      <trackRevisions>false</trackRevisions>
    </reviewItem>
    <reviewItem>
      <errorID>5ebeb84a-d3df-4ee7-91e2-35a54768160c</errorID>
      <errorWord>(</errorWord>
      <group>L1_Format</group>
      <groupName>格式问题</groupName>
      <ability>L2_HalfPunc</ability>
      <abilityName>全半角检查</abilityName>
      <candidateList>
        <item>（</item>
      </candidateList>
      <explain>文本全半角错误。</explain>
      <paraID>66348CC1</paraID>
      <start>63</start>
      <end>64</end>
      <status>unmodified</status>
      <modifiedWord/>
      <trackRevisions>false</trackRevisions>
    </reviewItem>
    <reviewItem>
      <errorID>fc1283d2-2dea-4f76-a23f-7458561c2fdb</errorID>
      <errorWord>)</errorWord>
      <group>L1_Format</group>
      <groupName>格式问题</groupName>
      <ability>L2_HalfPunc</ability>
      <abilityName>全半角检查</abilityName>
      <candidateList>
        <item>）</item>
      </candidateList>
      <explain>文本全半角错误。</explain>
      <paraID>66348CC1</paraID>
      <start>65</start>
      <end>66</end>
      <status>unmodified</status>
      <modifiedWord/>
      <trackRevisions>false</trackRevisions>
    </reviewItem>
    <reviewItem>
      <errorID>dc578371-07d2-498b-8934-9effae2fa6df</errorID>
      <errorWord>(</errorWord>
      <group>L1_Format</group>
      <groupName>格式问题</groupName>
      <ability>L2_HalfPunc</ability>
      <abilityName>全半角检查</abilityName>
      <candidateList>
        <item>（</item>
      </candidateList>
      <explain>文本全半角错误。</explain>
      <paraID>66348CC1</paraID>
      <start>78</start>
      <end>79</end>
      <status>unmodified</status>
      <modifiedWord/>
      <trackRevisions>false</trackRevisions>
    </reviewItem>
    <reviewItem>
      <errorID>c1940eed-682a-4f7d-90ea-c852bff9e969</errorID>
      <errorWord>)</errorWord>
      <group>L1_Format</group>
      <groupName>格式问题</groupName>
      <ability>L2_HalfPunc</ability>
      <abilityName>全半角检查</abilityName>
      <candidateList>
        <item>）</item>
      </candidateList>
      <explain>文本全半角错误。</explain>
      <paraID>66348CC1</paraID>
      <start>80</start>
      <end>81</end>
      <status>unmodified</status>
      <modifiedWord/>
      <trackRevisions>false</trackRevisions>
    </reviewItem>
    <reviewItem>
      <errorID>9cca7f0c-0c0b-4936-b415-b8e9a4316fd4</errorID>
      <errorWord>(</errorWord>
      <group>L1_Format</group>
      <groupName>格式问题</groupName>
      <ability>L2_HalfPunc</ability>
      <abilityName>全半角检查</abilityName>
      <candidateList>
        <item>（</item>
      </candidateList>
      <explain>文本全半角错误。</explain>
      <paraID>66348CC1</paraID>
      <start>95</start>
      <end>96</end>
      <status>unmodified</status>
      <modifiedWord/>
      <trackRevisions>false</trackRevisions>
    </reviewItem>
    <reviewItem>
      <errorID>1ea9ba33-f852-495c-b8d9-22bb0ae38178</errorID>
      <errorWord>)</errorWord>
      <group>L1_Format</group>
      <groupName>格式问题</groupName>
      <ability>L2_HalfPunc</ability>
      <abilityName>全半角检查</abilityName>
      <candidateList>
        <item>）</item>
      </candidateList>
      <explain>文本全半角错误。</explain>
      <paraID>66348CC1</paraID>
      <start>97</start>
      <end>98</end>
      <status>unmodified</status>
      <modifiedWord/>
      <trackRevisions>false</trackRevisions>
    </reviewItem>
    <reviewItem>
      <errorID>b2826e9a-ea94-4dbc-8722-9819bf5f75b7</errorID>
      <errorWord>(</errorWord>
      <group>L1_Format</group>
      <groupName>格式问题</groupName>
      <ability>L2_HalfPunc</ability>
      <abilityName>全半角检查</abilityName>
      <candidateList>
        <item>（</item>
      </candidateList>
      <explain>文本全半角错误。</explain>
      <paraID>778800E7</paraID>
      <start>42</start>
      <end>43</end>
      <status>unmodified</status>
      <modifiedWord/>
      <trackRevisions>false</trackRevisions>
    </reviewItem>
    <reviewItem>
      <errorID>d4452577-62db-4a5f-92a8-ec3b99b5dd94</errorID>
      <errorWord>)</errorWord>
      <group>L1_Format</group>
      <groupName>格式问题</groupName>
      <ability>L2_HalfPunc</ability>
      <abilityName>全半角检查</abilityName>
      <candidateList>
        <item>）</item>
      </candidateList>
      <explain>文本全半角错误。</explain>
      <paraID>778800E7</paraID>
      <start>53</start>
      <end>54</end>
      <status>unmodified</status>
      <modifiedWord/>
      <trackRevisions>false</trackRevisions>
    </reviewItem>
    <reviewItem>
      <errorID>dbb6fd40-9d6f-4481-83ae-fd04b8868c7a</errorID>
      <errorWord>，...，</errorWord>
      <group>L1_Punc</group>
      <groupName>标点问题</groupName>
      <ability>L2_Punc</ability>
      <abilityName>标点符号检查</abilityName>
      <candidateList>
        <item>，</item>
      </candidateList>
      <explain/>
      <paraID>6B083643</paraID>
      <start>8</start>
      <end>13</end>
      <status>unmodified</status>
      <modifiedWord/>
      <trackRevisions>false</trackRevisions>
    </reviewItem>
    <reviewItem>
      <errorID>22d5918e-0e50-48fe-8f92-08b03c5933f1</errorID>
      <errorWord>，...，</errorWord>
      <group>L1_Punc</group>
      <groupName>标点问题</groupName>
      <ability>L2_Punc</ability>
      <abilityName>标点符号检查</abilityName>
      <candidateList>
        <item>，</item>
      </candidateList>
      <explain/>
      <paraID>37BDB5FA</paraID>
      <start>5</start>
      <end>10</end>
      <status>unmodified</status>
      <modifiedWord/>
      <trackRevisions>false</trackRevisions>
    </reviewItem>
    <reviewItem>
      <errorID>990b26ce-0ce4-4257-8c25-4a4cc11a7aa3</errorID>
      <errorWord>（</errorWord>
      <group>L1_Format</group>
      <groupName>格式问题</groupName>
      <ability>L2_HalfPunc</ability>
      <abilityName>全半角检查</abilityName>
      <candidateList>
        <item>(</item>
      </candidateList>
      <explain>文本全半角错误。</explain>
      <paraID>63B03425</paraID>
      <start>2</start>
      <end>3</end>
      <status>unmodified</status>
      <modifiedWord/>
      <trackRevisions>false</trackRevisions>
    </reviewItem>
    <reviewItem>
      <errorID>8d6234bb-6ccf-404c-80cc-7d2b5db0c49f</errorID>
      <errorWord>）</errorWord>
      <group>L1_Format</group>
      <groupName>格式问题</groupName>
      <ability>L2_HalfPunc</ability>
      <abilityName>全半角检查</abilityName>
      <candidateList>
        <item>)</item>
      </candidateList>
      <explain>文本全半角错误。</explain>
      <paraID>63B03425</paraID>
      <start>4</start>
      <end>5</end>
      <status>unmodified</status>
      <modifiedWord/>
      <trackRevisions>false</trackRevisions>
    </reviewItem>
    <reviewItem>
      <errorID>426bda43-6a7e-4b8a-8fcd-d3f1cd4c4ad5</errorID>
      <errorWord>（</errorWord>
      <group>L1_Format</group>
      <groupName>格式问题</groupName>
      <ability>L2_HalfPunc</ability>
      <abilityName>全半角检查</abilityName>
      <candidateList>
        <item>(</item>
      </candidateList>
      <explain>文本全半角错误。</explain>
      <paraID>720307BA</paraID>
      <start>2</start>
      <end>3</end>
      <status>unmodified</status>
      <modifiedWord/>
      <trackRevisions>false</trackRevisions>
    </reviewItem>
    <reviewItem>
      <errorID>71ef9ff0-ec08-4a94-9d99-7cd909ad2a48</errorID>
      <errorWord>）</errorWord>
      <group>L1_Format</group>
      <groupName>格式问题</groupName>
      <ability>L2_HalfPunc</ability>
      <abilityName>全半角检查</abilityName>
      <candidateList>
        <item>)</item>
      </candidateList>
      <explain>文本全半角错误。</explain>
      <paraID>720307BA</paraID>
      <start>4</start>
      <end>5</end>
      <status>unmodified</status>
      <modifiedWord/>
      <trackRevisions>false</trackRevisions>
    </reviewItem>
    <reviewItem>
      <errorID>6c0dd1f1-189f-4a5f-b6ce-4b0138ef876a</errorID>
      <errorWord>（</errorWord>
      <group>L1_Format</group>
      <groupName>格式问题</groupName>
      <ability>L2_HalfPunc</ability>
      <abilityName>全半角检查</abilityName>
      <candidateList>
        <item>(</item>
      </candidateList>
      <explain>文本全半角错误。</explain>
      <paraID>6175AE71</paraID>
      <start>0</start>
      <end>1</end>
      <status>unmodified</status>
      <modifiedWord/>
      <trackRevisions>false</trackRevisions>
    </reviewItem>
    <reviewItem>
      <errorID>0cc1434d-1af0-4aca-9e1b-26a68d1653de</errorID>
      <errorWord>）</errorWord>
      <group>L1_Format</group>
      <groupName>格式问题</groupName>
      <ability>L2_HalfPunc</ability>
      <abilityName>全半角检查</abilityName>
      <candidateList>
        <item>)</item>
      </candidateList>
      <explain>文本全半角错误。</explain>
      <paraID>6175AE71</paraID>
      <start>11</start>
      <end>12</end>
      <status>unmodified</status>
      <modifiedWord/>
      <trackRevisions>false</trackRevisions>
    </reviewItem>
    <reviewItem>
      <errorID>dc00c33b-0743-4405-aae3-3564f260b823</errorID>
      <errorWord>（</errorWord>
      <group>L1_Format</group>
      <groupName>格式问题</groupName>
      <ability>L2_HalfPunc</ability>
      <abilityName>全半角检查</abilityName>
      <candidateList>
        <item>(</item>
      </candidateList>
      <explain>文本全半角错误。</explain>
      <paraID>4E6F3C33</paraID>
      <start>0</start>
      <end>1</end>
      <status>unmodified</status>
      <modifiedWord/>
      <trackRevisions>false</trackRevisions>
    </reviewItem>
    <reviewItem>
      <errorID>49f0c1f5-0e5c-45a9-92c5-afdba0724c14</errorID>
      <errorWord>）</errorWord>
      <group>L1_Format</group>
      <groupName>格式问题</groupName>
      <ability>L2_HalfPunc</ability>
      <abilityName>全半角检查</abilityName>
      <candidateList>
        <item>)</item>
      </candidateList>
      <explain>文本全半角错误。</explain>
      <paraID>4E6F3C33</paraID>
      <start>11</start>
      <end>12</end>
      <status>unmodified</status>
      <modifiedWord/>
      <trackRevisions>false</trackRevisions>
    </reviewItem>
    <reviewItem>
      <errorID>d64e6ebe-25a5-4e0e-85db-9dd936559739</errorID>
      <errorWord>（</errorWord>
      <group>L1_Format</group>
      <groupName>格式问题</groupName>
      <ability>L2_HalfPunc</ability>
      <abilityName>全半角检查</abilityName>
      <candidateList>
        <item>(</item>
      </candidateList>
      <explain>文本全半角错误。</explain>
      <paraID>5316351E</paraID>
      <start>0</start>
      <end>1</end>
      <status>unmodified</status>
      <modifiedWord/>
      <trackRevisions>false</trackRevisions>
    </reviewItem>
    <reviewItem>
      <errorID>1056716f-849a-47cb-8992-18b8e457ea8c</errorID>
      <errorWord>）</errorWord>
      <group>L1_Format</group>
      <groupName>格式问题</groupName>
      <ability>L2_HalfPunc</ability>
      <abilityName>全半角检查</abilityName>
      <candidateList>
        <item>)</item>
      </candidateList>
      <explain>文本全半角错误。</explain>
      <paraID>5316351E</paraID>
      <start>11</start>
      <end>12</end>
      <status>unmodified</status>
      <modifiedWord/>
      <trackRevisions>false</trackRevisions>
    </reviewItem>
    <reviewItem>
      <errorID>becccab8-dacd-4e2e-8180-304ac7afba8c</errorID>
      <errorWord>（</errorWord>
      <group>L1_Format</group>
      <groupName>格式问题</groupName>
      <ability>L2_HalfPunc</ability>
      <abilityName>全半角检查</abilityName>
      <candidateList>
        <item>(</item>
      </candidateList>
      <explain>文本全半角错误。</explain>
      <paraID>77DA1404</paraID>
      <start>0</start>
      <end>1</end>
      <status>unmodified</status>
      <modifiedWord/>
      <trackRevisions>false</trackRevisions>
    </reviewItem>
    <reviewItem>
      <errorID>91bc75e2-ea40-4011-b6ab-28a03b8a56ac</errorID>
      <errorWord>）</errorWord>
      <group>L1_Format</group>
      <groupName>格式问题</groupName>
      <ability>L2_HalfPunc</ability>
      <abilityName>全半角检查</abilityName>
      <candidateList>
        <item>)</item>
      </candidateList>
      <explain>文本全半角错误。</explain>
      <paraID>77DA1404</paraID>
      <start>11</start>
      <end>12</end>
      <status>unmodified</status>
      <modifiedWord/>
      <trackRevisions>false</trackRevisions>
    </reviewItem>
    <reviewItem>
      <errorID>b796ecd2-631e-42f5-b7d8-e3683957c37c</errorID>
      <errorWord>（</errorWord>
      <group>L1_Format</group>
      <groupName>格式问题</groupName>
      <ability>L2_HalfPunc</ability>
      <abilityName>全半角检查</abilityName>
      <candidateList>
        <item>(</item>
      </candidateList>
      <explain>文本全半角错误。</explain>
      <paraID>5B10AE13</paraID>
      <start>0</start>
      <end>1</end>
      <status>unmodified</status>
      <modifiedWord/>
      <trackRevisions>false</trackRevisions>
    </reviewItem>
    <reviewItem>
      <errorID>66ced100-9671-4fa5-b199-9da7514ccd22</errorID>
      <errorWord>）</errorWord>
      <group>L1_Format</group>
      <groupName>格式问题</groupName>
      <ability>L2_HalfPunc</ability>
      <abilityName>全半角检查</abilityName>
      <candidateList>
        <item>)</item>
      </candidateList>
      <explain>文本全半角错误。</explain>
      <paraID>5B10AE13</paraID>
      <start>11</start>
      <end>12</end>
      <status>unmodified</status>
      <modifiedWord/>
      <trackRevisions>false</trackRevisions>
    </reviewItem>
    <reviewItem>
      <errorID>906ec027-1466-4706-a8e1-a74eff586649</errorID>
      <errorWord>（</errorWord>
      <group>L1_Format</group>
      <groupName>格式问题</groupName>
      <ability>L2_HalfPunc</ability>
      <abilityName>全半角检查</abilityName>
      <candidateList>
        <item>(</item>
      </candidateList>
      <explain>文本全半角错误。</explain>
      <paraID>1E7D84CB</paraID>
      <start>0</start>
      <end>1</end>
      <status>unmodified</status>
      <modifiedWord/>
      <trackRevisions>false</trackRevisions>
    </reviewItem>
    <reviewItem>
      <errorID>bd9a3171-3731-40fa-ba57-13ab8719167e</errorID>
      <errorWord>）</errorWord>
      <group>L1_Format</group>
      <groupName>格式问题</groupName>
      <ability>L2_HalfPunc</ability>
      <abilityName>全半角检查</abilityName>
      <candidateList>
        <item>)</item>
      </candidateList>
      <explain>文本全半角错误。</explain>
      <paraID>1E7D84CB</paraID>
      <start>11</start>
      <end>12</end>
      <status>unmodified</status>
      <modifiedWord/>
      <trackRevisions>false</trackRevisions>
    </reviewItem>
    <reviewItem>
      <errorID>267a6bc5-39cc-4d37-9efe-9b78a1394174</errorID>
      <errorWord>(</errorWord>
      <group>L1_Format</group>
      <groupName>格式问题</groupName>
      <ability>L2_HalfPunc</ability>
      <abilityName>全半角检查</abilityName>
      <candidateList>
        <item>（</item>
      </candidateList>
      <explain>文本全半角错误。</explain>
      <paraID>236F690A</paraID>
      <start>53</start>
      <end>54</end>
      <status>unmodified</status>
      <modifiedWord/>
      <trackRevisions>false</trackRevisions>
    </reviewItem>
    <reviewItem>
      <errorID>feb4d2b0-1f82-4cae-a1eb-f214791410df</errorID>
      <errorWord>)</errorWord>
      <group>L1_Format</group>
      <groupName>格式问题</groupName>
      <ability>L2_HalfPunc</ability>
      <abilityName>全半角检查</abilityName>
      <candidateList>
        <item>）</item>
      </candidateList>
      <explain>文本全半角错误。</explain>
      <paraID>236F690A</paraID>
      <start>64</start>
      <end>65</end>
      <status>unmodified</status>
      <modifiedWord/>
      <trackRevisions>false</trackRevisions>
    </reviewItem>
    <reviewItem>
      <errorID>86838537-e4b9-491b-a202-63fc571fc89b</errorID>
      <errorWord>（</errorWord>
      <group>L1_Format</group>
      <groupName>格式问题</groupName>
      <ability>L2_HalfPunc</ability>
      <abilityName>全半角检查</abilityName>
      <candidateList>
        <item>(</item>
      </candidateList>
      <explain>文本全半角错误。</explain>
      <paraID>66B4FAD8</paraID>
      <start>2</start>
      <end>3</end>
      <status>unmodified</status>
      <modifiedWord/>
      <trackRevisions>false</trackRevisions>
    </reviewItem>
    <reviewItem>
      <errorID>3ff4836d-6dc4-4f4b-a06e-907275b8519a</errorID>
      <errorWord>）</errorWord>
      <group>L1_Format</group>
      <groupName>格式问题</groupName>
      <ability>L2_HalfPunc</ability>
      <abilityName>全半角检查</abilityName>
      <candidateList>
        <item>)</item>
      </candidateList>
      <explain>文本全半角错误。</explain>
      <paraID>66B4FAD8</paraID>
      <start>4</start>
      <end>5</end>
      <status>unmodified</status>
      <modifiedWord/>
      <trackRevisions>false</trackRevisions>
    </reviewItem>
    <reviewItem>
      <errorID>d29267f8-0245-46ba-beb8-03196a45096c</errorID>
      <errorWord>（</errorWord>
      <group>L1_Format</group>
      <groupName>格式问题</groupName>
      <ability>L2_HalfPunc</ability>
      <abilityName>全半角检查</abilityName>
      <candidateList>
        <item>(</item>
      </candidateList>
      <explain>文本全半角错误。</explain>
      <paraID>4AC76265</paraID>
      <start>0</start>
      <end>1</end>
      <status>unmodified</status>
      <modifiedWord/>
      <trackRevisions>false</trackRevisions>
    </reviewItem>
    <reviewItem>
      <errorID>9d4be694-f032-4eff-b5f2-37dab618291e</errorID>
      <errorWord>）</errorWord>
      <group>L1_Format</group>
      <groupName>格式问题</groupName>
      <ability>L2_HalfPunc</ability>
      <abilityName>全半角检查</abilityName>
      <candidateList>
        <item>)</item>
      </candidateList>
      <explain>文本全半角错误。</explain>
      <paraID>4AC76265</paraID>
      <start>11</start>
      <end>12</end>
      <status>unmodified</status>
      <modifiedWord/>
      <trackRevisions>false</trackRevisions>
    </reviewItem>
    <reviewItem>
      <errorID>37c0d4fd-b8cf-48dc-b308-770befe2136c</errorID>
      <errorWord>（</errorWord>
      <group>L1_Format</group>
      <groupName>格式问题</groupName>
      <ability>L2_HalfPunc</ability>
      <abilityName>全半角检查</abilityName>
      <candidateList>
        <item>(</item>
      </candidateList>
      <explain>文本全半角错误。</explain>
      <paraID> 4FD1DAE</paraID>
      <start>0</start>
      <end>1</end>
      <status>unmodified</status>
      <modifiedWord/>
      <trackRevisions>false</trackRevisions>
    </reviewItem>
    <reviewItem>
      <errorID>a3c9d0be-2c33-4465-bdcd-b62f7e10402c</errorID>
      <errorWord>）</errorWord>
      <group>L1_Format</group>
      <groupName>格式问题</groupName>
      <ability>L2_HalfPunc</ability>
      <abilityName>全半角检查</abilityName>
      <candidateList>
        <item>)</item>
      </candidateList>
      <explain>文本全半角错误。</explain>
      <paraID> 4FD1DAE</paraID>
      <start>11</start>
      <end>12</end>
      <status>unmodified</status>
      <modifiedWord/>
      <trackRevisions>false</trackRevisions>
    </reviewItem>
    <reviewItem>
      <errorID>c125bb24-6b13-46b3-b6e8-97445f8f0453</errorID>
      <errorWord>（</errorWord>
      <group>L1_Format</group>
      <groupName>格式问题</groupName>
      <ability>L2_HalfPunc</ability>
      <abilityName>全半角检查</abilityName>
      <candidateList>
        <item>(</item>
      </candidateList>
      <explain>文本全半角错误。</explain>
      <paraID>76790C55</paraID>
      <start>0</start>
      <end>1</end>
      <status>unmodified</status>
      <modifiedWord/>
      <trackRevisions>false</trackRevisions>
    </reviewItem>
    <reviewItem>
      <errorID>e733d837-02a0-4aa0-b2cd-1dee83c563ea</errorID>
      <errorWord>）</errorWord>
      <group>L1_Format</group>
      <groupName>格式问题</groupName>
      <ability>L2_HalfPunc</ability>
      <abilityName>全半角检查</abilityName>
      <candidateList>
        <item>)</item>
      </candidateList>
      <explain>文本全半角错误。</explain>
      <paraID>76790C55</paraID>
      <start>11</start>
      <end>12</end>
      <status>unmodified</status>
      <modifiedWord/>
      <trackRevisions>false</trackRevisions>
    </reviewItem>
    <reviewItem>
      <errorID>d5b8fdec-d2ba-4409-b992-ba845850ea5b</errorID>
      <errorWord>（</errorWord>
      <group>L1_Format</group>
      <groupName>格式问题</groupName>
      <ability>L2_HalfPunc</ability>
      <abilityName>全半角检查</abilityName>
      <candidateList>
        <item>(</item>
      </candidateList>
      <explain>文本全半角错误。</explain>
      <paraID>4BF945C8</paraID>
      <start>0</start>
      <end>1</end>
      <status>unmodified</status>
      <modifiedWord/>
      <trackRevisions>false</trackRevisions>
    </reviewItem>
    <reviewItem>
      <errorID>8f02b332-deff-434d-9989-451b633cc1ab</errorID>
      <errorWord>）</errorWord>
      <group>L1_Format</group>
      <groupName>格式问题</groupName>
      <ability>L2_HalfPunc</ability>
      <abilityName>全半角检查</abilityName>
      <candidateList>
        <item>)</item>
      </candidateList>
      <explain>文本全半角错误。</explain>
      <paraID>4BF945C8</paraID>
      <start>11</start>
      <end>12</end>
      <status>unmodified</status>
      <modifiedWord/>
      <trackRevisions>false</trackRevisions>
    </reviewItem>
    <reviewItem>
      <errorID>409ca8c0-e611-479c-9a68-72fd1eae1f28</errorID>
      <errorWord>(</errorWord>
      <group>L1_Format</group>
      <groupName>格式问题</groupName>
      <ability>L2_HalfPunc</ability>
      <abilityName>全半角检查</abilityName>
      <candidateList>
        <item>（</item>
      </candidateList>
      <explain>文本全半角错误。</explain>
      <paraID>610D7FB6</paraID>
      <start>7</start>
      <end>8</end>
      <status>unmodified</status>
      <modifiedWord/>
      <trackRevisions>false</trackRevisions>
    </reviewItem>
    <reviewItem>
      <errorID>2e5902f1-2026-40a3-97c5-e6606b8bff7c</errorID>
      <errorWord>)</errorWord>
      <group>L1_Format</group>
      <groupName>格式问题</groupName>
      <ability>L2_HalfPunc</ability>
      <abilityName>全半角检查</abilityName>
      <candidateList>
        <item>）</item>
      </candidateList>
      <explain>文本全半角错误。</explain>
      <paraID>610D7FB6</paraID>
      <start>15</start>
      <end>16</end>
      <status>unmodified</status>
      <modifiedWord/>
      <trackRevisions>false</trackRevisions>
    </reviewItem>
    <reviewItem>
      <errorID>85583194-b2d8-4c74-9e80-e3b217c8e1dd</errorID>
      <errorWord>（</errorWord>
      <group>L1_Format</group>
      <groupName>格式问题</groupName>
      <ability>L2_HalfPunc</ability>
      <abilityName>全半角检查</abilityName>
      <candidateList>
        <item>(</item>
      </candidateList>
      <explain>文本全半角错误。</explain>
      <paraID> DF03FF0</paraID>
      <start>0</start>
      <end>1</end>
      <status>unmodified</status>
      <modifiedWord/>
      <trackRevisions>false</trackRevisions>
    </reviewItem>
    <reviewItem>
      <errorID>3105ab2d-b589-4b1e-a676-45d3798044c5</errorID>
      <errorWord>）</errorWord>
      <group>L1_Format</group>
      <groupName>格式问题</groupName>
      <ability>L2_HalfPunc</ability>
      <abilityName>全半角检查</abilityName>
      <candidateList>
        <item>)</item>
      </candidateList>
      <explain>文本全半角错误。</explain>
      <paraID> DF03FF0</paraID>
      <start>11</start>
      <end>12</end>
      <status>unmodified</status>
      <modifiedWord/>
      <trackRevisions>false</trackRevisions>
    </reviewItem>
    <reviewItem>
      <errorID>b4ea6a54-368e-4dfe-9e55-53dad9d6ff41</errorID>
      <errorWord>（</errorWord>
      <group>L1_Format</group>
      <groupName>格式问题</groupName>
      <ability>L2_HalfPunc</ability>
      <abilityName>全半角检查</abilityName>
      <candidateList>
        <item>(</item>
      </candidateList>
      <explain>文本全半角错误。</explain>
      <paraID>60FD34AF</paraID>
      <start>0</start>
      <end>1</end>
      <status>unmodified</status>
      <modifiedWord/>
      <trackRevisions>false</trackRevisions>
    </reviewItem>
    <reviewItem>
      <errorID>1cb4a868-b0e2-49de-b732-876fc47052e5</errorID>
      <errorWord>）</errorWord>
      <group>L1_Format</group>
      <groupName>格式问题</groupName>
      <ability>L2_HalfPunc</ability>
      <abilityName>全半角检查</abilityName>
      <candidateList>
        <item>)</item>
      </candidateList>
      <explain>文本全半角错误。</explain>
      <paraID>60FD34AF</paraID>
      <start>11</start>
      <end>12</end>
      <status>unmodified</status>
      <modifiedWord/>
      <trackRevisions>false</trackRevisions>
    </reviewItem>
    <reviewItem>
      <errorID>f16e6ed8-e004-4fda-9003-68dd3344798f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3EA5223B</paraID>
      <start>0</start>
      <end>2</end>
      <status>unmodified</status>
      <modifiedWord/>
      <trackRevisions>false</trackRevisions>
    </reviewItem>
    <reviewItem>
      <errorID>c8f699c9-3f97-4979-8923-0fe16c6edf3b</errorID>
      <errorWord>(</errorWord>
      <group>L1_Format</group>
      <groupName>格式问题</groupName>
      <ability>L2_HalfPunc</ability>
      <abilityName>全半角检查</abilityName>
      <candidateList>
        <item>（</item>
      </candidateList>
      <explain>文本全半角错误。</explain>
      <paraID>20C24D04</paraID>
      <start>34</start>
      <end>35</end>
      <status>unmodified</status>
      <modifiedWord/>
      <trackRevisions>false</trackRevisions>
    </reviewItem>
    <reviewItem>
      <errorID>60cc1bad-8ee0-43ed-8f3d-2fa2a13e7a46</errorID>
      <errorWord>)</errorWord>
      <group>L1_Format</group>
      <groupName>格式问题</groupName>
      <ability>L2_HalfPunc</ability>
      <abilityName>全半角检查</abilityName>
      <candidateList>
        <item>）</item>
      </candidateList>
      <explain>文本全半角错误。</explain>
      <paraID>20C24D04</paraID>
      <start>36</start>
      <end>37</end>
      <status>unmodified</status>
      <modifiedWord/>
      <trackRevisions>false</trackRevisions>
    </reviewItem>
    <reviewItem>
      <errorID>0cec2315-939f-40a5-88b3-4f1a7ea02d0e</errorID>
      <errorWord>类</errorWord>
      <group>L1_Word</group>
      <groupName>字词问题</groupName>
      <ability>L2_Typo</ability>
      <abilityName>字词错误</abilityName>
      <candidateList>
        <item>类为</item>
      </candidateList>
      <explain/>
      <paraID>15233E33</paraID>
      <start>24</start>
      <end>25</end>
      <status>unmodified</status>
      <modifiedWord/>
      <trackRevisions>false</trackRevisions>
    </reviewItem>
    <reviewItem>
      <errorID>f49d5601-af10-42be-b29b-70acf3d00a4c</errorID>
      <errorWord>见</errorWord>
      <group>L1_Word</group>
      <groupName>字词问题</groupName>
      <ability>L2_Typo</ability>
      <abilityName>字词错误</abilityName>
      <candidateList>
        <item>见下</item>
      </candidateList>
      <explain/>
      <paraID>4901CCED</paraID>
      <start>64</start>
      <end>65</end>
      <status>unmodified</status>
      <modifiedWord/>
      <trackRevisions>false</trackRevisions>
    </reviewItem>
    <reviewItem>
      <errorID>b63edd18-e47b-42f2-8681-ef09c33dc82b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3C7CFCB9</paraID>
      <start>436</start>
      <end>437</end>
      <status>unmodified</status>
      <modifiedWord/>
      <trackRevisions>false</trackRevisions>
    </reviewItem>
    <reviewItem>
      <errorID>a27d5b3f-359d-4f7a-bbbd-de8d2b04d660</errorID>
      <errorWord>(</errorWord>
      <group>L1_Format</group>
      <groupName>格式问题</groupName>
      <ability>L2_HalfPunc</ability>
      <abilityName>全半角检查</abilityName>
      <candidateList>
        <item>（</item>
      </candidateList>
      <explain>文本全半角错误。</explain>
      <paraID>239F1969</paraID>
      <start>6</start>
      <end>7</end>
      <status>unmodified</status>
      <modifiedWord/>
      <trackRevisions>false</trackRevisions>
    </reviewItem>
    <reviewItem>
      <errorID>e0a863c0-3366-4627-8b79-18b750e9cfd0</errorID>
      <errorWord>)</errorWord>
      <group>L1_Format</group>
      <groupName>格式问题</groupName>
      <ability>L2_HalfPunc</ability>
      <abilityName>全半角检查</abilityName>
      <candidateList>
        <item>）</item>
      </candidateList>
      <explain>文本全半角错误。</explain>
      <paraID>239F1969</paraID>
      <start>8</start>
      <end>9</end>
      <status>unmodified</status>
      <modifiedWord/>
      <trackRevisions>false</trackRevisions>
    </reviewItem>
    <reviewItem>
      <errorID>3fe02de3-9cef-4e93-8c27-36a4a427fc14</errorID>
      <errorWord>(</errorWord>
      <group>L1_Format</group>
      <groupName>格式问题</groupName>
      <ability>L2_HalfPunc</ability>
      <abilityName>全半角检查</abilityName>
      <candidateList>
        <item>（</item>
      </candidateList>
      <explain>文本全半角错误。</explain>
      <paraID>2381ADFB</paraID>
      <start>12</start>
      <end>13</end>
      <status>unmodified</status>
      <modifiedWord/>
      <trackRevisions>false</trackRevisions>
    </reviewItem>
    <reviewItem>
      <errorID>975d405d-c032-467c-8659-b61b625be47f</errorID>
      <errorWord>)</errorWord>
      <group>L1_Format</group>
      <groupName>格式问题</groupName>
      <ability>L2_HalfPunc</ability>
      <abilityName>全半角检查</abilityName>
      <candidateList>
        <item>）</item>
      </candidateList>
      <explain>文本全半角错误。</explain>
      <paraID>2381ADFB</paraID>
      <start>14</start>
      <end>15</end>
      <status>unmodified</status>
      <modifiedWord/>
      <trackRevisions>false</trackRevisions>
    </reviewItem>
    <reviewItem>
      <errorID>78f8c7b3-55e7-4a25-b43e-574a554951c6</errorID>
      <errorWord>(</errorWord>
      <group>L1_Format</group>
      <groupName>格式问题</groupName>
      <ability>L2_HalfPunc</ability>
      <abilityName>全半角检查</abilityName>
      <candidateList>
        <item>（</item>
      </candidateList>
      <explain>文本全半角错误。</explain>
      <paraID>7FC4B5F8</paraID>
      <start>4</start>
      <end>5</end>
      <status>unmodified</status>
      <modifiedWord/>
      <trackRevisions>false</trackRevisions>
    </reviewItem>
    <reviewItem>
      <errorID>14b0b8ce-d1d8-4361-8cec-de0f4bd1dda3</errorID>
      <errorWord>)</errorWord>
      <group>L1_Format</group>
      <groupName>格式问题</groupName>
      <ability>L2_HalfPunc</ability>
      <abilityName>全半角检查</abilityName>
      <candidateList>
        <item>）</item>
      </candidateList>
      <explain>文本全半角错误。</explain>
      <paraID>7FC4B5F8</paraID>
      <start>7</start>
      <end>8</end>
      <status>unmodified</status>
      <modifiedWord/>
      <trackRevisions>false</trackRevisions>
    </reviewItem>
    <reviewItem>
      <errorID>ef5a0812-f6dc-47e8-9e13-0b5646ad2648</errorID>
      <errorWord>(</errorWord>
      <group>L1_Format</group>
      <groupName>格式问题</groupName>
      <ability>L2_HalfPunc</ability>
      <abilityName>全半角检查</abilityName>
      <candidateList>
        <item>（</item>
      </candidateList>
      <explain>文本全半角错误。</explain>
      <paraID>7AE33210</paraID>
      <start>4</start>
      <end>5</end>
      <status>unmodified</status>
      <modifiedWord/>
      <trackRevisions>false</trackRevisions>
    </reviewItem>
    <reviewItem>
      <errorID>6914954f-6ff8-4388-bf6b-967fcf1368bc</errorID>
      <errorWord>)</errorWord>
      <group>L1_Format</group>
      <groupName>格式问题</groupName>
      <ability>L2_HalfPunc</ability>
      <abilityName>全半角检查</abilityName>
      <candidateList>
        <item>）</item>
      </candidateList>
      <explain>文本全半角错误。</explain>
      <paraID>7AE33210</paraID>
      <start>7</start>
      <end>8</end>
      <status>unmodified</status>
      <modifiedWord/>
      <trackRevisions>false</trackRevisions>
    </reviewItem>
    <reviewItem>
      <errorID>ce376b6e-eb44-4a61-9b10-726582d3027a</errorID>
      <errorWord>(</errorWord>
      <group>L1_Format</group>
      <groupName>格式问题</groupName>
      <ability>L2_HalfPunc</ability>
      <abilityName>全半角检查</abilityName>
      <candidateList>
        <item>（</item>
      </candidateList>
      <explain>文本全半角错误。</explain>
      <paraID>5D79851D</paraID>
      <start>4</start>
      <end>5</end>
      <status>unmodified</status>
      <modifiedWord/>
      <trackRevisions>false</trackRevisions>
    </reviewItem>
    <reviewItem>
      <errorID>e942acda-1ff7-4713-9a7f-83c55f022aa3</errorID>
      <errorWord>)</errorWord>
      <group>L1_Format</group>
      <groupName>格式问题</groupName>
      <ability>L2_HalfPunc</ability>
      <abilityName>全半角检查</abilityName>
      <candidateList>
        <item>）</item>
      </candidateList>
      <explain>文本全半角错误。</explain>
      <paraID>5D79851D</paraID>
      <start>7</start>
      <end>8</end>
      <status>unmodified</status>
      <modifiedWord/>
      <trackRevisions>false</trackRevisions>
    </reviewItem>
    <reviewItem>
      <errorID>0694aba4-b2b9-4911-9ebd-c045ee4ad2ee</errorID>
      <errorWord>(</errorWord>
      <group>L1_Format</group>
      <groupName>格式问题</groupName>
      <ability>L2_HalfPunc</ability>
      <abilityName>全半角检查</abilityName>
      <candidateList>
        <item>（</item>
      </candidateList>
      <explain>文本全半角错误。</explain>
      <paraID>5AED2A00</paraID>
      <start>4</start>
      <end>5</end>
      <status>unmodified</status>
      <modifiedWord/>
      <trackRevisions>false</trackRevisions>
    </reviewItem>
    <reviewItem>
      <errorID>68bcf77b-dda4-469f-9d32-3aaddacece84</errorID>
      <errorWord>)</errorWord>
      <group>L1_Format</group>
      <groupName>格式问题</groupName>
      <ability>L2_HalfPunc</ability>
      <abilityName>全半角检查</abilityName>
      <candidateList>
        <item>）</item>
      </candidateList>
      <explain>文本全半角错误。</explain>
      <paraID>5AED2A00</paraID>
      <start>7</start>
      <end>8</end>
      <status>unmodified</status>
      <modifiedWord/>
      <trackRevisions>false</trackRevisions>
    </reviewItem>
    <reviewItem>
      <errorID>9de12d68-407b-42c7-85f0-17b54bae06bd</errorID>
      <errorWord>(</errorWord>
      <group>L1_Format</group>
      <groupName>格式问题</groupName>
      <ability>L2_HalfPunc</ability>
      <abilityName>全半角检查</abilityName>
      <candidateList>
        <item>（</item>
      </candidateList>
      <explain>文本全半角错误。</explain>
      <paraID>3C2A333F</paraID>
      <start>7</start>
      <end>8</end>
      <status>unmodified</status>
      <modifiedWord/>
      <trackRevisions>false</trackRevisions>
    </reviewItem>
    <reviewItem>
      <errorID>31acbe97-6205-4eff-95ae-64fb8d80fdc1</errorID>
      <errorWord>)</errorWord>
      <group>L1_Format</group>
      <groupName>格式问题</groupName>
      <ability>L2_HalfPunc</ability>
      <abilityName>全半角检查</abilityName>
      <candidateList>
        <item>）</item>
      </candidateList>
      <explain>文本全半角错误。</explain>
      <paraID>3C2A333F</paraID>
      <start>10</start>
      <end>11</end>
      <status>unmodified</status>
      <modifiedWord/>
      <trackRevisions>false</trackRevisions>
    </reviewItem>
    <reviewItem>
      <errorID>79ed233c-0b60-4c7c-a15a-6d0703f449e2</errorID>
      <errorWord>(</errorWord>
      <group>L1_Format</group>
      <groupName>格式问题</groupName>
      <ability>L2_HalfPunc</ability>
      <abilityName>全半角检查</abilityName>
      <candidateList>
        <item>（</item>
      </candidateList>
      <explain>文本全半角错误。</explain>
      <paraID>44AA3AF3</paraID>
      <start>7</start>
      <end>8</end>
      <status>unmodified</status>
      <modifiedWord/>
      <trackRevisions>false</trackRevisions>
    </reviewItem>
    <reviewItem>
      <errorID>6330bad9-0d7a-4e73-94d7-edbee5508a03</errorID>
      <errorWord>)</errorWord>
      <group>L1_Format</group>
      <groupName>格式问题</groupName>
      <ability>L2_HalfPunc</ability>
      <abilityName>全半角检查</abilityName>
      <candidateList>
        <item>）</item>
      </candidateList>
      <explain>文本全半角错误。</explain>
      <paraID>44AA3AF3</paraID>
      <start>10</start>
      <end>11</end>
      <status>unmodified</status>
      <modifiedWord/>
      <trackRevisions>false</trackRevisions>
    </reviewItem>
    <reviewItem>
      <errorID>19e56cc5-da21-4662-862f-8db65a6cd65b</errorID>
      <errorWord>(</errorWord>
      <group>L1_Format</group>
      <groupName>格式问题</groupName>
      <ability>L2_HalfPunc</ability>
      <abilityName>全半角检查</abilityName>
      <candidateList>
        <item>（</item>
      </candidateList>
      <explain>文本全半角错误。</explain>
      <paraID>3827526A</paraID>
      <start>7</start>
      <end>8</end>
      <status>unmodified</status>
      <modifiedWord/>
      <trackRevisions>false</trackRevisions>
    </reviewItem>
    <reviewItem>
      <errorID>8703b85b-22f8-4c28-b88b-141ab0c53eeb</errorID>
      <errorWord>)</errorWord>
      <group>L1_Format</group>
      <groupName>格式问题</groupName>
      <ability>L2_HalfPunc</ability>
      <abilityName>全半角检查</abilityName>
      <candidateList>
        <item>）</item>
      </candidateList>
      <explain>文本全半角错误。</explain>
      <paraID>3827526A</paraID>
      <start>10</start>
      <end>11</end>
      <status>unmodified</status>
      <modifiedWord/>
      <trackRevisions>false</trackRevisions>
    </reviewItem>
    <reviewItem>
      <errorID>88e5dca4-9464-40e9-aa84-0df517efe27b</errorID>
      <errorWord>(</errorWord>
      <group>L1_Format</group>
      <groupName>格式问题</groupName>
      <ability>L2_HalfPunc</ability>
      <abilityName>全半角检查</abilityName>
      <candidateList>
        <item>（</item>
      </candidateList>
      <explain>文本全半角错误。</explain>
      <paraID>17073206</paraID>
      <start>7</start>
      <end>8</end>
      <status>unmodified</status>
      <modifiedWord/>
      <trackRevisions>false</trackRevisions>
    </reviewItem>
    <reviewItem>
      <errorID>f4bc6dc6-5773-4c47-8bf6-61680175df76</errorID>
      <errorWord>)</errorWord>
      <group>L1_Format</group>
      <groupName>格式问题</groupName>
      <ability>L2_HalfPunc</ability>
      <abilityName>全半角检查</abilityName>
      <candidateList>
        <item>）</item>
      </candidateList>
      <explain>文本全半角错误。</explain>
      <paraID>17073206</paraID>
      <start>10</start>
      <end>11</end>
      <status>unmodified</status>
      <modifiedWord/>
      <trackRevisions>false</trackRevisions>
    </reviewItem>
    <reviewItem>
      <errorID>a6f3719c-2e47-41e7-b56e-6ecfabc8d58c</errorID>
      <errorWord>(</errorWord>
      <group>L1_Format</group>
      <groupName>格式问题</groupName>
      <ability>L2_HalfPunc</ability>
      <abilityName>全半角检查</abilityName>
      <candidateList>
        <item>（</item>
      </candidateList>
      <explain>文本全半角错误。</explain>
      <paraID>5F8D3594</paraID>
      <start>7</start>
      <end>8</end>
      <status>unmodified</status>
      <modifiedWord/>
      <trackRevisions>false</trackRevisions>
    </reviewItem>
    <reviewItem>
      <errorID>f2b6357e-0419-417e-aa7c-9b9ca39bf33f</errorID>
      <errorWord>)</errorWord>
      <group>L1_Format</group>
      <groupName>格式问题</groupName>
      <ability>L2_HalfPunc</ability>
      <abilityName>全半角检查</abilityName>
      <candidateList>
        <item>）</item>
      </candidateList>
      <explain>文本全半角错误。</explain>
      <paraID>5F8D3594</paraID>
      <start>10</start>
      <end>11</end>
      <status>unmodified</status>
      <modifiedWord/>
      <trackRevisions>false</trackRevisions>
    </reviewItem>
    <reviewItem>
      <errorID>fe289b22-1558-4f86-b0cc-e86797c225e5</errorID>
      <errorWord>(</errorWord>
      <group>L1_Format</group>
      <groupName>格式问题</groupName>
      <ability>L2_HalfPunc</ability>
      <abilityName>全半角检查</abilityName>
      <candidateList>
        <item>（</item>
      </candidateList>
      <explain>文本全半角错误。</explain>
      <paraID>72E0ACCF</paraID>
      <start>7</start>
      <end>8</end>
      <status>unmodified</status>
      <modifiedWord/>
      <trackRevisions>false</trackRevisions>
    </reviewItem>
    <reviewItem>
      <errorID>15cf7f00-8f10-4a62-9cce-fde73387714b</errorID>
      <errorWord>)</errorWord>
      <group>L1_Format</group>
      <groupName>格式问题</groupName>
      <ability>L2_HalfPunc</ability>
      <abilityName>全半角检查</abilityName>
      <candidateList>
        <item>）</item>
      </candidateList>
      <explain>文本全半角错误。</explain>
      <paraID>72E0ACCF</paraID>
      <start>10</start>
      <end>11</end>
      <status>unmodified</status>
      <modifiedWord/>
      <trackRevisions>false</trackRevisions>
    </reviewItem>
    <reviewItem>
      <errorID>27becff8-2f57-429b-9bfa-0c5cb6655557</errorID>
      <errorWord>(</errorWord>
      <group>L1_Format</group>
      <groupName>格式问题</groupName>
      <ability>L2_HalfPunc</ability>
      <abilityName>全半角检查</abilityName>
      <candidateList>
        <item>（</item>
      </candidateList>
      <explain>文本全半角错误。</explain>
      <paraID>127E5ED5</paraID>
      <start>7</start>
      <end>8</end>
      <status>unmodified</status>
      <modifiedWord/>
      <trackRevisions>false</trackRevisions>
    </reviewItem>
    <reviewItem>
      <errorID>c6349701-dc47-4cc2-a006-de6f600cedfc</errorID>
      <errorWord>)</errorWord>
      <group>L1_Format</group>
      <groupName>格式问题</groupName>
      <ability>L2_HalfPunc</ability>
      <abilityName>全半角检查</abilityName>
      <candidateList>
        <item>）</item>
      </candidateList>
      <explain>文本全半角错误。</explain>
      <paraID>127E5ED5</paraID>
      <start>10</start>
      <end>11</end>
      <status>unmodified</status>
      <modifiedWord/>
      <trackRevisions>false</trackRevisions>
    </reviewItem>
    <reviewItem>
      <errorID>d1407c64-193b-4ed7-a34d-79b6ec31959e</errorID>
      <errorWord>(</errorWord>
      <group>L1_Format</group>
      <groupName>格式问题</groupName>
      <ability>L2_HalfPunc</ability>
      <abilityName>全半角检查</abilityName>
      <candidateList>
        <item>（</item>
      </candidateList>
      <explain>文本全半角错误。</explain>
      <paraID>6E993321</paraID>
      <start>7</start>
      <end>8</end>
      <status>unmodified</status>
      <modifiedWord/>
      <trackRevisions>false</trackRevisions>
    </reviewItem>
    <reviewItem>
      <errorID>ba84136d-06a4-43cd-b77a-e9377d56fc71</errorID>
      <errorWord>)</errorWord>
      <group>L1_Format</group>
      <groupName>格式问题</groupName>
      <ability>L2_HalfPunc</ability>
      <abilityName>全半角检查</abilityName>
      <candidateList>
        <item>）</item>
      </candidateList>
      <explain>文本全半角错误。</explain>
      <paraID>6E993321</paraID>
      <start>10</start>
      <end>11</end>
      <status>unmodified</status>
      <modifiedWord/>
      <trackRevisions>false</trackRevisions>
    </reviewItem>
    <reviewItem>
      <errorID>206a74a0-a98a-48aa-a99b-8fb8bcc1877c</errorID>
      <errorWord>(</errorWord>
      <group>L1_Format</group>
      <groupName>格式问题</groupName>
      <ability>L2_HalfPunc</ability>
      <abilityName>全半角检查</abilityName>
      <candidateList>
        <item>（</item>
      </candidateList>
      <explain>文本全半角错误。</explain>
      <paraID>60FAB87F</paraID>
      <start>7</start>
      <end>8</end>
      <status>unmodified</status>
      <modifiedWord/>
      <trackRevisions>false</trackRevisions>
    </reviewItem>
    <reviewItem>
      <errorID>29d83937-8c54-4fb5-82cc-2d1dc5012e53</errorID>
      <errorWord>)</errorWord>
      <group>L1_Format</group>
      <groupName>格式问题</groupName>
      <ability>L2_HalfPunc</ability>
      <abilityName>全半角检查</abilityName>
      <candidateList>
        <item>）</item>
      </candidateList>
      <explain>文本全半角错误。</explain>
      <paraID>60FAB87F</paraID>
      <start>10</start>
      <end>11</end>
      <status>unmodified</status>
      <modifiedWord/>
      <trackRevisions>false</trackRevisions>
    </reviewItem>
    <reviewItem>
      <errorID>5377321b-a918-4c72-b549-fe9cb7fcb23e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2A27AB84</paraID>
      <start>0</start>
      <end>2</end>
      <status>unmodified</status>
      <modifiedWord/>
      <trackRevisions>false</trackRevisions>
    </reviewItem>
    <reviewItem>
      <errorID>a529e2cd-2d89-47fc-9a16-ac5914d1d0bb</errorID>
      <errorWord>：</errorWord>
      <group>L1_Format</group>
      <groupName>格式问题</groupName>
      <ability>L2_HalfPunc</ability>
      <abilityName>全半角检查</abilityName>
      <candidateList>
        <item>:</item>
      </candidateList>
      <explain>文本全半角错误。</explain>
      <paraID> 1CD91F3</paraID>
      <start>4</start>
      <end>5</end>
      <status>unmodified</status>
      <modifiedWord/>
      <trackRevisions>false</trackRevisions>
    </reviewItem>
    <reviewItem>
      <errorID>dd1166b9-2e6d-4bdb-b222-d030e5cef454</errorID>
      <errorWord>(</errorWord>
      <group>L1_Format</group>
      <groupName>格式问题</groupName>
      <ability>L2_HalfPunc</ability>
      <abilityName>全半角检查</abilityName>
      <candidateList>
        <item>（</item>
      </candidateList>
      <explain>文本全半角错误。</explain>
      <paraID>36637CB1</paraID>
      <start>15</start>
      <end>16</end>
      <status>unmodified</status>
      <modifiedWord/>
      <trackRevisions>false</trackRevisions>
    </reviewItem>
    <reviewItem>
      <errorID>4c415738-6441-439c-99af-279d15eabdf5</errorID>
      <errorWord>)</errorWord>
      <group>L1_Format</group>
      <groupName>格式问题</groupName>
      <ability>L2_HalfPunc</ability>
      <abilityName>全半角检查</abilityName>
      <candidateList>
        <item>）</item>
      </candidateList>
      <explain>文本全半角错误。</explain>
      <paraID>36637CB1</paraID>
      <start>21</start>
      <end>22</end>
      <status>unmodified</status>
      <modifiedWord/>
      <trackRevisions>false</trackRevisions>
    </reviewItem>
    <reviewItem>
      <errorID>ce36ea00-dc34-49f7-b941-dd128c1bf4ad</errorID>
      <errorWord>：</errorWord>
      <group>L1_Format</group>
      <groupName>格式问题</groupName>
      <ability>L2_HalfPunc</ability>
      <abilityName>全半角检查</abilityName>
      <candidateList>
        <item>:</item>
      </candidateList>
      <explain>文本全半角错误。</explain>
      <paraID> 4A1F9B1</paraID>
      <start>4</start>
      <end>5</end>
      <status>unmodified</status>
      <modifiedWord/>
      <trackRevisions>false</trackRevisions>
    </reviewItem>
    <reviewItem>
      <errorID>fe9f3015-9f55-4a66-8bb7-91fd7585e335</errorID>
      <errorWord>剌激</errorWord>
      <group>L1_Word</group>
      <groupName>字词问题</groupName>
      <ability>L2_Typo</ability>
      <abilityName>字词错误</abilityName>
      <candidateList>
        <item>刺激</item>
      </candidateList>
      <explain>〈动〉❶现实的物体和现象作用于感觉器官；声、光、热等引起生物体活动或变化。❷推动事物，使起积极的变化：～食欲｜～生产力的发展。❸使人激动；使人精神上受到挫折或打击；多年的收藏毁于一旦，对他～很大。</explain>
      <paraID>62996B8D</paraID>
      <start>19</start>
      <end>21</end>
      <status>unmodified</status>
      <modifiedWord/>
      <trackRevisions>false</trackRevisions>
    </reviewItem>
    <reviewItem>
      <errorID>80c9d3db-2d3e-423e-9849-12f02b6f99bf</errorID>
      <errorWord>：</errorWord>
      <group>L1_Format</group>
      <groupName>格式问题</groupName>
      <ability>L2_HalfPunc</ability>
      <abilityName>全半角检查</abilityName>
      <candidateList>
        <item>:</item>
      </candidateList>
      <explain>文本全半角错误。</explain>
      <paraID> 1CB7D7A</paraID>
      <start>4</start>
      <end>5</end>
      <status>unmodified</status>
      <modifiedWord/>
      <trackRevisions>false</trackRevisions>
    </reviewItem>
    <reviewItem>
      <errorID>ca829593-a743-4334-82f8-94043207b786</errorID>
      <errorWord>(</errorWord>
      <group>L1_Format</group>
      <groupName>格式问题</groupName>
      <ability>L2_HalfPunc</ability>
      <abilityName>全半角检查</abilityName>
      <candidateList>
        <item>（</item>
      </candidateList>
      <explain>文本全半角错误。</explain>
      <paraID> 1CB7D7A</paraID>
      <start>14</start>
      <end>15</end>
      <status>unmodified</status>
      <modifiedWord/>
      <trackRevisions>false</trackRevisions>
    </reviewItem>
    <reviewItem>
      <errorID>6cf0d864-e404-4826-aed5-4cfc70ec8525</errorID>
      <errorWord>)</errorWord>
      <group>L1_Format</group>
      <groupName>格式问题</groupName>
      <ability>L2_HalfPunc</ability>
      <abilityName>全半角检查</abilityName>
      <candidateList>
        <item>）</item>
      </candidateList>
      <explain>文本全半角错误。</explain>
      <paraID> 1CB7D7A</paraID>
      <start>19</start>
      <end>20</end>
      <status>unmodified</status>
      <modifiedWord/>
      <trackRevisions>false</trackRevisions>
    </reviewItem>
    <reviewItem>
      <errorID>aa78df3d-caba-4acf-8dba-d27d192c5538</errorID>
      <errorWord>(</errorWord>
      <group>L1_Format</group>
      <groupName>格式问题</groupName>
      <ability>L2_HalfPunc</ability>
      <abilityName>全半角检查</abilityName>
      <candidateList>
        <item>（</item>
      </candidateList>
      <explain>文本全半角错误。</explain>
      <paraID> 1CB7D7A</paraID>
      <start>30</start>
      <end>31</end>
      <status>unmodified</status>
      <modifiedWord/>
      <trackRevisions>false</trackRevisions>
    </reviewItem>
    <reviewItem>
      <errorID>a4600d66-6819-4c94-ad07-89cfc287a4c2</errorID>
      <errorWord>)</errorWord>
      <group>L1_Format</group>
      <groupName>格式问题</groupName>
      <ability>L2_HalfPunc</ability>
      <abilityName>全半角检查</abilityName>
      <candidateList>
        <item>）</item>
      </candidateList>
      <explain>文本全半角错误。</explain>
      <paraID> 1CB7D7A</paraID>
      <start>35</start>
      <end>36</end>
      <status>unmodified</status>
      <modifiedWord/>
      <trackRevisions>false</trackRevisions>
    </reviewItem>
    <reviewItem>
      <errorID>a0008e2c-2261-4e14-aec9-1f2ddcb4fac1</errorID>
      <errorWord>(</errorWord>
      <group>L1_Format</group>
      <groupName>格式问题</groupName>
      <ability>L2_HalfPunc</ability>
      <abilityName>全半角检查</abilityName>
      <candidateList>
        <item>（</item>
      </candidateList>
      <explain>文本全半角错误。</explain>
      <paraID> 1CB7D7A</paraID>
      <start>45</start>
      <end>46</end>
      <status>unmodified</status>
      <modifiedWord/>
      <trackRevisions>false</trackRevisions>
    </reviewItem>
    <reviewItem>
      <errorID>2aafc4c1-5ffb-486a-a270-3b02530f1398</errorID>
      <errorWord>)</errorWord>
      <group>L1_Format</group>
      <groupName>格式问题</groupName>
      <ability>L2_HalfPunc</ability>
      <abilityName>全半角检查</abilityName>
      <candidateList>
        <item>）</item>
      </candidateList>
      <explain>文本全半角错误。</explain>
      <paraID> 1CB7D7A</paraID>
      <start>50</start>
      <end>51</end>
      <status>unmodified</status>
      <modifiedWord/>
      <trackRevisions>false</trackRevisions>
    </reviewItem>
    <reviewItem>
      <errorID>f9854da6-a314-4af4-aaf5-d12d0d5567ea</errorID>
      <errorWord>(</errorWord>
      <group>L1_Format</group>
      <groupName>格式问题</groupName>
      <ability>L2_HalfPunc</ability>
      <abilityName>全半角检查</abilityName>
      <candidateList>
        <item>（</item>
      </candidateList>
      <explain>文本全半角错误。</explain>
      <paraID> 1CB7D7A</paraID>
      <start>63</start>
      <end>64</end>
      <status>unmodified</status>
      <modifiedWord/>
      <trackRevisions>false</trackRevisions>
    </reviewItem>
    <reviewItem>
      <errorID>7b9f6a73-cf0d-430d-9c39-ea164803b5f1</errorID>
      <errorWord>)</errorWord>
      <group>L1_Format</group>
      <groupName>格式问题</groupName>
      <ability>L2_HalfPunc</ability>
      <abilityName>全半角检查</abilityName>
      <candidateList>
        <item>）</item>
      </candidateList>
      <explain>文本全半角错误。</explain>
      <paraID> 1CB7D7A</paraID>
      <start>67</start>
      <end>68</end>
      <status>unmodified</status>
      <modifiedWord/>
      <trackRevisions>false</trackRevisions>
    </reviewItem>
    <reviewItem>
      <errorID>489c1e51-001e-4dfc-8574-9c987d9dad69</errorID>
      <errorWord>-</errorWord>
      <group>L1_Format</group>
      <groupName>格式问题</groupName>
      <ability>L2_HalfPunc</ability>
      <abilityName>全半角检查</abilityName>
      <candidateList>
        <item>－</item>
      </candidateList>
      <explain>文本全半角错误。</explain>
      <paraID>2C8BFBFB</paraID>
      <start>4</start>
      <end>5</end>
      <status>unmodified</status>
      <modifiedWord/>
      <trackRevisions>false</trackRevisions>
    </reviewItem>
    <reviewItem>
      <errorID>dd32a43b-d756-4336-83d6-379c1c1d855f</errorID>
      <errorWord>-</errorWord>
      <group>L1_Format</group>
      <groupName>格式问题</groupName>
      <ability>L2_HalfPunc</ability>
      <abilityName>全半角检查</abilityName>
      <candidateList>
        <item>－</item>
      </candidateList>
      <explain>文本全半角错误。</explain>
      <paraID>2C8BFBFB</paraID>
      <start>17</start>
      <end>18</end>
      <status>unmodified</status>
      <modifiedWord/>
      <trackRevisions>false</trackRevisions>
    </reviewItem>
    <reviewItem>
      <errorID>c05a8757-8a94-4e01-8fd7-4e9b1351f716</errorID>
      <errorWord>-</errorWord>
      <group>L1_Format</group>
      <groupName>格式问题</groupName>
      <ability>L2_HalfPunc</ability>
      <abilityName>全半角检查</abilityName>
      <candidateList>
        <item>－</item>
      </candidateList>
      <explain>文本全半角错误。</explain>
      <paraID>2C8BFBFB</paraID>
      <start>30</start>
      <end>31</end>
      <status>unmodified</status>
      <modifiedWord/>
      <trackRevisions>false</trackRevisions>
    </reviewItem>
    <reviewItem>
      <errorID>151401b0-3420-4e5a-98f4-ec57efcce66b</errorID>
      <errorWord>-</errorWord>
      <group>L1_Format</group>
      <groupName>格式问题</groupName>
      <ability>L2_HalfPunc</ability>
      <abilityName>全半角检查</abilityName>
      <candidateList>
        <item>－</item>
      </candidateList>
      <explain>文本全半角错误。</explain>
      <paraID>2C8BFBFB</paraID>
      <start>86</start>
      <end>87</end>
      <status>unmodified</status>
      <modifiedWord/>
      <trackRevisions>false</trackRevisions>
    </reviewItem>
    <reviewItem>
      <errorID>bcd05d35-40d5-415a-bf76-62e95c32b231</errorID>
      <errorWord>：</errorWord>
      <group>L1_Format</group>
      <groupName>格式问题</groupName>
      <ability>L2_HalfPunc</ability>
      <abilityName>全半角检查</abilityName>
      <candidateList>
        <item>:</item>
      </candidateList>
      <explain>文本全半角错误。</explain>
      <paraID>5490D808</paraID>
      <start>4</start>
      <end>5</end>
      <status>unmodified</status>
      <modifiedWord/>
      <trackRevisions>false</trackRevisions>
    </reviewItem>
    <reviewItem>
      <errorID>079ed9d5-c83d-494d-8ad7-7343264922b6</errorID>
      <errorWord>：</errorWord>
      <group>L1_Format</group>
      <groupName>格式问题</groupName>
      <ability>L2_HalfPunc</ability>
      <abilityName>全半角检查</abilityName>
      <candidateList>
        <item>:</item>
      </candidateList>
      <explain>文本全半角错误。</explain>
      <paraID>35A81E26</paraID>
      <start>4</start>
      <end>5</end>
      <status>unmodified</status>
      <modifiedWord/>
      <trackRevisions>false</trackRevisions>
    </reviewItem>
    <reviewItem>
      <errorID>1de9e9c9-b56d-4779-8a51-8fbae47b47cb</errorID>
      <errorWord>：</errorWord>
      <group>L1_Format</group>
      <groupName>格式问题</groupName>
      <ability>L2_HalfPunc</ability>
      <abilityName>全半角检查</abilityName>
      <candidateList>
        <item>:</item>
      </candidateList>
      <explain>文本全半角错误。</explain>
      <paraID>7B20B651</paraID>
      <start>4</start>
      <end>5</end>
      <status>unmodified</status>
      <modifiedWord/>
      <trackRevisions>false</trackRevisions>
    </reviewItem>
    <reviewItem>
      <errorID>d674b98f-a375-40f7-b3c5-ea24bafbde2c</errorID>
      <errorWord>-</errorWord>
      <group>L1_Format</group>
      <groupName>格式问题</groupName>
      <ability>L2_HalfPunc</ability>
      <abilityName>全半角检查</abilityName>
      <candidateList>
        <item>－</item>
      </candidateList>
      <explain>文本全半角错误。</explain>
      <paraID>2970081F</paraID>
      <start>4</start>
      <end>5</end>
      <status>unmodified</status>
      <modifiedWord/>
      <trackRevisions>false</trackRevisions>
    </reviewItem>
    <reviewItem>
      <errorID>239fade3-5e0f-4ce1-b1c9-91a09a93481a</errorID>
      <errorWord>-</errorWord>
      <group>L1_Format</group>
      <groupName>格式问题</groupName>
      <ability>L2_HalfPunc</ability>
      <abilityName>全半角检查</abilityName>
      <candidateList>
        <item>－</item>
      </candidateList>
      <explain>文本全半角错误。</explain>
      <paraID>6C630681</paraID>
      <start>4</start>
      <end>5</end>
      <status>unmodified</status>
      <modifiedWord/>
      <trackRevisions>false</trackRevisions>
    </reviewItem>
    <reviewItem>
      <errorID>831dc9d8-f0c6-4bfc-afe5-7d736afc877e</errorID>
      <errorWord>-</errorWord>
      <group>L1_Format</group>
      <groupName>格式问题</groupName>
      <ability>L2_HalfPunc</ability>
      <abilityName>全半角检查</abilityName>
      <candidateList>
        <item>－</item>
      </candidateList>
      <explain>文本全半角错误。</explain>
      <paraID>67A397C2</paraID>
      <start>8</start>
      <end>9</end>
      <status>unmodified</status>
      <modifiedWord/>
      <trackRevisions>false</trackRevisions>
    </reviewItem>
    <reviewItem>
      <errorID>1e50aab2-40ab-4c68-ab7f-e85d9d4da52e</errorID>
      <errorWord>食欲不振</errorWord>
      <group>L1_Knowledge</group>
      <groupName>知识性问题</groupName>
      <ability>L2_Term</ability>
      <abilityName>专业术语</abilityName>
      <candidateList>
        <item>食欲缺乏</item>
      </candidateList>
      <explain>医学名词[食欲不振]为不规范表述或旧称，其规范书面表述为[食欲缺乏]。</explain>
      <paraID>45243C8B</paraID>
      <start>56</start>
      <end>60</end>
      <status>unmodified</status>
      <modifiedWord/>
      <trackRevisions>false</trackRevisions>
    </reviewItem>
    <reviewItem>
      <errorID>3762d8b6-fcda-476f-af49-aca61317b4e7</errorID>
      <errorWord>：</errorWord>
      <group>L1_Format</group>
      <groupName>格式问题</groupName>
      <ability>L2_HalfPunc</ability>
      <abilityName>全半角检查</abilityName>
      <candidateList>
        <item>:</item>
      </candidateList>
      <explain>文本全半角错误。</explain>
      <paraID>49E7B355</paraID>
      <start>4</start>
      <end>5</end>
      <status>unmodified</status>
      <modifiedWord/>
      <trackRevisions>false</trackRevisions>
    </reviewItem>
    <reviewItem>
      <errorID>84005d77-b625-4eca-b1d4-9db165bf716e</errorID>
      <errorWord>：</errorWord>
      <group>L1_Format</group>
      <groupName>格式问题</groupName>
      <ability>L2_HalfPunc</ability>
      <abilityName>全半角检查</abilityName>
      <candidateList>
        <item>:</item>
      </candidateList>
      <explain>文本全半角错误。</explain>
      <paraID>5A994836</paraID>
      <start>4</start>
      <end>5</end>
      <status>unmodified</status>
      <modifiedWord/>
      <trackRevisions>false</trackRevisions>
    </reviewItem>
    <reviewItem>
      <errorID>20615ea9-f3bb-4cd7-b149-93e666173801</errorID>
      <errorWord>送</errorWord>
      <group>L1_Word</group>
      <groupName>字词问题</groupName>
      <ability>L2_Typo</ability>
      <abilityName>字词错误</abilityName>
      <candidateList>
        <item>送到</item>
      </candidateList>
      <explain/>
      <paraID>6C9346C4</paraID>
      <start>44</start>
      <end>45</end>
      <status>unmodified</status>
      <modifiedWord/>
      <trackRevisions>false</trackRevisions>
    </reviewItem>
    <reviewItem>
      <errorID>d1bc18b8-9051-4655-a677-1023b521e603</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3A597CBF</paraID>
      <start>35</start>
      <end>37</end>
      <status>unmodified</status>
      <modifiedWord/>
      <trackRevisions>false</trackRevisions>
    </reviewItem>
    <reviewItem>
      <errorID>ca3fee41-52e1-41af-8ad6-148901e8dfdb</errorID>
      <errorWord>其它设备</errorWord>
      <group>L1_Word</group>
      <groupName>字词问题</groupName>
      <ability>L2_Alias</ability>
      <abilityName>也作/曾用词</abilityName>
      <candidateList>
        <item>其他设备</item>
      </candidateList>
      <explain>词汇[其它设备]为不规范表述或旧称，其规范书面表述为[其他设备]。</explain>
      <paraID> A06109F</paraID>
      <start>55</start>
      <end>59</end>
      <status>modified</status>
      <modifiedWord>其他设备</modifiedWord>
      <trackRevisions>false</trackRevisions>
    </reviewItem>
    <reviewItem>
      <errorID>27126b07-03d6-4940-9617-f003afff0876</errorID>
      <errorWord>（</errorWord>
      <group>L1_Format</group>
      <groupName>格式问题</groupName>
      <ability>L2_HalfPunc</ability>
      <abilityName>全半角检查</abilityName>
      <candidateList>
        <item>(</item>
      </candidateList>
      <explain>文本全半角错误。</explain>
      <paraID>14ADE3F9</paraID>
      <start>0</start>
      <end>1</end>
      <status>unmodified</status>
      <modifiedWord/>
      <trackRevisions>false</trackRevisions>
    </reviewItem>
    <reviewItem>
      <errorID>fd0050a3-b64e-4722-b4b9-eaf8609945fc</errorID>
      <errorWord>）</errorWord>
      <group>L1_Format</group>
      <groupName>格式问题</groupName>
      <ability>L2_HalfPunc</ability>
      <abilityName>全半角检查</abilityName>
      <candidateList>
        <item>)</item>
      </candidateList>
      <explain>文本全半角错误。</explain>
      <paraID>14ADE3F9</paraID>
      <start>7</start>
      <end>8</end>
      <status>unmodified</status>
      <modifiedWord/>
      <trackRevisions>false</trackRevisions>
    </reviewItem>
    <reviewItem>
      <errorID>5db2d342-7c63-4708-aad0-2c790cdd0a0a</errorID>
      <errorWord>（</errorWord>
      <group>L1_Format</group>
      <groupName>格式问题</groupName>
      <ability>L2_HalfPunc</ability>
      <abilityName>全半角检查</abilityName>
      <candidateList>
        <item>(</item>
      </candidateList>
      <explain>文本全半角错误。</explain>
      <paraID>6FB5E051</paraID>
      <start>0</start>
      <end>1</end>
      <status>unmodified</status>
      <modifiedWord/>
      <trackRevisions>false</trackRevisions>
    </reviewItem>
    <reviewItem>
      <errorID>42964b29-a2e0-4b8a-bb6b-1f72e486793a</errorID>
      <errorWord>）</errorWord>
      <group>L1_Format</group>
      <groupName>格式问题</groupName>
      <ability>L2_HalfPunc</ability>
      <abilityName>全半角检查</abilityName>
      <candidateList>
        <item>)</item>
      </candidateList>
      <explain>文本全半角错误。</explain>
      <paraID>6FB5E051</paraID>
      <start>7</start>
      <end>8</end>
      <status>unmodified</status>
      <modifiedWord/>
      <trackRevisions>false</trackRevisions>
    </reviewItem>
    <reviewItem>
      <errorID>d2e9adf2-4fde-49bd-944f-aafc42648784</errorID>
      <errorWord>（</errorWord>
      <group>L1_Format</group>
      <groupName>格式问题</groupName>
      <ability>L2_HalfPunc</ability>
      <abilityName>全半角检查</abilityName>
      <candidateList>
        <item>(</item>
      </candidateList>
      <explain>文本全半角错误。</explain>
      <paraID>476BC3F9</paraID>
      <start>0</start>
      <end>1</end>
      <status>unmodified</status>
      <modifiedWord/>
      <trackRevisions>false</trackRevisions>
    </reviewItem>
    <reviewItem>
      <errorID>d4496b00-deb8-44cb-9725-b32005978499</errorID>
      <errorWord>）</errorWord>
      <group>L1_Format</group>
      <groupName>格式问题</groupName>
      <ability>L2_HalfPunc</ability>
      <abilityName>全半角检查</abilityName>
      <candidateList>
        <item>)</item>
      </candidateList>
      <explain>文本全半角错误。</explain>
      <paraID>476BC3F9</paraID>
      <start>14</start>
      <end>15</end>
      <status>unmodified</status>
      <modifiedWord/>
      <trackRevisions>false</trackRevisions>
    </reviewItem>
    <reviewItem>
      <errorID>78953d43-f1a4-4e23-8c04-df00ad4609d7</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6C2F357F</paraID>
      <start>0</start>
      <end>2</end>
      <status>unmodified</status>
      <modifiedWord/>
      <trackRevisions>false</trackRevisions>
    </reviewItem>
    <reviewItem>
      <errorID>b340313f-9e57-4fb4-9bfd-a802ab90b510</errorID>
      <errorWord>没</errorWord>
      <group>L1_Word</group>
      <groupName>字词问题</groupName>
      <ability>L2_Typo</ability>
      <abilityName>字词错误</abilityName>
      <candidateList>
        <item>没有</item>
      </candidateList>
      <explain>〈副〉❶表示“已然”的否定：他还～回来｜天还～黑呢。❷表示“曾经”的否定：老张上个星期～回来过｜银行昨天～开门。</explain>
      <paraID> E57211D</paraID>
      <start>176</start>
      <end>177</end>
      <status>unmodified</status>
      <modifiedWord/>
      <trackRevisions>false</trackRevisions>
    </reviewItem>
    <reviewItem>
      <errorID>1f715f16-cfbb-4a5f-9d4a-0e76acaa336f</errorID>
      <errorWord>，</errorWord>
      <group>L1_Word</group>
      <groupName>字词问题</groupName>
      <ability>L2_Typo</ability>
      <abilityName>字词错误</abilityName>
      <candidateList>
        <item>，以</item>
      </candidateList>
      <explain/>
      <paraID>45D4D82F</paraID>
      <start>151</start>
      <end>152</end>
      <status>unmodified</status>
      <modifiedWord/>
      <trackRevisions>false</trackRevisions>
    </reviewItem>
    <reviewItem>
      <errorID>8c87bb4d-7a63-4980-9fa2-c8efe2f681f6</errorID>
      <errorWord>土壤的</errorWord>
      <group>L1_Word</group>
      <groupName>字词问题</groupName>
      <ability>L2_Typo</ability>
      <abilityName>字词错误</abilityName>
      <candidateList>
        <item>土壤</item>
      </candidateList>
      <explain/>
      <paraID>140DBE2D</paraID>
      <start>47</start>
      <end>50</end>
      <status>unmodified</status>
      <modifiedWord/>
      <trackRevisions>false</trackRevisions>
    </reviewItem>
    <reviewItem>
      <errorID>b77ef5f0-fc8b-4bb8-9318-0b689fed65ea</errorID>
      <errorWord>（</errorWord>
      <group>L1_Format</group>
      <groupName>格式问题</groupName>
      <ability>L2_HalfPunc</ability>
      <abilityName>全半角检查</abilityName>
      <candidateList>
        <item>(</item>
      </candidateList>
      <explain>文本全半角错误。</explain>
      <paraID>5B4014EF</paraID>
      <start>11</start>
      <end>12</end>
      <status>unmodified</status>
      <modifiedWord/>
      <trackRevisions>false</trackRevisions>
    </reviewItem>
    <reviewItem>
      <errorID>ceada25c-ee66-4d29-a0bc-334b617dd370</errorID>
      <errorWord>）</errorWord>
      <group>L1_Format</group>
      <groupName>格式问题</groupName>
      <ability>L2_HalfPunc</ability>
      <abilityName>全半角检查</abilityName>
      <candidateList>
        <item>)</item>
      </candidateList>
      <explain>文本全半角错误。</explain>
      <paraID>5B4014EF</paraID>
      <start>15</start>
      <end>16</end>
      <status>unmodified</status>
      <modifiedWord/>
      <trackRevisions>false</trackRevisions>
    </reviewItem>
    <reviewItem>
      <errorID>68c6b21d-cf92-4a46-8ebb-b5dbe394df62</errorID>
      <errorWord>（</errorWord>
      <group>L1_Format</group>
      <groupName>格式问题</groupName>
      <ability>L2_HalfPunc</ability>
      <abilityName>全半角检查</abilityName>
      <candidateList>
        <item>(</item>
      </candidateList>
      <explain>文本全半角错误。</explain>
      <paraID>174A75FC</paraID>
      <start>10</start>
      <end>11</end>
      <status>unmodified</status>
      <modifiedWord/>
      <trackRevisions>false</trackRevisions>
    </reviewItem>
    <reviewItem>
      <errorID>aa40c2dc-3108-4131-8b74-38c7fe22bc1b</errorID>
      <errorWord>）</errorWord>
      <group>L1_Format</group>
      <groupName>格式问题</groupName>
      <ability>L2_HalfPunc</ability>
      <abilityName>全半角检查</abilityName>
      <candidateList>
        <item>)</item>
      </candidateList>
      <explain>文本全半角错误。</explain>
      <paraID>174A75FC</paraID>
      <start>14</start>
      <end>15</end>
      <status>unmodified</status>
      <modifiedWord/>
      <trackRevisions>false</trackRevisions>
    </reviewItem>
    <reviewItem>
      <errorID>1db0e1e6-7d24-4cb0-9a2e-e954621a184e</errorID>
      <errorWord>（</errorWord>
      <group>L1_Format</group>
      <groupName>格式问题</groupName>
      <ability>L2_HalfPunc</ability>
      <abilityName>全半角检查</abilityName>
      <candidateList>
        <item>(</item>
      </candidateList>
      <explain>文本全半角错误。</explain>
      <paraID>740A520A</paraID>
      <start>11</start>
      <end>12</end>
      <status>unmodified</status>
      <modifiedWord/>
      <trackRevisions>false</trackRevisions>
    </reviewItem>
    <reviewItem>
      <errorID>a3d3eb85-52f1-4486-87dc-87a7c294b437</errorID>
      <errorWord>）</errorWord>
      <group>L1_Format</group>
      <groupName>格式问题</groupName>
      <ability>L2_HalfPunc</ability>
      <abilityName>全半角检查</abilityName>
      <candidateList>
        <item>)</item>
      </candidateList>
      <explain>文本全半角错误。</explain>
      <paraID>740A520A</paraID>
      <start>15</start>
      <end>16</end>
      <status>unmodified</status>
      <modifiedWord/>
      <trackRevisions>false</trackRevisions>
    </reviewItem>
    <reviewItem>
      <errorID>bc00a338-5d0d-4144-abd9-03e771f8db53</errorID>
      <errorWord>（</errorWord>
      <group>L1_Format</group>
      <groupName>格式问题</groupName>
      <ability>L2_HalfPunc</ability>
      <abilityName>全半角检查</abilityName>
      <candidateList>
        <item>(</item>
      </candidateList>
      <explain>文本全半角错误。</explain>
      <paraID> 7188A91</paraID>
      <start>11</start>
      <end>12</end>
      <status>unmodified</status>
      <modifiedWord/>
      <trackRevisions>false</trackRevisions>
    </reviewItem>
    <reviewItem>
      <errorID>438f1be9-6b4c-40ba-a623-16cde5843a60</errorID>
      <errorWord>）</errorWord>
      <group>L1_Format</group>
      <groupName>格式问题</groupName>
      <ability>L2_HalfPunc</ability>
      <abilityName>全半角检查</abilityName>
      <candidateList>
        <item>)</item>
      </candidateList>
      <explain>文本全半角错误。</explain>
      <paraID> 7188A91</paraID>
      <start>15</start>
      <end>16</end>
      <status>unmodified</status>
      <modifiedWord/>
      <trackRevisions>false</trackRevisions>
    </reviewItem>
    <reviewItem>
      <errorID>ebed7401-28e3-49e5-b1d4-c1a9be4c4e46</errorID>
      <errorWord>（</errorWord>
      <group>L1_Format</group>
      <groupName>格式问题</groupName>
      <ability>L2_HalfPunc</ability>
      <abilityName>全半角检查</abilityName>
      <candidateList>
        <item>(</item>
      </candidateList>
      <explain>文本全半角错误。</explain>
      <paraID>4AECEA10</paraID>
      <start>11</start>
      <end>12</end>
      <status>unmodified</status>
      <modifiedWord/>
      <trackRevisions>false</trackRevisions>
    </reviewItem>
    <reviewItem>
      <errorID>50a98e81-b2a5-40fa-ade1-3a9c92e53e96</errorID>
      <errorWord>）</errorWord>
      <group>L1_Format</group>
      <groupName>格式问题</groupName>
      <ability>L2_HalfPunc</ability>
      <abilityName>全半角检查</abilityName>
      <candidateList>
        <item>)</item>
      </candidateList>
      <explain>文本全半角错误。</explain>
      <paraID>4AECEA10</paraID>
      <start>15</start>
      <end>16</end>
      <status>unmodified</status>
      <modifiedWord/>
      <trackRevisions>false</trackRevisions>
    </reviewItem>
    <reviewItem>
      <errorID>c1323975-bce9-4882-a1f7-63a84d6a60bd</errorID>
      <errorWord>（</errorWord>
      <group>L1_Format</group>
      <groupName>格式问题</groupName>
      <ability>L2_HalfPunc</ability>
      <abilityName>全半角检查</abilityName>
      <candidateList>
        <item>(</item>
      </candidateList>
      <explain>文本全半角错误。</explain>
      <paraID>43FD8DD6</paraID>
      <start>10</start>
      <end>11</end>
      <status>unmodified</status>
      <modifiedWord/>
      <trackRevisions>false</trackRevisions>
    </reviewItem>
    <reviewItem>
      <errorID>5dadb247-51c7-4dc7-a4eb-c3d86861ee5b</errorID>
      <errorWord>）</errorWord>
      <group>L1_Format</group>
      <groupName>格式问题</groupName>
      <ability>L2_HalfPunc</ability>
      <abilityName>全半角检查</abilityName>
      <candidateList>
        <item>)</item>
      </candidateList>
      <explain>文本全半角错误。</explain>
      <paraID>43FD8DD6</paraID>
      <start>14</start>
      <end>15</end>
      <status>unmodified</status>
      <modifiedWord/>
      <trackRevisions>false</trackRevisions>
    </reviewItem>
    <reviewItem>
      <errorID>23b7d3bf-9790-4928-8c91-6ef6e7df4292</errorID>
      <errorWord>(</errorWord>
      <group>L1_Format</group>
      <groupName>格式问题</groupName>
      <ability>L2_HalfPunc</ability>
      <abilityName>全半角检查</abilityName>
      <candidateList>
        <item>（</item>
      </candidateList>
      <explain>文本全半角错误。</explain>
      <paraID>34CE5E52</paraID>
      <start>107</start>
      <end>108</end>
      <status>unmodified</status>
      <modifiedWord/>
      <trackRevisions>false</trackRevisions>
    </reviewItem>
    <reviewItem>
      <errorID>8c7225ea-41cc-4edc-9cda-9ce2f066c411</errorID>
      <errorWord>)</errorWord>
      <group>L1_Format</group>
      <groupName>格式问题</groupName>
      <ability>L2_HalfPunc</ability>
      <abilityName>全半角检查</abilityName>
      <candidateList>
        <item>）</item>
      </candidateList>
      <explain>文本全半角错误。</explain>
      <paraID>34CE5E52</paraID>
      <start>111</start>
      <end>112</end>
      <status>unmodified</status>
      <modifiedWord/>
      <trackRevisions>false</trackRevisions>
    </reviewItem>
    <reviewItem>
      <errorID>86b7efb9-724a-41c8-9068-904406a6c96b</errorID>
      <errorWord>（</errorWord>
      <group>L1_Format</group>
      <groupName>格式问题</groupName>
      <ability>L2_HalfPunc</ability>
      <abilityName>全半角检查</abilityName>
      <candidateList>
        <item>(</item>
      </candidateList>
      <explain>文本全半角错误。</explain>
      <paraID>734C6772</paraID>
      <start>4</start>
      <end>5</end>
      <status>unmodified</status>
      <modifiedWord/>
      <trackRevisions>false</trackRevisions>
    </reviewItem>
    <reviewItem>
      <errorID>6a4fc5bc-1c45-4d87-b64f-881ff1532050</errorID>
      <errorWord>）</errorWord>
      <group>L1_Format</group>
      <groupName>格式问题</groupName>
      <ability>L2_HalfPunc</ability>
      <abilityName>全半角检查</abilityName>
      <candidateList>
        <item>)</item>
      </candidateList>
      <explain>文本全半角错误。</explain>
      <paraID>734C6772</paraID>
      <start>11</start>
      <end>12</end>
      <status>unmodified</status>
      <modifiedWord/>
      <trackRevisions>false</trackRevisions>
    </reviewItem>
    <reviewItem>
      <errorID>3818184b-c3d7-444b-9430-bc36ab32f6b1</errorID>
      <errorWord>（</errorWord>
      <group>L1_Format</group>
      <groupName>格式问题</groupName>
      <ability>L2_HalfPunc</ability>
      <abilityName>全半角检查</abilityName>
      <candidateList>
        <item>(</item>
      </candidateList>
      <explain>文本全半角错误。</explain>
      <paraID>2F12FBE8</paraID>
      <start>0</start>
      <end>1</end>
      <status>unmodified</status>
      <modifiedWord/>
      <trackRevisions>false</trackRevisions>
    </reviewItem>
    <reviewItem>
      <errorID>f2683509-3cf5-4978-8905-f4c7b1e2e6d6</errorID>
      <errorWord>）</errorWord>
      <group>L1_Format</group>
      <groupName>格式问题</groupName>
      <ability>L2_HalfPunc</ability>
      <abilityName>全半角检查</abilityName>
      <candidateList>
        <item>)</item>
      </candidateList>
      <explain>文本全半角错误。</explain>
      <paraID>2F12FBE8</paraID>
      <start>3</start>
      <end>4</end>
      <status>unmodified</status>
      <modifiedWord/>
      <trackRevisions>false</trackRevisions>
    </reviewItem>
    <reviewItem>
      <errorID>1e85ed16-ac0a-40ba-8d83-723e77e4b185</errorID>
      <errorWord>（</errorWord>
      <group>L1_Format</group>
      <groupName>格式问题</groupName>
      <ability>L2_HalfPunc</ability>
      <abilityName>全半角检查</abilityName>
      <candidateList>
        <item>(</item>
      </candidateList>
      <explain>文本全半角错误。</explain>
      <paraID>32065B02</paraID>
      <start>0</start>
      <end>1</end>
      <status>unmodified</status>
      <modifiedWord/>
      <trackRevisions>false</trackRevisions>
    </reviewItem>
    <reviewItem>
      <errorID>cd37fb2b-3c2b-45d0-a833-3608ada5ffda</errorID>
      <errorWord>）</errorWord>
      <group>L1_Format</group>
      <groupName>格式问题</groupName>
      <ability>L2_HalfPunc</ability>
      <abilityName>全半角检查</abilityName>
      <candidateList>
        <item>)</item>
      </candidateList>
      <explain>文本全半角错误。</explain>
      <paraID>32065B02</paraID>
      <start>2</start>
      <end>3</end>
      <status>unmodified</status>
      <modifiedWord/>
      <trackRevisions>false</trackRevisions>
    </reviewItem>
    <reviewItem>
      <errorID>fc7f07a0-47fc-4b7e-87b8-0391d9a2d6a2</errorID>
      <errorWord>（</errorWord>
      <group>L1_Format</group>
      <groupName>格式问题</groupName>
      <ability>L2_HalfPunc</ability>
      <abilityName>全半角检查</abilityName>
      <candidateList>
        <item>(</item>
      </candidateList>
      <explain>文本全半角错误。</explain>
      <paraID>7DB93649</paraID>
      <start>1</start>
      <end>2</end>
      <status>unmodified</status>
      <modifiedWord/>
      <trackRevisions>false</trackRevisions>
    </reviewItem>
    <reviewItem>
      <errorID>fccf779c-97b2-4503-94fa-11aea4606700</errorID>
      <errorWord>）</errorWord>
      <group>L1_Format</group>
      <groupName>格式问题</groupName>
      <ability>L2_HalfPunc</ability>
      <abilityName>全半角检查</abilityName>
      <candidateList>
        <item>)</item>
      </candidateList>
      <explain>文本全半角错误。</explain>
      <paraID>7DB93649</paraID>
      <start>8</start>
      <end>9</end>
      <status>unmodified</status>
      <modifiedWord/>
      <trackRevisions>false</trackRevisions>
    </reviewItem>
    <reviewItem>
      <errorID>8bc4f58e-6f6b-4502-9cbf-2ac13ff4a541</errorID>
      <errorWord>（</errorWord>
      <group>L1_Format</group>
      <groupName>格式问题</groupName>
      <ability>L2_HalfPunc</ability>
      <abilityName>全半角检查</abilityName>
      <candidateList>
        <item>(</item>
      </candidateList>
      <explain>文本全半角错误。</explain>
      <paraID>65BAB08E</paraID>
      <start>0</start>
      <end>1</end>
      <status>unmodified</status>
      <modifiedWord/>
      <trackRevisions>false</trackRevisions>
    </reviewItem>
    <reviewItem>
      <errorID>369bfed1-a785-4ddd-b0a2-ac6ac05a786e</errorID>
      <errorWord>）</errorWord>
      <group>L1_Format</group>
      <groupName>格式问题</groupName>
      <ability>L2_HalfPunc</ability>
      <abilityName>全半角检查</abilityName>
      <candidateList>
        <item>)</item>
      </candidateList>
      <explain>文本全半角错误。</explain>
      <paraID>65BAB08E</paraID>
      <start>4</start>
      <end>5</end>
      <status>unmodified</status>
      <modifiedWord/>
      <trackRevisions>false</trackRevisions>
    </reviewItem>
    <reviewItem>
      <errorID>81272aa6-3d70-4bed-b2c6-5c9ca725aa50</errorID>
      <errorWord>（</errorWord>
      <group>L1_Format</group>
      <groupName>格式问题</groupName>
      <ability>L2_HalfPunc</ability>
      <abilityName>全半角检查</abilityName>
      <candidateList>
        <item>(</item>
      </candidateList>
      <explain>文本全半角错误。</explain>
      <paraID> 791CE09</paraID>
      <start>0</start>
      <end>1</end>
      <status>unmodified</status>
      <modifiedWord/>
      <trackRevisions>false</trackRevisions>
    </reviewItem>
    <reviewItem>
      <errorID>7839103c-005d-4366-b535-90469cb83c62</errorID>
      <errorWord>）</errorWord>
      <group>L1_Format</group>
      <groupName>格式问题</groupName>
      <ability>L2_HalfPunc</ability>
      <abilityName>全半角检查</abilityName>
      <candidateList>
        <item>)</item>
      </candidateList>
      <explain>文本全半角错误。</explain>
      <paraID> 791CE09</paraID>
      <start>2</start>
      <end>3</end>
      <status>unmodified</status>
      <modifiedWord/>
      <trackRevisions>false</trackRevisions>
    </reviewItem>
    <reviewItem>
      <errorID>82860bda-463c-43fb-a996-421c583f4b0d</errorID>
      <errorWord>（</errorWord>
      <group>L1_Format</group>
      <groupName>格式问题</groupName>
      <ability>L2_HalfPunc</ability>
      <abilityName>全半角检查</abilityName>
      <candidateList>
        <item>(</item>
      </candidateList>
      <explain>文本全半角错误。</explain>
      <paraID> 4F8BCFF</paraID>
      <start>0</start>
      <end>1</end>
      <status>unmodified</status>
      <modifiedWord/>
      <trackRevisions>false</trackRevisions>
    </reviewItem>
    <reviewItem>
      <errorID>e83d88fd-9842-4bef-8500-d18fa1e02b2f</errorID>
      <errorWord>）</errorWord>
      <group>L1_Format</group>
      <groupName>格式问题</groupName>
      <ability>L2_HalfPunc</ability>
      <abilityName>全半角检查</abilityName>
      <candidateList>
        <item>)</item>
      </candidateList>
      <explain>文本全半角错误。</explain>
      <paraID> 4F8BCFF</paraID>
      <start>5</start>
      <end>6</end>
      <status>unmodified</status>
      <modifiedWord/>
      <trackRevisions>false</trackRevisions>
    </reviewItem>
    <reviewItem>
      <errorID>b20ef82a-0054-48cc-95c8-0456ef4509de</errorID>
      <errorWord>泄露</errorWord>
      <group>L1_Word</group>
      <groupName>字词问题</groupName>
      <ability>L2_Typo</ability>
      <abilityName>字词错误</abilityName>
      <candidateList>
        <item>泄漏</item>
      </candidateList>
      <explain>存在发音相同字词的误用。</explain>
      <paraID>609618E7</paraID>
      <start>3</start>
      <end>5</end>
      <status>unmodified</status>
      <modifiedWord/>
      <trackRevisions>false</trackRevisions>
    </reviewItem>
    <reviewItem>
      <errorID>08e688e9-d301-4362-884c-664d48c09457</errorID>
      <errorWord>泄露</errorWord>
      <group>L1_Word</group>
      <groupName>字词问题</groupName>
      <ability>L2_Typo</ability>
      <abilityName>字词错误</abilityName>
      <candidateList>
        <item>泄漏</item>
      </candidateList>
      <explain>存在发音相同字词的误用。</explain>
      <paraID>2E3A710B</paraID>
      <start>5</start>
      <end>7</end>
      <status>unmodified</status>
      <modifiedWord/>
      <trackRevisions>false</trackRevisions>
    </reviewItem>
    <reviewItem>
      <errorID>3019989b-df72-41d0-bc46-99d93170be9e</errorID>
      <errorWord>（</errorWord>
      <group>L1_Format</group>
      <groupName>格式问题</groupName>
      <ability>L2_HalfPunc</ability>
      <abilityName>全半角检查</abilityName>
      <candidateList>
        <item>(</item>
      </candidateList>
      <explain>文本全半角错误。</explain>
      <paraID>5649CB74</paraID>
      <start>0</start>
      <end>1</end>
      <status>unmodified</status>
      <modifiedWord/>
      <trackRevisions>false</trackRevisions>
    </reviewItem>
    <reviewItem>
      <errorID>02936680-456c-4162-ad7d-60f2e1535e94</errorID>
      <errorWord>）</errorWord>
      <group>L1_Format</group>
      <groupName>格式问题</groupName>
      <ability>L2_HalfPunc</ability>
      <abilityName>全半角检查</abilityName>
      <candidateList>
        <item>)</item>
      </candidateList>
      <explain>文本全半角错误。</explain>
      <paraID>5649CB74</paraID>
      <start>7</start>
      <end>8</end>
      <status>unmodified</status>
      <modifiedWord/>
      <trackRevisions>false</trackRevisions>
    </reviewItem>
    <reviewItem>
      <errorID>791f0847-8fd6-4788-88a5-6cd65079352c</errorID>
      <errorWord>（</errorWord>
      <group>L1_Format</group>
      <groupName>格式问题</groupName>
      <ability>L2_HalfPunc</ability>
      <abilityName>全半角检查</abilityName>
      <candidateList>
        <item>(</item>
      </candidateList>
      <explain>文本全半角错误。</explain>
      <paraID>3E44B5AF</paraID>
      <start>0</start>
      <end>1</end>
      <status>unmodified</status>
      <modifiedWord/>
      <trackRevisions>false</trackRevisions>
    </reviewItem>
    <reviewItem>
      <errorID>5119687b-6eab-493f-b7f5-9cbc365d76a3</errorID>
      <errorWord>）</errorWord>
      <group>L1_Format</group>
      <groupName>格式问题</groupName>
      <ability>L2_HalfPunc</ability>
      <abilityName>全半角检查</abilityName>
      <candidateList>
        <item>)</item>
      </candidateList>
      <explain>文本全半角错误。</explain>
      <paraID>3E44B5AF</paraID>
      <start>7</start>
      <end>8</end>
      <status>unmodified</status>
      <modifiedWord/>
      <trackRevisions>false</trackRevisions>
    </reviewItem>
    <reviewItem>
      <errorID>59c569a8-6538-43cb-ab65-d9debc6f21ae</errorID>
      <errorWord>（</errorWord>
      <group>L1_Format</group>
      <groupName>格式问题</groupName>
      <ability>L2_HalfPunc</ability>
      <abilityName>全半角检查</abilityName>
      <candidateList>
        <item>(</item>
      </candidateList>
      <explain>文本全半角错误。</explain>
      <paraID>491948A6</paraID>
      <start>0</start>
      <end>1</end>
      <status>unmodified</status>
      <modifiedWord/>
      <trackRevisions>false</trackRevisions>
    </reviewItem>
    <reviewItem>
      <errorID>fe82a00c-da23-4953-bfcf-72c75eb8fce7</errorID>
      <errorWord>）</errorWord>
      <group>L1_Format</group>
      <groupName>格式问题</groupName>
      <ability>L2_HalfPunc</ability>
      <abilityName>全半角检查</abilityName>
      <candidateList>
        <item>)</item>
      </candidateList>
      <explain>文本全半角错误。</explain>
      <paraID>491948A6</paraID>
      <start>14</start>
      <end>15</end>
      <status>unmodified</status>
      <modifiedWord/>
      <trackRevisions>false</trackRevisions>
    </reviewItem>
    <reviewItem>
      <errorID>6229c458-d81a-42da-816a-16d15219327f</errorID>
      <errorWord>1.5%~6.0%</errorWord>
      <group>L1_Knowledge</group>
      <groupName>知识性问题</groupName>
      <ability>L2_Knowledge</ability>
      <abilityName>其他知识</abilityName>
      <candidateList>
        <item>1.5%～6.0%</item>
      </candidateList>
      <explain>1. “1.5%~6.0%”中的单位“%”仅出现在后一个数字上，容易引起歧义；根据《现代汉语标点符号数字用法规范手册》，数字表示范围两边需要使用统一的格式。2. 根据标点国标 4.13 中的规则，数字、时间或地域连接符应使用（视觉上更长的）“—”或“～”。</explain>
      <paraID>24A4A308</paraID>
      <start>14</start>
      <end>23</end>
      <status>unmodified</status>
      <modifiedWord/>
      <trackRevisions>false</trackRevisions>
    </reviewItem>
    <reviewItem>
      <errorID>973293e8-83e2-4b1e-9c06-a8c757c3ab85</errorID>
      <errorWord>泄露</errorWord>
      <group>L1_Word</group>
      <groupName>字词问题</groupName>
      <ability>L2_Typo</ability>
      <abilityName>字词错误</abilityName>
      <candidateList>
        <item>泄漏</item>
      </candidateList>
      <explain>存在发音相同字词的误用。</explain>
      <paraID>657E186A</paraID>
      <start>0</start>
      <end>2</end>
      <status>unmodified</status>
      <modifiedWord/>
      <trackRevisions>false</trackRevisions>
    </reviewItem>
    <reviewItem>
      <errorID>ad3dcc51-7da7-4e23-9caa-bc066ffa3345</errorID>
      <errorWord>选</errorWord>
      <group>L1_Word</group>
      <groupName>字词问题</groupName>
      <ability>L2_Typo</ability>
      <abilityName>字词错误</abilityName>
      <candidateList>
        <item>选择</item>
      </candidateList>
      <explain>〈动〉挑选：～对象｜～地点。</explain>
      <paraID>17C186DC</paraID>
      <start>39</start>
      <end>40</end>
      <status>unmodified</status>
      <modifiedWord/>
      <trackRevisions>false</trackRevisions>
    </reviewItem>
    <reviewItem>
      <errorID>e6e6c51e-a7e8-4ad2-a40b-3438488b9cfb</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4D5D3845</paraID>
      <start>0</start>
      <end>2</end>
      <status>unmodified</status>
      <modifiedWord/>
      <trackRevisions>false</trackRevisions>
    </reviewItem>
    <reviewItem>
      <errorID>3d6cae87-73a4-4e97-90aa-f89406b33752</errorID>
      <errorWord>处</errorWord>
      <group>L1_Word</group>
      <groupName>字词问题</groupName>
      <ability>L2_Typo</ability>
      <abilityName>字词错误</abilityName>
      <candidateList>
        <item>出</item>
      </candidateList>
      <explain>〈动〉趋向动词。用在动词后表示向外、显露或完成：看得～｜看不～｜拿～一张纸｜跑～大门｜看～问题｜做～成绩。</explain>
      <paraID>46A47772</paraID>
      <start>24</start>
      <end>25</end>
      <status>unmodified</status>
      <modifiedWord/>
      <trackRevisions>false</trackRevisions>
    </reviewItem>
    <reviewItem>
      <errorID>d07552e9-54f3-40c5-add5-39ff7fab7a57</errorID>
      <errorWord>(</errorWord>
      <group>L1_Format</group>
      <groupName>格式问题</groupName>
      <ability>L2_HalfPunc</ability>
      <abilityName>全半角检查</abilityName>
      <candidateList>
        <item>（</item>
      </candidateList>
      <explain>文本全半角错误。</explain>
      <paraID>7801E218</paraID>
      <start>9</start>
      <end>10</end>
      <status>unmodified</status>
      <modifiedWord/>
      <trackRevisions>false</trackRevisions>
    </reviewItem>
    <reviewItem>
      <errorID>aef29655-3158-44c8-9307-5b1841ec8d66</errorID>
      <errorWord>)</errorWord>
      <group>L1_Format</group>
      <groupName>格式问题</groupName>
      <ability>L2_HalfPunc</ability>
      <abilityName>全半角检查</abilityName>
      <candidateList>
        <item>）</item>
      </candidateList>
      <explain>文本全半角错误。</explain>
      <paraID>7801E218</paraID>
      <start>12</start>
      <end>13</end>
      <status>unmodified</status>
      <modifiedWord/>
      <trackRevisions>false</trackRevisions>
    </reviewItem>
    <reviewItem>
      <errorID>ff393e98-ee67-4914-9138-be6dab2f92dc</errorID>
      <errorWord>(</errorWord>
      <group>L1_Format</group>
      <groupName>格式问题</groupName>
      <ability>L2_HalfPunc</ability>
      <abilityName>全半角检查</abilityName>
      <candidateList>
        <item>（</item>
      </candidateList>
      <explain>文本全半角错误。</explain>
      <paraID>79A275DD</paraID>
      <start>9</start>
      <end>10</end>
      <status>unmodified</status>
      <modifiedWord/>
      <trackRevisions>false</trackRevisions>
    </reviewItem>
    <reviewItem>
      <errorID>a1266d28-f035-4e3d-95cb-8284b0682ede</errorID>
      <errorWord>)</errorWord>
      <group>L1_Format</group>
      <groupName>格式问题</groupName>
      <ability>L2_HalfPunc</ability>
      <abilityName>全半角检查</abilityName>
      <candidateList>
        <item>）</item>
      </candidateList>
      <explain>文本全半角错误。</explain>
      <paraID>79A275DD</paraID>
      <start>12</start>
      <end>13</end>
      <status>unmodified</status>
      <modifiedWord/>
      <trackRevisions>false</trackRevisions>
    </reviewItem>
    <reviewItem>
      <errorID>7aa930e7-4650-438f-ba3f-36d25c2654a5</errorID>
      <errorWord>（</errorWord>
      <group>L1_Format</group>
      <groupName>格式问题</groupName>
      <ability>L2_HalfPunc</ability>
      <abilityName>全半角检查</abilityName>
      <candidateList>
        <item>(</item>
      </candidateList>
      <explain>文本全半角错误。</explain>
      <paraID>1B049E08</paraID>
      <start>0</start>
      <end>1</end>
      <status>unmodified</status>
      <modifiedWord/>
      <trackRevisions>false</trackRevisions>
    </reviewItem>
    <reviewItem>
      <errorID>0d7426ba-87f5-43db-9917-7afe5d4c86ac</errorID>
      <errorWord>）</errorWord>
      <group>L1_Format</group>
      <groupName>格式问题</groupName>
      <ability>L2_HalfPunc</ability>
      <abilityName>全半角检查</abilityName>
      <candidateList>
        <item>)</item>
      </candidateList>
      <explain>文本全半角错误。</explain>
      <paraID>1B049E08</paraID>
      <start>6</start>
      <end>7</end>
      <status>unmodified</status>
      <modifiedWord/>
      <trackRevisions>false</trackRevisions>
    </reviewItem>
    <reviewItem>
      <errorID>1b16302b-a799-44c1-9dc7-971b5d06134d</errorID>
      <errorWord>（</errorWord>
      <group>L1_Format</group>
      <groupName>格式问题</groupName>
      <ability>L2_HalfPunc</ability>
      <abilityName>全半角检查</abilityName>
      <candidateList>
        <item>(</item>
      </candidateList>
      <explain>文本全半角错误。</explain>
      <paraID>7BCF1413</paraID>
      <start>0</start>
      <end>1</end>
      <status>unmodified</status>
      <modifiedWord/>
      <trackRevisions>false</trackRevisions>
    </reviewItem>
    <reviewItem>
      <errorID>cfe602c1-ee6d-4e80-9740-aa20dedd8291</errorID>
      <errorWord>）</errorWord>
      <group>L1_Format</group>
      <groupName>格式问题</groupName>
      <ability>L2_HalfPunc</ability>
      <abilityName>全半角检查</abilityName>
      <candidateList>
        <item>)</item>
      </candidateList>
      <explain>文本全半角错误。</explain>
      <paraID>7BCF1413</paraID>
      <start>4</start>
      <end>5</end>
      <status>unmodified</status>
      <modifiedWord/>
      <trackRevisions>false</trackRevisions>
    </reviewItem>
    <reviewItem>
      <errorID>bc9426cd-58ba-42fc-b4a6-fb9e109e5550</errorID>
      <errorWord>重点浓度</errorWord>
      <group>L1_Word</group>
      <groupName>字词问题</groupName>
      <ability>L2_Typo</ability>
      <abilityName>字词错误</abilityName>
      <candidateList>
        <item>终点浓度</item>
      </candidateList>
      <explain/>
      <paraID>7A564440</paraID>
      <start>7</start>
      <end>11</end>
      <status>unmodified</status>
      <modifiedWord/>
      <trackRevisions>false</trackRevisions>
    </reviewItem>
    <reviewItem>
      <errorID>98c4a3f6-731d-494f-8b73-2d2d7106804e</errorID>
      <errorWord>(</errorWord>
      <group>L1_Format</group>
      <groupName>格式问题</groupName>
      <ability>L2_HalfPunc</ability>
      <abilityName>全半角检查</abilityName>
      <candidateList>
        <item>（</item>
      </candidateList>
      <explain>文本全半角错误。</explain>
      <paraID> A8826B5</paraID>
      <start>2</start>
      <end>3</end>
      <status>unmodified</status>
      <modifiedWord/>
      <trackRevisions>false</trackRevisions>
    </reviewItem>
    <reviewItem>
      <errorID>655f71fe-15eb-47a3-967e-ab8eb07f6bbd</errorID>
      <errorWord>)</errorWord>
      <group>L1_Format</group>
      <groupName>格式问题</groupName>
      <ability>L2_HalfPunc</ability>
      <abilityName>全半角检查</abilityName>
      <candidateList>
        <item>）</item>
      </candidateList>
      <explain>文本全半角错误。</explain>
      <paraID> A8826B5</paraID>
      <start>4</start>
      <end>5</end>
      <status>unmodified</status>
      <modifiedWord/>
      <trackRevisions>false</trackRevisions>
    </reviewItem>
    <reviewItem>
      <errorID>6e584505-1558-4de3-b2eb-fd6a571689b9</errorID>
      <errorWord>(</errorWord>
      <group>L1_Format</group>
      <groupName>格式问题</groupName>
      <ability>L2_HalfPunc</ability>
      <abilityName>全半角检查</abilityName>
      <candidateList>
        <item>（</item>
      </candidateList>
      <explain>文本全半角错误。</explain>
      <paraID>4B1F8BA3</paraID>
      <start>6</start>
      <end>7</end>
      <status>unmodified</status>
      <modifiedWord/>
      <trackRevisions>false</trackRevisions>
    </reviewItem>
    <reviewItem>
      <errorID>23a7dbcd-ad55-4551-98e6-d6a146df83ca</errorID>
      <errorWord>)</errorWord>
      <group>L1_Format</group>
      <groupName>格式问题</groupName>
      <ability>L2_HalfPunc</ability>
      <abilityName>全半角检查</abilityName>
      <candidateList>
        <item>）</item>
      </candidateList>
      <explain>文本全半角错误。</explain>
      <paraID>4B1F8BA3</paraID>
      <start>10</start>
      <end>11</end>
      <status>unmodified</status>
      <modifiedWord/>
      <trackRevisions>false</trackRevisions>
    </reviewItem>
    <reviewItem>
      <errorID>a44de550-dad3-4a75-b770-9e89bcdd359d</errorID>
      <errorWord>(</errorWord>
      <group>L1_Format</group>
      <groupName>格式问题</groupName>
      <ability>L2_HalfPunc</ability>
      <abilityName>全半角检查</abilityName>
      <candidateList>
        <item>（</item>
      </candidateList>
      <explain>文本全半角错误。</explain>
      <paraID>692F634C</paraID>
      <start>2</start>
      <end>3</end>
      <status>unmodified</status>
      <modifiedWord/>
      <trackRevisions>false</trackRevisions>
    </reviewItem>
    <reviewItem>
      <errorID>ab71f1e1-1586-41e3-a804-b58f7af828ab</errorID>
      <errorWord>)</errorWord>
      <group>L1_Format</group>
      <groupName>格式问题</groupName>
      <ability>L2_HalfPunc</ability>
      <abilityName>全半角检查</abilityName>
      <candidateList>
        <item>）</item>
      </candidateList>
      <explain>文本全半角错误。</explain>
      <paraID>692F634C</paraID>
      <start>4</start>
      <end>5</end>
      <status>unmodified</status>
      <modifiedWord/>
      <trackRevisions>false</trackRevisions>
    </reviewItem>
    <reviewItem>
      <errorID>e0ff2dcc-1bd1-4752-8535-55a9d010711e</errorID>
      <errorWord>(</errorWord>
      <group>L1_Format</group>
      <groupName>格式问题</groupName>
      <ability>L2_HalfPunc</ability>
      <abilityName>全半角检查</abilityName>
      <candidateList>
        <item>（</item>
      </candidateList>
      <explain>文本全半角错误。</explain>
      <paraID>6ED77416</paraID>
      <start>6</start>
      <end>7</end>
      <status>unmodified</status>
      <modifiedWord/>
      <trackRevisions>false</trackRevisions>
    </reviewItem>
    <reviewItem>
      <errorID>5bf3b651-a5dc-4365-aa9d-616f76f5eec0</errorID>
      <errorWord>)</errorWord>
      <group>L1_Format</group>
      <groupName>格式问题</groupName>
      <ability>L2_HalfPunc</ability>
      <abilityName>全半角检查</abilityName>
      <candidateList>
        <item>）</item>
      </candidateList>
      <explain>文本全半角错误。</explain>
      <paraID>6ED77416</paraID>
      <start>10</start>
      <end>11</end>
      <status>unmodified</status>
      <modifiedWord/>
      <trackRevisions>false</trackRevisions>
    </reviewItem>
    <reviewItem>
      <errorID>09b9935d-4e22-40df-80f0-ac8438d0acb2</errorID>
      <errorWord>(</errorWord>
      <group>L1_Format</group>
      <groupName>格式问题</groupName>
      <ability>L2_HalfPunc</ability>
      <abilityName>全半角检查</abilityName>
      <candidateList>
        <item>（</item>
      </candidateList>
      <explain>文本全半角错误。</explain>
      <paraID>2CB1A2DF</paraID>
      <start>2</start>
      <end>3</end>
      <status>unmodified</status>
      <modifiedWord/>
      <trackRevisions>false</trackRevisions>
    </reviewItem>
    <reviewItem>
      <errorID>322216d0-e15d-4d16-9842-af344d7e32ee</errorID>
      <errorWord>)</errorWord>
      <group>L1_Format</group>
      <groupName>格式问题</groupName>
      <ability>L2_HalfPunc</ability>
      <abilityName>全半角检查</abilityName>
      <candidateList>
        <item>）</item>
      </candidateList>
      <explain>文本全半角错误。</explain>
      <paraID>2CB1A2DF</paraID>
      <start>4</start>
      <end>5</end>
      <status>unmodified</status>
      <modifiedWord/>
      <trackRevisions>false</trackRevisions>
    </reviewItem>
    <reviewItem>
      <errorID>4b54d6c5-8ebd-4895-bf4c-f1a2f8f6bc48</errorID>
      <errorWord>(</errorWord>
      <group>L1_Format</group>
      <groupName>格式问题</groupName>
      <ability>L2_HalfPunc</ability>
      <abilityName>全半角检查</abilityName>
      <candidateList>
        <item>（</item>
      </candidateList>
      <explain>文本全半角错误。</explain>
      <paraID>4879FEC0</paraID>
      <start>6</start>
      <end>7</end>
      <status>unmodified</status>
      <modifiedWord/>
      <trackRevisions>false</trackRevisions>
    </reviewItem>
    <reviewItem>
      <errorID>cbf30115-3e56-468c-a75d-c088b32a264f</errorID>
      <errorWord>)</errorWord>
      <group>L1_Format</group>
      <groupName>格式问题</groupName>
      <ability>L2_HalfPunc</ability>
      <abilityName>全半角检查</abilityName>
      <candidateList>
        <item>）</item>
      </candidateList>
      <explain>文本全半角错误。</explain>
      <paraID>4879FEC0</paraID>
      <start>10</start>
      <end>11</end>
      <status>unmodified</status>
      <modifiedWord/>
      <trackRevisions>false</trackRevisions>
    </reviewItem>
    <reviewItem>
      <errorID>51f02f9a-a45e-4f75-9deb-c91b566c5761</errorID>
      <errorWord>(</errorWord>
      <group>L1_Format</group>
      <groupName>格式问题</groupName>
      <ability>L2_HalfPunc</ability>
      <abilityName>全半角检查</abilityName>
      <candidateList>
        <item>（</item>
      </candidateList>
      <explain>文本全半角错误。</explain>
      <paraID>59F84551</paraID>
      <start>2</start>
      <end>3</end>
      <status>unmodified</status>
      <modifiedWord/>
      <trackRevisions>false</trackRevisions>
    </reviewItem>
    <reviewItem>
      <errorID>b34478c8-711f-4062-96ed-48109aa8340e</errorID>
      <errorWord>)</errorWord>
      <group>L1_Format</group>
      <groupName>格式问题</groupName>
      <ability>L2_HalfPunc</ability>
      <abilityName>全半角检查</abilityName>
      <candidateList>
        <item>）</item>
      </candidateList>
      <explain>文本全半角错误。</explain>
      <paraID>59F84551</paraID>
      <start>4</start>
      <end>5</end>
      <status>unmodified</status>
      <modifiedWord/>
      <trackRevisions>false</trackRevisions>
    </reviewItem>
    <reviewItem>
      <errorID>d99f5cd7-c032-40fa-bb43-8be82959351a</errorID>
      <errorWord>(</errorWord>
      <group>L1_Format</group>
      <groupName>格式问题</groupName>
      <ability>L2_HalfPunc</ability>
      <abilityName>全半角检查</abilityName>
      <candidateList>
        <item>（</item>
      </candidateList>
      <explain>文本全半角错误。</explain>
      <paraID> FA12B02</paraID>
      <start>6</start>
      <end>7</end>
      <status>unmodified</status>
      <modifiedWord/>
      <trackRevisions>false</trackRevisions>
    </reviewItem>
    <reviewItem>
      <errorID>03e1441e-322d-49ac-a432-f9acb8b70f81</errorID>
      <errorWord>)</errorWord>
      <group>L1_Format</group>
      <groupName>格式问题</groupName>
      <ability>L2_HalfPunc</ability>
      <abilityName>全半角检查</abilityName>
      <candidateList>
        <item>）</item>
      </candidateList>
      <explain>文本全半角错误。</explain>
      <paraID> FA12B02</paraID>
      <start>10</start>
      <end>11</end>
      <status>unmodified</status>
      <modifiedWord/>
      <trackRevisions>false</trackRevisions>
    </reviewItem>
    <reviewItem>
      <errorID>bfcde0ee-bd9e-46c8-aad5-1751b94ece82</errorID>
      <errorWord>(</errorWord>
      <group>L1_Format</group>
      <groupName>格式问题</groupName>
      <ability>L2_HalfPunc</ability>
      <abilityName>全半角检查</abilityName>
      <candidateList>
        <item>（</item>
      </candidateList>
      <explain>文本全半角错误。</explain>
      <paraID>762DB1A0</paraID>
      <start>2</start>
      <end>3</end>
      <status>unmodified</status>
      <modifiedWord/>
      <trackRevisions>false</trackRevisions>
    </reviewItem>
    <reviewItem>
      <errorID>5b194c64-4917-4901-a7e7-48ded6aa321d</errorID>
      <errorWord>)</errorWord>
      <group>L1_Format</group>
      <groupName>格式问题</groupName>
      <ability>L2_HalfPunc</ability>
      <abilityName>全半角检查</abilityName>
      <candidateList>
        <item>）</item>
      </candidateList>
      <explain>文本全半角错误。</explain>
      <paraID>762DB1A0</paraID>
      <start>4</start>
      <end>5</end>
      <status>unmodified</status>
      <modifiedWord/>
      <trackRevisions>false</trackRevisions>
    </reviewItem>
    <reviewItem>
      <errorID>c25362c6-237f-48b8-9255-c35c9163f1c0</errorID>
      <errorWord>(</errorWord>
      <group>L1_Format</group>
      <groupName>格式问题</groupName>
      <ability>L2_HalfPunc</ability>
      <abilityName>全半角检查</abilityName>
      <candidateList>
        <item>（</item>
      </candidateList>
      <explain>文本全半角错误。</explain>
      <paraID> 6A7116E</paraID>
      <start>6</start>
      <end>7</end>
      <status>unmodified</status>
      <modifiedWord/>
      <trackRevisions>false</trackRevisions>
    </reviewItem>
    <reviewItem>
      <errorID>f5dbd788-42d3-4c34-a37d-433286acebec</errorID>
      <errorWord>)</errorWord>
      <group>L1_Format</group>
      <groupName>格式问题</groupName>
      <ability>L2_HalfPunc</ability>
      <abilityName>全半角检查</abilityName>
      <candidateList>
        <item>）</item>
      </candidateList>
      <explain>文本全半角错误。</explain>
      <paraID> 6A7116E</paraID>
      <start>10</start>
      <end>11</end>
      <status>unmodified</status>
      <modifiedWord/>
      <trackRevisions>false</trackRevisions>
    </reviewItem>
    <reviewItem>
      <errorID>ace1dfdc-380b-49cd-9053-f14386749c39</errorID>
      <errorWord>降低</errorWord>
      <group>L1_Grammar</group>
      <groupName>语法问题</groupName>
      <ability>L2_Grammar</ability>
      <abilityName>语法错误</abilityName>
      <candidateList>
        <item>防止</item>
      </candidateList>
      <explain>“降低～发生”搭配不当，建议修改为“防止～发生”。</explain>
      <paraID> E145881</paraID>
      <start>86</start>
      <end>88</end>
      <status>unmodified</status>
      <modifiedWord/>
      <trackRevisions>false</trackRevisions>
    </reviewItem>
    <reviewItem>
      <errorID>335af838-0713-4b03-a473-f4cec77486d3</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7B58BC9E</paraID>
      <start>35</start>
      <end>37</end>
      <status>unmodified</status>
      <modifiedWord/>
      <trackRevisions>false</trackRevisions>
    </reviewItem>
    <reviewItem>
      <errorID>da0256fa-3aa8-4a5b-ab72-b5e1451adf8c</errorID>
      <errorWord>专业</errorWord>
      <group>L1_Word</group>
      <groupName>字词问题</groupName>
      <ability>L2_Typo</ability>
      <abilityName>字词错误</abilityName>
      <candidateList>
        <item>业</item>
      </candidateList>
      <explain/>
      <paraID>6FE19166</paraID>
      <start>220</start>
      <end>222</end>
      <status>unmodified</status>
      <modifiedWord/>
      <trackRevisions>false</trackRevisions>
    </reviewItem>
    <reviewItem>
      <errorID>933d6f4d-6aa5-45a3-b997-442ebbd9e8fc</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6E1C8A23</paraID>
      <start>0</start>
      <end>3</end>
      <status>unmodified</status>
      <modifiedWord/>
      <trackRevisions>false</trackRevisions>
    </reviewItem>
    <reviewItem>
      <errorID>79df154f-beb8-4d1d-b1b2-477a97c567df</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484D7D8</paraID>
      <start>77</start>
      <end>78</end>
      <status>modified</status>
      <modifiedWord>地</modifiedWord>
      <trackRevisions>false</trackRevisions>
    </reviewItem>
    <reviewItem>
      <errorID>318bffba-6850-4af7-ae47-48f674044a4e</errorID>
      <errorWord>穿带</errorWord>
      <group>L1_Word</group>
      <groupName>字词问题</groupName>
      <ability>L2_Typo</ability>
      <abilityName>字词错误</abilityName>
      <candidateList>
        <item>穿戴</item>
      </candidateList>
      <explain>存在发音相同字词的误用。</explain>
      <paraID>7D7EC253</paraID>
      <start>22</start>
      <end>24</end>
      <status>unmodified</status>
      <modifiedWord/>
      <trackRevisions>false</trackRevisions>
    </reviewItem>
    <reviewItem>
      <errorID>073b62d6-0e1c-4695-917b-733024d0da04</errorID>
      <errorWord>,</errorWord>
      <group>L1_Format</group>
      <groupName>格式问题</groupName>
      <ability>L2_HalfPunc</ability>
      <abilityName>全半角检查</abilityName>
      <candidateList>
        <item>，</item>
      </candidateList>
      <explain>文本全半角错误。</explain>
      <paraID>718461E3</paraID>
      <start>24</start>
      <end>25</end>
      <status>unmodified</status>
      <modifiedWord/>
      <trackRevisions>false</trackRevisions>
    </reviewItem>
    <reviewItem>
      <errorID>02f16ff1-aebc-4bc6-8506-53c66c4ac06a</errorID>
      <errorWord>,</errorWord>
      <group>L1_Format</group>
      <groupName>格式问题</groupName>
      <ability>L2_HalfPunc</ability>
      <abilityName>全半角检查</abilityName>
      <candidateList>
        <item>，</item>
      </candidateList>
      <explain>文本全半角错误。</explain>
      <paraID>718461E3</paraID>
      <start>61</start>
      <end>62</end>
      <status>unmodified</status>
      <modifiedWord/>
      <trackRevisions>false</trackRevisions>
    </reviewItem>
    <reviewItem>
      <errorID>d4ca1ca6-0dce-47c4-ad7b-3fd89d87f39e</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39B82566</paraID>
      <start>41</start>
      <end>42</end>
      <status>modified</status>
      <modifiedWord>地</modifiedWord>
      <trackRevisions>false</trackRevisions>
    </reviewItem>
    <reviewItem>
      <errorID>3df994ce-7b47-4c77-bf50-27713e381672</errorID>
      <errorWord>涉及到</errorWord>
      <group>L1_Grammar</group>
      <groupName>语法问题</groupName>
      <ability>L2_Grammar</ability>
      <abilityName>语法错误</abilityName>
      <candidateList>
        <item>涉及</item>
      </candidateList>
      <explain>〈动〉牵涉到；关联到：案子～好几个人｜这个问题～面很广。</explain>
      <paraID>3A990FE0</paraID>
      <start>7</start>
      <end>10</end>
      <status>unmodified</status>
      <modifiedWord/>
      <trackRevisions>false</trackRevisions>
    </reviewItem>
    <reviewItem>
      <errorID>d21be724-3a3b-4792-b5e1-5f8e0158466d</errorID>
      <errorWord>防治</errorWord>
      <group>L1_Grammar</group>
      <groupName>语法问题</groupName>
      <ability>L2_Grammar</ability>
      <abilityName>语法错误</abilityName>
      <candidateList>
        <item>防止</item>
      </candidateList>
      <explain>“防治～发生”搭配不当，建议修改为“防止～发生”。</explain>
      <paraID>6819FB2E</paraID>
      <start>50</start>
      <end>52</end>
      <status>unmodified</status>
      <modifiedWord/>
      <trackRevisions>false</trackRevisions>
    </reviewItem>
    <reviewItem>
      <errorID>415fd787-2ec6-4d4e-9e5e-93fca586c508</errorID>
      <errorWord>配合好</errorWord>
      <group>L1_Word</group>
      <groupName>字词问题</groupName>
      <ability>L2_Typo</ability>
      <abilityName>字词错误</abilityName>
      <candidateList>
        <item>配合</item>
      </candidateList>
      <explain>〈形〉合在一起显得合适；相称：绿油油的枝叶衬托着红艳艳的花朵，那么～，那么美丽。</explain>
      <paraID> B968AFE</paraID>
      <start>33</start>
      <end>36</end>
      <status>unmodified</status>
      <modifiedWord/>
      <trackRevisions>false</trackRevisions>
    </reviewItem>
    <reviewItem>
      <errorID>4c92c2ad-7b13-4d03-99ab-548d486ba35b</errorID>
      <errorWord>雨</errorWord>
      <group>L1_Word</group>
      <groupName>字词问题</groupName>
      <ability>L2_Typo</ability>
      <abilityName>字词错误</abilityName>
      <candidateList>
        <item>由</item>
      </candidateList>
      <explain>存在发音相近字词的误用。</explain>
      <paraID>3BB1A124</paraID>
      <start>8</start>
      <end>9</end>
      <status>unmodified</status>
      <modifiedWord/>
      <trackRevisions>false</trackRevisions>
    </reviewItem>
    <reviewItem>
      <errorID>375e8d95-c514-453c-b050-493a4494b3da</errorID>
      <errorWord>必需</errorWord>
      <group>L1_Word</group>
      <groupName>字词问题</groupName>
      <ability>L2_Typo</ability>
      <abilityName>字词错误</abilityName>
      <candidateList>
        <item>必须</item>
      </candidateList>
      <explain>〈副〉❶表示事理上和情理上必要；一定要：学习～刻苦钻研。❷加强命令语气：明天你～来。‖注意“必须”的否定是“无须”、“不须”或“不必”。</explain>
      <paraID>5A78FCFF</paraID>
      <start>129</start>
      <end>131</end>
      <status>unmodified</status>
      <modifiedWord/>
      <trackRevisions>false</trackRevisions>
    </reviewItem>
    <reviewItem>
      <errorID>a7210c4b-7549-47b1-a0ce-c28b01362aeb</errorID>
      <errorWord>保修</errorWord>
      <group>L1_Word</group>
      <groupName>字词问题</groupName>
      <ability>L2_Typo</ability>
      <abilityName>字词错误</abilityName>
      <candidateList>
        <item>报修</item>
      </candidateList>
      <explain>存在发音相同字词的误用。</explain>
      <paraID>57AED824</paraID>
      <start>50</start>
      <end>52</end>
      <status>modified</status>
      <modifiedWord>报修</modifiedWord>
      <trackRevisions>false</trackRevisions>
    </reviewItem>
    <reviewItem>
      <errorID>c4a0b242-3f9a-4602-a439-16b5e6b96edd</errorID>
      <errorWord>其它不</errorWord>
      <group>L1_Word</group>
      <groupName>字词问题</groupName>
      <ability>L2_Alias</ability>
      <abilityName>也作/曾用词</abilityName>
      <candidateList>
        <item>其他不</item>
      </candidateList>
      <explain>词汇[其它不]为不规范表述或旧称，其规范书面表述为[其他不]。</explain>
      <paraID>507AF4EF</paraID>
      <start>16</start>
      <end>19</end>
      <status>modified</status>
      <modifiedWord>其他不</modifiedWord>
      <trackRevisions>false</trackRevisions>
    </reviewItem>
    <reviewItem>
      <errorID>37fa3938-eaf6-48c4-961d-3e58a3bb08cc</errorID>
      <errorWord>(</errorWord>
      <group>L1_Format</group>
      <groupName>格式问题</groupName>
      <ability>L2_HalfPunc</ability>
      <abilityName>全半角检查</abilityName>
      <candidateList>
        <item>（</item>
      </candidateList>
      <explain>文本全半角错误。</explain>
      <paraID>54C68077</paraID>
      <start>2</start>
      <end>3</end>
      <status>unmodified</status>
      <modifiedWord/>
      <trackRevisions>false</trackRevisions>
    </reviewItem>
    <reviewItem>
      <errorID>41c9aeb4-76bd-43d8-a19e-7858174bf88a</errorID>
      <errorWord>)</errorWord>
      <group>L1_Format</group>
      <groupName>格式问题</groupName>
      <ability>L2_HalfPunc</ability>
      <abilityName>全半角检查</abilityName>
      <candidateList>
        <item>）</item>
      </candidateList>
      <explain>文本全半角错误。</explain>
      <paraID>54C68077</paraID>
      <start>11</start>
      <end>12</end>
      <status>unmodified</status>
      <modifiedWord/>
      <trackRevisions>false</trackRevisions>
    </reviewItem>
    <reviewItem>
      <errorID>f7881bb7-2a6c-450f-83a3-46363715cf75</errorID>
      <errorWord>到其它</errorWord>
      <group>L1_Word</group>
      <groupName>字词问题</groupName>
      <ability>L2_Alias</ability>
      <abilityName>也作/曾用词</abilityName>
      <candidateList>
        <item>到其他</item>
      </candidateList>
      <explain>词汇[到其它]为不规范表述或旧称，其规范书面表述为[到其他]。</explain>
      <paraID>3A7B33E5</paraID>
      <start>12</start>
      <end>15</end>
      <status>unmodified</status>
      <modifiedWord/>
      <trackRevisions>false</trackRevisions>
    </reviewItem>
    <reviewItem>
      <errorID>bef82eed-48c9-465a-a4bf-7182e91473a5</errorID>
      <errorWord>n：</errorWord>
      <group>L1_Format</group>
      <groupName>格式问题</groupName>
      <ability>L2_Ordinal</ability>
      <abilityName>序号格式</abilityName>
      <candidateList>
        <item>n.</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1576D160</paraID>
      <start>0</start>
      <end>2</end>
      <status>unmodified</status>
      <modifiedWord/>
      <trackRevisions>false</trackRevisions>
    </reviewItem>
    <reviewItem>
      <errorID>6ffa9650-f648-4d83-9e88-068bc90b9b28</errorID>
      <errorWord>时</errorWord>
      <group>L1_Word</group>
      <groupName>字词问题</groupName>
      <ability>L2_Typo</ability>
      <abilityName>字词错误</abilityName>
      <candidateList>
        <item>时打</item>
      </candidateList>
      <explain/>
      <paraID>345BF3E2</paraID>
      <start>96</start>
      <end>97</end>
      <status>unmodified</status>
      <modifiedWord/>
      <trackRevisions>false</trackRevisions>
    </reviewItem>
    <reviewItem>
      <errorID>a84cefe4-f67b-45f2-a6c0-81a230cea0a1</errorID>
      <errorWord>泄露</errorWord>
      <group>L1_Word</group>
      <groupName>字词问题</groupName>
      <ability>L2_Typo</ability>
      <abilityName>字词错误</abilityName>
      <candidateList>
        <item>泄漏</item>
      </candidateList>
      <explain/>
      <paraID>34CF5B0E</paraID>
      <start>26</start>
      <end>28</end>
      <status>unmodified</status>
      <modifiedWord/>
      <trackRevisions>false</trackRevisions>
    </reviewItem>
    <reviewItem>
      <errorID>c749ac37-efb9-4ba0-977d-552a0e1a2f6b</errorID>
      <errorWord>时</errorWord>
      <group>L1_Word</group>
      <groupName>字词问题</groupName>
      <ability>L2_Typo</ability>
      <abilityName>字词错误</abilityName>
      <candidateList>
        <item>是</item>
      </candidateList>
      <explain>存在发音相同字词的误用。</explain>
      <paraID>2CADBDB3</paraID>
      <start>77</start>
      <end>78</end>
      <status>unmodified</status>
      <modifiedWord/>
      <trackRevisions>false</trackRevisions>
    </reviewItem>
    <reviewItem>
      <errorID>3d968667-96a0-464e-9298-654d51e26f65</errorID>
      <errorWord>试试</errorWord>
      <group>L1_Word</group>
      <groupName>字词问题</groupName>
      <ability>L2_Typo</ability>
      <abilityName>字词错误</abilityName>
      <candidateList>
        <item>试</item>
      </candidateList>
      <explain/>
      <paraID>1D1A0BA9</paraID>
      <start>60</start>
      <end>62</end>
      <status>unmodified</status>
      <modifiedWord/>
      <trackRevisions>false</trackRevisions>
    </reviewItem>
    <reviewItem>
      <errorID>ccdb91bc-9db0-458d-8019-1ffc700b5c2d</errorID>
      <errorWord>相</errorWord>
      <group>L1_Word</group>
      <groupName>字词问题</groupName>
      <ability>L2_Typo</ability>
      <abilityName>字词错误</abilityName>
      <candidateList>
        <item>相关</item>
      </candidateList>
      <explain>〈动〉彼此关连：休戚～｜体育事业和人民健康密切～。</explain>
      <paraID>37F43450</paraID>
      <start>43</start>
      <end>44</end>
      <status>unmodified</status>
      <modifiedWord/>
      <trackRevisions>false</trackRevisions>
    </reviewItem>
    <reviewItem>
      <errorID>3d6ea2c2-0ea5-4a0a-9978-04dbdd0f660d</errorID>
      <errorWord>要</errorWord>
      <group>L1_Word</group>
      <groupName>字词问题</groupName>
      <ability>L2_Typo</ability>
      <abilityName>字词错误</abilityName>
      <candidateList>
        <item>要有</item>
      </candidateList>
      <explain/>
      <paraID>37F43450</paraID>
      <start>48</start>
      <end>49</end>
      <status>unmodified</status>
      <modifiedWord/>
      <trackRevisions>false</trackRevisions>
    </reviewItem>
    <reviewItem>
      <errorID>cec68fb0-62a1-4b6e-a2a4-5efe0b380bc4</errorID>
      <errorWord>《化学危险品安全管理条例》</errorWord>
      <group>L1_Political</group>
      <groupName>政治性问题</groupName>
      <ability>L2_Unpolitical</ability>
      <abilityName>政治敏感错误</abilityName>
      <candidateList>
        <item>《危险化学品安全管理条例》</item>
      </candidateList>
      <explain/>
      <paraID>37F43450</paraID>
      <start>50</start>
      <end>63</end>
      <status>modified</status>
      <modifiedWord>《危险化学品安全管理条例》</modifiedWord>
      <trackRevisions>false</trackRevisions>
    </reviewItem>
    <reviewItem>
      <errorID>5dfd79a5-9a59-4691-ba29-3779c1ebf42b</errorID>
      <errorWord>国</errorWord>
      <group>L1_Word</group>
      <groupName>字词问题</groupName>
      <ability>L2_Typo</ability>
      <abilityName>字词错误</abilityName>
      <candidateList>
        <item>国民</item>
      </candidateList>
      <explain/>
      <paraID>37F43450</paraID>
      <start>71</start>
      <end>72</end>
      <status>unmodified</status>
      <modifiedWord/>
      <trackRevisions>false</trackRevisions>
    </reviewItem>
    <reviewItem>
      <errorID>07f0799a-aafc-41f1-a34c-7c01995827f2</errorID>
      <errorWord>放静电</errorWord>
      <group>L1_Word</group>
      <groupName>字词问题</groupName>
      <ability>L2_Typo</ability>
      <abilityName>字词错误</abilityName>
      <candidateList>
        <item>防静电</item>
      </candidateList>
      <explain/>
      <paraID>44A80C0F</paraID>
      <start>66</start>
      <end>69</end>
      <status>unmodified</status>
      <modifiedWord/>
      <trackRevisions>false</trackRevisions>
    </reviewItem>
    <reviewItem>
      <errorID>3629d6e0-ee50-40d6-82f8-d036188738a8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41461C64</paraID>
      <start>11</start>
      <end>14</end>
      <status>unmodified</status>
      <modifiedWord/>
      <trackRevisions>false</trackRevisions>
    </reviewItem>
    <reviewItem>
      <errorID>b0a61a39-7cd2-418a-8c8c-2e016c96c640</errorID>
      <errorWord>作</errorWord>
      <group>L1_Word</group>
      <groupName>字词问题</groupName>
      <ability>L2_Typo</ability>
      <abilityName>字词错误</abilityName>
      <candidateList>
        <item>做</item>
      </candidateList>
      <explain>存在发音相同字词的误用。</explain>
      <paraID>2DC091A4</paraID>
      <start>59</start>
      <end>60</end>
      <status>unmodified</status>
      <modifiedWord/>
      <trackRevisions>false</trackRevisions>
    </reviewItem>
    <reviewItem>
      <errorID>2a158a34-1abe-4d09-9296-7770610e0d44</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59C2C975</paraID>
      <start>0</start>
      <end>3</end>
      <status>unmodified</status>
      <modifiedWord/>
      <trackRevisions>false</trackRevisions>
    </reviewItem>
    <reviewItem>
      <errorID>139138ea-49d5-4e93-962a-3e40bf81bf9d</errorID>
      <errorWord>[2015] 4号</errorWord>
      <group>L1_Knowledge</group>
      <groupName>知识性问题</groupName>
      <ability>L2_Knowledge</ability>
      <abilityName>其他知识</abilityName>
      <candidateList>
        <item>〔2015〕4号</item>
      </candidateList>
      <explain>发文字号格式错误。</explain>
      <paraID>5CFB817D</paraID>
      <start>73</start>
      <end>82</end>
      <status>unmodified</status>
      <modifiedWord/>
      <trackRevisions>false</trackRevisions>
    </reviewItem>
    <reviewItem>
      <errorID>b48b44bc-feaf-4aca-8f73-db787b4bdd99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673E8986</paraID>
      <start>63</start>
      <end>66</end>
      <status>unmodified</status>
      <modifiedWord/>
      <trackRevisions>false</trackRevisions>
    </reviewItem>
    <reviewItem>
      <errorID>2d044c2e-78d5-463d-ae0b-a2c43798be9a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6FE7BC50</paraID>
      <start>0</start>
      <end>2</end>
      <status>unmodified</status>
      <modifiedWord/>
      <trackRevisions>false</trackRevisions>
    </reviewItem>
    <reviewItem>
      <errorID>1045c8a3-4827-47c2-ba37-bcca977d3d65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4ED5D13</paraID>
      <start>0</start>
      <end>2</end>
      <status>unmodified</status>
      <modifiedWord/>
      <trackRevisions>false</trackRevisions>
    </reviewItem>
    <reviewItem>
      <errorID>87543d83-fd17-470e-8ee3-ff944b0b7b6e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208B9003</paraID>
      <start>0</start>
      <end>2</end>
      <status>unmodified</status>
      <modifiedWord/>
      <trackRevisions>false</trackRevisions>
    </reviewItem>
    <reviewItem>
      <errorID>82787356-cedf-4b7b-a5ca-e5f22e454a27</errorID>
      <errorWord>集聚</errorWord>
      <group>L1_Word</group>
      <groupName>字词问题</groupName>
      <ability>L2_Typo</ability>
      <abilityName>字词错误</abilityName>
      <candidateList>
        <item>积聚</item>
      </candidateList>
      <explain>存在发音相同字词的误用。</explain>
      <paraID>208B9003</paraID>
      <start>24</start>
      <end>26</end>
      <status>unmodified</status>
      <modifiedWord/>
      <trackRevisions>false</trackRevisions>
    </reviewItem>
    <reviewItem>
      <errorID>86eb827d-98e8-4550-a080-50219e8cc103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7E2F1740</paraID>
      <start>0</start>
      <end>2</end>
      <status>unmodified</status>
      <modifiedWord/>
      <trackRevisions>false</trackRevisions>
    </reviewItem>
    <reviewItem>
      <errorID>641991ca-fe44-410d-b106-68adfa8dffdd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3EECDF3F</paraID>
      <start>0</start>
      <end>2</end>
      <status>unmodified</status>
      <modifiedWord/>
      <trackRevisions>false</trackRevisions>
    </reviewItem>
    <reviewItem>
      <errorID>4a2b6c72-aa1b-48f8-9262-7a58f5d040f1</errorID>
      <errorWord>理</errorWord>
      <group>L1_Word</group>
      <groupName>字词问题</groupName>
      <ability>L2_Typo</ability>
      <abilityName>字词错误</abilityName>
      <candidateList>
        <item>理和</item>
      </candidateList>
      <explain/>
      <paraID>3EECDF3F</paraID>
      <start>60</start>
      <end>61</end>
      <status>unmodified</status>
      <modifiedWord/>
      <trackRevisions>false</trackRevisions>
    </reviewItem>
    <reviewItem>
      <errorID>69bbecee-5838-489c-922a-1440b90dfb12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1B4B6CB</paraID>
      <start>0</start>
      <end>2</end>
      <status>unmodified</status>
      <modifiedWord/>
      <trackRevisions>false</trackRevisions>
    </reviewItem>
    <reviewItem>
      <errorID>1d4e6915-9325-49fc-a3b9-f0a9162d61a7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7E8C7C70</paraID>
      <start>0</start>
      <end>2</end>
      <status>unmodified</status>
      <modifiedWord/>
      <trackRevisions>false</trackRevisions>
    </reviewItem>
    <reviewItem>
      <errorID>d91e0eee-5d18-4bbe-8042-2fdd8955e418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1F7E1A54</paraID>
      <start>0</start>
      <end>2</end>
      <status>unmodified</status>
      <modifiedWord/>
      <trackRevisions>false</trackRevisions>
    </reviewItem>
    <reviewItem>
      <errorID>1dc8eff3-ae1b-442a-9ec8-b6b1acd564a3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7CAD58D</paraID>
      <start>0</start>
      <end>2</end>
      <status>unmodified</status>
      <modifiedWord/>
      <trackRevisions>false</trackRevisions>
    </reviewItem>
    <reviewItem>
      <errorID>3d2cb43f-d24d-4610-8b31-d8346bb9249a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6D7219B2</paraID>
      <start>0</start>
      <end>2</end>
      <status>unmodified</status>
      <modifiedWord/>
      <trackRevisions>false</trackRevisions>
    </reviewItem>
    <reviewItem>
      <errorID>3bd32b8d-44b5-4cd1-9d75-5c7492ca5330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587856BC</paraID>
      <start>0</start>
      <end>2</end>
      <status>unmodified</status>
      <modifiedWord/>
      <trackRevisions>false</trackRevisions>
    </reviewItem>
    <reviewItem>
      <errorID>b19f5320-4666-46f1-905d-f4eb918430c4</errorID>
      <errorWord>理</errorWord>
      <group>L1_Word</group>
      <groupName>字词问题</groupName>
      <ability>L2_Typo</ability>
      <abilityName>字词错误</abilityName>
      <candidateList>
        <item>理和</item>
      </candidateList>
      <explain/>
      <paraID>587856BC</paraID>
      <start>32</start>
      <end>33</end>
      <status>unmodified</status>
      <modifiedWord/>
      <trackRevisions>false</trackRevisions>
    </reviewItem>
    <reviewItem>
      <errorID>0251add8-e80f-46a6-9c8c-f0eab91e3f9b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3D8A0525</paraID>
      <start>0</start>
      <end>2</end>
      <status>unmodified</status>
      <modifiedWord/>
      <trackRevisions>false</trackRevisions>
    </reviewItem>
    <reviewItem>
      <errorID>270a847e-89f7-4022-ba2c-7964be361b2f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3AC65C4C</paraID>
      <start>29</start>
      <end>30</end>
      <status>unmodified</status>
      <modifiedWord/>
      <trackRevisions>false</trackRevisions>
    </reviewItem>
    <reviewItem>
      <errorID>abb1d4a5-dec7-459f-b1b4-341830de8dc5</errorID>
      <errorWord>（2014）119号</errorWord>
      <group>L1_Knowledge</group>
      <groupName>知识性问题</groupName>
      <ability>L2_Knowledge</ability>
      <abilityName>其他知识</abilityName>
      <candidateList>
        <item>〔2014〕119号</item>
      </candidateList>
      <explain>发文字号格式错误。</explain>
      <paraID>3AC65C4C</paraID>
      <start>33</start>
      <end>43</end>
      <status>unmodified</status>
      <modifiedWord/>
      <trackRevisions>false</trackRevisions>
    </reviewItem>
    <reviewItem>
      <errorID>74790345-c2aa-4d46-8781-ee1c4c001e2c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3AC65C4C</paraID>
      <start>43</start>
      <end>44</end>
      <status>unmodified</status>
      <modifiedWord/>
      <trackRevisions>false</trackRevisions>
    </reviewItem>
    <reviewItem>
      <errorID>58b545bd-b276-4f62-a116-3e49f18351a5</errorID>
      <errorWord>IV级</errorWord>
      <group>L1_Knowledge</group>
      <groupName>知识性问题</groupName>
      <ability>L2_Knowledge</ability>
      <abilityName>其他知识</abilityName>
      <candidateList>
        <item>Ⅳ级</item>
      </candidateList>
      <explain/>
      <paraID>3AC65C4C</paraID>
      <start>121</start>
      <end>124</end>
      <status>unmodified</status>
      <modifiedWord/>
      <trackRevisions>false</trackRevisions>
    </reviewItem>
    <reviewItem>
      <errorID>f5b8e103-732b-4da3-af9e-b03fbf55e158</errorID>
      <errorWord>须</errorWord>
      <group>L1_Word</group>
      <groupName>字词问题</groupName>
      <ability>L2_Typo</ability>
      <abilityName>字词错误</abilityName>
      <candidateList>
        <item>需</item>
      </candidateList>
      <explain>存在发音相同字词的误用。</explain>
      <paraID> 340F739</paraID>
      <start>23</start>
      <end>24</end>
      <status>unmodified</status>
      <modifiedWord/>
      <trackRevisions>false</trackRevisions>
    </reviewItem>
    <reviewItem>
      <errorID>bf0dcb5e-053f-46e1-b82f-9f065c49f1a3</errorID>
      <errorWord>职下</errorWord>
      <group>L1_Word</group>
      <groupName>字词问题</groupName>
      <ability>L2_Typo</ability>
      <abilityName>字词错误</abilityName>
      <candidateList>
        <item>如下</item>
      </candidateList>
      <explain>〈动〉如同下面所叙述或列举的：列举～｜现将应注意的事情说明～。</explain>
      <paraID>4C760068</paraID>
      <start>55</start>
      <end>57</end>
      <status>unmodified</status>
      <modifiedWord/>
      <trackRevisions>false</trackRevisions>
    </reviewItem>
    <reviewItem>
      <errorID>0180a679-9282-4f38-b823-d24fb79e7dff</errorID>
      <errorWord>（</errorWord>
      <group>L1_Word</group>
      <groupName>字词问题</groupName>
      <ability>L2_Typo</ability>
      <abilityName>字词错误</abilityName>
      <candidateList>
        <item>（修</item>
      </candidateList>
      <explain/>
      <paraID>784B3FF0</paraID>
      <start>7</start>
      <end>8</end>
      <status>unmodified</status>
      <modifiedWord/>
      <trackRevisions>false</trackRevisions>
    </reviewItem>
    <reviewItem>
      <errorID>0180a679-9282-4f38-b823-d24fb79e7dff</errorID>
      <errorWord>（</errorWord>
      <group>L1_Word</group>
      <groupName>字词问题</groupName>
      <ability>L2_Typo</ability>
      <abilityName>字词错误</abilityName>
      <candidateList>
        <item>（修</item>
      </candidateList>
      <explain/>
      <paraID>4B7260DA</paraID>
      <start>7</start>
      <end>8</end>
      <status>unmodified</status>
      <modifiedWord/>
      <trackRevisions>false</trackRevisions>
    </reviewItem>
    <reviewItem>
      <errorID>95369658-ef57-4e6e-82ed-90c5999713ce</errorID>
      <errorWord>理</errorWord>
      <group>L1_Word</group>
      <groupName>字词问题</groupName>
      <ability>L2_Typo</ability>
      <abilityName>字词错误</abilityName>
      <candidateList>
        <item>理和</item>
      </candidateList>
      <explain/>
      <paraID>5B6BA035</paraID>
      <start>5</start>
      <end>6</end>
      <status>unmodified</status>
      <modifiedWord/>
      <trackRevisions>false</trackRevisions>
    </reviewItem>
    <reviewItem>
      <errorID>3248388d-626e-4f97-8a42-068c2c3603e7</errorID>
      <errorWord>台帐</errorWord>
      <group>L1_Word</group>
      <groupName>字词问题</groupName>
      <ability>L2_Typo</ability>
      <abilityName>字词错误</abilityName>
      <candidateList>
        <item>台账</item>
      </candidateList>
      <explain/>
      <paraID>4845A8F4</paraID>
      <start>10</start>
      <end>12</end>
      <status>unmodified</status>
      <modifiedWord/>
      <trackRevisions>false</trackRevisions>
    </reviewItem>
    <reviewItem>
      <errorID>aaeac82a-dc21-4c4c-a138-a873417be37b</errorID>
      <errorWord>做</errorWord>
      <group>L1_Word</group>
      <groupName>字词问题</groupName>
      <ability>L2_Typo</ability>
      <abilityName>字词错误</abilityName>
      <candidateList>
        <item>做好</item>
      </candidateList>
      <explain/>
      <paraID>31CA7685</paraID>
      <start>44</start>
      <end>45</end>
      <status>unmodified</status>
      <modifiedWord/>
      <trackRevisions>false</trackRevisions>
    </reviewItem>
    <reviewItem>
      <errorID>40b26d5b-29a1-483d-99ab-537e29c7d604</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427FA896</paraID>
      <start>38</start>
      <end>39</end>
      <status>modified</status>
      <modifiedWord>地</modifiedWord>
      <trackRevisions>false</trackRevisions>
    </reviewItem>
    <reviewItem>
      <errorID>34910717-cb44-478e-8962-5923678c51f6</errorID>
      <errorWord>组</errorWord>
      <group>L1_Word</group>
      <groupName>字词问题</groupName>
      <ability>L2_Typo</ability>
      <abilityName>字词错误</abilityName>
      <candidateList>
        <item>组在</item>
      </candidateList>
      <explain/>
      <paraID> A430ACE</paraID>
      <start>64</start>
      <end>65</end>
      <status>unmodified</status>
      <modifiedWord/>
      <trackRevisions>false</trackRevisions>
    </reviewItem>
    <reviewItem>
      <errorID>14683ccf-7b2a-4268-ad08-5b78ff8af142</errorID>
      <errorWord>对</errorWord>
      <group>L1_Word</group>
      <groupName>字词问题</groupName>
      <ability>L2_Typo</ability>
      <abilityName>字词错误</abilityName>
      <candidateList>
        <item>对性</item>
      </candidateList>
      <explain/>
      <paraID>499ED316</paraID>
      <start>121</start>
      <end>122</end>
      <status>unmodified</status>
      <modifiedWord/>
      <trackRevisions>false</trackRevisions>
    </reviewItem>
    <reviewItem>
      <errorID>01346f5a-4172-4f92-9293-6c732a9223ac</errorID>
      <errorWord>对应</errorWord>
      <group>L1_Word</group>
      <groupName>字词问题</groupName>
      <ability>L2_Typo</ability>
      <abilityName>字词错误</abilityName>
      <candidateList>
        <item>应对</item>
      </candidateList>
      <explain/>
      <paraID>2A80B8F0</paraID>
      <start>0</start>
      <end>2</end>
      <status>unmodified</status>
      <modifiedWord/>
      <trackRevisions>false</trackRevisions>
    </reviewItem>
    <reviewItem>
      <errorID>991740cf-c832-421b-a49b-283b6df75234</errorID>
      <errorWord>相应</errorWord>
      <group>L1_Word</group>
      <groupName>字词问题</groupName>
      <ability>L2_Typo</ability>
      <abilityName>字词错误</abilityName>
      <candidateList>
        <item>响应</item>
      </candidateList>
      <explain>〈动〉回声相应，比喻用言语行动表示赞同、支持某种号召或倡议：～号召。</explain>
      <paraID>1D14FF24</paraID>
      <start>16</start>
      <end>18</end>
      <status>unmodified</status>
      <modifiedWord/>
      <trackRevisions>false</trackRevisions>
    </reviewItem>
    <reviewItem>
      <errorID>5717cad6-9c45-4024-9f8c-2aef8bae5ae1</errorID>
      <errorWord>作好</errorWord>
      <group>L1_Word</group>
      <groupName>字词问题</groupName>
      <ability>L2_Typo</ability>
      <abilityName>字词错误</abilityName>
      <candidateList>
        <item>做好</item>
      </candidateList>
      <explain/>
      <paraID>5796D966</paraID>
      <start>83</start>
      <end>85</end>
      <status>unmodified</status>
      <modifiedWord/>
      <trackRevisions>false</trackRevisions>
    </reviewItem>
    <reviewItem>
      <errorID>9a2b84c1-fc8d-4280-983b-71cf8ce5d76a</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103C4277</paraID>
      <start>13</start>
      <end>14</end>
      <status>unmodified</status>
      <modifiedWord/>
      <trackRevisions>false</trackRevisions>
    </reviewItem>
    <reviewItem>
      <errorID>59a8cda7-f770-41d7-b296-79d39c09e530</errorID>
      <errorWord>，</errorWord>
      <group>L1_Word</group>
      <groupName>字词问题</groupName>
      <ability>L2_Typo</ability>
      <abilityName>字词错误</abilityName>
      <candidateList>
        <item>，由</item>
      </candidateList>
      <explain/>
      <paraID>103C4277</paraID>
      <start>87</start>
      <end>88</end>
      <status>unmodified</status>
      <modifiedWord/>
      <trackRevisions>false</trackRevisions>
    </reviewItem>
    <reviewItem>
      <errorID>4fbea1cf-19ec-485b-8249-03574f53d103</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 36BB2C6</paraID>
      <start>103</start>
      <end>105</end>
      <status>unmodified</status>
      <modifiedWord/>
      <trackRevisions>false</trackRevisions>
    </reviewItem>
    <reviewItem>
      <errorID>bdd42ad1-1f82-4361-bfeb-2a6c2b13a257</errorID>
      <errorWord>响应响应</errorWord>
      <group>L1_Word</group>
      <groupName>字词问题</groupName>
      <ability>L2_Typo</ability>
      <abilityName>字词错误</abilityName>
      <candidateList>
        <item>响应</item>
      </candidateList>
      <explain>〈动〉回声相应，比喻用言语行动表示赞同、支持某种号召或倡议：～号召。</explain>
      <paraID> 36BB2C6</paraID>
      <start>140</start>
      <end>144</end>
      <status>unmodified</status>
      <modifiedWord/>
      <trackRevisions>false</trackRevisions>
    </reviewItem>
    <reviewItem>
      <errorID>2bfcf364-251f-4185-880a-521d7f282ad2</errorID>
      <errorWord>响应响应</errorWord>
      <group>L1_Word</group>
      <groupName>字词问题</groupName>
      <ability>L2_Typo</ability>
      <abilityName>字词错误</abilityName>
      <candidateList>
        <item>响应</item>
      </candidateList>
      <explain>〈动〉回声相应，比喻用言语行动表示赞同、支持某种号召或倡议：～号召。</explain>
      <paraID>1E00BF85</paraID>
      <start>8</start>
      <end>12</end>
      <status>unmodified</status>
      <modifiedWord/>
      <trackRevisions>false</trackRevisions>
    </reviewItem>
    <reviewItem>
      <errorID>f465c81f-0ba9-41ef-acd7-c8c89d8c734c</errorID>
      <errorWord>临近</errorWord>
      <group>L1_Word</group>
      <groupName>字词问题</groupName>
      <ability>L2_Typo</ability>
      <abilityName>字词错误</abilityName>
      <candidateList>
        <item>邻近</item>
      </candidateList>
      <explain>存在发音相同字词的误用。</explain>
      <paraID>5A215E0F</paraID>
      <start>34</start>
      <end>36</end>
      <status>unmodified</status>
      <modifiedWord/>
      <trackRevisions>false</trackRevisions>
    </reviewItem>
    <reviewItem>
      <errorID>718b619b-0c53-478d-ace1-ae8e298b364d</errorID>
      <errorWord>省生态环境局</errorWord>
      <group>L1_Political</group>
      <groupName>政治性问题</groupName>
      <ability>L2_Unpolitical</ability>
      <abilityName>政治敏感错误</abilityName>
      <candidateList>
        <item>省生态环境厅</item>
      </candidateList>
      <explain>机关单位名称不规范，请注意审核。</explain>
      <paraID>6F5B3F7F</paraID>
      <start>68</start>
      <end>74</end>
      <status>unmodified</status>
      <modifiedWord/>
      <trackRevisions>false</trackRevisions>
    </reviewItem>
    <reviewItem>
      <errorID>10adc2bd-6994-43e5-8a9e-1b62ca53f94d</errorID>
      <errorWord>求援</errorWord>
      <group>L1_Word</group>
      <groupName>字词问题</groupName>
      <ability>L2_Typo</ability>
      <abilityName>字词错误</abilityName>
      <candidateList>
        <item>救援</item>
      </candidateList>
      <explain>〈动〉援救：请求～｜～人员。</explain>
      <paraID>7EF61E81</paraID>
      <start>8</start>
      <end>10</end>
      <status>unmodified</status>
      <modifiedWord/>
      <trackRevisions>false</trackRevisions>
    </reviewItem>
    <reviewItem>
      <errorID>b0ec1ea2-668c-442e-95ee-ff3f4b8b9a8a</errorID>
      <errorWord>其它</errorWord>
      <group>L1_Word</group>
      <groupName>字词问题</groupName>
      <ability>L2_Alias</ability>
      <abilityName>也作/曾用词</abilityName>
      <candidateList>
        <item>其他</item>
      </candidateList>
      <explain>词汇[其它]为不规范表述或旧称，其规范书面表述为[其他]。</explain>
      <paraID>7EF61E81</paraID>
      <start>21</start>
      <end>23</end>
      <status>unmodified</status>
      <modifiedWord/>
      <trackRevisions>false</trackRevisions>
    </reviewItem>
    <reviewItem>
      <errorID>b4f3a0f2-0da4-44b9-b350-d329944149d6</errorID>
      <errorWord>求援</errorWord>
      <group>L1_Word</group>
      <groupName>字词问题</groupName>
      <ability>L2_Typo</ability>
      <abilityName>字词错误</abilityName>
      <candidateList>
        <item>救援</item>
      </candidateList>
      <explain>〈动〉援救：请求～｜～人员。</explain>
      <paraID>76DEE87F</paraID>
      <start>8</start>
      <end>10</end>
      <status>unmodified</status>
      <modifiedWord/>
      <trackRevisions>false</trackRevisions>
    </reviewItem>
    <reviewItem>
      <errorID>c6174a1b-90c4-4a48-bfcf-5c1a4440e64f</errorID>
      <errorWord>II级</errorWord>
      <group>L1_Knowledge</group>
      <groupName>知识性问题</groupName>
      <ability>L2_Knowledge</ability>
      <abilityName>其他知识</abilityName>
      <candidateList>
        <item>Ⅱ级</item>
      </candidateList>
      <explain/>
      <paraID>7D2CA330</paraID>
      <start>106</start>
      <end>109</end>
      <status>unmodified</status>
      <modifiedWord/>
      <trackRevisions>false</trackRevisions>
    </reviewItem>
    <reviewItem>
      <errorID>5852b200-2181-456c-ba24-6adbf1325446</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76E10C2F</paraID>
      <start>0</start>
      <end>2</end>
      <status>unmodified</status>
      <modifiedWord/>
      <trackRevisions>false</trackRevisions>
    </reviewItem>
    <reviewItem>
      <errorID>db78bfea-df2e-465e-be53-518fa5c2ef53</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4E47EC5C</paraID>
      <start>0</start>
      <end>2</end>
      <status>unmodified</status>
      <modifiedWord/>
      <trackRevisions>false</trackRevisions>
    </reviewItem>
    <reviewItem>
      <errorID>b9dd623d-9fa6-413b-bf3d-0c43a28148b0</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3780128F</paraID>
      <start>0</start>
      <end>2</end>
      <status>unmodified</status>
      <modifiedWord/>
      <trackRevisions>false</trackRevisions>
    </reviewItem>
    <reviewItem>
      <errorID>92adfe4d-3694-4d69-8a91-205eb690d179</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3D61DB45</paraID>
      <start>0</start>
      <end>2</end>
      <status>unmodified</status>
      <modifiedWord/>
      <trackRevisions>false</trackRevisions>
    </reviewItem>
    <reviewItem>
      <errorID>5ac5e067-a418-4971-8207-69c814708fa7</errorID>
      <errorWord>e、</errorWord>
      <group>L1_Format</group>
      <groupName>格式问题</groupName>
      <ability>L2_Ordinal</ability>
      <abilityName>序号格式</abilityName>
      <candidateList>
        <item>e.</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1CAD951E</paraID>
      <start>0</start>
      <end>2</end>
      <status>unmodified</status>
      <modifiedWord/>
      <trackRevisions>false</trackRevisions>
    </reviewItem>
    <reviewItem>
      <errorID>095849ce-79db-4612-a1f7-48f50a086523</errorID>
      <errorWord>f、</errorWord>
      <group>L1_Format</group>
      <groupName>格式问题</groupName>
      <ability>L2_Ordinal</ability>
      <abilityName>序号格式</abilityName>
      <candidateList>
        <item>f.</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5590CBEA</paraID>
      <start>0</start>
      <end>2</end>
      <status>unmodified</status>
      <modifiedWord/>
      <trackRevisions>false</trackRevisions>
    </reviewItem>
    <reviewItem>
      <errorID>911df952-207d-483c-9a48-0f6eaa9cdac4</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4DEBA300</paraID>
      <start>0</start>
      <end>2</end>
      <status>unmodified</status>
      <modifiedWord/>
      <trackRevisions>false</trackRevisions>
    </reviewItem>
    <reviewItem>
      <errorID>26601ff8-b32e-4607-87f8-bf154350f0ff</errorID>
      <errorWord>h、</errorWord>
      <group>L1_Format</group>
      <groupName>格式问题</groupName>
      <ability>L2_Ordinal</ability>
      <abilityName>序号格式</abilityName>
      <candidateList>
        <item>h.</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4554161F</paraID>
      <start>0</start>
      <end>2</end>
      <status>unmodified</status>
      <modifiedWord/>
      <trackRevisions>false</trackRevisions>
    </reviewItem>
    <reviewItem>
      <errorID>cea4f763-c82c-4cb4-bc32-2e670a24aa14</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1EC4BD7B</paraID>
      <start>36</start>
      <end>37</end>
      <status>modified</status>
      <modifiedWord>地</modifiedWord>
      <trackRevisions>false</trackRevisions>
    </reviewItem>
    <reviewItem>
      <errorID>26878d28-63f0-4aa5-b35a-dfbeda8bcaa6</errorID>
      <errorWord>救急</errorWord>
      <group>L1_Word</group>
      <groupName>字词问题</groupName>
      <ability>L2_Typo</ability>
      <abilityName>字词错误</abilityName>
      <candidateList>
        <item>急救</item>
      </candidateList>
      <explain>〈动〉紧急救治：～危重病人。</explain>
      <paraID>3D2E7CDD</paraID>
      <start>61</start>
      <end>63</end>
      <status>unmodified</status>
      <modifiedWord/>
      <trackRevisions>false</trackRevisions>
    </reviewItem>
    <reviewItem>
      <errorID>648f8905-2478-4935-9d3a-f9c1827193c9</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75EFD629</paraID>
      <start>0</start>
      <end>3</end>
      <status>unmodified</status>
      <modifiedWord/>
      <trackRevisions>false</trackRevisions>
    </reviewItem>
    <reviewItem>
      <errorID>8ee898c0-bc9e-43f8-a6dc-56072424e9b3</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12B72147</paraID>
      <start>115</start>
      <end>116</end>
      <status>modified</status>
      <modifiedWord>地</modifiedWord>
      <trackRevisions>false</trackRevisions>
    </reviewItem>
    <reviewItem>
      <errorID>f40d6053-00d6-49a4-be8f-4143f6057134</errorID>
      <errorWord>会</errorWord>
      <group>L1_Word</group>
      <groupName>字词问题</groupName>
      <ability>L2_Typo</ability>
      <abilityName>字词错误</abilityName>
      <candidateList>
        <item>会对</item>
      </candidateList>
      <explain/>
      <paraID>12B72147</paraID>
      <start>178</start>
      <end>179</end>
      <status>unmodified</status>
      <modifiedWord/>
      <trackRevisions>false</trackRevisions>
    </reviewItem>
    <reviewItem>
      <errorID>c4157af4-9683-4b45-9fe7-3bad46500e33</errorID>
      <errorWord>业</errorWord>
      <group>L1_Word</group>
      <groupName>字词问题</groupName>
      <ability>L2_Typo</ability>
      <abilityName>字词错误</abilityName>
      <candidateList>
        <item>业在</item>
      </candidateList>
      <explain/>
      <paraID>74FF13D8</paraID>
      <start>1</start>
      <end>2</end>
      <status>unmodified</status>
      <modifiedWord/>
      <trackRevisions>false</trackRevisions>
    </reviewItem>
    <reviewItem>
      <errorID>41cb371d-6c91-420b-abe4-36a306c3ceb5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D7192AC</paraID>
      <start>20</start>
      <end>23</end>
      <status>unmodified</status>
      <modifiedWord/>
      <trackRevisions>false</trackRevisions>
    </reviewItem>
    <reviewItem>
      <errorID>f395de2a-3556-4ff0-bb94-67d0fc052842</errorID>
      <errorWord>[2015]</errorWord>
      <group>L1_Punc</group>
      <groupName>标点问题</groupName>
      <ability>L2_Punc</ability>
      <abilityName>标点符号检查</abilityName>
      <candidateList>
        <item>〔2015〕</item>
      </candidateList>
      <explain/>
      <paraID> D7192AC</paraID>
      <start>56</start>
      <end>62</end>
      <status>unmodified</status>
      <modifiedWord/>
      <trackRevisions>false</trackRevisions>
    </reviewItem>
    <reviewItem>
      <errorID>e3c51ea6-4267-4446-aba9-8bf9e05be0d0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11827BCF</paraID>
      <start>26</start>
      <end>27</end>
      <status>modified</status>
      <modifiedWord>地</modifiedWord>
      <trackRevisions>false</trackRevisions>
    </reviewItem>
    <reviewItem>
      <errorID>416f1833-855f-4cb5-8b8c-e88d47c16d30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11827BCF</paraID>
      <start>179</start>
      <end>180</end>
      <status>modified</status>
      <modifiedWord>地</modifiedWord>
      <trackRevisions>false</trackRevisions>
    </reviewItem>
    <reviewItem>
      <errorID>77b9b47e-160f-4047-85b0-9b7780305331</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126BA561</paraID>
      <start>16</start>
      <end>17</end>
      <status>unmodified</status>
      <modifiedWord/>
      <trackRevisions>false</trackRevisions>
    </reviewItem>
    <reviewItem>
      <errorID>d4a29db1-63a5-48b9-b002-efde24e07a9e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2E13D474</paraID>
      <start>0</start>
      <end>2</end>
      <status>unmodified</status>
      <modifiedWord/>
      <trackRevisions>false</trackRevisions>
    </reviewItem>
    <reviewItem>
      <errorID>fc656f3d-2824-4fff-9d90-5f62d9b4dbeb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4AD93873</paraID>
      <start>0</start>
      <end>2</end>
      <status>unmodified</status>
      <modifiedWord/>
      <trackRevisions>false</trackRevisions>
    </reviewItem>
    <reviewItem>
      <errorID>256f9558-c48d-4aee-802e-1b56a0f1106d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53729DF3</paraID>
      <start>0</start>
      <end>2</end>
      <status>unmodified</status>
      <modifiedWord/>
      <trackRevisions>false</trackRevisions>
    </reviewItem>
    <reviewItem>
      <errorID>7386b46a-707c-437a-b65f-798de4390e2f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6BD52FC2</paraID>
      <start>0</start>
      <end>2</end>
      <status>unmodified</status>
      <modifiedWord/>
      <trackRevisions>false</trackRevisions>
    </reviewItem>
    <reviewItem>
      <errorID>0432fdfb-2bc2-4fc3-b282-50692b8dbf18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5BFD4F46</paraID>
      <start>0</start>
      <end>2</end>
      <status>unmodified</status>
      <modifiedWord/>
      <trackRevisions>false</trackRevisions>
    </reviewItem>
    <reviewItem>
      <errorID>2b5b9927-4f24-4390-a894-ae4007a43035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7C93AA3</paraID>
      <start>0</start>
      <end>2</end>
      <status>unmodified</status>
      <modifiedWord/>
      <trackRevisions>false</trackRevisions>
    </reviewItem>
    <reviewItem>
      <errorID>df11430f-8f9f-4404-854a-bfa81e59779e</errorID>
      <errorWord>但</errorWord>
      <group>L1_Word</group>
      <groupName>字词问题</groupName>
      <ability>L2_Typo</ability>
      <abilityName>字词错误</abilityName>
      <candidateList>
        <item>但在</item>
      </candidateList>
      <explain/>
      <paraID>34128DAE</paraID>
      <start>20</start>
      <end>21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CA952D-7358-4FDD-A5D0-CDB58F3B0EDC}">
  <ds:schemaRefs/>
</ds:datastoreItem>
</file>

<file path=customXml/itemProps3.xml><?xml version="1.0" encoding="utf-8"?>
<ds:datastoreItem xmlns:ds="http://schemas.openxmlformats.org/officeDocument/2006/customXml" ds:itemID="{aeccd497-ddd9-4903-aaed-4ddd02c7e366}">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176</Pages>
  <Words>7881</Words>
  <Characters>8274</Characters>
  <Lines>968</Lines>
  <Paragraphs>272</Paragraphs>
  <TotalTime>4</TotalTime>
  <ScaleCrop>false</ScaleCrop>
  <LinksUpToDate>false</LinksUpToDate>
  <CharactersWithSpaces>8338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2026-03-24T02:25:00Z</dcterms:created>
  <dc:creator>lhj</dc:creator>
  <cp:lastModifiedBy>岁月如歌</cp:lastModifiedBy>
  <cp:lastPrinted>2026-03-24T01:36:00Z</cp:lastPrinted>
  <dcterms:modified xsi:type="dcterms:W3CDTF">2026-03-24T08:41:29Z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1CFB5014B95F408D8B2F9D632E17A33D_13</vt:lpwstr>
  </property>
  <property fmtid="{D5CDD505-2E9C-101B-9397-08002B2CF9AE}" pid="4" name="KSOTemplateDocerSaveRecord">
    <vt:lpwstr>eyJoZGlkIjoiNWYwYjdkYjZlZGM2NWFlNjkyM2U1MWM0ZTNmZWEwZTIiLCJ1c2VySWQiOiIxMDM3NjMxMjY0In0=</vt:lpwstr>
  </property>
</Properties>
</file>