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7338EF">
      <w:pPr>
        <w:spacing w:after="0" w:line="360" w:lineRule="auto"/>
        <w:rPr>
          <w:rFonts w:cs="仿宋_GB2312"/>
          <w:color w:val="0D0D0D" w:themeColor="text1" w:themeTint="F2"/>
          <w:sz w:val="36"/>
          <w:szCs w:val="36"/>
          <w14:textFill>
            <w14:solidFill>
              <w14:schemeClr w14:val="tx1">
                <w14:lumMod w14:val="95000"/>
                <w14:lumOff w14:val="5000"/>
              </w14:schemeClr>
            </w14:solidFill>
          </w14:textFill>
        </w:rPr>
      </w:pPr>
    </w:p>
    <w:p w14:paraId="005BF016">
      <w:pPr>
        <w:spacing w:after="0" w:line="360" w:lineRule="auto"/>
        <w:rPr>
          <w:rFonts w:cs="仿宋_GB2312"/>
          <w:color w:val="0D0D0D" w:themeColor="text1" w:themeTint="F2"/>
          <w:sz w:val="36"/>
          <w:szCs w:val="36"/>
          <w14:textFill>
            <w14:solidFill>
              <w14:schemeClr w14:val="tx1">
                <w14:lumMod w14:val="95000"/>
                <w14:lumOff w14:val="5000"/>
              </w14:schemeClr>
            </w14:solidFill>
          </w14:textFill>
        </w:rPr>
      </w:pPr>
    </w:p>
    <w:p w14:paraId="62162580">
      <w:pPr>
        <w:spacing w:after="0" w:line="360" w:lineRule="auto"/>
        <w:rPr>
          <w:rFonts w:cs="仿宋_GB2312"/>
          <w:color w:val="0D0D0D" w:themeColor="text1" w:themeTint="F2"/>
          <w:sz w:val="36"/>
          <w:szCs w:val="36"/>
          <w14:textFill>
            <w14:solidFill>
              <w14:schemeClr w14:val="tx1">
                <w14:lumMod w14:val="95000"/>
                <w14:lumOff w14:val="5000"/>
              </w14:schemeClr>
            </w14:solidFill>
          </w14:textFill>
        </w:rPr>
      </w:pPr>
    </w:p>
    <w:p w14:paraId="06A99179">
      <w:pPr>
        <w:spacing w:after="0" w:line="360" w:lineRule="auto"/>
        <w:rPr>
          <w:rFonts w:cs="仿宋_GB2312"/>
          <w:color w:val="0D0D0D" w:themeColor="text1" w:themeTint="F2"/>
          <w:sz w:val="36"/>
          <w:szCs w:val="36"/>
          <w14:textFill>
            <w14:solidFill>
              <w14:schemeClr w14:val="tx1">
                <w14:lumMod w14:val="95000"/>
                <w14:lumOff w14:val="5000"/>
              </w14:schemeClr>
            </w14:solidFill>
          </w14:textFill>
        </w:rPr>
      </w:pPr>
    </w:p>
    <w:p w14:paraId="323E7506">
      <w:pPr>
        <w:spacing w:after="0"/>
        <w:jc w:val="center"/>
        <w:rPr>
          <w:b/>
          <w:bCs/>
          <w:color w:val="0D0D0D" w:themeColor="text1" w:themeTint="F2"/>
          <w:sz w:val="72"/>
          <w:szCs w:val="72"/>
          <w14:textFill>
            <w14:solidFill>
              <w14:schemeClr w14:val="tx1">
                <w14:lumMod w14:val="95000"/>
                <w14:lumOff w14:val="5000"/>
              </w14:schemeClr>
            </w14:solidFill>
          </w14:textFill>
        </w:rPr>
      </w:pPr>
      <w:r>
        <w:rPr>
          <w:rFonts w:hint="eastAsia"/>
          <w:b/>
          <w:bCs/>
          <w:color w:val="0D0D0D" w:themeColor="text1" w:themeTint="F2"/>
          <w:sz w:val="72"/>
          <w:szCs w:val="72"/>
          <w14:textFill>
            <w14:solidFill>
              <w14:schemeClr w14:val="tx1">
                <w14:lumMod w14:val="95000"/>
                <w14:lumOff w14:val="5000"/>
              </w14:schemeClr>
            </w14:solidFill>
          </w14:textFill>
        </w:rPr>
        <w:t>建设项目环境影响报告表</w:t>
      </w:r>
    </w:p>
    <w:p w14:paraId="211C2526">
      <w:pPr>
        <w:adjustRightInd w:val="0"/>
        <w:snapToGrid w:val="0"/>
        <w:spacing w:before="192" w:beforeLines="80" w:after="0"/>
        <w:jc w:val="center"/>
        <w:rPr>
          <w:b/>
          <w:bCs/>
          <w:color w:val="0D0D0D" w:themeColor="text1" w:themeTint="F2"/>
          <w:sz w:val="48"/>
          <w:szCs w:val="48"/>
          <w14:textFill>
            <w14:solidFill>
              <w14:schemeClr w14:val="tx1">
                <w14:lumMod w14:val="95000"/>
                <w14:lumOff w14:val="5000"/>
              </w14:schemeClr>
            </w14:solidFill>
          </w14:textFill>
        </w:rPr>
      </w:pPr>
      <w:r>
        <w:rPr>
          <w:rFonts w:hint="eastAsia"/>
          <w:b/>
          <w:bCs/>
          <w:color w:val="0D0D0D" w:themeColor="text1" w:themeTint="F2"/>
          <w:sz w:val="48"/>
          <w:szCs w:val="48"/>
          <w14:textFill>
            <w14:solidFill>
              <w14:schemeClr w14:val="tx1">
                <w14:lumMod w14:val="95000"/>
                <w14:lumOff w14:val="5000"/>
              </w14:schemeClr>
            </w14:solidFill>
          </w14:textFill>
        </w:rPr>
        <w:t>（污染影响类）</w:t>
      </w:r>
    </w:p>
    <w:p w14:paraId="4FC9DE99">
      <w:pPr>
        <w:spacing w:after="0" w:line="360" w:lineRule="auto"/>
        <w:rPr>
          <w:color w:val="0D0D0D" w:themeColor="text1" w:themeTint="F2"/>
          <w:sz w:val="44"/>
          <w:szCs w:val="44"/>
          <w14:textFill>
            <w14:solidFill>
              <w14:schemeClr w14:val="tx1">
                <w14:lumMod w14:val="95000"/>
                <w14:lumOff w14:val="5000"/>
              </w14:schemeClr>
            </w14:solidFill>
          </w14:textFill>
        </w:rPr>
      </w:pPr>
    </w:p>
    <w:p w14:paraId="0E6D6B7A">
      <w:pPr>
        <w:spacing w:after="0" w:line="360" w:lineRule="auto"/>
        <w:rPr>
          <w:color w:val="0D0D0D" w:themeColor="text1" w:themeTint="F2"/>
          <w:sz w:val="44"/>
          <w:szCs w:val="44"/>
          <w14:textFill>
            <w14:solidFill>
              <w14:schemeClr w14:val="tx1">
                <w14:lumMod w14:val="95000"/>
                <w14:lumOff w14:val="5000"/>
              </w14:schemeClr>
            </w14:solidFill>
          </w14:textFill>
        </w:rPr>
      </w:pPr>
    </w:p>
    <w:p w14:paraId="16C0DD46">
      <w:pPr>
        <w:spacing w:after="0" w:line="360" w:lineRule="auto"/>
        <w:rPr>
          <w:color w:val="0D0D0D" w:themeColor="text1" w:themeTint="F2"/>
          <w:sz w:val="44"/>
          <w:szCs w:val="44"/>
          <w14:textFill>
            <w14:solidFill>
              <w14:schemeClr w14:val="tx1">
                <w14:lumMod w14:val="95000"/>
                <w14:lumOff w14:val="5000"/>
              </w14:schemeClr>
            </w14:solidFill>
          </w14:textFill>
        </w:rPr>
      </w:pPr>
    </w:p>
    <w:p w14:paraId="7FF57183">
      <w:pPr>
        <w:spacing w:after="0" w:line="360" w:lineRule="auto"/>
        <w:rPr>
          <w:color w:val="0D0D0D" w:themeColor="text1" w:themeTint="F2"/>
          <w:sz w:val="44"/>
          <w:szCs w:val="44"/>
          <w14:textFill>
            <w14:solidFill>
              <w14:schemeClr w14:val="tx1">
                <w14:lumMod w14:val="95000"/>
                <w14:lumOff w14:val="5000"/>
              </w14:schemeClr>
            </w14:solidFill>
          </w14:textFill>
        </w:rPr>
      </w:pPr>
    </w:p>
    <w:p w14:paraId="06109971">
      <w:pPr>
        <w:adjustRightInd w:val="0"/>
        <w:snapToGrid w:val="0"/>
        <w:spacing w:after="0" w:line="360" w:lineRule="auto"/>
        <w:rPr>
          <w:color w:val="0D0D0D" w:themeColor="text1" w:themeTint="F2"/>
          <w:sz w:val="30"/>
          <w:szCs w:val="30"/>
          <w:u w:val="single"/>
          <w14:textFill>
            <w14:solidFill>
              <w14:schemeClr w14:val="tx1">
                <w14:lumMod w14:val="95000"/>
                <w14:lumOff w14:val="5000"/>
              </w14:schemeClr>
            </w14:solidFill>
          </w14:textFill>
        </w:rPr>
      </w:pPr>
      <w:r>
        <w:rPr>
          <w:rFonts w:hint="eastAsia"/>
          <w:color w:val="0D0D0D" w:themeColor="text1" w:themeTint="F2"/>
          <w:sz w:val="30"/>
          <w:szCs w:val="30"/>
          <w14:textFill>
            <w14:solidFill>
              <w14:schemeClr w14:val="tx1">
                <w14:lumMod w14:val="95000"/>
                <w14:lumOff w14:val="5000"/>
              </w14:schemeClr>
            </w14:solidFill>
          </w14:textFill>
        </w:rPr>
        <w:t>项目名称：</w:t>
      </w:r>
      <w:r>
        <w:rPr>
          <w:rFonts w:hint="eastAsia"/>
          <w:color w:val="0D0D0D" w:themeColor="text1" w:themeTint="F2"/>
          <w:sz w:val="30"/>
          <w:szCs w:val="30"/>
          <w:u w:val="single"/>
          <w14:textFill>
            <w14:solidFill>
              <w14:schemeClr w14:val="tx1">
                <w14:lumMod w14:val="95000"/>
                <w14:lumOff w14:val="5000"/>
              </w14:schemeClr>
            </w14:solidFill>
          </w14:textFill>
        </w:rPr>
        <w:t xml:space="preserve">        中石油CC项目配套用地临时项目         </w:t>
      </w:r>
    </w:p>
    <w:p w14:paraId="45DB386D">
      <w:pPr>
        <w:adjustRightInd w:val="0"/>
        <w:snapToGrid w:val="0"/>
        <w:spacing w:after="0" w:line="360" w:lineRule="auto"/>
        <w:rPr>
          <w:color w:val="0D0D0D" w:themeColor="text1" w:themeTint="F2"/>
          <w:sz w:val="30"/>
          <w:szCs w:val="30"/>
          <w:u w:val="single"/>
          <w14:textFill>
            <w14:solidFill>
              <w14:schemeClr w14:val="tx1">
                <w14:lumMod w14:val="95000"/>
                <w14:lumOff w14:val="5000"/>
              </w14:schemeClr>
            </w14:solidFill>
          </w14:textFill>
        </w:rPr>
      </w:pPr>
      <w:r>
        <w:rPr>
          <w:rFonts w:hint="eastAsia"/>
          <w:color w:val="0D0D0D" w:themeColor="text1" w:themeTint="F2"/>
          <w:sz w:val="30"/>
          <w:szCs w:val="30"/>
          <w14:textFill>
            <w14:solidFill>
              <w14:schemeClr w14:val="tx1">
                <w14:lumMod w14:val="95000"/>
                <w14:lumOff w14:val="5000"/>
              </w14:schemeClr>
            </w14:solidFill>
          </w14:textFill>
        </w:rPr>
        <w:t>建设单位（盖章）：</w:t>
      </w:r>
      <w:r>
        <w:rPr>
          <w:rFonts w:hint="eastAsia"/>
          <w:color w:val="0D0D0D" w:themeColor="text1" w:themeTint="F2"/>
          <w:sz w:val="30"/>
          <w:szCs w:val="30"/>
          <w:u w:val="single"/>
          <w14:textFill>
            <w14:solidFill>
              <w14:schemeClr w14:val="tx1">
                <w14:lumMod w14:val="95000"/>
                <w14:lumOff w14:val="5000"/>
              </w14:schemeClr>
            </w14:solidFill>
          </w14:textFill>
        </w:rPr>
        <w:t xml:space="preserve">      广西新动力国际物流有限公司       </w:t>
      </w:r>
    </w:p>
    <w:p w14:paraId="0610862B">
      <w:pPr>
        <w:adjustRightInd w:val="0"/>
        <w:snapToGrid w:val="0"/>
        <w:spacing w:after="0" w:line="360" w:lineRule="auto"/>
        <w:rPr>
          <w:color w:val="0D0D0D" w:themeColor="text1" w:themeTint="F2"/>
          <w:sz w:val="30"/>
          <w:szCs w:val="30"/>
          <w:u w:val="single"/>
          <w14:textFill>
            <w14:solidFill>
              <w14:schemeClr w14:val="tx1">
                <w14:lumMod w14:val="95000"/>
                <w14:lumOff w14:val="5000"/>
              </w14:schemeClr>
            </w14:solidFill>
          </w14:textFill>
        </w:rPr>
      </w:pPr>
      <w:r>
        <w:rPr>
          <w:rFonts w:hint="eastAsia"/>
          <w:color w:val="0D0D0D" w:themeColor="text1" w:themeTint="F2"/>
          <w:sz w:val="30"/>
          <w:szCs w:val="30"/>
          <w14:textFill>
            <w14:solidFill>
              <w14:schemeClr w14:val="tx1">
                <w14:lumMod w14:val="95000"/>
                <w14:lumOff w14:val="5000"/>
              </w14:schemeClr>
            </w14:solidFill>
          </w14:textFill>
        </w:rPr>
        <w:t>编制日期：</w:t>
      </w:r>
      <w:r>
        <w:rPr>
          <w:rFonts w:hint="eastAsia"/>
          <w:color w:val="0D0D0D" w:themeColor="text1" w:themeTint="F2"/>
          <w:sz w:val="30"/>
          <w:szCs w:val="30"/>
          <w:u w:val="single"/>
          <w14:textFill>
            <w14:solidFill>
              <w14:schemeClr w14:val="tx1">
                <w14:lumMod w14:val="95000"/>
                <w14:lumOff w14:val="5000"/>
              </w14:schemeClr>
            </w14:solidFill>
          </w14:textFill>
        </w:rPr>
        <w:t xml:space="preserve">                  2026年3月                   </w:t>
      </w:r>
    </w:p>
    <w:p w14:paraId="42F7C78F">
      <w:pPr>
        <w:adjustRightInd w:val="0"/>
        <w:snapToGrid w:val="0"/>
        <w:spacing w:after="0" w:line="360" w:lineRule="auto"/>
        <w:rPr>
          <w:color w:val="0D0D0D" w:themeColor="text1" w:themeTint="F2"/>
          <w:sz w:val="36"/>
          <w:szCs w:val="36"/>
          <w14:textFill>
            <w14:solidFill>
              <w14:schemeClr w14:val="tx1">
                <w14:lumMod w14:val="95000"/>
                <w14:lumOff w14:val="5000"/>
              </w14:schemeClr>
            </w14:solidFill>
          </w14:textFill>
        </w:rPr>
      </w:pPr>
      <w:bookmarkStart w:id="0" w:name="_Hlk57884087"/>
    </w:p>
    <w:p w14:paraId="36AF8BAC">
      <w:pPr>
        <w:adjustRightInd w:val="0"/>
        <w:snapToGrid w:val="0"/>
        <w:spacing w:after="0" w:line="360" w:lineRule="auto"/>
        <w:rPr>
          <w:color w:val="0D0D0D" w:themeColor="text1" w:themeTint="F2"/>
          <w:sz w:val="36"/>
          <w:szCs w:val="36"/>
          <w14:textFill>
            <w14:solidFill>
              <w14:schemeClr w14:val="tx1">
                <w14:lumMod w14:val="95000"/>
                <w14:lumOff w14:val="5000"/>
              </w14:schemeClr>
            </w14:solidFill>
          </w14:textFill>
        </w:rPr>
      </w:pPr>
    </w:p>
    <w:p w14:paraId="078E0D58">
      <w:pPr>
        <w:adjustRightInd w:val="0"/>
        <w:snapToGrid w:val="0"/>
        <w:spacing w:after="0" w:line="360" w:lineRule="auto"/>
        <w:rPr>
          <w:color w:val="0D0D0D" w:themeColor="text1" w:themeTint="F2"/>
          <w:sz w:val="36"/>
          <w:szCs w:val="36"/>
          <w14:textFill>
            <w14:solidFill>
              <w14:schemeClr w14:val="tx1">
                <w14:lumMod w14:val="95000"/>
                <w14:lumOff w14:val="5000"/>
              </w14:schemeClr>
            </w14:solidFill>
          </w14:textFill>
        </w:rPr>
      </w:pPr>
    </w:p>
    <w:bookmarkEnd w:id="0"/>
    <w:p w14:paraId="6FA2A3DC">
      <w:pPr>
        <w:adjustRightInd w:val="0"/>
        <w:snapToGrid w:val="0"/>
        <w:spacing w:after="0" w:line="360" w:lineRule="auto"/>
        <w:jc w:val="center"/>
        <w:rPr>
          <w:color w:val="0D0D0D" w:themeColor="text1" w:themeTint="F2"/>
          <w:sz w:val="36"/>
          <w:szCs w:val="36"/>
          <w14:textFill>
            <w14:solidFill>
              <w14:schemeClr w14:val="tx1">
                <w14:lumMod w14:val="95000"/>
                <w14:lumOff w14:val="5000"/>
              </w14:schemeClr>
            </w14:solidFill>
          </w14:textFill>
        </w:rPr>
      </w:pPr>
      <w:r>
        <w:rPr>
          <w:rFonts w:hint="eastAsia"/>
          <w:color w:val="0D0D0D" w:themeColor="text1" w:themeTint="F2"/>
          <w:sz w:val="36"/>
          <w:szCs w:val="36"/>
          <w14:textFill>
            <w14:solidFill>
              <w14:schemeClr w14:val="tx1">
                <w14:lumMod w14:val="95000"/>
                <w14:lumOff w14:val="5000"/>
              </w14:schemeClr>
            </w14:solidFill>
          </w14:textFill>
        </w:rPr>
        <w:t>中华人民共和国生态环境部制</w:t>
      </w:r>
    </w:p>
    <w:p w14:paraId="2A3B666B">
      <w:pPr>
        <w:widowControl/>
        <w:spacing w:after="0" w:line="240" w:lineRule="auto"/>
        <w:jc w:val="center"/>
        <w:rPr>
          <w:b/>
          <w:bCs/>
          <w:color w:val="0D0D0D" w:themeColor="text1" w:themeTint="F2"/>
          <w:szCs w:val="21"/>
          <w14:textFill>
            <w14:solidFill>
              <w14:schemeClr w14:val="tx1">
                <w14:lumMod w14:val="95000"/>
                <w14:lumOff w14:val="5000"/>
              </w14:schemeClr>
            </w14:solidFill>
          </w14:textFill>
        </w:rPr>
      </w:pPr>
      <w:r>
        <w:rPr>
          <w:color w:val="0D0D0D" w:themeColor="text1" w:themeTint="F2"/>
          <w:sz w:val="36"/>
          <w:szCs w:val="36"/>
          <w14:textFill>
            <w14:solidFill>
              <w14:schemeClr w14:val="tx1">
                <w14:lumMod w14:val="95000"/>
                <w14:lumOff w14:val="5000"/>
              </w14:schemeClr>
            </w14:solidFill>
          </w14:textFill>
        </w:rPr>
        <w:br w:type="page"/>
      </w:r>
      <w:r>
        <w:rPr>
          <w:rFonts w:hint="eastAsia"/>
          <w:b/>
          <w:bCs/>
          <w:color w:val="0D0D0D" w:themeColor="text1" w:themeTint="F2"/>
          <w:szCs w:val="21"/>
          <w14:textFill>
            <w14:solidFill>
              <w14:schemeClr w14:val="tx1">
                <w14:lumMod w14:val="95000"/>
                <w14:lumOff w14:val="5000"/>
              </w14:schemeClr>
            </w14:solidFill>
          </w14:textFill>
        </w:rPr>
        <w:t>中石油CC项目配套用地临时项目修改说明表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4508"/>
        <w:gridCol w:w="3831"/>
      </w:tblGrid>
      <w:tr w14:paraId="1F11A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43D4E612">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2488" w:type="pct"/>
            <w:vAlign w:val="center"/>
          </w:tcPr>
          <w:p w14:paraId="598B1A27">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修改意见</w:t>
            </w:r>
          </w:p>
        </w:tc>
        <w:tc>
          <w:tcPr>
            <w:tcW w:w="2115" w:type="pct"/>
            <w:vAlign w:val="center"/>
          </w:tcPr>
          <w:p w14:paraId="48772D4C">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修改说明</w:t>
            </w:r>
          </w:p>
        </w:tc>
      </w:tr>
      <w:tr w14:paraId="7EFE4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028E96E4">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2488" w:type="pct"/>
            <w:vAlign w:val="center"/>
          </w:tcPr>
          <w:p w14:paraId="333F58C9">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项目已建成运营，需根据实际生产情况，对照报告表提出的环境保护措施，分析项目措施落实情况、存在问题，提出整改要求及落实时限。</w:t>
            </w:r>
          </w:p>
        </w:tc>
        <w:tc>
          <w:tcPr>
            <w:tcW w:w="2115" w:type="pct"/>
            <w:vAlign w:val="center"/>
          </w:tcPr>
          <w:p w14:paraId="203DD417">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（1）已完善，详见P34。</w:t>
            </w:r>
          </w:p>
        </w:tc>
      </w:tr>
      <w:tr w14:paraId="39A99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7B40B7E3">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2488" w:type="pct"/>
            <w:vAlign w:val="center"/>
          </w:tcPr>
          <w:p w14:paraId="7CDB7E77">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补充项目用漆、焊接用氧气瓶、丙烷瓶储存情况及存在问题，提出整改要求及落实时限；完善环境风险评价内容；细化环境风险防范措施。</w:t>
            </w:r>
          </w:p>
        </w:tc>
        <w:tc>
          <w:tcPr>
            <w:tcW w:w="2115" w:type="pct"/>
            <w:vAlign w:val="center"/>
          </w:tcPr>
          <w:p w14:paraId="0B8F96F1">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（1）已补充完善项目用漆、焊接用氧气瓶、丙烷瓶储存情况及存在问题，提出整改要求及落实时限，详见P34。</w:t>
            </w:r>
          </w:p>
          <w:p w14:paraId="1E9E4AD5">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（2）已完善环境风险评价内容，细化环境风险防范措施，详见P99~P101。</w:t>
            </w:r>
          </w:p>
        </w:tc>
      </w:tr>
      <w:tr w14:paraId="01CF5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3A4A9A7E">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2488" w:type="pct"/>
            <w:vAlign w:val="center"/>
          </w:tcPr>
          <w:p w14:paraId="5B15B361">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核实废活性炭、过滤棉、漆渣更换周期及更换量；说清项目危废处理处置情况及合规性，明确相关措施要求；项目在露天焊接，补充初雨污水估算及收集、处理措施。</w:t>
            </w:r>
          </w:p>
        </w:tc>
        <w:tc>
          <w:tcPr>
            <w:tcW w:w="2115" w:type="pct"/>
            <w:vAlign w:val="center"/>
          </w:tcPr>
          <w:p w14:paraId="7F976747">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（1）已核实废活性炭、过滤棉、漆渣更换周期及更换量，详见P88~P90。</w:t>
            </w:r>
          </w:p>
          <w:p w14:paraId="6E61FE49">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（2）已完善项目危废处理处置情况及合规性，明确相关措施要求，详见P94~P97。</w:t>
            </w:r>
          </w:p>
          <w:p w14:paraId="40651B26">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（3）已补充初期雨水估算及收集、处理措施，详见P80~P81。</w:t>
            </w:r>
          </w:p>
        </w:tc>
      </w:tr>
      <w:tr w14:paraId="17834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0A84C13D">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2488" w:type="pct"/>
            <w:vAlign w:val="center"/>
          </w:tcPr>
          <w:p w14:paraId="21F5F47E">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细化核实环保投资；完善监控计划。</w:t>
            </w:r>
          </w:p>
        </w:tc>
        <w:tc>
          <w:tcPr>
            <w:tcW w:w="2115" w:type="pct"/>
            <w:vAlign w:val="center"/>
          </w:tcPr>
          <w:p w14:paraId="73B13A23">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（1）已核实完善环保投资，详见P101~P102。</w:t>
            </w:r>
          </w:p>
          <w:p w14:paraId="71104065">
            <w:pPr>
              <w:widowControl/>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（2）已完善监测计划，详见P79、P82。</w:t>
            </w:r>
          </w:p>
        </w:tc>
      </w:tr>
    </w:tbl>
    <w:p w14:paraId="4D752648">
      <w:pPr>
        <w:widowControl/>
        <w:spacing w:after="0" w:line="240" w:lineRule="auto"/>
        <w:jc w:val="left"/>
        <w:rPr>
          <w:color w:val="0D0D0D" w:themeColor="text1" w:themeTint="F2"/>
          <w:sz w:val="36"/>
          <w:szCs w:val="36"/>
          <w14:textFill>
            <w14:solidFill>
              <w14:schemeClr w14:val="tx1">
                <w14:lumMod w14:val="95000"/>
                <w14:lumOff w14:val="5000"/>
              </w14:schemeClr>
            </w14:solidFill>
          </w14:textFill>
        </w:rPr>
      </w:pPr>
      <w:r>
        <w:rPr>
          <w:color w:val="0D0D0D" w:themeColor="text1" w:themeTint="F2"/>
          <w:sz w:val="36"/>
          <w:szCs w:val="36"/>
          <w14:textFill>
            <w14:solidFill>
              <w14:schemeClr w14:val="tx1">
                <w14:lumMod w14:val="95000"/>
                <w14:lumOff w14:val="5000"/>
              </w14:schemeClr>
            </w14:solidFill>
          </w14:textFill>
        </w:rPr>
        <w:br w:type="page"/>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26C19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00" w:type="pct"/>
            <w:vAlign w:val="center"/>
          </w:tcPr>
          <w:p w14:paraId="224A7FA2">
            <w:pPr>
              <w:widowControl/>
              <w:spacing w:after="0" w:line="240" w:lineRule="auto"/>
              <w:jc w:val="center"/>
              <w:rPr>
                <w:b/>
                <w:bCs/>
                <w:color w:val="0D0D0D" w:themeColor="text1" w:themeTint="F2"/>
                <w14:textFill>
                  <w14:solidFill>
                    <w14:schemeClr w14:val="tx1">
                      <w14:lumMod w14:val="95000"/>
                      <w14:lumOff w14:val="5000"/>
                    </w14:schemeClr>
                  </w14:solidFill>
                </w14:textFill>
              </w:rPr>
            </w:pPr>
            <w:bookmarkStart w:id="1" w:name="_Hlk91581752"/>
            <w:r>
              <w:rPr>
                <w:color w:val="0D0D0D" w:themeColor="text1" w:themeTint="F2"/>
                <w14:textFill>
                  <w14:solidFill>
                    <w14:schemeClr w14:val="tx1">
                      <w14:lumMod w14:val="95000"/>
                      <w14:lumOff w14:val="5000"/>
                    </w14:schemeClr>
                  </w14:solidFill>
                </w14:textFill>
              </w:rPr>
              <w:drawing>
                <wp:inline distT="0" distB="0" distL="0" distR="0">
                  <wp:extent cx="2699385" cy="1799590"/>
                  <wp:effectExtent l="0" t="0" r="5715" b="0"/>
                  <wp:docPr id="18283679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67938"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700000" cy="1800000"/>
                          </a:xfrm>
                          <a:prstGeom prst="rect">
                            <a:avLst/>
                          </a:prstGeom>
                          <a:noFill/>
                          <a:ln>
                            <a:noFill/>
                          </a:ln>
                        </pic:spPr>
                      </pic:pic>
                    </a:graphicData>
                  </a:graphic>
                </wp:inline>
              </w:drawing>
            </w:r>
          </w:p>
        </w:tc>
        <w:tc>
          <w:tcPr>
            <w:tcW w:w="2500" w:type="pct"/>
            <w:vAlign w:val="center"/>
          </w:tcPr>
          <w:p w14:paraId="1F0F3DC6">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2699385" cy="1799590"/>
                  <wp:effectExtent l="0" t="0" r="5715" b="0"/>
                  <wp:docPr id="8155890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89045"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0000" cy="1800000"/>
                          </a:xfrm>
                          <a:prstGeom prst="rect">
                            <a:avLst/>
                          </a:prstGeom>
                          <a:noFill/>
                          <a:ln>
                            <a:noFill/>
                          </a:ln>
                        </pic:spPr>
                      </pic:pic>
                    </a:graphicData>
                  </a:graphic>
                </wp:inline>
              </w:drawing>
            </w:r>
          </w:p>
        </w:tc>
      </w:tr>
      <w:tr w14:paraId="7B045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00" w:type="pct"/>
            <w:vAlign w:val="center"/>
          </w:tcPr>
          <w:p w14:paraId="6C1EB27B">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项目东侧</w:t>
            </w:r>
          </w:p>
        </w:tc>
        <w:tc>
          <w:tcPr>
            <w:tcW w:w="2500" w:type="pct"/>
            <w:vAlign w:val="center"/>
          </w:tcPr>
          <w:p w14:paraId="70B21609">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项目南侧</w:t>
            </w:r>
          </w:p>
        </w:tc>
      </w:tr>
      <w:tr w14:paraId="15539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00" w:type="pct"/>
            <w:vAlign w:val="center"/>
          </w:tcPr>
          <w:p w14:paraId="6FF5D634">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2699385" cy="1799590"/>
                  <wp:effectExtent l="0" t="0" r="5715" b="0"/>
                  <wp:docPr id="20229558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55894" name="图片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700000" cy="1800000"/>
                          </a:xfrm>
                          <a:prstGeom prst="rect">
                            <a:avLst/>
                          </a:prstGeom>
                          <a:noFill/>
                          <a:ln>
                            <a:noFill/>
                          </a:ln>
                        </pic:spPr>
                      </pic:pic>
                    </a:graphicData>
                  </a:graphic>
                </wp:inline>
              </w:drawing>
            </w:r>
          </w:p>
        </w:tc>
        <w:tc>
          <w:tcPr>
            <w:tcW w:w="2500" w:type="pct"/>
            <w:vAlign w:val="center"/>
          </w:tcPr>
          <w:p w14:paraId="4527722A">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2699385" cy="1799590"/>
                  <wp:effectExtent l="0" t="0" r="5715" b="0"/>
                  <wp:docPr id="5092650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65094" name="图片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700000" cy="1800000"/>
                          </a:xfrm>
                          <a:prstGeom prst="rect">
                            <a:avLst/>
                          </a:prstGeom>
                          <a:noFill/>
                          <a:ln>
                            <a:noFill/>
                          </a:ln>
                        </pic:spPr>
                      </pic:pic>
                    </a:graphicData>
                  </a:graphic>
                </wp:inline>
              </w:drawing>
            </w:r>
          </w:p>
        </w:tc>
      </w:tr>
      <w:tr w14:paraId="03CEC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00" w:type="pct"/>
            <w:vAlign w:val="center"/>
          </w:tcPr>
          <w:p w14:paraId="42D6360C">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项目西侧</w:t>
            </w:r>
          </w:p>
        </w:tc>
        <w:tc>
          <w:tcPr>
            <w:tcW w:w="2500" w:type="pct"/>
            <w:vAlign w:val="center"/>
          </w:tcPr>
          <w:p w14:paraId="2EE434EA">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项目北侧</w:t>
            </w:r>
          </w:p>
        </w:tc>
      </w:tr>
      <w:tr w14:paraId="5FD4E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00" w:type="pct"/>
            <w:vAlign w:val="center"/>
          </w:tcPr>
          <w:p w14:paraId="2E585E39">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2699385" cy="1799590"/>
                  <wp:effectExtent l="0" t="0" r="5715" b="0"/>
                  <wp:docPr id="20512775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77581" name="图片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700000" cy="1800000"/>
                          </a:xfrm>
                          <a:prstGeom prst="rect">
                            <a:avLst/>
                          </a:prstGeom>
                          <a:noFill/>
                          <a:ln>
                            <a:noFill/>
                          </a:ln>
                        </pic:spPr>
                      </pic:pic>
                    </a:graphicData>
                  </a:graphic>
                </wp:inline>
              </w:drawing>
            </w:r>
          </w:p>
        </w:tc>
        <w:tc>
          <w:tcPr>
            <w:tcW w:w="2500" w:type="pct"/>
            <w:vAlign w:val="center"/>
          </w:tcPr>
          <w:p w14:paraId="0F237F3C">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2699385" cy="1799590"/>
                  <wp:effectExtent l="0" t="0" r="5715" b="0"/>
                  <wp:docPr id="1114559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59966"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700000" cy="1800000"/>
                          </a:xfrm>
                          <a:prstGeom prst="rect">
                            <a:avLst/>
                          </a:prstGeom>
                          <a:noFill/>
                          <a:ln>
                            <a:noFill/>
                          </a:ln>
                        </pic:spPr>
                      </pic:pic>
                    </a:graphicData>
                  </a:graphic>
                </wp:inline>
              </w:drawing>
            </w:r>
          </w:p>
        </w:tc>
      </w:tr>
      <w:tr w14:paraId="17B7B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00" w:type="pct"/>
            <w:vAlign w:val="center"/>
          </w:tcPr>
          <w:p w14:paraId="04F13B4F">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现场航拍图</w:t>
            </w:r>
          </w:p>
        </w:tc>
        <w:tc>
          <w:tcPr>
            <w:tcW w:w="2500" w:type="pct"/>
            <w:vAlign w:val="center"/>
          </w:tcPr>
          <w:p w14:paraId="357D01B8">
            <w:pPr>
              <w:widowControl/>
              <w:spacing w:after="0" w:line="240" w:lineRule="auto"/>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编制主持人现场照片</w:t>
            </w:r>
          </w:p>
        </w:tc>
      </w:tr>
      <w:tr w14:paraId="785BF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2"/>
            <w:vAlign w:val="center"/>
          </w:tcPr>
          <w:p w14:paraId="7DD891BD">
            <w:pPr>
              <w:widowControl/>
              <w:spacing w:after="0" w:line="240" w:lineRule="auto"/>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现场照片页</w:t>
            </w:r>
          </w:p>
        </w:tc>
      </w:tr>
    </w:tbl>
    <w:p w14:paraId="7B5CBFA6">
      <w:pPr>
        <w:widowControl/>
        <w:spacing w:after="0"/>
        <w:jc w:val="left"/>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bookmarkEnd w:id="1"/>
    <w:p w14:paraId="30313AD1">
      <w:pPr>
        <w:pStyle w:val="59"/>
        <w:spacing w:before="0" w:line="360" w:lineRule="auto"/>
        <w:jc w:val="center"/>
        <w:rPr>
          <w:rFonts w:ascii="Times New Roman" w:hAnsi="Times New Roman" w:eastAsia="宋体"/>
          <w:b/>
          <w:bCs/>
          <w:color w:val="0D0D0D" w:themeColor="text1" w:themeTint="F2"/>
          <w:sz w:val="28"/>
          <w:szCs w:val="28"/>
          <w14:textFill>
            <w14:solidFill>
              <w14:schemeClr w14:val="tx1">
                <w14:lumMod w14:val="95000"/>
                <w14:lumOff w14:val="5000"/>
              </w14:schemeClr>
            </w14:solidFill>
          </w14:textFill>
        </w:rPr>
      </w:pPr>
      <w:r>
        <w:rPr>
          <w:rFonts w:ascii="Times New Roman" w:hAnsi="Times New Roman" w:eastAsia="宋体"/>
          <w:b/>
          <w:bCs/>
          <w:color w:val="0D0D0D" w:themeColor="text1" w:themeTint="F2"/>
          <w:sz w:val="28"/>
          <w:szCs w:val="28"/>
          <w:lang w:val="zh-CN"/>
          <w14:textFill>
            <w14:solidFill>
              <w14:schemeClr w14:val="tx1">
                <w14:lumMod w14:val="95000"/>
                <w14:lumOff w14:val="5000"/>
              </w14:schemeClr>
            </w14:solidFill>
          </w14:textFill>
        </w:rPr>
        <w:t>目</w:t>
      </w:r>
      <w:r>
        <w:rPr>
          <w:rFonts w:hint="eastAsia" w:ascii="Times New Roman" w:hAnsi="Times New Roman" w:eastAsia="宋体"/>
          <w:b/>
          <w:bCs/>
          <w:color w:val="0D0D0D" w:themeColor="text1" w:themeTint="F2"/>
          <w:sz w:val="28"/>
          <w:szCs w:val="28"/>
          <w:lang w:val="zh-CN"/>
          <w14:textFill>
            <w14:solidFill>
              <w14:schemeClr w14:val="tx1">
                <w14:lumMod w14:val="95000"/>
                <w14:lumOff w14:val="5000"/>
              </w14:schemeClr>
            </w14:solidFill>
          </w14:textFill>
        </w:rPr>
        <w:t xml:space="preserve">  </w:t>
      </w:r>
      <w:r>
        <w:rPr>
          <w:rFonts w:ascii="Times New Roman" w:hAnsi="Times New Roman" w:eastAsia="宋体"/>
          <w:b/>
          <w:bCs/>
          <w:color w:val="0D0D0D" w:themeColor="text1" w:themeTint="F2"/>
          <w:sz w:val="28"/>
          <w:szCs w:val="28"/>
          <w:lang w:val="zh-CN"/>
          <w14:textFill>
            <w14:solidFill>
              <w14:schemeClr w14:val="tx1">
                <w14:lumMod w14:val="95000"/>
                <w14:lumOff w14:val="5000"/>
              </w14:schemeClr>
            </w14:solidFill>
          </w14:textFill>
        </w:rPr>
        <w:t>录</w:t>
      </w:r>
    </w:p>
    <w:p w14:paraId="6BAA32F9">
      <w:pPr>
        <w:pStyle w:val="17"/>
        <w:tabs>
          <w:tab w:val="right" w:leader="dot" w:pos="8834"/>
        </w:tabs>
        <w:spacing w:after="0"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TOC \o "1-3" \h \z \u </w:instrText>
      </w:r>
      <w:r>
        <w:rPr>
          <w:color w:val="0D0D0D" w:themeColor="text1" w:themeTint="F2"/>
          <w:sz w:val="24"/>
          <w14:textFill>
            <w14:solidFill>
              <w14:schemeClr w14:val="tx1">
                <w14:lumMod w14:val="95000"/>
                <w14:lumOff w14:val="5000"/>
              </w14:schemeClr>
            </w14:solidFill>
          </w14:textFill>
        </w:rPr>
        <w:fldChar w:fldCharType="separate"/>
      </w:r>
      <w:r>
        <w:fldChar w:fldCharType="begin"/>
      </w:r>
      <w:r>
        <w:instrText xml:space="preserve"> HYPERLINK \l "_Toc136522023" </w:instrText>
      </w:r>
      <w:r>
        <w:fldChar w:fldCharType="separate"/>
      </w:r>
      <w:r>
        <w:rPr>
          <w:rStyle w:val="27"/>
          <w:snapToGrid w:val="0"/>
          <w:color w:val="0D0D0D" w:themeColor="text1" w:themeTint="F2"/>
          <w:sz w:val="24"/>
          <w:u w:val="none"/>
          <w14:textFill>
            <w14:solidFill>
              <w14:schemeClr w14:val="tx1">
                <w14:lumMod w14:val="95000"/>
                <w14:lumOff w14:val="5000"/>
              </w14:schemeClr>
            </w14:solidFill>
          </w14:textFill>
        </w:rPr>
        <w:t>一、建设项目基本情况</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_Toc136522023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1</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7B726C7F">
      <w:pPr>
        <w:pStyle w:val="17"/>
        <w:tabs>
          <w:tab w:val="right" w:leader="dot" w:pos="8834"/>
        </w:tabs>
        <w:spacing w:after="0"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"_Toc136522024" </w:instrText>
      </w:r>
      <w:r>
        <w:fldChar w:fldCharType="separate"/>
      </w:r>
      <w:r>
        <w:rPr>
          <w:rStyle w:val="27"/>
          <w:snapToGrid w:val="0"/>
          <w:color w:val="0D0D0D" w:themeColor="text1" w:themeTint="F2"/>
          <w:sz w:val="24"/>
          <w:u w:val="none"/>
          <w14:textFill>
            <w14:solidFill>
              <w14:schemeClr w14:val="tx1">
                <w14:lumMod w14:val="95000"/>
                <w14:lumOff w14:val="5000"/>
              </w14:schemeClr>
            </w14:solidFill>
          </w14:textFill>
        </w:rPr>
        <w:t>二、建设项目工程分析</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_Toc136522024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34</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6FB92FA8">
      <w:pPr>
        <w:pStyle w:val="17"/>
        <w:tabs>
          <w:tab w:val="right" w:leader="dot" w:pos="8834"/>
        </w:tabs>
        <w:spacing w:after="0"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"_Toc136522025" </w:instrText>
      </w:r>
      <w:r>
        <w:fldChar w:fldCharType="separate"/>
      </w:r>
      <w:r>
        <w:rPr>
          <w:rStyle w:val="27"/>
          <w:snapToGrid w:val="0"/>
          <w:color w:val="0D0D0D" w:themeColor="text1" w:themeTint="F2"/>
          <w:sz w:val="24"/>
          <w:u w:val="none"/>
          <w14:textFill>
            <w14:solidFill>
              <w14:schemeClr w14:val="tx1">
                <w14:lumMod w14:val="95000"/>
                <w14:lumOff w14:val="5000"/>
              </w14:schemeClr>
            </w14:solidFill>
          </w14:textFill>
        </w:rPr>
        <w:t>三、区域环境质量现状、环境保护目标及评价标准</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_Toc136522025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50</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2E66330C">
      <w:pPr>
        <w:pStyle w:val="17"/>
        <w:tabs>
          <w:tab w:val="right" w:leader="dot" w:pos="8834"/>
        </w:tabs>
        <w:spacing w:after="0"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"_Toc136522026" </w:instrText>
      </w:r>
      <w:r>
        <w:fldChar w:fldCharType="separate"/>
      </w:r>
      <w:r>
        <w:rPr>
          <w:rStyle w:val="27"/>
          <w:snapToGrid w:val="0"/>
          <w:color w:val="0D0D0D" w:themeColor="text1" w:themeTint="F2"/>
          <w:sz w:val="24"/>
          <w:u w:val="none"/>
          <w14:textFill>
            <w14:solidFill>
              <w14:schemeClr w14:val="tx1">
                <w14:lumMod w14:val="95000"/>
                <w14:lumOff w14:val="5000"/>
              </w14:schemeClr>
            </w14:solidFill>
          </w14:textFill>
        </w:rPr>
        <w:t>四、主要环境影响和保护措施</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_Toc136522026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59</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21C1264F">
      <w:pPr>
        <w:pStyle w:val="17"/>
        <w:tabs>
          <w:tab w:val="right" w:leader="dot" w:pos="8834"/>
        </w:tabs>
        <w:spacing w:after="0"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"_Toc136522027" </w:instrText>
      </w:r>
      <w:r>
        <w:fldChar w:fldCharType="separate"/>
      </w:r>
      <w:r>
        <w:rPr>
          <w:rStyle w:val="27"/>
          <w:snapToGrid w:val="0"/>
          <w:color w:val="0D0D0D" w:themeColor="text1" w:themeTint="F2"/>
          <w:sz w:val="24"/>
          <w:u w:val="none"/>
          <w14:textFill>
            <w14:solidFill>
              <w14:schemeClr w14:val="tx1">
                <w14:lumMod w14:val="95000"/>
                <w14:lumOff w14:val="5000"/>
              </w14:schemeClr>
            </w14:solidFill>
          </w14:textFill>
        </w:rPr>
        <w:t>五、环境保护措施监督检查清单</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_Toc136522027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100</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09E75B1A">
      <w:pPr>
        <w:pStyle w:val="17"/>
        <w:tabs>
          <w:tab w:val="right" w:leader="dot" w:pos="8834"/>
        </w:tabs>
        <w:spacing w:after="0"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"_Toc136522028" </w:instrText>
      </w:r>
      <w:r>
        <w:fldChar w:fldCharType="separate"/>
      </w:r>
      <w:r>
        <w:rPr>
          <w:rStyle w:val="27"/>
          <w:snapToGrid w:val="0"/>
          <w:color w:val="0D0D0D" w:themeColor="text1" w:themeTint="F2"/>
          <w:sz w:val="24"/>
          <w:u w:val="none"/>
          <w14:textFill>
            <w14:solidFill>
              <w14:schemeClr w14:val="tx1">
                <w14:lumMod w14:val="95000"/>
                <w14:lumOff w14:val="5000"/>
              </w14:schemeClr>
            </w14:solidFill>
          </w14:textFill>
        </w:rPr>
        <w:t>六、结论</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_Toc136522028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102</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0B9EA2FB">
      <w:pPr>
        <w:pStyle w:val="17"/>
        <w:tabs>
          <w:tab w:val="right" w:leader="dot" w:pos="8834"/>
        </w:tabs>
        <w:spacing w:after="0"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"_Toc136522029" </w:instrText>
      </w:r>
      <w:r>
        <w:fldChar w:fldCharType="separate"/>
      </w:r>
      <w:r>
        <w:rPr>
          <w:rStyle w:val="27"/>
          <w:snapToGrid w:val="0"/>
          <w:color w:val="0D0D0D" w:themeColor="text1" w:themeTint="F2"/>
          <w:kern w:val="0"/>
          <w:sz w:val="24"/>
          <w:u w:val="none"/>
          <w14:textFill>
            <w14:solidFill>
              <w14:schemeClr w14:val="tx1">
                <w14:lumMod w14:val="95000"/>
                <w14:lumOff w14:val="5000"/>
              </w14:schemeClr>
            </w14:solidFill>
          </w14:textFill>
        </w:rPr>
        <w:t>建设项目污染物排放量汇总表</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_Toc136522029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103</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5FDF22F1">
      <w:pPr>
        <w:spacing w:after="0" w:line="360" w:lineRule="auto"/>
        <w:rPr>
          <w:b/>
          <w:bCs/>
          <w:color w:val="0D0D0D" w:themeColor="text1" w:themeTint="F2"/>
          <w:sz w:val="24"/>
          <w:lang w:val="zh-CN"/>
          <w14:textFill>
            <w14:solidFill>
              <w14:schemeClr w14:val="tx1">
                <w14:lumMod w14:val="95000"/>
                <w14:lumOff w14:val="5000"/>
              </w14:schemeClr>
            </w14:solidFill>
          </w14:textFill>
        </w:rPr>
      </w:pPr>
      <w:r>
        <w:rPr>
          <w:b/>
          <w:bCs/>
          <w:color w:val="0D0D0D" w:themeColor="text1" w:themeTint="F2"/>
          <w:sz w:val="24"/>
          <w:lang w:val="zh-CN"/>
          <w14:textFill>
            <w14:solidFill>
              <w14:schemeClr w14:val="tx1">
                <w14:lumMod w14:val="95000"/>
                <w14:lumOff w14:val="5000"/>
              </w14:schemeClr>
            </w14:solidFill>
          </w14:textFill>
        </w:rPr>
        <w:fldChar w:fldCharType="end"/>
      </w:r>
    </w:p>
    <w:p w14:paraId="0E4C5464">
      <w:pPr>
        <w:widowControl/>
        <w:spacing w:after="0"/>
        <w:jc w:val="left"/>
        <w:rPr>
          <w:b/>
          <w:bCs/>
          <w:color w:val="0D0D0D" w:themeColor="text1" w:themeTint="F2"/>
          <w:sz w:val="24"/>
          <w:lang w:val="zh-CN"/>
          <w14:textFill>
            <w14:solidFill>
              <w14:schemeClr w14:val="tx1">
                <w14:lumMod w14:val="95000"/>
                <w14:lumOff w14:val="5000"/>
              </w14:schemeClr>
            </w14:solidFill>
          </w14:textFill>
        </w:rPr>
      </w:pPr>
      <w:r>
        <w:rPr>
          <w:b/>
          <w:bCs/>
          <w:color w:val="0D0D0D" w:themeColor="text1" w:themeTint="F2"/>
          <w:sz w:val="24"/>
          <w:lang w:val="zh-CN"/>
          <w14:textFill>
            <w14:solidFill>
              <w14:schemeClr w14:val="tx1">
                <w14:lumMod w14:val="95000"/>
                <w14:lumOff w14:val="5000"/>
              </w14:schemeClr>
            </w14:solidFill>
          </w14:textFill>
        </w:rPr>
        <w:br w:type="page"/>
      </w:r>
    </w:p>
    <w:p w14:paraId="214E35D4">
      <w:pPr>
        <w:spacing w:after="0" w:line="360" w:lineRule="auto"/>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附图：</w:t>
      </w:r>
    </w:p>
    <w:p w14:paraId="5073D404">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附图1</w:t>
      </w:r>
      <w:r>
        <w:rPr>
          <w:color w:val="0D0D0D" w:themeColor="text1" w:themeTint="F2"/>
          <w:sz w:val="24"/>
          <w14:textFill>
            <w14:solidFill>
              <w14:schemeClr w14:val="tx1">
                <w14:lumMod w14:val="95000"/>
                <w14:lumOff w14:val="5000"/>
              </w14:schemeClr>
            </w14:solidFill>
          </w14:textFill>
        </w:rPr>
        <w:t xml:space="preserve">  </w:t>
      </w:r>
      <w:r>
        <w:rPr>
          <w:rFonts w:hint="eastAsia"/>
          <w:color w:val="0D0D0D" w:themeColor="text1" w:themeTint="F2"/>
          <w:sz w:val="24"/>
          <w14:textFill>
            <w14:solidFill>
              <w14:schemeClr w14:val="tx1">
                <w14:lumMod w14:val="95000"/>
                <w14:lumOff w14:val="5000"/>
              </w14:schemeClr>
            </w14:solidFill>
          </w14:textFill>
        </w:rPr>
        <w:t>项目地理位置图</w:t>
      </w:r>
    </w:p>
    <w:p w14:paraId="06997AAB">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附图2</w:t>
      </w:r>
      <w:r>
        <w:rPr>
          <w:color w:val="0D0D0D" w:themeColor="text1" w:themeTint="F2"/>
          <w:sz w:val="24"/>
          <w14:textFill>
            <w14:solidFill>
              <w14:schemeClr w14:val="tx1">
                <w14:lumMod w14:val="95000"/>
                <w14:lumOff w14:val="5000"/>
              </w14:schemeClr>
            </w14:solidFill>
          </w14:textFill>
        </w:rPr>
        <w:t xml:space="preserve">  </w:t>
      </w:r>
      <w:r>
        <w:rPr>
          <w:rFonts w:hint="eastAsia"/>
          <w:color w:val="0D0D0D" w:themeColor="text1" w:themeTint="F2"/>
          <w:sz w:val="24"/>
          <w14:textFill>
            <w14:solidFill>
              <w14:schemeClr w14:val="tx1">
                <w14:lumMod w14:val="95000"/>
                <w14:lumOff w14:val="5000"/>
              </w14:schemeClr>
            </w14:solidFill>
          </w14:textFill>
        </w:rPr>
        <w:t>项目平面布置图</w:t>
      </w:r>
    </w:p>
    <w:p w14:paraId="2BBB32D8">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附图3  项目环境质量现状监测点位图</w:t>
      </w:r>
    </w:p>
    <w:p w14:paraId="479A4130">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附图4</w:t>
      </w:r>
      <w:r>
        <w:rPr>
          <w:color w:val="0D0D0D" w:themeColor="text1" w:themeTint="F2"/>
          <w:sz w:val="24"/>
          <w14:textFill>
            <w14:solidFill>
              <w14:schemeClr w14:val="tx1">
                <w14:lumMod w14:val="95000"/>
                <w14:lumOff w14:val="5000"/>
              </w14:schemeClr>
            </w14:solidFill>
          </w14:textFill>
        </w:rPr>
        <w:t xml:space="preserve">  </w:t>
      </w:r>
      <w:r>
        <w:rPr>
          <w:rFonts w:hint="eastAsia"/>
          <w:color w:val="0D0D0D" w:themeColor="text1" w:themeTint="F2"/>
          <w:sz w:val="24"/>
          <w14:textFill>
            <w14:solidFill>
              <w14:schemeClr w14:val="tx1">
                <w14:lumMod w14:val="95000"/>
                <w14:lumOff w14:val="5000"/>
              </w14:schemeClr>
            </w14:solidFill>
          </w14:textFill>
        </w:rPr>
        <w:t>项目在钦州市陆域环境管控单元的位置图</w:t>
      </w:r>
    </w:p>
    <w:p w14:paraId="03C3BB89">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附图5  项目在钦州港大榄坪物流加工区土地使用规划的位置图</w:t>
      </w:r>
    </w:p>
    <w:p w14:paraId="06FE3C3B">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附图6  项目在钦州港大榄坪物流加工区功能区划的位置图</w:t>
      </w:r>
    </w:p>
    <w:p w14:paraId="62596585">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附图7  项目在钦州港大榄坪物流加工区污水系统规划的位置图</w:t>
      </w:r>
    </w:p>
    <w:p w14:paraId="1A98811A">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附图8  项目在钦州港大榄坪物流加工区雨水系统规划的位置图</w:t>
      </w:r>
    </w:p>
    <w:p w14:paraId="679D777E">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附图9  项目在广西壮族自治区近岸海域环境功能区划的位置图</w:t>
      </w:r>
    </w:p>
    <w:p w14:paraId="1EFE0DB1">
      <w:pPr>
        <w:spacing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附图10  项目与钦州市红树林资源规划布局的位置图</w:t>
      </w:r>
    </w:p>
    <w:p w14:paraId="13600EE1">
      <w:pPr>
        <w:spacing w:after="0" w:line="360" w:lineRule="auto"/>
        <w:rPr>
          <w:b/>
          <w:bCs/>
          <w:color w:val="0D0D0D" w:themeColor="text1" w:themeTint="F2"/>
          <w:sz w:val="24"/>
          <w14:textFill>
            <w14:solidFill>
              <w14:schemeClr w14:val="tx1">
                <w14:lumMod w14:val="95000"/>
                <w14:lumOff w14:val="5000"/>
              </w14:schemeClr>
            </w14:solidFill>
          </w14:textFill>
        </w:rPr>
      </w:pPr>
    </w:p>
    <w:p w14:paraId="67277D77">
      <w:pPr>
        <w:spacing w:after="0" w:line="360" w:lineRule="auto"/>
        <w:rPr>
          <w:b/>
          <w:bCs/>
          <w:color w:val="0D0D0D" w:themeColor="text1" w:themeTint="F2"/>
          <w:sz w:val="24"/>
          <w14:textFill>
            <w14:solidFill>
              <w14:schemeClr w14:val="tx1">
                <w14:lumMod w14:val="95000"/>
                <w14:lumOff w14:val="5000"/>
              </w14:schemeClr>
            </w14:solidFill>
          </w14:textFill>
        </w:rPr>
      </w:pPr>
    </w:p>
    <w:p w14:paraId="7105331E">
      <w:pPr>
        <w:spacing w:after="0" w:line="360" w:lineRule="auto"/>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附件：</w:t>
      </w:r>
    </w:p>
    <w:p w14:paraId="6F86ED86">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附件1</w:t>
      </w:r>
      <w:r>
        <w:rPr>
          <w:color w:val="0D0D0D" w:themeColor="text1" w:themeTint="F2"/>
          <w:sz w:val="24"/>
          <w14:textFill>
            <w14:solidFill>
              <w14:schemeClr w14:val="tx1">
                <w14:lumMod w14:val="95000"/>
                <w14:lumOff w14:val="5000"/>
              </w14:schemeClr>
            </w14:solidFill>
          </w14:textFill>
        </w:rPr>
        <w:t xml:space="preserve">  </w:t>
      </w:r>
      <w:r>
        <w:rPr>
          <w:rFonts w:hint="eastAsia"/>
          <w:color w:val="0D0D0D" w:themeColor="text1" w:themeTint="F2"/>
          <w:sz w:val="24"/>
          <w14:textFill>
            <w14:solidFill>
              <w14:schemeClr w14:val="tx1">
                <w14:lumMod w14:val="95000"/>
                <w14:lumOff w14:val="5000"/>
              </w14:schemeClr>
            </w14:solidFill>
          </w14:textFill>
        </w:rPr>
        <w:t>委托书</w:t>
      </w:r>
    </w:p>
    <w:p w14:paraId="26530F9D">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附件2</w:t>
      </w:r>
      <w:r>
        <w:rPr>
          <w:color w:val="0D0D0D" w:themeColor="text1" w:themeTint="F2"/>
          <w:sz w:val="24"/>
          <w14:textFill>
            <w14:solidFill>
              <w14:schemeClr w14:val="tx1">
                <w14:lumMod w14:val="95000"/>
                <w14:lumOff w14:val="5000"/>
              </w14:schemeClr>
            </w14:solidFill>
          </w14:textFill>
        </w:rPr>
        <w:t xml:space="preserve">  </w:t>
      </w:r>
      <w:r>
        <w:rPr>
          <w:rFonts w:hint="eastAsia"/>
          <w:color w:val="0D0D0D" w:themeColor="text1" w:themeTint="F2"/>
          <w:sz w:val="24"/>
          <w14:textFill>
            <w14:solidFill>
              <w14:schemeClr w14:val="tx1">
                <w14:lumMod w14:val="95000"/>
                <w14:lumOff w14:val="5000"/>
              </w14:schemeClr>
            </w14:solidFill>
          </w14:textFill>
        </w:rPr>
        <w:t>备案证明</w:t>
      </w:r>
    </w:p>
    <w:p w14:paraId="4D3AA2F8">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附件3  营业执照</w:t>
      </w:r>
    </w:p>
    <w:p w14:paraId="7485315C">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附件4</w:t>
      </w:r>
      <w:r>
        <w:rPr>
          <w:color w:val="0D0D0D" w:themeColor="text1" w:themeTint="F2"/>
          <w:sz w:val="24"/>
          <w14:textFill>
            <w14:solidFill>
              <w14:schemeClr w14:val="tx1">
                <w14:lumMod w14:val="95000"/>
                <w14:lumOff w14:val="5000"/>
              </w14:schemeClr>
            </w14:solidFill>
          </w14:textFill>
        </w:rPr>
        <w:t xml:space="preserve">  </w:t>
      </w:r>
      <w:r>
        <w:rPr>
          <w:rFonts w:hint="eastAsia"/>
          <w:color w:val="0D0D0D" w:themeColor="text1" w:themeTint="F2"/>
          <w:sz w:val="24"/>
          <w14:textFill>
            <w14:solidFill>
              <w14:schemeClr w14:val="tx1">
                <w14:lumMod w14:val="95000"/>
                <w14:lumOff w14:val="5000"/>
              </w14:schemeClr>
            </w14:solidFill>
          </w14:textFill>
        </w:rPr>
        <w:t>选址意见</w:t>
      </w:r>
    </w:p>
    <w:p w14:paraId="34C388FD">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附件5  土地租赁合同</w:t>
      </w:r>
    </w:p>
    <w:p w14:paraId="4C6B2169">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 xml:space="preserve">附件6 </w:t>
      </w:r>
      <w:r>
        <w:rPr>
          <w:color w:val="0D0D0D" w:themeColor="text1" w:themeTint="F2"/>
          <w:sz w:val="24"/>
          <w14:textFill>
            <w14:solidFill>
              <w14:schemeClr w14:val="tx1">
                <w14:lumMod w14:val="95000"/>
                <w14:lumOff w14:val="5000"/>
              </w14:schemeClr>
            </w14:solidFill>
          </w14:textFill>
        </w:rPr>
        <w:t xml:space="preserve"> </w:t>
      </w:r>
      <w:r>
        <w:rPr>
          <w:rFonts w:hint="eastAsia"/>
          <w:color w:val="0D0D0D" w:themeColor="text1" w:themeTint="F2"/>
          <w:sz w:val="24"/>
          <w14:textFill>
            <w14:solidFill>
              <w14:schemeClr w14:val="tx1">
                <w14:lumMod w14:val="95000"/>
                <w14:lumOff w14:val="5000"/>
              </w14:schemeClr>
            </w14:solidFill>
          </w14:textFill>
        </w:rPr>
        <w:t>广西“生态云”平台建设项目智能研判报告</w:t>
      </w:r>
    </w:p>
    <w:p w14:paraId="44ED8845">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附件7  环境质量现状监测报告</w:t>
      </w:r>
    </w:p>
    <w:p w14:paraId="679191B6">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附件8  油漆及稀释剂安全技术说明书</w:t>
      </w:r>
    </w:p>
    <w:p w14:paraId="568FDA5E">
      <w:pPr>
        <w:spacing w:after="0" w:line="360" w:lineRule="auto"/>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附件9  园区规划环评审查意见</w:t>
      </w:r>
    </w:p>
    <w:p w14:paraId="67B92D86">
      <w:pPr>
        <w:spacing w:after="0" w:line="360" w:lineRule="auto"/>
        <w:rPr>
          <w:color w:val="0D0D0D" w:themeColor="text1" w:themeTint="F2"/>
          <w:sz w:val="24"/>
          <w14:textFill>
            <w14:solidFill>
              <w14:schemeClr w14:val="tx1">
                <w14:lumMod w14:val="95000"/>
                <w14:lumOff w14:val="5000"/>
              </w14:schemeClr>
            </w14:solidFill>
          </w14:textFill>
        </w:rPr>
      </w:pPr>
    </w:p>
    <w:p w14:paraId="461464AA">
      <w:pPr>
        <w:pStyle w:val="19"/>
        <w:spacing w:before="0" w:beforeAutospacing="0" w:after="0" w:afterAutospacing="0"/>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sectPr>
          <w:footerReference r:id="rId5" w:type="default"/>
          <w:footerReference r:id="rId6" w:type="even"/>
          <w:pgSz w:w="11906" w:h="16838"/>
          <w:pgMar w:top="1701" w:right="1531" w:bottom="1701" w:left="1531" w:header="851" w:footer="1077" w:gutter="0"/>
          <w:pgNumType w:start="1"/>
          <w:cols w:space="720" w:num="1"/>
          <w:docGrid w:linePitch="312" w:charSpace="0"/>
        </w:sectPr>
      </w:pPr>
    </w:p>
    <w:p w14:paraId="1766B8AF">
      <w:pPr>
        <w:pStyle w:val="19"/>
        <w:spacing w:before="0" w:beforeAutospacing="0" w:after="0" w:afterAutospacing="0"/>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2" w:name="_Toc136522023"/>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一、建设项目基本情况</w:t>
      </w:r>
      <w:bookmarkEnd w:id="2"/>
    </w:p>
    <w:tbl>
      <w:tblPr>
        <w:tblStyle w:val="22"/>
        <w:tblW w:w="533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556"/>
        <w:gridCol w:w="2107"/>
        <w:gridCol w:w="2143"/>
        <w:gridCol w:w="2653"/>
      </w:tblGrid>
      <w:tr w14:paraId="3D3077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1" w:type="pct"/>
            <w:tcMar>
              <w:top w:w="16" w:type="dxa"/>
              <w:left w:w="16" w:type="dxa"/>
              <w:right w:w="16" w:type="dxa"/>
            </w:tcMar>
            <w:vAlign w:val="center"/>
          </w:tcPr>
          <w:p w14:paraId="5AC7CCC4">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建设项目名称</w:t>
            </w:r>
          </w:p>
        </w:tc>
        <w:tc>
          <w:tcPr>
            <w:tcW w:w="3649" w:type="pct"/>
            <w:gridSpan w:val="3"/>
            <w:vAlign w:val="center"/>
          </w:tcPr>
          <w:p w14:paraId="3E076813">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中石油CC项目配套用地临时项目</w:t>
            </w:r>
          </w:p>
        </w:tc>
      </w:tr>
      <w:tr w14:paraId="79FDD9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1" w:type="pct"/>
            <w:tcMar>
              <w:top w:w="16" w:type="dxa"/>
              <w:left w:w="16" w:type="dxa"/>
              <w:right w:w="16" w:type="dxa"/>
            </w:tcMar>
            <w:vAlign w:val="center"/>
          </w:tcPr>
          <w:p w14:paraId="077181BE">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项目代码</w:t>
            </w:r>
          </w:p>
        </w:tc>
        <w:tc>
          <w:tcPr>
            <w:tcW w:w="3649" w:type="pct"/>
            <w:gridSpan w:val="3"/>
            <w:vAlign w:val="center"/>
          </w:tcPr>
          <w:p w14:paraId="288B1052">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cs="宋体"/>
                <w:color w:val="0D0D0D" w:themeColor="text1" w:themeTint="F2"/>
                <w:sz w:val="24"/>
                <w14:textFill>
                  <w14:solidFill>
                    <w14:schemeClr w14:val="tx1">
                      <w14:lumMod w14:val="95000"/>
                      <w14:lumOff w14:val="5000"/>
                    </w14:schemeClr>
                  </w14:solidFill>
                </w14:textFill>
              </w:rPr>
              <w:t>2509-450704-04-01-361077</w:t>
            </w:r>
          </w:p>
        </w:tc>
      </w:tr>
      <w:tr w14:paraId="48FF43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1" w:type="pct"/>
            <w:tcMar>
              <w:top w:w="16" w:type="dxa"/>
              <w:left w:w="16" w:type="dxa"/>
              <w:right w:w="16" w:type="dxa"/>
            </w:tcMar>
            <w:vAlign w:val="center"/>
          </w:tcPr>
          <w:p w14:paraId="1A8A266D">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建设单位联系人</w:t>
            </w:r>
          </w:p>
        </w:tc>
        <w:tc>
          <w:tcPr>
            <w:tcW w:w="1114" w:type="pct"/>
            <w:vAlign w:val="center"/>
          </w:tcPr>
          <w:p w14:paraId="40F0ED8D">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p>
        </w:tc>
        <w:tc>
          <w:tcPr>
            <w:tcW w:w="1133" w:type="pct"/>
            <w:vAlign w:val="center"/>
          </w:tcPr>
          <w:p w14:paraId="75D61EC6">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联系方式</w:t>
            </w:r>
          </w:p>
        </w:tc>
        <w:tc>
          <w:tcPr>
            <w:tcW w:w="1402" w:type="pct"/>
            <w:vAlign w:val="center"/>
          </w:tcPr>
          <w:p w14:paraId="326788FE">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p>
        </w:tc>
      </w:tr>
      <w:tr w14:paraId="5293F7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1" w:type="pct"/>
            <w:tcMar>
              <w:top w:w="16" w:type="dxa"/>
              <w:left w:w="16" w:type="dxa"/>
              <w:right w:w="16" w:type="dxa"/>
            </w:tcMar>
            <w:vAlign w:val="center"/>
          </w:tcPr>
          <w:p w14:paraId="03DBCCC8">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建设地点</w:t>
            </w:r>
          </w:p>
        </w:tc>
        <w:tc>
          <w:tcPr>
            <w:tcW w:w="3649" w:type="pct"/>
            <w:gridSpan w:val="3"/>
            <w:vAlign w:val="center"/>
          </w:tcPr>
          <w:p w14:paraId="224BD76B">
            <w:pPr>
              <w:adjustRightInd w:val="0"/>
              <w:snapToGrid w:val="0"/>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广西壮族自治区钦州市中国（广西）自由贸易试验区钦州港片区钦州港大榄坪力顺项目东侧、金鸡大街北侧、大榄坪三号路西侧区域</w:t>
            </w:r>
          </w:p>
        </w:tc>
      </w:tr>
      <w:tr w14:paraId="2B23FF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1" w:type="pct"/>
            <w:tcMar>
              <w:top w:w="16" w:type="dxa"/>
              <w:left w:w="16" w:type="dxa"/>
              <w:right w:w="16" w:type="dxa"/>
            </w:tcMar>
            <w:vAlign w:val="center"/>
          </w:tcPr>
          <w:p w14:paraId="11902B45">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地理坐标</w:t>
            </w:r>
          </w:p>
        </w:tc>
        <w:tc>
          <w:tcPr>
            <w:tcW w:w="3649" w:type="pct"/>
            <w:gridSpan w:val="3"/>
            <w:vAlign w:val="center"/>
          </w:tcPr>
          <w:p w14:paraId="62D89DA0">
            <w:pPr>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（东经10</w:t>
            </w:r>
            <w:r>
              <w:rPr>
                <w:rFonts w:cs="宋体"/>
                <w:color w:val="0D0D0D" w:themeColor="text1" w:themeTint="F2"/>
                <w:sz w:val="24"/>
                <w14:textFill>
                  <w14:solidFill>
                    <w14:schemeClr w14:val="tx1">
                      <w14:lumMod w14:val="95000"/>
                      <w14:lumOff w14:val="5000"/>
                    </w14:schemeClr>
                  </w14:solidFill>
                </w14:textFill>
              </w:rPr>
              <w:t>8</w:t>
            </w:r>
            <w:r>
              <w:rPr>
                <w:rFonts w:hint="eastAsia" w:cs="宋体"/>
                <w:color w:val="0D0D0D" w:themeColor="text1" w:themeTint="F2"/>
                <w:sz w:val="24"/>
                <w14:textFill>
                  <w14:solidFill>
                    <w14:schemeClr w14:val="tx1">
                      <w14:lumMod w14:val="95000"/>
                      <w14:lumOff w14:val="5000"/>
                    </w14:schemeClr>
                  </w14:solidFill>
                </w14:textFill>
              </w:rPr>
              <w:t>度39分21.953秒，北纬21度42分36.141秒）</w:t>
            </w:r>
          </w:p>
        </w:tc>
      </w:tr>
      <w:tr w14:paraId="0BFAF2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491" w:hRule="atLeast"/>
          <w:jc w:val="center"/>
        </w:trPr>
        <w:tc>
          <w:tcPr>
            <w:tcW w:w="1351" w:type="pct"/>
            <w:tcMar>
              <w:top w:w="16" w:type="dxa"/>
              <w:left w:w="16" w:type="dxa"/>
              <w:right w:w="16" w:type="dxa"/>
            </w:tcMar>
            <w:vAlign w:val="center"/>
          </w:tcPr>
          <w:p w14:paraId="1F168566">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国民经济</w:t>
            </w:r>
          </w:p>
          <w:p w14:paraId="3E085313">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行业类别</w:t>
            </w:r>
          </w:p>
        </w:tc>
        <w:tc>
          <w:tcPr>
            <w:tcW w:w="1114" w:type="pct"/>
            <w:vAlign w:val="center"/>
          </w:tcPr>
          <w:p w14:paraId="6067E282">
            <w:pPr>
              <w:adjustRightInd w:val="0"/>
              <w:snapToGrid w:val="0"/>
              <w:spacing w:after="0" w:line="240" w:lineRule="auto"/>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C3360金属表面处理及热处理加工</w:t>
            </w:r>
          </w:p>
        </w:tc>
        <w:tc>
          <w:tcPr>
            <w:tcW w:w="1133" w:type="pct"/>
            <w:vAlign w:val="center"/>
          </w:tcPr>
          <w:p w14:paraId="0C697091">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bookmarkStart w:id="3" w:name="_Hlk49843745"/>
            <w:r>
              <w:rPr>
                <w:rFonts w:hint="eastAsia" w:cs="宋体"/>
                <w:color w:val="0D0D0D" w:themeColor="text1" w:themeTint="F2"/>
                <w:sz w:val="24"/>
                <w14:textFill>
                  <w14:solidFill>
                    <w14:schemeClr w14:val="tx1">
                      <w14:lumMod w14:val="95000"/>
                      <w14:lumOff w14:val="5000"/>
                    </w14:schemeClr>
                  </w14:solidFill>
                </w14:textFill>
              </w:rPr>
              <w:t>建设项目</w:t>
            </w:r>
          </w:p>
          <w:p w14:paraId="44102E43">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行业类别</w:t>
            </w:r>
            <w:bookmarkEnd w:id="3"/>
          </w:p>
        </w:tc>
        <w:tc>
          <w:tcPr>
            <w:tcW w:w="1402" w:type="pct"/>
            <w:vAlign w:val="center"/>
          </w:tcPr>
          <w:p w14:paraId="3BCB9409">
            <w:pPr>
              <w:adjustRightInd w:val="0"/>
              <w:snapToGrid w:val="0"/>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三十、金属制品业33-67.金属表面处理及热处理加工-其他（年用非溶剂型低VOCs含量涂料10吨以下的除外）</w:t>
            </w:r>
          </w:p>
        </w:tc>
      </w:tr>
      <w:tr w14:paraId="1BBE4E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51" w:type="pct"/>
            <w:tcMar>
              <w:top w:w="16" w:type="dxa"/>
              <w:left w:w="16" w:type="dxa"/>
              <w:right w:w="16" w:type="dxa"/>
            </w:tcMar>
            <w:vAlign w:val="center"/>
          </w:tcPr>
          <w:p w14:paraId="3548A5F5">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建设性质</w:t>
            </w:r>
          </w:p>
        </w:tc>
        <w:tc>
          <w:tcPr>
            <w:tcW w:w="1114" w:type="pct"/>
            <w:vAlign w:val="center"/>
          </w:tcPr>
          <w:p w14:paraId="3F137DDF">
            <w:pPr>
              <w:spacing w:after="0" w:line="240" w:lineRule="auto"/>
              <w:rPr>
                <w:rFonts w:cs="宋体"/>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sym w:font="Wingdings 2" w:char="0052"/>
            </w:r>
            <w:r>
              <w:rPr>
                <w:rFonts w:hint="eastAsia" w:cs="宋体"/>
                <w:color w:val="0D0D0D" w:themeColor="text1" w:themeTint="F2"/>
                <w:sz w:val="24"/>
                <w14:textFill>
                  <w14:solidFill>
                    <w14:schemeClr w14:val="tx1">
                      <w14:lumMod w14:val="95000"/>
                      <w14:lumOff w14:val="5000"/>
                    </w14:schemeClr>
                  </w14:solidFill>
                </w14:textFill>
              </w:rPr>
              <w:t>新建（迁建）</w:t>
            </w:r>
          </w:p>
          <w:p w14:paraId="69D0B3FE">
            <w:pPr>
              <w:spacing w:after="0" w:line="240" w:lineRule="auto"/>
              <w:jc w:val="left"/>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□改建</w:t>
            </w:r>
          </w:p>
          <w:p w14:paraId="06960B44">
            <w:pPr>
              <w:spacing w:after="0" w:line="240" w:lineRule="auto"/>
              <w:jc w:val="left"/>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□扩建</w:t>
            </w:r>
          </w:p>
          <w:p w14:paraId="453AEA13">
            <w:pPr>
              <w:spacing w:after="0" w:line="240" w:lineRule="auto"/>
              <w:jc w:val="left"/>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□技术改造</w:t>
            </w:r>
          </w:p>
        </w:tc>
        <w:tc>
          <w:tcPr>
            <w:tcW w:w="1133" w:type="pct"/>
            <w:vAlign w:val="center"/>
          </w:tcPr>
          <w:p w14:paraId="0032A17D">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建设项目</w:t>
            </w:r>
          </w:p>
          <w:p w14:paraId="3169EFEF">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申报情形</w:t>
            </w:r>
          </w:p>
        </w:tc>
        <w:tc>
          <w:tcPr>
            <w:tcW w:w="1402" w:type="pct"/>
            <w:vAlign w:val="center"/>
          </w:tcPr>
          <w:p w14:paraId="48266E28">
            <w:pPr>
              <w:spacing w:after="0" w:line="240" w:lineRule="auto"/>
              <w:rPr>
                <w:rFonts w:cs="宋体"/>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sym w:font="Wingdings 2" w:char="0052"/>
            </w:r>
            <w:r>
              <w:rPr>
                <w:rFonts w:hint="eastAsia" w:cs="宋体"/>
                <w:color w:val="0D0D0D" w:themeColor="text1" w:themeTint="F2"/>
                <w:sz w:val="24"/>
                <w14:textFill>
                  <w14:solidFill>
                    <w14:schemeClr w14:val="tx1">
                      <w14:lumMod w14:val="95000"/>
                      <w14:lumOff w14:val="5000"/>
                    </w14:schemeClr>
                  </w14:solidFill>
                </w14:textFill>
              </w:rPr>
              <w:t>首次申报项目</w:t>
            </w:r>
          </w:p>
          <w:p w14:paraId="055CBD97">
            <w:pPr>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□不予批准后再次申报项目</w:t>
            </w:r>
          </w:p>
          <w:p w14:paraId="51E20127">
            <w:pPr>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□超五年重新审核项目</w:t>
            </w:r>
          </w:p>
          <w:p w14:paraId="665310F4">
            <w:pPr>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□重大变动重新报批项目</w:t>
            </w:r>
          </w:p>
        </w:tc>
      </w:tr>
      <w:tr w14:paraId="5953EA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51" w:type="pct"/>
            <w:tcMar>
              <w:top w:w="16" w:type="dxa"/>
              <w:left w:w="16" w:type="dxa"/>
              <w:right w:w="16" w:type="dxa"/>
            </w:tcMar>
            <w:vAlign w:val="center"/>
          </w:tcPr>
          <w:p w14:paraId="6EC49099">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项目审批（核准</w:t>
            </w:r>
            <w:r>
              <w:rPr>
                <w:rFonts w:cs="宋体"/>
                <w:color w:val="0D0D0D" w:themeColor="text1" w:themeTint="F2"/>
                <w:sz w:val="24"/>
                <w14:textFill>
                  <w14:solidFill>
                    <w14:schemeClr w14:val="tx1">
                      <w14:lumMod w14:val="95000"/>
                      <w14:lumOff w14:val="5000"/>
                    </w14:schemeClr>
                  </w14:solidFill>
                </w14:textFill>
              </w:rPr>
              <w:t>/</w:t>
            </w:r>
          </w:p>
          <w:p w14:paraId="05EC3BEA">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备案）部门（选填）</w:t>
            </w:r>
          </w:p>
        </w:tc>
        <w:tc>
          <w:tcPr>
            <w:tcW w:w="1114" w:type="pct"/>
            <w:vAlign w:val="center"/>
          </w:tcPr>
          <w:p w14:paraId="52C33D13">
            <w:pPr>
              <w:adjustRightInd w:val="0"/>
              <w:snapToGrid w:val="0"/>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中马钦州产业园区行政审批局</w:t>
            </w:r>
          </w:p>
        </w:tc>
        <w:tc>
          <w:tcPr>
            <w:tcW w:w="1133" w:type="pct"/>
            <w:vAlign w:val="center"/>
          </w:tcPr>
          <w:p w14:paraId="270ADD2B">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项目审批（核准</w:t>
            </w:r>
            <w:r>
              <w:rPr>
                <w:rFonts w:cs="宋体"/>
                <w:color w:val="0D0D0D" w:themeColor="text1" w:themeTint="F2"/>
                <w:sz w:val="24"/>
                <w14:textFill>
                  <w14:solidFill>
                    <w14:schemeClr w14:val="tx1">
                      <w14:lumMod w14:val="95000"/>
                      <w14:lumOff w14:val="5000"/>
                    </w14:schemeClr>
                  </w14:solidFill>
                </w14:textFill>
              </w:rPr>
              <w:t>/</w:t>
            </w:r>
          </w:p>
          <w:p w14:paraId="66D3773C">
            <w:pPr>
              <w:adjustRightInd w:val="0"/>
              <w:snapToGrid w:val="0"/>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备案）文号（选填）</w:t>
            </w:r>
          </w:p>
        </w:tc>
        <w:tc>
          <w:tcPr>
            <w:tcW w:w="1402" w:type="pct"/>
            <w:vAlign w:val="center"/>
          </w:tcPr>
          <w:p w14:paraId="599236FA">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w:t>
            </w:r>
          </w:p>
        </w:tc>
      </w:tr>
      <w:tr w14:paraId="5EAFAD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1" w:type="pct"/>
            <w:tcMar>
              <w:top w:w="16" w:type="dxa"/>
              <w:left w:w="16" w:type="dxa"/>
              <w:right w:w="16" w:type="dxa"/>
            </w:tcMar>
            <w:vAlign w:val="center"/>
          </w:tcPr>
          <w:p w14:paraId="034B22D4">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总投资（万元）</w:t>
            </w:r>
          </w:p>
        </w:tc>
        <w:tc>
          <w:tcPr>
            <w:tcW w:w="1114" w:type="pct"/>
            <w:vAlign w:val="center"/>
          </w:tcPr>
          <w:p w14:paraId="7483E31F">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900</w:t>
            </w:r>
          </w:p>
        </w:tc>
        <w:tc>
          <w:tcPr>
            <w:tcW w:w="1133" w:type="pct"/>
            <w:tcMar>
              <w:top w:w="16" w:type="dxa"/>
              <w:left w:w="16" w:type="dxa"/>
              <w:right w:w="16" w:type="dxa"/>
            </w:tcMar>
            <w:vAlign w:val="center"/>
          </w:tcPr>
          <w:p w14:paraId="02AD20BE">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环保投资（万元）</w:t>
            </w:r>
          </w:p>
        </w:tc>
        <w:tc>
          <w:tcPr>
            <w:tcW w:w="1402" w:type="pct"/>
            <w:vAlign w:val="center"/>
          </w:tcPr>
          <w:p w14:paraId="46CDC29C">
            <w:pPr>
              <w:adjustRightInd w:val="0"/>
              <w:snapToGrid w:val="0"/>
              <w:spacing w:after="0" w:line="240" w:lineRule="auto"/>
              <w:jc w:val="center"/>
              <w:rPr>
                <w:rFonts w:cs="宋体"/>
                <w:color w:val="0D0D0D" w:themeColor="text1" w:themeTint="F2"/>
                <w:sz w:val="24"/>
                <w:u w:val="single"/>
                <w14:textFill>
                  <w14:solidFill>
                    <w14:schemeClr w14:val="tx1">
                      <w14:lumMod w14:val="95000"/>
                      <w14:lumOff w14:val="5000"/>
                    </w14:schemeClr>
                  </w14:solidFill>
                </w14:textFill>
              </w:rPr>
            </w:pPr>
            <w:r>
              <w:rPr>
                <w:rFonts w:hint="eastAsia" w:cs="宋体"/>
                <w:color w:val="0D0D0D" w:themeColor="text1" w:themeTint="F2"/>
                <w:sz w:val="24"/>
                <w:u w:val="single"/>
                <w14:textFill>
                  <w14:solidFill>
                    <w14:schemeClr w14:val="tx1">
                      <w14:lumMod w14:val="95000"/>
                      <w14:lumOff w14:val="5000"/>
                    </w14:schemeClr>
                  </w14:solidFill>
                </w14:textFill>
              </w:rPr>
              <w:t>110</w:t>
            </w:r>
          </w:p>
        </w:tc>
      </w:tr>
      <w:tr w14:paraId="06C332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1" w:type="pct"/>
            <w:tcMar>
              <w:top w:w="16" w:type="dxa"/>
              <w:left w:w="16" w:type="dxa"/>
              <w:right w:w="16" w:type="dxa"/>
            </w:tcMar>
            <w:vAlign w:val="center"/>
          </w:tcPr>
          <w:p w14:paraId="14961AD0">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环保投资占比（</w:t>
            </w:r>
            <w:r>
              <w:rPr>
                <w:rFonts w:cs="宋体"/>
                <w:color w:val="0D0D0D" w:themeColor="text1" w:themeTint="F2"/>
                <w:sz w:val="24"/>
                <w14:textFill>
                  <w14:solidFill>
                    <w14:schemeClr w14:val="tx1">
                      <w14:lumMod w14:val="95000"/>
                      <w14:lumOff w14:val="5000"/>
                    </w14:schemeClr>
                  </w14:solidFill>
                </w14:textFill>
              </w:rPr>
              <w:t>%</w:t>
            </w:r>
            <w:r>
              <w:rPr>
                <w:rFonts w:hint="eastAsia" w:cs="宋体"/>
                <w:color w:val="0D0D0D" w:themeColor="text1" w:themeTint="F2"/>
                <w:sz w:val="24"/>
                <w14:textFill>
                  <w14:solidFill>
                    <w14:schemeClr w14:val="tx1">
                      <w14:lumMod w14:val="95000"/>
                      <w14:lumOff w14:val="5000"/>
                    </w14:schemeClr>
                  </w14:solidFill>
                </w14:textFill>
              </w:rPr>
              <w:t>）</w:t>
            </w:r>
          </w:p>
        </w:tc>
        <w:tc>
          <w:tcPr>
            <w:tcW w:w="1114" w:type="pct"/>
            <w:vAlign w:val="center"/>
          </w:tcPr>
          <w:p w14:paraId="5D8F57A1">
            <w:pPr>
              <w:adjustRightInd w:val="0"/>
              <w:snapToGrid w:val="0"/>
              <w:spacing w:after="0" w:line="240" w:lineRule="auto"/>
              <w:jc w:val="center"/>
              <w:rPr>
                <w:rFonts w:cs="宋体"/>
                <w:color w:val="0D0D0D" w:themeColor="text1" w:themeTint="F2"/>
                <w:sz w:val="24"/>
                <w:u w:val="single"/>
                <w14:textFill>
                  <w14:solidFill>
                    <w14:schemeClr w14:val="tx1">
                      <w14:lumMod w14:val="95000"/>
                      <w14:lumOff w14:val="5000"/>
                    </w14:schemeClr>
                  </w14:solidFill>
                </w14:textFill>
              </w:rPr>
            </w:pPr>
            <w:r>
              <w:rPr>
                <w:rFonts w:hint="eastAsia" w:cs="宋体"/>
                <w:color w:val="0D0D0D" w:themeColor="text1" w:themeTint="F2"/>
                <w:sz w:val="24"/>
                <w:u w:val="single"/>
                <w14:textFill>
                  <w14:solidFill>
                    <w14:schemeClr w14:val="tx1">
                      <w14:lumMod w14:val="95000"/>
                      <w14:lumOff w14:val="5000"/>
                    </w14:schemeClr>
                  </w14:solidFill>
                </w14:textFill>
              </w:rPr>
              <w:t>12.22</w:t>
            </w:r>
          </w:p>
        </w:tc>
        <w:tc>
          <w:tcPr>
            <w:tcW w:w="1133" w:type="pct"/>
            <w:tcMar>
              <w:top w:w="16" w:type="dxa"/>
              <w:left w:w="16" w:type="dxa"/>
              <w:right w:w="16" w:type="dxa"/>
            </w:tcMar>
            <w:vAlign w:val="center"/>
          </w:tcPr>
          <w:p w14:paraId="5F21B2EC">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施工工期</w:t>
            </w:r>
          </w:p>
        </w:tc>
        <w:tc>
          <w:tcPr>
            <w:tcW w:w="1402" w:type="pct"/>
            <w:vAlign w:val="center"/>
          </w:tcPr>
          <w:p w14:paraId="2AD9F61B">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3个月</w:t>
            </w:r>
          </w:p>
        </w:tc>
      </w:tr>
      <w:tr w14:paraId="03EE9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40" w:hRule="atLeast"/>
          <w:jc w:val="center"/>
        </w:trPr>
        <w:tc>
          <w:tcPr>
            <w:tcW w:w="1351" w:type="pct"/>
            <w:tcMar>
              <w:top w:w="16" w:type="dxa"/>
              <w:left w:w="16" w:type="dxa"/>
              <w:right w:w="16" w:type="dxa"/>
            </w:tcMar>
            <w:vAlign w:val="center"/>
          </w:tcPr>
          <w:p w14:paraId="097A8656">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是否开工建设</w:t>
            </w:r>
          </w:p>
        </w:tc>
        <w:tc>
          <w:tcPr>
            <w:tcW w:w="1114" w:type="pct"/>
            <w:vAlign w:val="center"/>
          </w:tcPr>
          <w:p w14:paraId="3C805308">
            <w:pPr>
              <w:adjustRightInd w:val="0"/>
              <w:snapToGrid w:val="0"/>
              <w:spacing w:after="0" w:line="240" w:lineRule="auto"/>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□否</w:t>
            </w:r>
          </w:p>
          <w:p w14:paraId="21FE1FD1">
            <w:pPr>
              <w:adjustRightInd w:val="0"/>
              <w:snapToGrid w:val="0"/>
              <w:spacing w:after="0" w:line="240" w:lineRule="auto"/>
              <w:rPr>
                <w:rFonts w:cs="宋体"/>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sym w:font="Wingdings 2" w:char="0052"/>
            </w:r>
            <w:r>
              <w:rPr>
                <w:rFonts w:hint="eastAsia" w:cs="宋体"/>
                <w:color w:val="0D0D0D" w:themeColor="text1" w:themeTint="F2"/>
                <w:sz w:val="24"/>
                <w14:textFill>
                  <w14:solidFill>
                    <w14:schemeClr w14:val="tx1">
                      <w14:lumMod w14:val="95000"/>
                      <w14:lumOff w14:val="5000"/>
                    </w14:schemeClr>
                  </w14:solidFill>
                </w14:textFill>
              </w:rPr>
              <w:t>是：</w:t>
            </w:r>
            <w:r>
              <w:rPr>
                <w:rFonts w:hint="eastAsia" w:cs="宋体"/>
                <w:color w:val="0D0D0D" w:themeColor="text1" w:themeTint="F2"/>
                <w:sz w:val="24"/>
                <w:u w:val="single"/>
                <w14:textFill>
                  <w14:solidFill>
                    <w14:schemeClr w14:val="tx1">
                      <w14:lumMod w14:val="95000"/>
                      <w14:lumOff w14:val="5000"/>
                    </w14:schemeClr>
                  </w14:solidFill>
                </w14:textFill>
              </w:rPr>
              <w:t>目前</w:t>
            </w:r>
            <w:bookmarkStart w:id="4" w:name="OLE_LINK5"/>
            <w:r>
              <w:rPr>
                <w:rFonts w:hint="eastAsia" w:cs="宋体"/>
                <w:color w:val="0D0D0D" w:themeColor="text1" w:themeTint="F2"/>
                <w:sz w:val="24"/>
                <w:u w:val="single"/>
                <w14:textFill>
                  <w14:solidFill>
                    <w14:schemeClr w14:val="tx1">
                      <w14:lumMod w14:val="95000"/>
                      <w14:lumOff w14:val="5000"/>
                    </w14:schemeClr>
                  </w14:solidFill>
                </w14:textFill>
              </w:rPr>
              <w:t>生产车间</w:t>
            </w:r>
            <w:bookmarkEnd w:id="4"/>
            <w:r>
              <w:rPr>
                <w:rFonts w:hint="eastAsia" w:cs="宋体"/>
                <w:color w:val="0D0D0D" w:themeColor="text1" w:themeTint="F2"/>
                <w:sz w:val="24"/>
                <w:u w:val="single"/>
                <w14:textFill>
                  <w14:solidFill>
                    <w14:schemeClr w14:val="tx1">
                      <w14:lumMod w14:val="95000"/>
                      <w14:lumOff w14:val="5000"/>
                    </w14:schemeClr>
                  </w14:solidFill>
                </w14:textFill>
              </w:rPr>
              <w:t>、露天加工区、堆场等已建成，生产设备已安装，喷漆房和废气治理环保设施需完善，已停产，无处罚情况</w:t>
            </w:r>
          </w:p>
        </w:tc>
        <w:tc>
          <w:tcPr>
            <w:tcW w:w="1133" w:type="pct"/>
            <w:tcMar>
              <w:top w:w="16" w:type="dxa"/>
              <w:left w:w="16" w:type="dxa"/>
              <w:right w:w="16" w:type="dxa"/>
            </w:tcMar>
            <w:vAlign w:val="center"/>
          </w:tcPr>
          <w:p w14:paraId="2D175A76">
            <w:pPr>
              <w:adjustRightInd w:val="0"/>
              <w:snapToGrid w:val="0"/>
              <w:spacing w:after="0" w:line="240" w:lineRule="auto"/>
              <w:jc w:val="center"/>
              <w:rPr>
                <w:rFonts w:cs="宋体"/>
                <w:color w:val="0D0D0D" w:themeColor="text1" w:themeTint="F2"/>
                <w:spacing w:val="-6"/>
                <w:sz w:val="24"/>
                <w14:textFill>
                  <w14:solidFill>
                    <w14:schemeClr w14:val="tx1">
                      <w14:lumMod w14:val="95000"/>
                      <w14:lumOff w14:val="5000"/>
                    </w14:schemeClr>
                  </w14:solidFill>
                </w14:textFill>
              </w:rPr>
            </w:pPr>
            <w:r>
              <w:rPr>
                <w:rFonts w:hint="eastAsia" w:cs="宋体"/>
                <w:color w:val="0D0D0D" w:themeColor="text1" w:themeTint="F2"/>
                <w:spacing w:val="-6"/>
                <w:sz w:val="24"/>
                <w14:textFill>
                  <w14:solidFill>
                    <w14:schemeClr w14:val="tx1">
                      <w14:lumMod w14:val="95000"/>
                      <w14:lumOff w14:val="5000"/>
                    </w14:schemeClr>
                  </w14:solidFill>
                </w14:textFill>
              </w:rPr>
              <w:t>用地（用海）</w:t>
            </w:r>
          </w:p>
          <w:p w14:paraId="73F629EB">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pacing w:val="-6"/>
                <w:sz w:val="24"/>
                <w14:textFill>
                  <w14:solidFill>
                    <w14:schemeClr w14:val="tx1">
                      <w14:lumMod w14:val="95000"/>
                      <w14:lumOff w14:val="5000"/>
                    </w14:schemeClr>
                  </w14:solidFill>
                </w14:textFill>
              </w:rPr>
              <w:t>面积（</w:t>
            </w:r>
            <w:r>
              <w:rPr>
                <w:rFonts w:cs="宋体"/>
                <w:color w:val="0D0D0D" w:themeColor="text1" w:themeTint="F2"/>
                <w:spacing w:val="-6"/>
                <w:sz w:val="24"/>
                <w14:textFill>
                  <w14:solidFill>
                    <w14:schemeClr w14:val="tx1">
                      <w14:lumMod w14:val="95000"/>
                      <w14:lumOff w14:val="5000"/>
                    </w14:schemeClr>
                  </w14:solidFill>
                </w14:textFill>
              </w:rPr>
              <w:t>m</w:t>
            </w:r>
            <w:r>
              <w:rPr>
                <w:rFonts w:cs="宋体"/>
                <w:color w:val="0D0D0D" w:themeColor="text1" w:themeTint="F2"/>
                <w:spacing w:val="-6"/>
                <w:sz w:val="24"/>
                <w:vertAlign w:val="superscript"/>
                <w14:textFill>
                  <w14:solidFill>
                    <w14:schemeClr w14:val="tx1">
                      <w14:lumMod w14:val="95000"/>
                      <w14:lumOff w14:val="5000"/>
                    </w14:schemeClr>
                  </w14:solidFill>
                </w14:textFill>
              </w:rPr>
              <w:t>2</w:t>
            </w:r>
            <w:r>
              <w:rPr>
                <w:rFonts w:hint="eastAsia" w:cs="宋体"/>
                <w:color w:val="0D0D0D" w:themeColor="text1" w:themeTint="F2"/>
                <w:spacing w:val="-6"/>
                <w:sz w:val="24"/>
                <w14:textFill>
                  <w14:solidFill>
                    <w14:schemeClr w14:val="tx1">
                      <w14:lumMod w14:val="95000"/>
                      <w14:lumOff w14:val="5000"/>
                    </w14:schemeClr>
                  </w14:solidFill>
                </w14:textFill>
              </w:rPr>
              <w:t>）</w:t>
            </w:r>
          </w:p>
        </w:tc>
        <w:tc>
          <w:tcPr>
            <w:tcW w:w="1402" w:type="pct"/>
            <w:vAlign w:val="center"/>
          </w:tcPr>
          <w:p w14:paraId="45B32065">
            <w:pPr>
              <w:adjustRightInd w:val="0"/>
              <w:snapToGrid w:val="0"/>
              <w:spacing w:after="0" w:line="240" w:lineRule="auto"/>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44174.16</w:t>
            </w:r>
          </w:p>
        </w:tc>
      </w:tr>
      <w:tr w14:paraId="423613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8" w:hRule="atLeast"/>
          <w:jc w:val="center"/>
        </w:trPr>
        <w:tc>
          <w:tcPr>
            <w:tcW w:w="1351" w:type="pct"/>
            <w:vAlign w:val="center"/>
          </w:tcPr>
          <w:p w14:paraId="74485B74">
            <w:pPr>
              <w:autoSpaceDE w:val="0"/>
              <w:autoSpaceDN w:val="0"/>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专项评价设置情况</w:t>
            </w:r>
          </w:p>
        </w:tc>
        <w:tc>
          <w:tcPr>
            <w:tcW w:w="3649" w:type="pct"/>
            <w:gridSpan w:val="3"/>
            <w:vAlign w:val="center"/>
          </w:tcPr>
          <w:p w14:paraId="16E97099">
            <w:pPr>
              <w:autoSpaceDE w:val="0"/>
              <w:autoSpaceDN w:val="0"/>
              <w:adjustRightInd w:val="0"/>
              <w:snapToGrid w:val="0"/>
              <w:spacing w:after="0"/>
              <w:jc w:val="center"/>
              <w:rPr>
                <w:rFonts w:cs="宋体"/>
                <w:b/>
                <w:bCs/>
                <w:color w:val="0D0D0D" w:themeColor="text1" w:themeTint="F2"/>
                <w:kern w:val="0"/>
                <w:szCs w:val="21"/>
                <w14:textFill>
                  <w14:solidFill>
                    <w14:schemeClr w14:val="tx1">
                      <w14:lumMod w14:val="95000"/>
                      <w14:lumOff w14:val="5000"/>
                    </w14:schemeClr>
                  </w14:solidFill>
                </w14:textFill>
              </w:rPr>
            </w:pPr>
            <w:r>
              <w:rPr>
                <w:rFonts w:hint="eastAsia" w:cs="宋体"/>
                <w:b/>
                <w:bCs/>
                <w:color w:val="0D0D0D" w:themeColor="text1" w:themeTint="F2"/>
                <w:kern w:val="0"/>
                <w:szCs w:val="21"/>
                <w14:textFill>
                  <w14:solidFill>
                    <w14:schemeClr w14:val="tx1">
                      <w14:lumMod w14:val="95000"/>
                      <w14:lumOff w14:val="5000"/>
                    </w14:schemeClr>
                  </w14:solidFill>
                </w14:textFill>
              </w:rPr>
              <w:t>表1-1  专项评价设置情况判定表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9"/>
              <w:gridCol w:w="2314"/>
              <w:gridCol w:w="2301"/>
              <w:gridCol w:w="923"/>
            </w:tblGrid>
            <w:tr w14:paraId="1728B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pct"/>
                  <w:vAlign w:val="center"/>
                </w:tcPr>
                <w:p w14:paraId="14915003">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专项评价类别</w:t>
                  </w:r>
                </w:p>
              </w:tc>
              <w:tc>
                <w:tcPr>
                  <w:tcW w:w="1733" w:type="pct"/>
                  <w:vAlign w:val="center"/>
                </w:tcPr>
                <w:p w14:paraId="25B73FEF">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设置原则</w:t>
                  </w:r>
                </w:p>
              </w:tc>
              <w:tc>
                <w:tcPr>
                  <w:tcW w:w="1723" w:type="pct"/>
                  <w:vAlign w:val="center"/>
                </w:tcPr>
                <w:p w14:paraId="021C7A30">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项目情况</w:t>
                  </w:r>
                </w:p>
              </w:tc>
              <w:tc>
                <w:tcPr>
                  <w:tcW w:w="691" w:type="pct"/>
                  <w:vAlign w:val="center"/>
                </w:tcPr>
                <w:p w14:paraId="1988260F">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结论</w:t>
                  </w:r>
                </w:p>
              </w:tc>
            </w:tr>
            <w:tr w14:paraId="1BF5E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pct"/>
                  <w:vAlign w:val="center"/>
                </w:tcPr>
                <w:p w14:paraId="11057235">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大气</w:t>
                  </w:r>
                </w:p>
              </w:tc>
              <w:tc>
                <w:tcPr>
                  <w:tcW w:w="1733" w:type="pct"/>
                  <w:vAlign w:val="center"/>
                </w:tcPr>
                <w:p w14:paraId="18FB18D9">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排放废气中含有毒有害污染物、二噁英、苯并[a]芘、氰化物、氯气且厂界外500m范围内有环境空气保护目标的建设项目。</w:t>
                  </w:r>
                </w:p>
              </w:tc>
              <w:tc>
                <w:tcPr>
                  <w:tcW w:w="1723" w:type="pct"/>
                  <w:vAlign w:val="center"/>
                </w:tcPr>
                <w:p w14:paraId="73F4FC25">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项目废气污染物不</w:t>
                  </w:r>
                  <w:r>
                    <w:rPr>
                      <w:rFonts w:hint="eastAsia"/>
                      <w:color w:val="0D0D0D" w:themeColor="text1" w:themeTint="F2"/>
                      <w:kern w:val="0"/>
                      <w:szCs w:val="21"/>
                      <w14:textFill>
                        <w14:solidFill>
                          <w14:schemeClr w14:val="tx1">
                            <w14:lumMod w14:val="95000"/>
                            <w14:lumOff w14:val="5000"/>
                          </w14:schemeClr>
                        </w14:solidFill>
                      </w14:textFill>
                    </w:rPr>
                    <w:t>含有毒有害污染物、二噁英、苯并[a]芘、氰化物和氯气等，且厂界外500m范围内没有环境空气保护目标。</w:t>
                  </w:r>
                </w:p>
              </w:tc>
              <w:tc>
                <w:tcPr>
                  <w:tcW w:w="691" w:type="pct"/>
                  <w:vAlign w:val="center"/>
                </w:tcPr>
                <w:p w14:paraId="187A03F1">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无须设置大气专项评价</w:t>
                  </w:r>
                </w:p>
              </w:tc>
            </w:tr>
            <w:tr w14:paraId="155CF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pct"/>
                  <w:vAlign w:val="center"/>
                </w:tcPr>
                <w:p w14:paraId="43EA252E">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地表水</w:t>
                  </w:r>
                </w:p>
              </w:tc>
              <w:tc>
                <w:tcPr>
                  <w:tcW w:w="1733" w:type="pct"/>
                  <w:vAlign w:val="center"/>
                </w:tcPr>
                <w:p w14:paraId="08A13480">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新增工业废水直排建设项目（槽罐车外送污水处理厂的除外）：新增废水直排的污水集中处理厂。</w:t>
                  </w:r>
                </w:p>
              </w:tc>
              <w:tc>
                <w:tcPr>
                  <w:tcW w:w="1723" w:type="pct"/>
                  <w:vAlign w:val="center"/>
                </w:tcPr>
                <w:p w14:paraId="2B67BD5C">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无生产废水产生，生活污水经三级化粪池预处理后使用吸污车清运至钦州市大榄坪污水处理厂进一步处理，不涉及新增工业废水直排，不属于新增废水直排的污水集中处理厂。</w:t>
                  </w:r>
                </w:p>
              </w:tc>
              <w:tc>
                <w:tcPr>
                  <w:tcW w:w="691" w:type="pct"/>
                  <w:vAlign w:val="center"/>
                </w:tcPr>
                <w:p w14:paraId="45D8485D">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无须设置地表水专项评价</w:t>
                  </w:r>
                </w:p>
              </w:tc>
            </w:tr>
            <w:tr w14:paraId="3E80F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pct"/>
                  <w:vAlign w:val="center"/>
                </w:tcPr>
                <w:p w14:paraId="2BA5622B">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环境风险</w:t>
                  </w:r>
                </w:p>
              </w:tc>
              <w:tc>
                <w:tcPr>
                  <w:tcW w:w="1733" w:type="pct"/>
                  <w:vAlign w:val="center"/>
                </w:tcPr>
                <w:p w14:paraId="02B3C65E">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有毒有害和易燃易爆危险物质存储量超过临界值的建设项目。</w:t>
                  </w:r>
                </w:p>
              </w:tc>
              <w:tc>
                <w:tcPr>
                  <w:tcW w:w="1723" w:type="pct"/>
                  <w:vAlign w:val="center"/>
                </w:tcPr>
                <w:p w14:paraId="45CDC736">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根据《建设项目环境风险评价技术导则》（HJ169-2018）附录B和附录C，</w:t>
                  </w:r>
                  <w:r>
                    <w:rPr>
                      <w:rFonts w:hint="eastAsia"/>
                      <w:color w:val="0D0D0D" w:themeColor="text1" w:themeTint="F2"/>
                      <w:szCs w:val="21"/>
                      <w:u w:val="single"/>
                      <w14:textFill>
                        <w14:solidFill>
                          <w14:schemeClr w14:val="tx1">
                            <w14:lumMod w14:val="95000"/>
                            <w14:lumOff w14:val="5000"/>
                          </w14:schemeClr>
                        </w14:solidFill>
                      </w14:textFill>
                    </w:rPr>
                    <w:t>项目风险物质为油漆、稀释剂、丙烷和废机油，存储量不超过临界量。</w:t>
                  </w:r>
                </w:p>
              </w:tc>
              <w:tc>
                <w:tcPr>
                  <w:tcW w:w="691" w:type="pct"/>
                  <w:vAlign w:val="center"/>
                </w:tcPr>
                <w:p w14:paraId="02602BE7">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无须设置环境风险专项评价</w:t>
                  </w:r>
                </w:p>
              </w:tc>
            </w:tr>
            <w:tr w14:paraId="31A3F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pct"/>
                  <w:vAlign w:val="center"/>
                </w:tcPr>
                <w:p w14:paraId="74FA7432">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生态</w:t>
                  </w:r>
                </w:p>
              </w:tc>
              <w:tc>
                <w:tcPr>
                  <w:tcW w:w="1733" w:type="pct"/>
                  <w:vAlign w:val="center"/>
                </w:tcPr>
                <w:p w14:paraId="4748A883">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color w:val="0D0D0D" w:themeColor="text1" w:themeTint="F2"/>
                      <w:kern w:val="0"/>
                      <w:szCs w:val="21"/>
                      <w14:textFill>
                        <w14:solidFill>
                          <w14:schemeClr w14:val="tx1">
                            <w14:lumMod w14:val="95000"/>
                            <w14:lumOff w14:val="5000"/>
                          </w14:schemeClr>
                        </w14:solidFill>
                      </w14:textFill>
                    </w:rPr>
                    <w:t>取水口下游500米范围内有重要水生生物的自然产卵场、索饵场、越冬场和洄游通道的新增河道取水的污染类建设项目</w:t>
                  </w:r>
                  <w:r>
                    <w:rPr>
                      <w:rFonts w:hint="eastAsia"/>
                      <w:color w:val="0D0D0D" w:themeColor="text1" w:themeTint="F2"/>
                      <w:kern w:val="0"/>
                      <w:szCs w:val="21"/>
                      <w14:textFill>
                        <w14:solidFill>
                          <w14:schemeClr w14:val="tx1">
                            <w14:lumMod w14:val="95000"/>
                            <w14:lumOff w14:val="5000"/>
                          </w14:schemeClr>
                        </w14:solidFill>
                      </w14:textFill>
                    </w:rPr>
                    <w:t>。</w:t>
                  </w:r>
                </w:p>
              </w:tc>
              <w:tc>
                <w:tcPr>
                  <w:tcW w:w="1723" w:type="pct"/>
                  <w:vAlign w:val="center"/>
                </w:tcPr>
                <w:p w14:paraId="4975774A">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项目用水由园区自来水管网供给，不属于河道取水的污染类建设项目。</w:t>
                  </w:r>
                </w:p>
              </w:tc>
              <w:tc>
                <w:tcPr>
                  <w:tcW w:w="691" w:type="pct"/>
                  <w:vAlign w:val="center"/>
                </w:tcPr>
                <w:p w14:paraId="3A6E3996">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无须设置生态专项评价</w:t>
                  </w:r>
                </w:p>
              </w:tc>
            </w:tr>
            <w:tr w14:paraId="677DE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pct"/>
                  <w:vAlign w:val="center"/>
                </w:tcPr>
                <w:p w14:paraId="7985FBE6">
                  <w:pPr>
                    <w:autoSpaceDE w:val="0"/>
                    <w:autoSpaceDN w:val="0"/>
                    <w:adjustRightInd w:val="0"/>
                    <w:snapToGrid w:val="0"/>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海洋</w:t>
                  </w:r>
                </w:p>
              </w:tc>
              <w:tc>
                <w:tcPr>
                  <w:tcW w:w="1733" w:type="pct"/>
                  <w:vAlign w:val="center"/>
                </w:tcPr>
                <w:p w14:paraId="241D93BA">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直接向海排放污染物的海洋工程建设项目。</w:t>
                  </w:r>
                </w:p>
              </w:tc>
              <w:tc>
                <w:tcPr>
                  <w:tcW w:w="1723" w:type="pct"/>
                  <w:vAlign w:val="center"/>
                </w:tcPr>
                <w:p w14:paraId="1DB91313">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项目不属于</w:t>
                  </w:r>
                  <w:r>
                    <w:rPr>
                      <w:rFonts w:hint="eastAsia"/>
                      <w:color w:val="0D0D0D" w:themeColor="text1" w:themeTint="F2"/>
                      <w:kern w:val="0"/>
                      <w:szCs w:val="21"/>
                      <w14:textFill>
                        <w14:solidFill>
                          <w14:schemeClr w14:val="tx1">
                            <w14:lumMod w14:val="95000"/>
                            <w14:lumOff w14:val="5000"/>
                          </w14:schemeClr>
                        </w14:solidFill>
                      </w14:textFill>
                    </w:rPr>
                    <w:t>直接向海排放污染物的海洋工程建设项目。</w:t>
                  </w:r>
                </w:p>
              </w:tc>
              <w:tc>
                <w:tcPr>
                  <w:tcW w:w="691" w:type="pct"/>
                  <w:vAlign w:val="center"/>
                </w:tcPr>
                <w:p w14:paraId="601D84D6">
                  <w:pPr>
                    <w:autoSpaceDE w:val="0"/>
                    <w:autoSpaceDN w:val="0"/>
                    <w:adjustRightInd w:val="0"/>
                    <w:snapToGrid w:val="0"/>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无须设置海洋专项评价</w:t>
                  </w:r>
                </w:p>
              </w:tc>
            </w:tr>
            <w:tr w14:paraId="3FBA0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vAlign w:val="center"/>
                </w:tcPr>
                <w:p w14:paraId="6398218F">
                  <w:pPr>
                    <w:autoSpaceDE w:val="0"/>
                    <w:autoSpaceDN w:val="0"/>
                    <w:adjustRightInd w:val="0"/>
                    <w:snapToGrid w:val="0"/>
                    <w:spacing w:after="0" w:line="240" w:lineRule="auto"/>
                    <w:rPr>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注：</w:t>
                  </w:r>
                </w:p>
                <w:p w14:paraId="5E4C43BD">
                  <w:pPr>
                    <w:autoSpaceDE w:val="0"/>
                    <w:autoSpaceDN w:val="0"/>
                    <w:adjustRightInd w:val="0"/>
                    <w:snapToGrid w:val="0"/>
                    <w:spacing w:after="0" w:line="240" w:lineRule="auto"/>
                    <w:rPr>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（1）废气中有毒有害污染物指纳入《有毒有害大气污染物名录》的污染物（不包括无排放标准的污染物）。</w:t>
                  </w:r>
                </w:p>
                <w:p w14:paraId="2ECF8CDE">
                  <w:pPr>
                    <w:autoSpaceDE w:val="0"/>
                    <w:autoSpaceDN w:val="0"/>
                    <w:adjustRightInd w:val="0"/>
                    <w:snapToGrid w:val="0"/>
                    <w:spacing w:after="0" w:line="240" w:lineRule="auto"/>
                    <w:rPr>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（2）环境空气保护目标指自然保护区、风景名胜区、居住区、文化区和农村地区中人群较集中的区域。</w:t>
                  </w:r>
                </w:p>
                <w:p w14:paraId="6B5BE701">
                  <w:pPr>
                    <w:autoSpaceDE w:val="0"/>
                    <w:autoSpaceDN w:val="0"/>
                    <w:adjustRightInd w:val="0"/>
                    <w:snapToGrid w:val="0"/>
                    <w:spacing w:after="0" w:line="240" w:lineRule="auto"/>
                    <w:rPr>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（3）临界量及其计算方法可参考《建设项目环境风险评价技术导则》（HJ169）附录B、附录C。</w:t>
                  </w:r>
                </w:p>
              </w:tc>
            </w:tr>
          </w:tbl>
          <w:p w14:paraId="5DB9F698">
            <w:pPr>
              <w:autoSpaceDE w:val="0"/>
              <w:autoSpaceDN w:val="0"/>
              <w:adjustRightInd w:val="0"/>
              <w:snapToGrid w:val="0"/>
              <w:spacing w:after="0" w:line="360" w:lineRule="auto"/>
              <w:jc w:val="center"/>
              <w:rPr>
                <w:rFonts w:cs="宋体"/>
                <w:color w:val="0D0D0D" w:themeColor="text1" w:themeTint="F2"/>
                <w:kern w:val="0"/>
                <w:sz w:val="24"/>
                <w14:textFill>
                  <w14:solidFill>
                    <w14:schemeClr w14:val="tx1">
                      <w14:lumMod w14:val="95000"/>
                      <w14:lumOff w14:val="5000"/>
                    </w14:schemeClr>
                  </w14:solidFill>
                </w14:textFill>
              </w:rPr>
            </w:pPr>
          </w:p>
        </w:tc>
      </w:tr>
      <w:tr w14:paraId="7E81E1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1351" w:type="pct"/>
            <w:vAlign w:val="center"/>
          </w:tcPr>
          <w:p w14:paraId="2F863198">
            <w:pPr>
              <w:autoSpaceDE w:val="0"/>
              <w:autoSpaceDN w:val="0"/>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规划情况</w:t>
            </w:r>
          </w:p>
        </w:tc>
        <w:tc>
          <w:tcPr>
            <w:tcW w:w="3649" w:type="pct"/>
            <w:gridSpan w:val="3"/>
            <w:vAlign w:val="center"/>
          </w:tcPr>
          <w:p w14:paraId="4A295375">
            <w:pPr>
              <w:autoSpaceDE w:val="0"/>
              <w:autoSpaceDN w:val="0"/>
              <w:adjustRightInd w:val="0"/>
              <w:snapToGrid w:val="0"/>
              <w:spacing w:after="0"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（1）规划名称：《钦州港大榄坪物流加工区总体规划修编（2022-2035）》</w:t>
            </w:r>
          </w:p>
          <w:p w14:paraId="2E739508">
            <w:pPr>
              <w:autoSpaceDE w:val="0"/>
              <w:autoSpaceDN w:val="0"/>
              <w:adjustRightInd w:val="0"/>
              <w:snapToGrid w:val="0"/>
              <w:spacing w:after="0"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（2）审批机关：钦州市人民政府</w:t>
            </w:r>
          </w:p>
          <w:p w14:paraId="23293278">
            <w:pPr>
              <w:autoSpaceDE w:val="0"/>
              <w:autoSpaceDN w:val="0"/>
              <w:adjustRightInd w:val="0"/>
              <w:snapToGrid w:val="0"/>
              <w:spacing w:after="0"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（3）审批文件名称及文号：《钦州市人民政府办公室关于印发钦州港大榄坪物流加工区总体规划修编（2022-2035）的通知》（钦政办〔2023〕9号）</w:t>
            </w:r>
          </w:p>
        </w:tc>
      </w:tr>
      <w:tr w14:paraId="60CA6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351" w:type="pct"/>
            <w:vAlign w:val="center"/>
          </w:tcPr>
          <w:p w14:paraId="57C489F3">
            <w:pPr>
              <w:adjustRightInd w:val="0"/>
              <w:snapToGrid w:val="0"/>
              <w:spacing w:after="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规划环境影响</w:t>
            </w:r>
          </w:p>
          <w:p w14:paraId="29ED151B">
            <w:pPr>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评价情况</w:t>
            </w:r>
          </w:p>
        </w:tc>
        <w:tc>
          <w:tcPr>
            <w:tcW w:w="3649" w:type="pct"/>
            <w:gridSpan w:val="3"/>
            <w:vAlign w:val="center"/>
          </w:tcPr>
          <w:p w14:paraId="074F80E2">
            <w:pPr>
              <w:autoSpaceDE w:val="0"/>
              <w:autoSpaceDN w:val="0"/>
              <w:adjustRightInd w:val="0"/>
              <w:snapToGrid w:val="0"/>
              <w:spacing w:after="0"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（1）规划环评文件：《钦州港大榄坪物流加工区总体规划修编（2022-2035）环境影响报告书》</w:t>
            </w:r>
          </w:p>
          <w:p w14:paraId="101009F0">
            <w:pPr>
              <w:autoSpaceDE w:val="0"/>
              <w:autoSpaceDN w:val="0"/>
              <w:adjustRightInd w:val="0"/>
              <w:snapToGrid w:val="0"/>
              <w:spacing w:after="0"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（2）召集审查机关：钦州市生态环境局</w:t>
            </w:r>
          </w:p>
          <w:p w14:paraId="5259F9A1">
            <w:pPr>
              <w:autoSpaceDE w:val="0"/>
              <w:autoSpaceDN w:val="0"/>
              <w:adjustRightInd w:val="0"/>
              <w:snapToGrid w:val="0"/>
              <w:spacing w:after="0"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（3）审查文件名称及文号：《钦州市生态环境局关于&lt;钦州港大榄坪物流加工区总体规划修编（2022-2035）环境影响报告书&gt;审查意见的函》（钦环函〔2023〕107号）</w:t>
            </w:r>
          </w:p>
        </w:tc>
      </w:tr>
      <w:tr w14:paraId="6FE501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8" w:hRule="atLeast"/>
          <w:jc w:val="center"/>
        </w:trPr>
        <w:tc>
          <w:tcPr>
            <w:tcW w:w="1351" w:type="pct"/>
            <w:vAlign w:val="center"/>
          </w:tcPr>
          <w:p w14:paraId="50CD3ECF">
            <w:pPr>
              <w:autoSpaceDE w:val="0"/>
              <w:autoSpaceDN w:val="0"/>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规划及规划环境</w:t>
            </w:r>
          </w:p>
          <w:p w14:paraId="6CEF64E3">
            <w:pPr>
              <w:autoSpaceDE w:val="0"/>
              <w:autoSpaceDN w:val="0"/>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影响评价符合性分析</w:t>
            </w:r>
          </w:p>
        </w:tc>
        <w:tc>
          <w:tcPr>
            <w:tcW w:w="3649" w:type="pct"/>
            <w:gridSpan w:val="3"/>
            <w:vAlign w:val="center"/>
          </w:tcPr>
          <w:p w14:paraId="36FE4290">
            <w:pPr>
              <w:autoSpaceDE w:val="0"/>
              <w:autoSpaceDN w:val="0"/>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1.与园区规划相符性分析</w:t>
            </w:r>
          </w:p>
          <w:p w14:paraId="534C6FF1">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根据《钦州港大榄坪物流加工区总体规划修编（2022-2035）》，园区规划发展目标和规划布局如下：</w:t>
            </w:r>
          </w:p>
          <w:p w14:paraId="366F6464">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（1）规划发展目标</w:t>
            </w:r>
          </w:p>
          <w:p w14:paraId="6A6B231F">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钦州港大榄坪物流加工区战略定位为广西北部湾新兴的临港汽车、装备产业加工及新能源电池材料制造基地，面向东盟、服务大西南，具有多式联运功能的现代物流服务中心，面向东盟自贸区的规模化、现代化的商品展示、交易与信息发布中心。近期到2025年，加工区工业总产值实现532亿元；远期到2035年，工业总产值实现1056亿元。</w:t>
            </w:r>
          </w:p>
          <w:p w14:paraId="2B2F5173">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（2）规划布局</w:t>
            </w:r>
          </w:p>
          <w:p w14:paraId="515485EA">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空间布局上形成“两轴、两区”结构。“两轴”为保税港大街与陆海大道横向及纵向交通轴；“两区”为以保税港大街为界，南区为综合服务型物流园区，北区为综合加工区。</w:t>
            </w:r>
          </w:p>
          <w:p w14:paraId="32A23362">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规划北区形成以装备制造产业、新能源电池材料、新型材料产业为主的综合加工区。装备制造业区规划安排布置在二号路、滨海公路、陆海大道和金鸡大街包围地块，该区域用地面积371.73公顷，其中功能性用地（工矿用地1001）面积为225.32公顷，占60.61%，园区内部铁路专用线根据园区建设需求布置。新能源电池材料、新型材料产业区规划安排在滨海公路、三墩公路、保税港大街和陆海大道包围地块，该区域用地面积599.17公顷，其中功能性用地（工矿用地1001）面积为403.7公顷，占67.38%，园区内部铁路专用线根据园区建设需求布置。</w:t>
            </w:r>
          </w:p>
          <w:p w14:paraId="1399F41F">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规划南区形成国际著名物流企业区、港航物流企业区、商品交易现货市场、期货平台区域的综合服务型物流园区以及石油储备区。国际著名物流企业区规划安排在三墩公路以东、保税港大街以南为界，第九大街两侧地块，该区域用地面积158.30公顷，其中功能性用地（物流仓储用地1101）面积为106.19公顷，占67.08%，园区内部铁路专用线根据园区建设需求布置。港航物流企业区规划安排在三墩公路、钦州综合保税区东边界道路、陆海大道、第十一大街和第十大街包围地块，该区域用地面积251.29公顷，其中功能性用地（物流仓储用地1101）面积为68.24公顷，占27.16%。商品交易现货市场和期货平台区域规划安排在二号路、保税港大街、陆海大道和金鸡大街包围地块，区域用地面积232.27公顷，其中功能性用地（物流仓储用地1101）面积为132.20公顷，占56.92%。石油储备区规划安排在第十一大街南部区域，石油储备区用地面积223.46公顷，其中功能性用地（仓储物流用地W）面积为196.13公顷，占75.69%。</w:t>
            </w:r>
          </w:p>
          <w:p w14:paraId="1437019C">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临时选址于钦州市中国（广西）自由贸易试验区钦州港片区钦州港大榄坪力顺项目东侧、金鸡大街北侧、大榄坪三号路西侧区域，属于规划中的装备制造产业区，用地类型为二类工业用地。项目主要服务于广西石化CC项目库区主体工程一、三标段集中防腐等业务，属于园区石油储备区主导产业的配套环节，且项目已取得中马钦州产业园自然资源局出具的选址意见（附件3），原则同意项目临时选址，当规划建设需要时，需无条件按照规划要求整改并恢复原貌。</w:t>
            </w:r>
          </w:p>
          <w:p w14:paraId="1D4587EE">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综上，项目建设符合《钦州港大榄坪物流加工区总体规划修编（2022-2035）》相关要求。</w:t>
            </w:r>
          </w:p>
          <w:p w14:paraId="0F7C692A">
            <w:pPr>
              <w:autoSpaceDE w:val="0"/>
              <w:autoSpaceDN w:val="0"/>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2.与园区规划环评及其审查意见相符性分析</w:t>
            </w:r>
          </w:p>
          <w:p w14:paraId="32DB3079">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与《钦州港大榄坪物流加工区总体规划修编（2022-2035）环境影响报告书》相符性分析详见表1-2，与《钦州市生态环境局关于&lt;钦州港大榄坪物流加工区总体规划修编（2022-2035）环境影响报告书&gt;审查意见的函》（钦环函〔2023〕107号）相符性分析详见表1-3。</w:t>
            </w:r>
          </w:p>
          <w:p w14:paraId="1DDF5EFC">
            <w:pPr>
              <w:spacing w:after="0"/>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表1-2  与规划环评相符性分析一览表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534"/>
              <w:gridCol w:w="490"/>
              <w:gridCol w:w="2385"/>
              <w:gridCol w:w="2340"/>
              <w:gridCol w:w="466"/>
            </w:tblGrid>
            <w:tr w14:paraId="4CB8B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Align w:val="center"/>
                </w:tcPr>
                <w:p w14:paraId="1D4BB8E6">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序号</w:t>
                  </w:r>
                </w:p>
              </w:tc>
              <w:tc>
                <w:tcPr>
                  <w:tcW w:w="2553" w:type="pct"/>
                  <w:gridSpan w:val="3"/>
                  <w:vAlign w:val="center"/>
                </w:tcPr>
                <w:p w14:paraId="7D0110BD">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规划环评要求</w:t>
                  </w:r>
                </w:p>
              </w:tc>
              <w:tc>
                <w:tcPr>
                  <w:tcW w:w="1752" w:type="pct"/>
                  <w:vAlign w:val="center"/>
                </w:tcPr>
                <w:p w14:paraId="2CEC23EA">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项目情况</w:t>
                  </w:r>
                </w:p>
              </w:tc>
              <w:tc>
                <w:tcPr>
                  <w:tcW w:w="349" w:type="pct"/>
                  <w:vAlign w:val="center"/>
                </w:tcPr>
                <w:p w14:paraId="7A2A8838">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相符性</w:t>
                  </w:r>
                </w:p>
              </w:tc>
            </w:tr>
            <w:tr w14:paraId="3ABFA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Align w:val="center"/>
                </w:tcPr>
                <w:p w14:paraId="66A05EA5">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w:t>
                  </w:r>
                </w:p>
              </w:tc>
              <w:tc>
                <w:tcPr>
                  <w:tcW w:w="767" w:type="pct"/>
                  <w:gridSpan w:val="2"/>
                  <w:vAlign w:val="center"/>
                </w:tcPr>
                <w:p w14:paraId="315BC77E">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用地</w:t>
                  </w:r>
                </w:p>
                <w:p w14:paraId="290107AA">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规划</w:t>
                  </w:r>
                </w:p>
              </w:tc>
              <w:tc>
                <w:tcPr>
                  <w:tcW w:w="1786" w:type="pct"/>
                  <w:vAlign w:val="center"/>
                </w:tcPr>
                <w:p w14:paraId="278FC4E6">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园区土地利用划分为仓储用地、工矿用地、交通运输用地、绿地与开敞空间用地、公用设施用地、区域交通设施用地等。</w:t>
                  </w:r>
                </w:p>
              </w:tc>
              <w:tc>
                <w:tcPr>
                  <w:tcW w:w="1752" w:type="pct"/>
                  <w:vAlign w:val="center"/>
                </w:tcPr>
                <w:p w14:paraId="5181719D">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项目用地为二类工业用地，符合园区土地利用规划。</w:t>
                  </w:r>
                </w:p>
              </w:tc>
              <w:tc>
                <w:tcPr>
                  <w:tcW w:w="349" w:type="pct"/>
                  <w:vAlign w:val="center"/>
                </w:tcPr>
                <w:p w14:paraId="6DF06781">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0C639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Align w:val="center"/>
                </w:tcPr>
                <w:p w14:paraId="6578091E">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w:t>
                  </w:r>
                </w:p>
              </w:tc>
              <w:tc>
                <w:tcPr>
                  <w:tcW w:w="767" w:type="pct"/>
                  <w:gridSpan w:val="2"/>
                  <w:vAlign w:val="center"/>
                </w:tcPr>
                <w:p w14:paraId="49029F9C">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主导</w:t>
                  </w:r>
                </w:p>
                <w:p w14:paraId="04B20A1A">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产业</w:t>
                  </w:r>
                </w:p>
              </w:tc>
              <w:tc>
                <w:tcPr>
                  <w:tcW w:w="1786" w:type="pct"/>
                  <w:vAlign w:val="center"/>
                </w:tcPr>
                <w:p w14:paraId="3D3A4689">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加工区依托“临港”交通区位优势，推动港产城融合，以临港汽车、装备产业加工及新能源材料制造等为主导产业。</w:t>
                  </w:r>
                </w:p>
                <w:p w14:paraId="7FB0CD5B">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（1）汽车产业：加工区围绕吸引整车组装厂为核心构建针对满足需求的汽车制造产业基础，打造面向东盟的新能源汽车整车制造、零部件、充电设施为一体的产业集群。</w:t>
                  </w:r>
                </w:p>
                <w:p w14:paraId="3CC32939">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（2）装备加工产业：本次规划装备制造业涉及通用设备制造、专用设备制造、电气机械和器材制造三大门类。主要选择通用零部件、农用机械、建筑与工程机械、电力设备等门类作为发展方向。</w:t>
                  </w:r>
                </w:p>
                <w:p w14:paraId="261151A4">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3）新能源材料产业：新能源材料产业涉及到有色金属冶炼（镍钴冶炼）、电子元件及专用材料制造等，主要选择金属镍溶解处置线和金属钴溶解、高冰镍、硫酸镍、硫酸钴、三元前驱体、电解镍生产等作为发展方向。</w:t>
                  </w:r>
                </w:p>
                <w:p w14:paraId="0175C391">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4）物流产业：依托深水港口、保税港区政策，建立以国际物流为主导，商务服务相配套的现代港口物流产业体系。重点发展集装箱堆存、拆拼、转运、综合处理等系列服务；根据港口发展适度发展其他件杂货种的仓储业务。</w:t>
                  </w:r>
                </w:p>
              </w:tc>
              <w:tc>
                <w:tcPr>
                  <w:tcW w:w="1752" w:type="pct"/>
                  <w:vAlign w:val="center"/>
                </w:tcPr>
                <w:p w14:paraId="1DDC53FD">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位于装备制造产业区，主要服务于广西石化CC项目库区主体工程一、三标段集中防腐等业务，属于园区石油储备区主导产业的配套环节，且项目已取得中马钦州产业园自然资源局出具的选址意见，原则同意项目临时选址，当规划建设需要时，需无条件按照规划要求整改并恢复原貌。</w:t>
                  </w:r>
                </w:p>
              </w:tc>
              <w:tc>
                <w:tcPr>
                  <w:tcW w:w="349" w:type="pct"/>
                  <w:vAlign w:val="center"/>
                </w:tcPr>
                <w:p w14:paraId="288EE13C">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07CE4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restart"/>
                  <w:vAlign w:val="center"/>
                </w:tcPr>
                <w:p w14:paraId="636551A8">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3</w:t>
                  </w:r>
                </w:p>
              </w:tc>
              <w:tc>
                <w:tcPr>
                  <w:tcW w:w="400" w:type="pct"/>
                  <w:vMerge w:val="restart"/>
                  <w:vAlign w:val="center"/>
                </w:tcPr>
                <w:p w14:paraId="40FA85D1">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重点管控区域行业环境准入清单</w:t>
                  </w:r>
                </w:p>
              </w:tc>
              <w:tc>
                <w:tcPr>
                  <w:tcW w:w="367" w:type="pct"/>
                  <w:vAlign w:val="center"/>
                </w:tcPr>
                <w:p w14:paraId="65EC74BF">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空间布局约束</w:t>
                  </w:r>
                </w:p>
              </w:tc>
              <w:tc>
                <w:tcPr>
                  <w:tcW w:w="1786" w:type="pct"/>
                  <w:vAlign w:val="center"/>
                </w:tcPr>
                <w:p w14:paraId="3B47AAB7">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（1）应按规划功能组团布局相应产业，入驻企业的选址须符合相应的行业准入条件和防护距离要求，企业的厂区布局设计要严格遵守《建筑设计防火规范》等相关规定，充分考虑总图布置在环保方面合理性。</w:t>
                  </w:r>
                </w:p>
                <w:p w14:paraId="476CF477">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（2）村屯用地周边严控布局潜在污染和环境风险突出的建设项目。</w:t>
                  </w:r>
                </w:p>
                <w:p w14:paraId="39EB45B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（3）入园项目应符合园区产业定位，符合《广西生态保护正面清单》（2022）和《广西生态保护禁止事项清单（2022）》中的要求。</w:t>
                  </w:r>
                </w:p>
                <w:p w14:paraId="11DF023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4）入驻企业应符合国家和行业环境保护标准、清洁生产标准和行业准入条件要求，符合国家产业政策、区域规划及政策要求，建设规模应符合国家产业政策的最小经济规模要求。禁止建设国家现行产业政策明令限制、禁止或淘汰的项目、落后生产工艺或设备、落后生产能力项目，禁止建设不符合园区规划产业定位或与产业链条无关联的项目。</w:t>
                  </w:r>
                </w:p>
                <w:p w14:paraId="33656F78">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（5）有行业标准的，企业清洁生产水平至少达到国内领先水平。</w:t>
                  </w:r>
                </w:p>
                <w:p w14:paraId="557226D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（6）危险化学品的仓储条件必须满足《危险化学品经营企业安全技术基本要求》（GB18265-2019）要求。</w:t>
                  </w:r>
                </w:p>
                <w:p w14:paraId="17499EB7">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（7）入驻企业执行排污许可证制度，合理确定排污单位污染物排放种类、浓度、许可排放量等要求。</w:t>
                  </w:r>
                </w:p>
                <w:p w14:paraId="7E5A8F52">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8）加工区围填海历史遗留问题应根据《国务院关于加强滨海湿地保护严格管控围填海的通知》（国发〔2018〕24号）的有关规定，严格限制围填海用于房地产开发、低水平重复建设旅游休闲娱乐项目及污染海洋生态环境的项目，对入驻的项目，按照法定审批权限依法办理用海手续。</w:t>
                  </w:r>
                </w:p>
              </w:tc>
              <w:tc>
                <w:tcPr>
                  <w:tcW w:w="1752" w:type="pct"/>
                  <w:vAlign w:val="center"/>
                </w:tcPr>
                <w:p w14:paraId="73392982">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建设符合国家和地方产业政策要求，主要服务于广西石化CC项目库区主体工程一、三标段集中防腐等业务，属于园区石油储备区主导产业的配套环节，且项目已取得中马钦州产业园自然资源局出具的选址意见，原则同意项目临时选址，当规划建设需要时，需无条件按照规划要求整改并恢复原貌。项目所属行业无行业清洁生产标准，运营后实施排污许可登记管理。</w:t>
                  </w:r>
                </w:p>
              </w:tc>
              <w:tc>
                <w:tcPr>
                  <w:tcW w:w="349" w:type="pct"/>
                  <w:vAlign w:val="center"/>
                </w:tcPr>
                <w:p w14:paraId="72FA4FA4">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37E70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continue"/>
                  <w:vAlign w:val="center"/>
                </w:tcPr>
                <w:p w14:paraId="1013B1AE">
                  <w:pPr>
                    <w:spacing w:after="0"/>
                    <w:jc w:val="center"/>
                    <w:rPr>
                      <w:color w:val="0D0D0D" w:themeColor="text1" w:themeTint="F2"/>
                      <w14:textFill>
                        <w14:solidFill>
                          <w14:schemeClr w14:val="tx1">
                            <w14:lumMod w14:val="95000"/>
                            <w14:lumOff w14:val="5000"/>
                          </w14:schemeClr>
                        </w14:solidFill>
                      </w14:textFill>
                    </w:rPr>
                  </w:pPr>
                </w:p>
              </w:tc>
              <w:tc>
                <w:tcPr>
                  <w:tcW w:w="400" w:type="pct"/>
                  <w:vMerge w:val="continue"/>
                  <w:vAlign w:val="center"/>
                </w:tcPr>
                <w:p w14:paraId="5E942A17">
                  <w:pPr>
                    <w:spacing w:after="0"/>
                    <w:jc w:val="center"/>
                    <w:rPr>
                      <w:color w:val="0D0D0D" w:themeColor="text1" w:themeTint="F2"/>
                      <w14:textFill>
                        <w14:solidFill>
                          <w14:schemeClr w14:val="tx1">
                            <w14:lumMod w14:val="95000"/>
                            <w14:lumOff w14:val="5000"/>
                          </w14:schemeClr>
                        </w14:solidFill>
                      </w14:textFill>
                    </w:rPr>
                  </w:pPr>
                </w:p>
              </w:tc>
              <w:tc>
                <w:tcPr>
                  <w:tcW w:w="367" w:type="pct"/>
                  <w:vAlign w:val="center"/>
                </w:tcPr>
                <w:p w14:paraId="751F91F0">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污染物排放管控</w:t>
                  </w:r>
                </w:p>
              </w:tc>
              <w:tc>
                <w:tcPr>
                  <w:tcW w:w="1786" w:type="pct"/>
                  <w:vAlign w:val="center"/>
                </w:tcPr>
                <w:p w14:paraId="572E9F5E">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（1）大气污染物总量控制：近期NOx为304.41t/a，VOCs为5.45t/a，远期NOx为490.34t/a，VOCs为303.31t/a。</w:t>
                  </w:r>
                </w:p>
                <w:p w14:paraId="32A4CAAA">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废水污染物总量控制：近期：COD为912.5t/a，NH</w:t>
                  </w:r>
                  <w:r>
                    <w:rPr>
                      <w:rFonts w:hint="eastAsia"/>
                      <w:color w:val="0D0D0D" w:themeColor="text1" w:themeTint="F2"/>
                      <w:vertAlign w:val="subscript"/>
                      <w14:textFill>
                        <w14:solidFill>
                          <w14:schemeClr w14:val="tx1">
                            <w14:lumMod w14:val="95000"/>
                            <w14:lumOff w14:val="5000"/>
                          </w14:schemeClr>
                        </w14:solidFill>
                      </w14:textFill>
                    </w:rPr>
                    <w:t>3</w:t>
                  </w:r>
                  <w:r>
                    <w:rPr>
                      <w:rFonts w:hint="eastAsia"/>
                      <w:color w:val="0D0D0D" w:themeColor="text1" w:themeTint="F2"/>
                      <w14:textFill>
                        <w14:solidFill>
                          <w14:schemeClr w14:val="tx1">
                            <w14:lumMod w14:val="95000"/>
                            <w14:lumOff w14:val="5000"/>
                          </w14:schemeClr>
                        </w14:solidFill>
                      </w14:textFill>
                    </w:rPr>
                    <w:t>-N为91.25t/a；远期COD为4562.50t/a，NH</w:t>
                  </w:r>
                  <w:r>
                    <w:rPr>
                      <w:rFonts w:hint="eastAsia"/>
                      <w:color w:val="0D0D0D" w:themeColor="text1" w:themeTint="F2"/>
                      <w:vertAlign w:val="subscript"/>
                      <w14:textFill>
                        <w14:solidFill>
                          <w14:schemeClr w14:val="tx1">
                            <w14:lumMod w14:val="95000"/>
                            <w14:lumOff w14:val="5000"/>
                          </w14:schemeClr>
                        </w14:solidFill>
                      </w14:textFill>
                    </w:rPr>
                    <w:t>3</w:t>
                  </w:r>
                  <w:r>
                    <w:rPr>
                      <w:rFonts w:hint="eastAsia"/>
                      <w:color w:val="0D0D0D" w:themeColor="text1" w:themeTint="F2"/>
                      <w14:textFill>
                        <w14:solidFill>
                          <w14:schemeClr w14:val="tx1">
                            <w14:lumMod w14:val="95000"/>
                            <w14:lumOff w14:val="5000"/>
                          </w14:schemeClr>
                        </w14:solidFill>
                      </w14:textFill>
                    </w:rPr>
                    <w:t>-N为456.25t/a。</w:t>
                  </w:r>
                </w:p>
                <w:p w14:paraId="76FFBCB6">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（2）建设项目污染物排放应符合园区的总量控制要求，确保污染物达标排放，不造成区域环境质量降级。</w:t>
                  </w:r>
                </w:p>
                <w:p w14:paraId="4BF793F8">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3）新建“两高”项目应按照《关于加强重点行业建设项目区域削减措施监督管理的通知》要求，依据区域环境质量改善目标，制定配套区域污染物削减方案，采取有效的污染物区域削减措施，腾出足够的环境容量。</w:t>
                  </w:r>
                </w:p>
                <w:p w14:paraId="73F462B0">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（4）新建、扩建、改建涉及重点重金属排放建设项目依照相关规定实行总量控制。</w:t>
                  </w:r>
                </w:p>
                <w:p w14:paraId="017AF2BA">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5）加强园区挥发性有机物排放企业精细化管控，无组织废气排放控制以及高效收集和治污设施建设，大力提升挥发性有机物排放收集率、去除率和治理设施运行率，严格控制挥发性有机污染物排放。采用全密闭、连续化、自动化等生产技术以及高效工艺与设备等，减少工艺过程无组织排放。</w:t>
                  </w:r>
                </w:p>
                <w:p w14:paraId="64BE758D">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（5）推进园区污水处理厂升级改造，实行“清污分流、雨污分流”，实现废水分类收集、分质处理，入园企业应在达到纳管标准后接入污水处理厂处理。</w:t>
                  </w:r>
                </w:p>
                <w:p w14:paraId="79B093F6">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（7）入园建设项目主要污染物排放应控制在区域环境承载能力范围内，并确保完成下达的主要污染物排放总量削减的约束性任务，保障环境质量达标。</w:t>
                  </w:r>
                </w:p>
                <w:p w14:paraId="062945B3">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（8）园区污水处理厂执行《城镇污水处理厂污染物排放标准》（GB18918-2002）一级标准A标准。园区污水处理厂要保障出水水质稳定达标排放。</w:t>
                  </w:r>
                </w:p>
                <w:p w14:paraId="786384EB">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（9）提升危险废物处置和利用能力，推动工业固体废物依法纳入排污许可管理，禁止进口洋垃圾，严厉打击涉固体废物环境违法行为。</w:t>
                  </w:r>
                </w:p>
              </w:tc>
              <w:tc>
                <w:tcPr>
                  <w:tcW w:w="1752" w:type="pct"/>
                  <w:vAlign w:val="center"/>
                </w:tcPr>
                <w:p w14:paraId="1CEF219C">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根据《广西生态环境保护“十四五”规划》，项目挥发性有机废气需执行总量控制（本次评价以非甲烷总烃计），申请指标为1.47t/a，不突破园区303.31t/a的控制指标。</w:t>
                  </w: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满足《污水综合排放标准》（GB8978-1996）三级标准和钦州市大榄坪污水处理厂纳管要求较严值后使用吸污车清运至钦州市大榄坪污水处理厂进一步处理，外排污水已纳入钦州市大榄坪污水处理厂总量控制指标中；</w:t>
                  </w:r>
                  <w:r>
                    <w:rPr>
                      <w:rFonts w:hint="eastAsia"/>
                      <w:color w:val="0D0D0D" w:themeColor="text1" w:themeTint="F2"/>
                      <w:szCs w:val="21"/>
                      <w:u w:val="single"/>
                      <w14:textFill>
                        <w14:solidFill>
                          <w14:schemeClr w14:val="tx1">
                            <w14:lumMod w14:val="95000"/>
                            <w14:lumOff w14:val="5000"/>
                          </w14:schemeClr>
                        </w14:solidFill>
                      </w14:textFill>
                    </w:rPr>
                    <w:t>初期雨水池、三级化粪池</w:t>
                  </w:r>
                  <w:r>
                    <w:rPr>
                      <w:rFonts w:hint="eastAsia"/>
                      <w:color w:val="0D0D0D" w:themeColor="text1" w:themeTint="F2"/>
                      <w:szCs w:val="21"/>
                      <w14:textFill>
                        <w14:solidFill>
                          <w14:schemeClr w14:val="tx1">
                            <w14:lumMod w14:val="95000"/>
                            <w14:lumOff w14:val="5000"/>
                          </w14:schemeClr>
                        </w14:solidFill>
                      </w14:textFill>
                    </w:rPr>
                    <w:t>等严格落实分区防渗措施，确保不对地下水和土壤环境造成污染。项目不涉及重点重金属，不属于“两高”行业；危险废物暂存于危废暂存间并委托有资质单位清运处置。</w:t>
                  </w:r>
                </w:p>
              </w:tc>
              <w:tc>
                <w:tcPr>
                  <w:tcW w:w="349" w:type="pct"/>
                  <w:vAlign w:val="center"/>
                </w:tcPr>
                <w:p w14:paraId="1CE9296D">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0D789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continue"/>
                  <w:vAlign w:val="center"/>
                </w:tcPr>
                <w:p w14:paraId="34F41649">
                  <w:pPr>
                    <w:spacing w:after="0"/>
                    <w:jc w:val="center"/>
                    <w:rPr>
                      <w:color w:val="0D0D0D" w:themeColor="text1" w:themeTint="F2"/>
                      <w14:textFill>
                        <w14:solidFill>
                          <w14:schemeClr w14:val="tx1">
                            <w14:lumMod w14:val="95000"/>
                            <w14:lumOff w14:val="5000"/>
                          </w14:schemeClr>
                        </w14:solidFill>
                      </w14:textFill>
                    </w:rPr>
                  </w:pPr>
                </w:p>
              </w:tc>
              <w:tc>
                <w:tcPr>
                  <w:tcW w:w="400" w:type="pct"/>
                  <w:vMerge w:val="continue"/>
                  <w:vAlign w:val="center"/>
                </w:tcPr>
                <w:p w14:paraId="1307C30B">
                  <w:pPr>
                    <w:spacing w:after="0"/>
                    <w:jc w:val="center"/>
                    <w:rPr>
                      <w:color w:val="0D0D0D" w:themeColor="text1" w:themeTint="F2"/>
                      <w14:textFill>
                        <w14:solidFill>
                          <w14:schemeClr w14:val="tx1">
                            <w14:lumMod w14:val="95000"/>
                            <w14:lumOff w14:val="5000"/>
                          </w14:schemeClr>
                        </w14:solidFill>
                      </w14:textFill>
                    </w:rPr>
                  </w:pPr>
                </w:p>
              </w:tc>
              <w:tc>
                <w:tcPr>
                  <w:tcW w:w="367" w:type="pct"/>
                  <w:vAlign w:val="center"/>
                </w:tcPr>
                <w:p w14:paraId="2BD22C47">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环境风险管控</w:t>
                  </w:r>
                </w:p>
              </w:tc>
              <w:tc>
                <w:tcPr>
                  <w:tcW w:w="1786" w:type="pct"/>
                  <w:vAlign w:val="center"/>
                </w:tcPr>
                <w:p w14:paraId="38F96ADF">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建立污染源头、过程处理和最终排放的“三级防控”机制，开展环境风险评估，制定突发环境事件应急预案并备案，配备应急能力和物资，建设环境应急队伍，并定期演练。企业、园区与地方人民政府环境应急预案应当有机衔接。</w:t>
                  </w:r>
                </w:p>
                <w:p w14:paraId="5385C700">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涉及重大危险源的，需要建设危险化学品安全生产风险监测预警系统，以安全生产许可作为其前置条件。建立健全有毒有害化学物质环境管理制度，开展新污染物筛查、评估，推行重点行业重点化学物质生产使用信息调查和环境危害评估，识别有毒有害化学物质，建立新污染物清单。</w:t>
                  </w:r>
                </w:p>
                <w:p w14:paraId="4E302A9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（3）园区应设立事故应急池，防止事故状态下园区废水污染海洋环境，威胁海洋安全。</w:t>
                  </w:r>
                </w:p>
                <w:p w14:paraId="28DF73D2">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（4）园区应积极参与区域污染联防联控，逐步建立一体化的综合防治体系。</w:t>
                  </w:r>
                </w:p>
                <w:p w14:paraId="1F6B0E44">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5）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p w14:paraId="690F0B69">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（6）涉重企业要采用新技术、新工艺，实现全面达标排放。坚决淘汰不符合国家产业政策的落后生产工艺装备。</w:t>
                  </w:r>
                </w:p>
                <w:p w14:paraId="0135AAA4">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（7）开展环境风险评估，制定突发环境事件应急预案并备案，配备应急能力和物资，建设环境应急队伍，并定期演练。企业、园区与地方人民政府环境应急预案应当有机衔接。</w:t>
                  </w:r>
                </w:p>
              </w:tc>
              <w:tc>
                <w:tcPr>
                  <w:tcW w:w="1752" w:type="pct"/>
                  <w:vAlign w:val="center"/>
                </w:tcPr>
                <w:p w14:paraId="02E013D9">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项目后期编制突发环境事件应急预案，并按要求备案，不涉及重大危险源，不属于土壤污染重点监管单位和涉重企业。</w:t>
                  </w:r>
                </w:p>
              </w:tc>
              <w:tc>
                <w:tcPr>
                  <w:tcW w:w="349" w:type="pct"/>
                  <w:vAlign w:val="center"/>
                </w:tcPr>
                <w:p w14:paraId="69661D22">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5D7C0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restart"/>
                  <w:vAlign w:val="center"/>
                </w:tcPr>
                <w:p w14:paraId="66D09B41">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4</w:t>
                  </w:r>
                </w:p>
              </w:tc>
              <w:tc>
                <w:tcPr>
                  <w:tcW w:w="767" w:type="pct"/>
                  <w:gridSpan w:val="2"/>
                  <w:vMerge w:val="restart"/>
                  <w:vAlign w:val="center"/>
                </w:tcPr>
                <w:p w14:paraId="6BE0F01E">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污染防治措施</w:t>
                  </w:r>
                </w:p>
              </w:tc>
              <w:tc>
                <w:tcPr>
                  <w:tcW w:w="1786" w:type="pct"/>
                  <w:vAlign w:val="center"/>
                </w:tcPr>
                <w:p w14:paraId="2F689121">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大气环境保护对策与主要环境减缓措施：严格节能环保准入，优化产业空间布局；加快企业技术改造，提高科技创新能力；健全法律法规体系，严格依法监督管理；强化大气污染治理措施；严格执行大气污染物总量控制计划；行业挥发性有机物控制措施。</w:t>
                  </w:r>
                </w:p>
              </w:tc>
              <w:tc>
                <w:tcPr>
                  <w:tcW w:w="1752" w:type="pct"/>
                  <w:vAlign w:val="center"/>
                </w:tcPr>
                <w:p w14:paraId="59947DE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切割粉尘和焊接烟尘经配套的移动式烟尘净化器处理后无组织排放；抛丸粉尘分别经设备自带的滤筒除尘器处理后通过20m排气筒（DA001和DA002）排放；喷漆废气（漆雾和有机废气）密闭负压收集至“水帘柜+过滤棉+1＃二级活性炭吸附装置”处理后通过20m排气筒（DA003）排放；危废暂存间废气密闭负压收集至2＃二级活性炭吸附装置处理后通过20m排气筒（DA004）排放。</w:t>
                  </w:r>
                </w:p>
              </w:tc>
              <w:tc>
                <w:tcPr>
                  <w:tcW w:w="349" w:type="pct"/>
                  <w:vAlign w:val="center"/>
                </w:tcPr>
                <w:p w14:paraId="30AFA5E5">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340AF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continue"/>
                  <w:vAlign w:val="center"/>
                </w:tcPr>
                <w:p w14:paraId="7B7A8587">
                  <w:pPr>
                    <w:spacing w:after="0"/>
                    <w:jc w:val="center"/>
                    <w:rPr>
                      <w:color w:val="0D0D0D" w:themeColor="text1" w:themeTint="F2"/>
                      <w14:textFill>
                        <w14:solidFill>
                          <w14:schemeClr w14:val="tx1">
                            <w14:lumMod w14:val="95000"/>
                            <w14:lumOff w14:val="5000"/>
                          </w14:schemeClr>
                        </w14:solidFill>
                      </w14:textFill>
                    </w:rPr>
                  </w:pPr>
                </w:p>
              </w:tc>
              <w:tc>
                <w:tcPr>
                  <w:tcW w:w="767" w:type="pct"/>
                  <w:gridSpan w:val="2"/>
                  <w:vMerge w:val="continue"/>
                  <w:vAlign w:val="center"/>
                </w:tcPr>
                <w:p w14:paraId="266174DF">
                  <w:pPr>
                    <w:spacing w:after="0"/>
                    <w:rPr>
                      <w:color w:val="0D0D0D" w:themeColor="text1" w:themeTint="F2"/>
                      <w14:textFill>
                        <w14:solidFill>
                          <w14:schemeClr w14:val="tx1">
                            <w14:lumMod w14:val="95000"/>
                            <w14:lumOff w14:val="5000"/>
                          </w14:schemeClr>
                        </w14:solidFill>
                      </w14:textFill>
                    </w:rPr>
                  </w:pPr>
                </w:p>
              </w:tc>
              <w:tc>
                <w:tcPr>
                  <w:tcW w:w="1786" w:type="pct"/>
                  <w:vAlign w:val="center"/>
                </w:tcPr>
                <w:p w14:paraId="03CD46FD">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地表水环境保护对策与主要环境减缓措施：加工区采用雨污分流、清污分流的排水体制。根据《广西入河入海排污口监督管理工作方案（2022-2025年）》：对工业及其他各类园区或开发区内企业的排污口，应尽可能清理合并，污水由园区或开发区污水集中处理设施统一集中处理。园区废水统一排入大榄坪污水处理厂集中处理。</w:t>
                  </w:r>
                </w:p>
              </w:tc>
              <w:tc>
                <w:tcPr>
                  <w:tcW w:w="1752" w:type="pct"/>
                  <w:vAlign w:val="center"/>
                </w:tcPr>
                <w:p w14:paraId="7528FF52">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p>
              </w:tc>
              <w:tc>
                <w:tcPr>
                  <w:tcW w:w="349" w:type="pct"/>
                  <w:vAlign w:val="center"/>
                </w:tcPr>
                <w:p w14:paraId="40D7DB75">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36168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continue"/>
                  <w:vAlign w:val="center"/>
                </w:tcPr>
                <w:p w14:paraId="247D3BC3">
                  <w:pPr>
                    <w:spacing w:after="0"/>
                    <w:jc w:val="center"/>
                    <w:rPr>
                      <w:color w:val="0D0D0D" w:themeColor="text1" w:themeTint="F2"/>
                      <w14:textFill>
                        <w14:solidFill>
                          <w14:schemeClr w14:val="tx1">
                            <w14:lumMod w14:val="95000"/>
                            <w14:lumOff w14:val="5000"/>
                          </w14:schemeClr>
                        </w14:solidFill>
                      </w14:textFill>
                    </w:rPr>
                  </w:pPr>
                </w:p>
              </w:tc>
              <w:tc>
                <w:tcPr>
                  <w:tcW w:w="767" w:type="pct"/>
                  <w:gridSpan w:val="2"/>
                  <w:vMerge w:val="continue"/>
                  <w:vAlign w:val="center"/>
                </w:tcPr>
                <w:p w14:paraId="736A6700">
                  <w:pPr>
                    <w:spacing w:after="0"/>
                    <w:rPr>
                      <w:color w:val="0D0D0D" w:themeColor="text1" w:themeTint="F2"/>
                      <w14:textFill>
                        <w14:solidFill>
                          <w14:schemeClr w14:val="tx1">
                            <w14:lumMod w14:val="95000"/>
                            <w14:lumOff w14:val="5000"/>
                          </w14:schemeClr>
                        </w14:solidFill>
                      </w14:textFill>
                    </w:rPr>
                  </w:pPr>
                </w:p>
              </w:tc>
              <w:tc>
                <w:tcPr>
                  <w:tcW w:w="1786" w:type="pct"/>
                  <w:vAlign w:val="center"/>
                </w:tcPr>
                <w:p w14:paraId="53FE6FE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地下水环境污染防治措施：规划区入驻的项目用水均不取用地下水。源头控制措施，分区防治措施，地下水污染监控，风险事故应急响应，入园企业严格执行地下水防渗要求。</w:t>
                  </w:r>
                </w:p>
              </w:tc>
              <w:tc>
                <w:tcPr>
                  <w:tcW w:w="1752" w:type="pct"/>
                  <w:vAlign w:val="center"/>
                </w:tcPr>
                <w:p w14:paraId="63189390">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项目厂区采取分区防渗措施。</w:t>
                  </w:r>
                </w:p>
              </w:tc>
              <w:tc>
                <w:tcPr>
                  <w:tcW w:w="349" w:type="pct"/>
                  <w:vAlign w:val="center"/>
                </w:tcPr>
                <w:p w14:paraId="40E1EB8E">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5B0CA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continue"/>
                  <w:vAlign w:val="center"/>
                </w:tcPr>
                <w:p w14:paraId="18D960CE">
                  <w:pPr>
                    <w:spacing w:after="0"/>
                    <w:jc w:val="center"/>
                    <w:rPr>
                      <w:color w:val="0D0D0D" w:themeColor="text1" w:themeTint="F2"/>
                      <w14:textFill>
                        <w14:solidFill>
                          <w14:schemeClr w14:val="tx1">
                            <w14:lumMod w14:val="95000"/>
                            <w14:lumOff w14:val="5000"/>
                          </w14:schemeClr>
                        </w14:solidFill>
                      </w14:textFill>
                    </w:rPr>
                  </w:pPr>
                </w:p>
              </w:tc>
              <w:tc>
                <w:tcPr>
                  <w:tcW w:w="767" w:type="pct"/>
                  <w:gridSpan w:val="2"/>
                  <w:vMerge w:val="continue"/>
                  <w:vAlign w:val="center"/>
                </w:tcPr>
                <w:p w14:paraId="666389FD">
                  <w:pPr>
                    <w:spacing w:after="0"/>
                    <w:rPr>
                      <w:color w:val="0D0D0D" w:themeColor="text1" w:themeTint="F2"/>
                      <w14:textFill>
                        <w14:solidFill>
                          <w14:schemeClr w14:val="tx1">
                            <w14:lumMod w14:val="95000"/>
                            <w14:lumOff w14:val="5000"/>
                          </w14:schemeClr>
                        </w14:solidFill>
                      </w14:textFill>
                    </w:rPr>
                  </w:pPr>
                </w:p>
              </w:tc>
              <w:tc>
                <w:tcPr>
                  <w:tcW w:w="1786" w:type="pct"/>
                  <w:vAlign w:val="center"/>
                </w:tcPr>
                <w:p w14:paraId="13B18FDF">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噪声环境保护对策与主要环境减缓措施：将工业用地、公共设施用地等较嘈杂的用地与居住用地等需要安静的用地分隔开来，入园企业也要注意将生产区与办公区分离开来；运营噪声较大、昼夜连续生产、以噪声影响为主的项目，应考虑布设在周边敏感点的远端，远离敏感人群，并划定适当的防护距离；在工业园内主次干道等道路两侧设计合理的绿化带，可以有效地降低工业及交通噪声的影响范围及程度；对于具体项目应从工程选址、总图布置、设备选型、操作工艺等方面尽量减少声源对环境产生的影响。</w:t>
                  </w:r>
                </w:p>
              </w:tc>
              <w:tc>
                <w:tcPr>
                  <w:tcW w:w="1752" w:type="pct"/>
                  <w:vAlign w:val="center"/>
                </w:tcPr>
                <w:p w14:paraId="1DE91323">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项目采取基础减振等措施。</w:t>
                  </w:r>
                </w:p>
              </w:tc>
              <w:tc>
                <w:tcPr>
                  <w:tcW w:w="349" w:type="pct"/>
                  <w:vAlign w:val="center"/>
                </w:tcPr>
                <w:p w14:paraId="118FF73D">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33D0F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Merge w:val="continue"/>
                  <w:vAlign w:val="center"/>
                </w:tcPr>
                <w:p w14:paraId="0FFA1F81">
                  <w:pPr>
                    <w:spacing w:after="0"/>
                    <w:jc w:val="center"/>
                    <w:rPr>
                      <w:color w:val="0D0D0D" w:themeColor="text1" w:themeTint="F2"/>
                      <w14:textFill>
                        <w14:solidFill>
                          <w14:schemeClr w14:val="tx1">
                            <w14:lumMod w14:val="95000"/>
                            <w14:lumOff w14:val="5000"/>
                          </w14:schemeClr>
                        </w14:solidFill>
                      </w14:textFill>
                    </w:rPr>
                  </w:pPr>
                </w:p>
              </w:tc>
              <w:tc>
                <w:tcPr>
                  <w:tcW w:w="767" w:type="pct"/>
                  <w:gridSpan w:val="2"/>
                  <w:vMerge w:val="continue"/>
                  <w:vAlign w:val="center"/>
                </w:tcPr>
                <w:p w14:paraId="099762DF">
                  <w:pPr>
                    <w:spacing w:after="0"/>
                    <w:rPr>
                      <w:color w:val="0D0D0D" w:themeColor="text1" w:themeTint="F2"/>
                      <w14:textFill>
                        <w14:solidFill>
                          <w14:schemeClr w14:val="tx1">
                            <w14:lumMod w14:val="95000"/>
                            <w14:lumOff w14:val="5000"/>
                          </w14:schemeClr>
                        </w14:solidFill>
                      </w14:textFill>
                    </w:rPr>
                  </w:pPr>
                </w:p>
              </w:tc>
              <w:tc>
                <w:tcPr>
                  <w:tcW w:w="1786" w:type="pct"/>
                  <w:vAlign w:val="center"/>
                </w:tcPr>
                <w:p w14:paraId="0FB8B1A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固废环境保护对策与主要环境减缓措施：固体废物根据不同的类别进行不同的处理处置。对于一般固体废物中可以综合利用的工业固体废物要进行综合利用；对不能综合利用的固体废物，送至规范的临时堆场或填埋场；危险废物应集中送至有资质的废物处置单位安全处置。建议建立园区内固体废物交换信息中心，鼓励和促进企业间进行废物交换。</w:t>
                  </w:r>
                </w:p>
              </w:tc>
              <w:tc>
                <w:tcPr>
                  <w:tcW w:w="1752" w:type="pct"/>
                  <w:vAlign w:val="center"/>
                </w:tcPr>
                <w:p w14:paraId="3B84D0DA">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项目一般固废外售第三方单位资源化利用，危险废物委托有资质单位清运处置，生活垃圾分类集中收集后由环卫部门清运处置。</w:t>
                  </w:r>
                </w:p>
              </w:tc>
              <w:tc>
                <w:tcPr>
                  <w:tcW w:w="349" w:type="pct"/>
                  <w:vAlign w:val="center"/>
                </w:tcPr>
                <w:p w14:paraId="714D0BF7">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r w14:paraId="20877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6" w:type="pct"/>
                  <w:vAlign w:val="center"/>
                </w:tcPr>
                <w:p w14:paraId="7350A93E">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5</w:t>
                  </w:r>
                </w:p>
              </w:tc>
              <w:tc>
                <w:tcPr>
                  <w:tcW w:w="767" w:type="pct"/>
                  <w:gridSpan w:val="2"/>
                  <w:vAlign w:val="center"/>
                </w:tcPr>
                <w:p w14:paraId="7879A41C">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规划优化调整意见</w:t>
                  </w:r>
                </w:p>
              </w:tc>
              <w:tc>
                <w:tcPr>
                  <w:tcW w:w="1786" w:type="pct"/>
                  <w:vAlign w:val="center"/>
                </w:tcPr>
                <w:p w14:paraId="6D99B849">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大榄坪污水处理厂加快推进升级改造，接收园区产生的生产废水。</w:t>
                  </w:r>
                </w:p>
              </w:tc>
              <w:tc>
                <w:tcPr>
                  <w:tcW w:w="1752" w:type="pct"/>
                  <w:vAlign w:val="center"/>
                </w:tcPr>
                <w:p w14:paraId="3D3FBAEF">
                  <w:pPr>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项目无生产废水产生。</w:t>
                  </w:r>
                </w:p>
              </w:tc>
              <w:tc>
                <w:tcPr>
                  <w:tcW w:w="349" w:type="pct"/>
                  <w:vAlign w:val="center"/>
                </w:tcPr>
                <w:p w14:paraId="50F34AC0">
                  <w:pPr>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符合</w:t>
                  </w:r>
                </w:p>
              </w:tc>
            </w:tr>
          </w:tbl>
          <w:p w14:paraId="092473CC">
            <w:pPr>
              <w:spacing w:after="0"/>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表1-3  与规划环评审查意见相符性分析一览表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4078"/>
              <w:gridCol w:w="1631"/>
              <w:gridCol w:w="494"/>
            </w:tblGrid>
            <w:tr w14:paraId="3C1F9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55" w:type="pct"/>
                  <w:vAlign w:val="center"/>
                </w:tcPr>
                <w:p w14:paraId="567B210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3054" w:type="pct"/>
                  <w:vAlign w:val="center"/>
                </w:tcPr>
                <w:p w14:paraId="4CAF64DC">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审查意见要求</w:t>
                  </w:r>
                </w:p>
              </w:tc>
              <w:tc>
                <w:tcPr>
                  <w:tcW w:w="1221" w:type="pct"/>
                  <w:vAlign w:val="center"/>
                </w:tcPr>
                <w:p w14:paraId="7FBD18C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项目情况</w:t>
                  </w:r>
                </w:p>
              </w:tc>
              <w:tc>
                <w:tcPr>
                  <w:tcW w:w="370" w:type="pct"/>
                  <w:vAlign w:val="center"/>
                </w:tcPr>
                <w:p w14:paraId="146D31E3">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相符性</w:t>
                  </w:r>
                </w:p>
              </w:tc>
            </w:tr>
            <w:tr w14:paraId="5E69D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2388FD34">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3054" w:type="pct"/>
                  <w:vAlign w:val="center"/>
                </w:tcPr>
                <w:p w14:paraId="596676F3">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应加快开展海域排污区论证，明确园区生产和生活废水排污方案，近期规划依托A2排污区，远期排污区应重新规划。</w:t>
                  </w:r>
                </w:p>
              </w:tc>
              <w:tc>
                <w:tcPr>
                  <w:tcW w:w="1221" w:type="pct"/>
                  <w:vAlign w:val="center"/>
                </w:tcPr>
                <w:p w14:paraId="4AEE37EC">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p>
              </w:tc>
              <w:tc>
                <w:tcPr>
                  <w:tcW w:w="370" w:type="pct"/>
                  <w:vAlign w:val="center"/>
                </w:tcPr>
                <w:p w14:paraId="2FE424F0">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2BD1C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1DF48132">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3054" w:type="pct"/>
                  <w:vAlign w:val="center"/>
                </w:tcPr>
                <w:p w14:paraId="480D0B91">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引进项目的生产工艺、设备、污染治理技术，清洁生产水平等应达到同行业国际先进水平。严格控制含盐废水污染物排放浓度。</w:t>
                  </w:r>
                </w:p>
              </w:tc>
              <w:tc>
                <w:tcPr>
                  <w:tcW w:w="1221" w:type="pct"/>
                  <w:vAlign w:val="center"/>
                </w:tcPr>
                <w:p w14:paraId="3781A08E">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项目无生产废水产生，不涉及含盐废水。</w:t>
                  </w:r>
                </w:p>
              </w:tc>
              <w:tc>
                <w:tcPr>
                  <w:tcW w:w="370" w:type="pct"/>
                  <w:vAlign w:val="center"/>
                </w:tcPr>
                <w:p w14:paraId="02F92A20">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4342B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2A9EC077">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3054" w:type="pct"/>
                  <w:vAlign w:val="center"/>
                </w:tcPr>
                <w:p w14:paraId="274A52AC">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增加搬迁安置规划相关内容。为保证园区产业的健康可持续发展，规划应合理制订搬迁计划，实施时序，并按时落实。</w:t>
                  </w:r>
                </w:p>
              </w:tc>
              <w:tc>
                <w:tcPr>
                  <w:tcW w:w="1221" w:type="pct"/>
                  <w:vAlign w:val="center"/>
                </w:tcPr>
                <w:p w14:paraId="69526839">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项目不涉及该项。</w:t>
                  </w:r>
                </w:p>
              </w:tc>
              <w:tc>
                <w:tcPr>
                  <w:tcW w:w="370" w:type="pct"/>
                  <w:vAlign w:val="center"/>
                </w:tcPr>
                <w:p w14:paraId="19754773">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19920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71EA618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3054" w:type="pct"/>
                  <w:vAlign w:val="center"/>
                </w:tcPr>
                <w:p w14:paraId="47ACF321">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建议规划实施过程中，应按生态优先、集约用地的原则，落实《国务院关于加强滨海湿地保护严格管控围填海的通知》（国发〔2018〕24号）和《广西壮族自治区人民政府关于加强滨海湿地保护严格管控围填海的实施意见》（桂政发〔2019〕315号）精神，在围填海工作开展之前对围填海的必要性、围填海生态环境影响等进行充分论证评估，围填海手续完备的前提下开展填海建设。</w:t>
                  </w:r>
                </w:p>
              </w:tc>
              <w:tc>
                <w:tcPr>
                  <w:tcW w:w="1221" w:type="pct"/>
                  <w:vAlign w:val="center"/>
                </w:tcPr>
                <w:p w14:paraId="50F8068A">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项目不涉及该项。</w:t>
                  </w:r>
                </w:p>
              </w:tc>
              <w:tc>
                <w:tcPr>
                  <w:tcW w:w="370" w:type="pct"/>
                  <w:vAlign w:val="center"/>
                </w:tcPr>
                <w:p w14:paraId="561FB5E5">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bl>
          <w:p w14:paraId="1193D87D">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综上，项目建设符合《钦州港大榄坪物流加工区总体规划修编（2022-2035）环境影响报告书》及其审查意见相关要求。</w:t>
            </w:r>
          </w:p>
        </w:tc>
      </w:tr>
      <w:tr w14:paraId="007F47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78" w:hRule="atLeast"/>
          <w:jc w:val="center"/>
        </w:trPr>
        <w:tc>
          <w:tcPr>
            <w:tcW w:w="1351" w:type="pct"/>
            <w:vAlign w:val="center"/>
          </w:tcPr>
          <w:p w14:paraId="3F6E369D">
            <w:pPr>
              <w:autoSpaceDE w:val="0"/>
              <w:autoSpaceDN w:val="0"/>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其他符合性分析</w:t>
            </w:r>
          </w:p>
        </w:tc>
        <w:tc>
          <w:tcPr>
            <w:tcW w:w="3649" w:type="pct"/>
            <w:gridSpan w:val="3"/>
            <w:vAlign w:val="center"/>
          </w:tcPr>
          <w:p w14:paraId="023205C6">
            <w:pPr>
              <w:autoSpaceDE w:val="0"/>
              <w:autoSpaceDN w:val="0"/>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1.</w:t>
            </w:r>
            <w:r>
              <w:rPr>
                <w:rFonts w:cs="宋体"/>
                <w:b/>
                <w:bCs/>
                <w:color w:val="0D0D0D" w:themeColor="text1" w:themeTint="F2"/>
                <w:kern w:val="0"/>
                <w:sz w:val="24"/>
                <w14:textFill>
                  <w14:solidFill>
                    <w14:schemeClr w14:val="tx1">
                      <w14:lumMod w14:val="95000"/>
                      <w14:lumOff w14:val="5000"/>
                    </w14:schemeClr>
                  </w14:solidFill>
                </w14:textFill>
              </w:rPr>
              <w:t>产业政策</w:t>
            </w:r>
            <w:r>
              <w:rPr>
                <w:rFonts w:hint="eastAsia" w:cs="宋体"/>
                <w:b/>
                <w:bCs/>
                <w:color w:val="0D0D0D" w:themeColor="text1" w:themeTint="F2"/>
                <w:kern w:val="0"/>
                <w:sz w:val="24"/>
                <w14:textFill>
                  <w14:solidFill>
                    <w14:schemeClr w14:val="tx1">
                      <w14:lumMod w14:val="95000"/>
                      <w14:lumOff w14:val="5000"/>
                    </w14:schemeClr>
                  </w14:solidFill>
                </w14:textFill>
              </w:rPr>
              <w:t>相符性</w:t>
            </w:r>
            <w:r>
              <w:rPr>
                <w:rFonts w:cs="宋体"/>
                <w:b/>
                <w:bCs/>
                <w:color w:val="0D0D0D" w:themeColor="text1" w:themeTint="F2"/>
                <w:kern w:val="0"/>
                <w:sz w:val="24"/>
                <w14:textFill>
                  <w14:solidFill>
                    <w14:schemeClr w14:val="tx1">
                      <w14:lumMod w14:val="95000"/>
                      <w14:lumOff w14:val="5000"/>
                    </w14:schemeClr>
                  </w14:solidFill>
                </w14:textFill>
              </w:rPr>
              <w:t>分析</w:t>
            </w:r>
          </w:p>
          <w:p w14:paraId="54141D26">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根据《国民经济行业分类》（GB/T4754-2017）及其修改单，项目属于</w:t>
            </w:r>
            <w:r>
              <w:rPr>
                <w:rFonts w:hint="eastAsia" w:cs="宋体"/>
                <w:bCs/>
                <w:color w:val="0D0D0D" w:themeColor="text1" w:themeTint="F2"/>
                <w:kern w:val="0"/>
                <w:sz w:val="24"/>
                <w14:textFill>
                  <w14:solidFill>
                    <w14:schemeClr w14:val="tx1">
                      <w14:lumMod w14:val="95000"/>
                      <w14:lumOff w14:val="5000"/>
                    </w14:schemeClr>
                  </w14:solidFill>
                </w14:textFill>
              </w:rPr>
              <w:t>C3360金属表面处理及热处理加工</w:t>
            </w:r>
            <w:r>
              <w:rPr>
                <w:rFonts w:hint="eastAsia" w:cs="宋体"/>
                <w:color w:val="0D0D0D" w:themeColor="text1" w:themeTint="F2"/>
                <w:kern w:val="0"/>
                <w:sz w:val="24"/>
                <w14:textFill>
                  <w14:solidFill>
                    <w14:schemeClr w14:val="tx1">
                      <w14:lumMod w14:val="95000"/>
                      <w14:lumOff w14:val="5000"/>
                    </w14:schemeClr>
                  </w14:solidFill>
                </w14:textFill>
              </w:rPr>
              <w:t>。</w:t>
            </w:r>
          </w:p>
          <w:p w14:paraId="22AF18B2">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cs="宋体"/>
                <w:color w:val="0D0D0D" w:themeColor="text1" w:themeTint="F2"/>
                <w:kern w:val="0"/>
                <w:sz w:val="24"/>
                <w14:textFill>
                  <w14:solidFill>
                    <w14:schemeClr w14:val="tx1">
                      <w14:lumMod w14:val="95000"/>
                      <w14:lumOff w14:val="5000"/>
                    </w14:schemeClr>
                  </w14:solidFill>
                </w14:textFill>
              </w:rPr>
              <w:t>根据《</w:t>
            </w:r>
            <w:r>
              <w:rPr>
                <w:rFonts w:hint="eastAsia" w:cs="宋体"/>
                <w:color w:val="0D0D0D" w:themeColor="text1" w:themeTint="F2"/>
                <w:kern w:val="0"/>
                <w:sz w:val="24"/>
                <w14:textFill>
                  <w14:solidFill>
                    <w14:schemeClr w14:val="tx1">
                      <w14:lumMod w14:val="95000"/>
                      <w14:lumOff w14:val="5000"/>
                    </w14:schemeClr>
                  </w14:solidFill>
                </w14:textFill>
              </w:rPr>
              <w:t>产业结构调整指导目录（2024年本）</w:t>
            </w:r>
            <w:r>
              <w:rPr>
                <w:rFonts w:cs="宋体"/>
                <w:color w:val="0D0D0D" w:themeColor="text1" w:themeTint="F2"/>
                <w:kern w:val="0"/>
                <w:sz w:val="24"/>
                <w14:textFill>
                  <w14:solidFill>
                    <w14:schemeClr w14:val="tx1">
                      <w14:lumMod w14:val="95000"/>
                      <w14:lumOff w14:val="5000"/>
                    </w14:schemeClr>
                  </w14:solidFill>
                </w14:textFill>
              </w:rPr>
              <w:t>》</w:t>
            </w:r>
            <w:r>
              <w:rPr>
                <w:rFonts w:hint="eastAsia" w:cs="宋体"/>
                <w:color w:val="0D0D0D" w:themeColor="text1" w:themeTint="F2"/>
                <w:kern w:val="0"/>
                <w:sz w:val="24"/>
                <w14:textFill>
                  <w14:solidFill>
                    <w14:schemeClr w14:val="tx1">
                      <w14:lumMod w14:val="95000"/>
                      <w14:lumOff w14:val="5000"/>
                    </w14:schemeClr>
                  </w14:solidFill>
                </w14:textFill>
              </w:rPr>
              <w:t>和</w:t>
            </w:r>
            <w:bookmarkStart w:id="5" w:name="OLE_LINK6"/>
            <w:r>
              <w:rPr>
                <w:rFonts w:hint="eastAsia" w:cs="宋体"/>
                <w:color w:val="0D0D0D" w:themeColor="text1" w:themeTint="F2"/>
                <w:kern w:val="0"/>
                <w:sz w:val="24"/>
                <w14:textFill>
                  <w14:solidFill>
                    <w14:schemeClr w14:val="tx1">
                      <w14:lumMod w14:val="95000"/>
                      <w14:lumOff w14:val="5000"/>
                    </w14:schemeClr>
                  </w14:solidFill>
                </w14:textFill>
              </w:rPr>
              <w:t>《市场准入负面清单（2025年版）》</w:t>
            </w:r>
            <w:bookmarkEnd w:id="5"/>
            <w:r>
              <w:rPr>
                <w:rFonts w:cs="宋体"/>
                <w:color w:val="0D0D0D" w:themeColor="text1" w:themeTint="F2"/>
                <w:kern w:val="0"/>
                <w:sz w:val="24"/>
                <w14:textFill>
                  <w14:solidFill>
                    <w14:schemeClr w14:val="tx1">
                      <w14:lumMod w14:val="95000"/>
                      <w14:lumOff w14:val="5000"/>
                    </w14:schemeClr>
                  </w14:solidFill>
                </w14:textFill>
              </w:rPr>
              <w:t>，</w:t>
            </w:r>
            <w:r>
              <w:rPr>
                <w:rFonts w:hint="eastAsia" w:cs="宋体"/>
                <w:color w:val="0D0D0D" w:themeColor="text1" w:themeTint="F2"/>
                <w:kern w:val="0"/>
                <w:sz w:val="24"/>
                <w14:textFill>
                  <w14:solidFill>
                    <w14:schemeClr w14:val="tx1">
                      <w14:lumMod w14:val="95000"/>
                      <w14:lumOff w14:val="5000"/>
                    </w14:schemeClr>
                  </w14:solidFill>
                </w14:textFill>
              </w:rPr>
              <w:t>项目</w:t>
            </w:r>
            <w:r>
              <w:rPr>
                <w:rFonts w:cs="宋体"/>
                <w:color w:val="0D0D0D" w:themeColor="text1" w:themeTint="F2"/>
                <w:kern w:val="0"/>
                <w:sz w:val="24"/>
                <w14:textFill>
                  <w14:solidFill>
                    <w14:schemeClr w14:val="tx1">
                      <w14:lumMod w14:val="95000"/>
                      <w14:lumOff w14:val="5000"/>
                    </w14:schemeClr>
                  </w14:solidFill>
                </w14:textFill>
              </w:rPr>
              <w:t>不属于</w:t>
            </w:r>
            <w:r>
              <w:rPr>
                <w:rFonts w:hint="eastAsia" w:cs="宋体"/>
                <w:color w:val="0D0D0D" w:themeColor="text1" w:themeTint="F2"/>
                <w:kern w:val="0"/>
                <w:sz w:val="24"/>
                <w14:textFill>
                  <w14:solidFill>
                    <w14:schemeClr w14:val="tx1">
                      <w14:lumMod w14:val="95000"/>
                      <w14:lumOff w14:val="5000"/>
                    </w14:schemeClr>
                  </w14:solidFill>
                </w14:textFill>
              </w:rPr>
              <w:t>其中的鼓励类、</w:t>
            </w:r>
            <w:r>
              <w:rPr>
                <w:rFonts w:cs="宋体"/>
                <w:color w:val="0D0D0D" w:themeColor="text1" w:themeTint="F2"/>
                <w:kern w:val="0"/>
                <w:sz w:val="24"/>
                <w14:textFill>
                  <w14:solidFill>
                    <w14:schemeClr w14:val="tx1">
                      <w14:lumMod w14:val="95000"/>
                      <w14:lumOff w14:val="5000"/>
                    </w14:schemeClr>
                  </w14:solidFill>
                </w14:textFill>
              </w:rPr>
              <w:t>限制类</w:t>
            </w:r>
            <w:r>
              <w:rPr>
                <w:rFonts w:hint="eastAsia" w:cs="宋体"/>
                <w:color w:val="0D0D0D" w:themeColor="text1" w:themeTint="F2"/>
                <w:kern w:val="0"/>
                <w:sz w:val="24"/>
                <w14:textFill>
                  <w14:solidFill>
                    <w14:schemeClr w14:val="tx1">
                      <w14:lumMod w14:val="95000"/>
                      <w14:lumOff w14:val="5000"/>
                    </w14:schemeClr>
                  </w14:solidFill>
                </w14:textFill>
              </w:rPr>
              <w:t>及</w:t>
            </w:r>
            <w:r>
              <w:rPr>
                <w:rFonts w:cs="宋体"/>
                <w:color w:val="0D0D0D" w:themeColor="text1" w:themeTint="F2"/>
                <w:kern w:val="0"/>
                <w:sz w:val="24"/>
                <w14:textFill>
                  <w14:solidFill>
                    <w14:schemeClr w14:val="tx1">
                      <w14:lumMod w14:val="95000"/>
                      <w14:lumOff w14:val="5000"/>
                    </w14:schemeClr>
                  </w14:solidFill>
                </w14:textFill>
              </w:rPr>
              <w:t>淘汰类</w:t>
            </w:r>
            <w:r>
              <w:rPr>
                <w:rFonts w:hint="eastAsia" w:cs="宋体"/>
                <w:color w:val="0D0D0D" w:themeColor="text1" w:themeTint="F2"/>
                <w:kern w:val="0"/>
                <w:sz w:val="24"/>
                <w14:textFill>
                  <w14:solidFill>
                    <w14:schemeClr w14:val="tx1">
                      <w14:lumMod w14:val="95000"/>
                      <w14:lumOff w14:val="5000"/>
                    </w14:schemeClr>
                  </w14:solidFill>
                </w14:textFill>
              </w:rPr>
              <w:t>，为允许类。</w:t>
            </w:r>
          </w:p>
          <w:p w14:paraId="32531FA2">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国家污染防治技术指导目录（2025年版）》（环办科财函〔2025〕197号），VOCs（挥发性有机物）洗涤吸收净化技术、VOCs光催化及其组合净化技术、VOCs低温等离子体及其组合净化技术和VOCs光解（光氧化）及其组合净化技术属于低效类技术。项目有机废气治理工艺为二级活性炭吸附，不属于该目录中的低效类技术，所用工艺和设备均不属于限制类和淘汰类。</w:t>
            </w:r>
          </w:p>
          <w:p w14:paraId="39F161D1">
            <w:pPr>
              <w:autoSpaceDE w:val="0"/>
              <w:autoSpaceDN w:val="0"/>
              <w:adjustRightInd w:val="0"/>
              <w:snapToGrid w:val="0"/>
              <w:spacing w:after="0"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color w:val="0D0D0D" w:themeColor="text1" w:themeTint="F2"/>
                <w:kern w:val="0"/>
                <w:sz w:val="24"/>
                <w14:textFill>
                  <w14:solidFill>
                    <w14:schemeClr w14:val="tx1">
                      <w14:lumMod w14:val="95000"/>
                      <w14:lumOff w14:val="5000"/>
                    </w14:schemeClr>
                  </w14:solidFill>
                </w14:textFill>
              </w:rPr>
              <w:t>根据</w:t>
            </w:r>
            <w:bookmarkStart w:id="6" w:name="OLE_LINK7"/>
            <w:r>
              <w:rPr>
                <w:rFonts w:hint="eastAsia" w:cs="宋体"/>
                <w:color w:val="0D0D0D" w:themeColor="text1" w:themeTint="F2"/>
                <w:kern w:val="0"/>
                <w:sz w:val="24"/>
                <w14:textFill>
                  <w14:solidFill>
                    <w14:schemeClr w14:val="tx1">
                      <w14:lumMod w14:val="95000"/>
                      <w14:lumOff w14:val="5000"/>
                    </w14:schemeClr>
                  </w14:solidFill>
                </w14:textFill>
              </w:rPr>
              <w:t>《广西壮族自治区人民政府办公厅关于印发北钦防一体化产业协同发展限制布局清单（工业类2021年版）的通知》（桂政办函〔2021〕4号）</w:t>
            </w:r>
            <w:bookmarkEnd w:id="6"/>
            <w:r>
              <w:rPr>
                <w:rFonts w:cs="宋体"/>
                <w:color w:val="0D0D0D" w:themeColor="text1" w:themeTint="F2"/>
                <w:kern w:val="0"/>
                <w:sz w:val="24"/>
                <w14:textFill>
                  <w14:solidFill>
                    <w14:schemeClr w14:val="tx1">
                      <w14:lumMod w14:val="95000"/>
                      <w14:lumOff w14:val="5000"/>
                    </w14:schemeClr>
                  </w14:solidFill>
                </w14:textFill>
              </w:rPr>
              <w:t>，项目</w:t>
            </w:r>
            <w:r>
              <w:rPr>
                <w:rFonts w:hint="eastAsia" w:cs="宋体"/>
                <w:color w:val="0D0D0D" w:themeColor="text1" w:themeTint="F2"/>
                <w:kern w:val="0"/>
                <w:sz w:val="24"/>
                <w14:textFill>
                  <w14:solidFill>
                    <w14:schemeClr w14:val="tx1">
                      <w14:lumMod w14:val="95000"/>
                      <w14:lumOff w14:val="5000"/>
                    </w14:schemeClr>
                  </w14:solidFill>
                </w14:textFill>
              </w:rPr>
              <w:t>不属于其中的限制类。</w:t>
            </w:r>
          </w:p>
          <w:p w14:paraId="7C427234">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项目已在</w:t>
            </w:r>
            <w:bookmarkStart w:id="7" w:name="_Hlk220061512"/>
            <w:r>
              <w:rPr>
                <w:rFonts w:hint="eastAsia" w:cs="宋体"/>
                <w:color w:val="0D0D0D" w:themeColor="text1" w:themeTint="F2"/>
                <w:kern w:val="0"/>
                <w:sz w:val="24"/>
                <w14:textFill>
                  <w14:solidFill>
                    <w14:schemeClr w14:val="tx1">
                      <w14:lumMod w14:val="95000"/>
                      <w14:lumOff w14:val="5000"/>
                    </w14:schemeClr>
                  </w14:solidFill>
                </w14:textFill>
              </w:rPr>
              <w:t>广西投资项目在线审批监管平台</w:t>
            </w:r>
            <w:bookmarkEnd w:id="7"/>
            <w:r>
              <w:rPr>
                <w:rFonts w:hint="eastAsia" w:cs="宋体"/>
                <w:color w:val="0D0D0D" w:themeColor="text1" w:themeTint="F2"/>
                <w:kern w:val="0"/>
                <w:sz w:val="24"/>
                <w14:textFill>
                  <w14:solidFill>
                    <w14:schemeClr w14:val="tx1">
                      <w14:lumMod w14:val="95000"/>
                      <w14:lumOff w14:val="5000"/>
                    </w14:schemeClr>
                  </w14:solidFill>
                </w14:textFill>
              </w:rPr>
              <w:t>备案登记，备案机关为中马钦州产业园区行政审批局，项目代码为</w:t>
            </w:r>
            <w:r>
              <w:rPr>
                <w:rFonts w:cs="宋体"/>
                <w:color w:val="0D0D0D" w:themeColor="text1" w:themeTint="F2"/>
                <w:sz w:val="24"/>
                <w14:textFill>
                  <w14:solidFill>
                    <w14:schemeClr w14:val="tx1">
                      <w14:lumMod w14:val="95000"/>
                      <w14:lumOff w14:val="5000"/>
                    </w14:schemeClr>
                  </w14:solidFill>
                </w14:textFill>
              </w:rPr>
              <w:t>2509-450704-04-01-361077</w:t>
            </w:r>
            <w:r>
              <w:rPr>
                <w:rFonts w:hint="eastAsia" w:cs="宋体"/>
                <w:color w:val="0D0D0D" w:themeColor="text1" w:themeTint="F2"/>
                <w:sz w:val="24"/>
                <w14:textFill>
                  <w14:solidFill>
                    <w14:schemeClr w14:val="tx1">
                      <w14:lumMod w14:val="95000"/>
                      <w14:lumOff w14:val="5000"/>
                    </w14:schemeClr>
                  </w14:solidFill>
                </w14:textFill>
              </w:rPr>
              <w:t>，备案证明</w:t>
            </w:r>
            <w:r>
              <w:rPr>
                <w:rFonts w:hint="eastAsia" w:cs="宋体"/>
                <w:color w:val="0D0D0D" w:themeColor="text1" w:themeTint="F2"/>
                <w:kern w:val="0"/>
                <w:sz w:val="24"/>
                <w14:textFill>
                  <w14:solidFill>
                    <w14:schemeClr w14:val="tx1">
                      <w14:lumMod w14:val="95000"/>
                      <w14:lumOff w14:val="5000"/>
                    </w14:schemeClr>
                  </w14:solidFill>
                </w14:textFill>
              </w:rPr>
              <w:t>详见附件2。</w:t>
            </w:r>
          </w:p>
          <w:p w14:paraId="1C242895">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综上所述，项目建设</w:t>
            </w:r>
            <w:r>
              <w:rPr>
                <w:rFonts w:cs="宋体"/>
                <w:color w:val="0D0D0D" w:themeColor="text1" w:themeTint="F2"/>
                <w:kern w:val="0"/>
                <w:sz w:val="24"/>
                <w14:textFill>
                  <w14:solidFill>
                    <w14:schemeClr w14:val="tx1">
                      <w14:lumMod w14:val="95000"/>
                      <w14:lumOff w14:val="5000"/>
                    </w14:schemeClr>
                  </w14:solidFill>
                </w14:textFill>
              </w:rPr>
              <w:t>符合国家</w:t>
            </w:r>
            <w:r>
              <w:rPr>
                <w:rFonts w:hint="eastAsia" w:cs="宋体"/>
                <w:color w:val="0D0D0D" w:themeColor="text1" w:themeTint="F2"/>
                <w:kern w:val="0"/>
                <w:sz w:val="24"/>
                <w14:textFill>
                  <w14:solidFill>
                    <w14:schemeClr w14:val="tx1">
                      <w14:lumMod w14:val="95000"/>
                      <w14:lumOff w14:val="5000"/>
                    </w14:schemeClr>
                  </w14:solidFill>
                </w14:textFill>
              </w:rPr>
              <w:t>和地方</w:t>
            </w:r>
            <w:r>
              <w:rPr>
                <w:rFonts w:cs="宋体"/>
                <w:color w:val="0D0D0D" w:themeColor="text1" w:themeTint="F2"/>
                <w:kern w:val="0"/>
                <w:sz w:val="24"/>
                <w14:textFill>
                  <w14:solidFill>
                    <w14:schemeClr w14:val="tx1">
                      <w14:lumMod w14:val="95000"/>
                      <w14:lumOff w14:val="5000"/>
                    </w14:schemeClr>
                  </w14:solidFill>
                </w14:textFill>
              </w:rPr>
              <w:t>产业政策</w:t>
            </w:r>
            <w:r>
              <w:rPr>
                <w:rFonts w:hint="eastAsia" w:cs="宋体"/>
                <w:color w:val="0D0D0D" w:themeColor="text1" w:themeTint="F2"/>
                <w:kern w:val="0"/>
                <w:sz w:val="24"/>
                <w14:textFill>
                  <w14:solidFill>
                    <w14:schemeClr w14:val="tx1">
                      <w14:lumMod w14:val="95000"/>
                      <w14:lumOff w14:val="5000"/>
                    </w14:schemeClr>
                  </w14:solidFill>
                </w14:textFill>
              </w:rPr>
              <w:t>要求</w:t>
            </w:r>
            <w:r>
              <w:rPr>
                <w:rFonts w:cs="宋体"/>
                <w:color w:val="0D0D0D" w:themeColor="text1" w:themeTint="F2"/>
                <w:kern w:val="0"/>
                <w:sz w:val="24"/>
                <w14:textFill>
                  <w14:solidFill>
                    <w14:schemeClr w14:val="tx1">
                      <w14:lumMod w14:val="95000"/>
                      <w14:lumOff w14:val="5000"/>
                    </w14:schemeClr>
                  </w14:solidFill>
                </w14:textFill>
              </w:rPr>
              <w:t>。</w:t>
            </w:r>
          </w:p>
          <w:p w14:paraId="3235A0FD">
            <w:pPr>
              <w:autoSpaceDE w:val="0"/>
              <w:autoSpaceDN w:val="0"/>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2.与生态环境分区管控相符性分析</w:t>
            </w:r>
          </w:p>
          <w:p w14:paraId="4E6DE0FA">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根据《广西“生态云”平台建设项目智能研判报告》，项目涉及1个环境管控单元，其中优先保护类0个，重点管控类1个，一般管控类0个，涉及的环境管控单元为钦州港经济技术开发区重点管控单元（</w:t>
            </w:r>
            <w:r>
              <w:rPr>
                <w:rFonts w:cs="宋体"/>
                <w:color w:val="0D0D0D" w:themeColor="text1" w:themeTint="F2"/>
                <w:kern w:val="0"/>
                <w:sz w:val="24"/>
                <w14:textFill>
                  <w14:solidFill>
                    <w14:schemeClr w14:val="tx1">
                      <w14:lumMod w14:val="95000"/>
                      <w14:lumOff w14:val="5000"/>
                    </w14:schemeClr>
                  </w14:solidFill>
                </w14:textFill>
              </w:rPr>
              <w:t>ZH45070220005</w:t>
            </w:r>
            <w:r>
              <w:rPr>
                <w:rFonts w:hint="eastAsia" w:cs="宋体"/>
                <w:color w:val="0D0D0D" w:themeColor="text1" w:themeTint="F2"/>
                <w:kern w:val="0"/>
                <w:sz w:val="24"/>
                <w14:textFill>
                  <w14:solidFill>
                    <w14:schemeClr w14:val="tx1">
                      <w14:lumMod w14:val="95000"/>
                      <w14:lumOff w14:val="5000"/>
                    </w14:schemeClr>
                  </w14:solidFill>
                </w14:textFill>
              </w:rPr>
              <w:t>）。</w:t>
            </w:r>
          </w:p>
          <w:p w14:paraId="685CB334">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钦州市生态环境局关于印发&lt;钦州市生态环境分区管控动态更新成果（2023版）&gt;的通知》，项目与钦州市生态环境准入及管控要求相符性分析详见表1-4，与钦州港经济技术开发区重点管控单元生态环境准入及管控要求相符性分析详见表1-5。</w:t>
            </w:r>
          </w:p>
          <w:p w14:paraId="4753D0AB">
            <w:pPr>
              <w:widowControl/>
              <w:adjustRightInd w:val="0"/>
              <w:snapToGrid w:val="0"/>
              <w:spacing w:before="120" w:beforeLines="50" w:after="0"/>
              <w:jc w:val="center"/>
              <w:rPr>
                <w:b/>
                <w:bCs/>
                <w:snapToGrid w:val="0"/>
                <w:color w:val="0D0D0D" w:themeColor="text1" w:themeTint="F2"/>
                <w:kern w:val="0"/>
                <w:szCs w:val="21"/>
                <w14:textFill>
                  <w14:solidFill>
                    <w14:schemeClr w14:val="tx1">
                      <w14:lumMod w14:val="95000"/>
                      <w14:lumOff w14:val="5000"/>
                    </w14:schemeClr>
                  </w14:solidFill>
                </w14:textFill>
              </w:rPr>
            </w:pPr>
            <w:r>
              <w:rPr>
                <w:rFonts w:hint="eastAsia"/>
                <w:b/>
                <w:bCs/>
                <w:snapToGrid w:val="0"/>
                <w:color w:val="0D0D0D" w:themeColor="text1" w:themeTint="F2"/>
                <w:kern w:val="0"/>
                <w:szCs w:val="21"/>
                <w14:textFill>
                  <w14:solidFill>
                    <w14:schemeClr w14:val="tx1">
                      <w14:lumMod w14:val="95000"/>
                      <w14:lumOff w14:val="5000"/>
                    </w14:schemeClr>
                  </w14:solidFill>
                </w14:textFill>
              </w:rPr>
              <w:t>表1-4</w:t>
            </w:r>
            <w:r>
              <w:rPr>
                <w:b/>
                <w:bCs/>
                <w:snapToGrid w:val="0"/>
                <w:color w:val="0D0D0D" w:themeColor="text1" w:themeTint="F2"/>
                <w:kern w:val="0"/>
                <w:szCs w:val="21"/>
                <w14:textFill>
                  <w14:solidFill>
                    <w14:schemeClr w14:val="tx1">
                      <w14:lumMod w14:val="95000"/>
                      <w14:lumOff w14:val="5000"/>
                    </w14:schemeClr>
                  </w14:solidFill>
                </w14:textFill>
              </w:rPr>
              <w:t xml:space="preserve">  </w:t>
            </w:r>
            <w:r>
              <w:rPr>
                <w:rFonts w:hint="eastAsia"/>
                <w:b/>
                <w:bCs/>
                <w:snapToGrid w:val="0"/>
                <w:color w:val="0D0D0D" w:themeColor="text1" w:themeTint="F2"/>
                <w:kern w:val="0"/>
                <w:szCs w:val="21"/>
                <w14:textFill>
                  <w14:solidFill>
                    <w14:schemeClr w14:val="tx1">
                      <w14:lumMod w14:val="95000"/>
                      <w14:lumOff w14:val="5000"/>
                    </w14:schemeClr>
                  </w14:solidFill>
                </w14:textFill>
              </w:rPr>
              <w:t>与钦州市生态环境准入及管控要求相符性分析</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2898"/>
              <w:gridCol w:w="2770"/>
              <w:gridCol w:w="462"/>
            </w:tblGrid>
            <w:tr w14:paraId="26604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79" w:type="pct"/>
                  <w:gridSpan w:val="2"/>
                  <w:vAlign w:val="center"/>
                </w:tcPr>
                <w:p w14:paraId="757916D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生态环境准入清单要求</w:t>
                  </w:r>
                </w:p>
              </w:tc>
              <w:tc>
                <w:tcPr>
                  <w:tcW w:w="2074" w:type="pct"/>
                  <w:vAlign w:val="center"/>
                </w:tcPr>
                <w:p w14:paraId="416E5DC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项目情况</w:t>
                  </w:r>
                </w:p>
              </w:tc>
              <w:tc>
                <w:tcPr>
                  <w:tcW w:w="347" w:type="pct"/>
                  <w:vAlign w:val="center"/>
                </w:tcPr>
                <w:p w14:paraId="4211225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结论</w:t>
                  </w:r>
                </w:p>
              </w:tc>
            </w:tr>
            <w:tr w14:paraId="04AB7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restart"/>
                  <w:vAlign w:val="center"/>
                </w:tcPr>
                <w:p w14:paraId="5584F1C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空间布局约束</w:t>
                  </w:r>
                </w:p>
              </w:tc>
              <w:tc>
                <w:tcPr>
                  <w:tcW w:w="2170" w:type="pct"/>
                  <w:vAlign w:val="center"/>
                </w:tcPr>
                <w:p w14:paraId="683C6A0F">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2074" w:type="pct"/>
                  <w:vAlign w:val="center"/>
                </w:tcPr>
                <w:p w14:paraId="70BDAA92">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项目不涉及生态保护红线、自然保护地等各类保护区域。</w:t>
                  </w:r>
                </w:p>
              </w:tc>
              <w:tc>
                <w:tcPr>
                  <w:tcW w:w="347" w:type="pct"/>
                  <w:vAlign w:val="center"/>
                </w:tcPr>
                <w:p w14:paraId="37459D2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CB41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206BD2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7934F2C">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（2）红树林依据《广西壮族自治区红树林资源保护条例》进行管理。开展红树林修复要依法依规进行，并符合红树林资源保护规划等相关要求。</w:t>
                  </w:r>
                </w:p>
              </w:tc>
              <w:tc>
                <w:tcPr>
                  <w:tcW w:w="2074" w:type="pct"/>
                  <w:vAlign w:val="center"/>
                </w:tcPr>
                <w:p w14:paraId="095101D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根据《钦州市林业局关于印发&lt;钦州市红树林资源保护规划（2022-2030年）&gt;的通知》（钦市林字〔2022〕44号），距离项目最近的红树林为西北面2.91km的金鼓江红树林区，相对位置详见附图10，项目评价范围不涉及红树林。</w:t>
                  </w:r>
                </w:p>
              </w:tc>
              <w:tc>
                <w:tcPr>
                  <w:tcW w:w="347" w:type="pct"/>
                  <w:vAlign w:val="center"/>
                </w:tcPr>
                <w:p w14:paraId="03C020B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2292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233A7D0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5DB62B7">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（3）重要湿地依据《中华人民共和国湿地保护法》《国家湿地公园管理办法》《广西壮族自治区湿地保护条例》进行管理</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1C66D2E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项目不涉及湿地。</w:t>
                  </w:r>
                </w:p>
              </w:tc>
              <w:tc>
                <w:tcPr>
                  <w:tcW w:w="347" w:type="pct"/>
                  <w:vAlign w:val="center"/>
                </w:tcPr>
                <w:p w14:paraId="2FB5F29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FF04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30A998E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755BD8AA">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产业在十万大山、五皇山、六万大山、茅尾海等生物多样性保护区及水源涵养区等重点生态功能区的布局，鼓励发展生态保护型旅游业、生态农业，统筹推进特色农业和旅游业融合发展</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5F93F08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项目不涉及生态环境敏感地区，不属于“两高”项目。</w:t>
                  </w:r>
                </w:p>
              </w:tc>
              <w:tc>
                <w:tcPr>
                  <w:tcW w:w="347" w:type="pct"/>
                  <w:vAlign w:val="center"/>
                </w:tcPr>
                <w:p w14:paraId="497F9E7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9BEE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0031318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7A46D685">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（5）以供给侧结构性改革为导向，坚持培育新增产能与淘汰落后产能相结合，严格审批，防止新增落后产能。严格控制“两高”和产能过剩行业新上项目，遏制高耗能产业无序发展和低水平扩张</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0AA0A68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项目不属于“两高”和产能过剩行业。</w:t>
                  </w:r>
                </w:p>
              </w:tc>
              <w:tc>
                <w:tcPr>
                  <w:tcW w:w="347" w:type="pct"/>
                  <w:vAlign w:val="center"/>
                </w:tcPr>
                <w:p w14:paraId="502154C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39A3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1AF446E1">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284FD3E5">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全市产业准入执行《广西壮族自治区人民政府办公厅关于印发北钦防一体化产业协同发展限制布局清单（工业类2021年版）的通知》（桂政办函〔2021〕4号）要求，限制布局炼铁、炼钢、铝冶炼、平板玻璃制造</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1980CDD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项目不属于炼铁、炼钢、铝冶炼、平板玻璃制造项目。</w:t>
                  </w:r>
                </w:p>
              </w:tc>
              <w:tc>
                <w:tcPr>
                  <w:tcW w:w="347" w:type="pct"/>
                  <w:vAlign w:val="center"/>
                </w:tcPr>
                <w:p w14:paraId="7D6555D1">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984E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3DAE0A7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8D4C26F">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（7）新建、扩建的石化、化工、焦化项目应按照《关于加强高耗能、高排放建设项目生态环境源头防控的指导意见》布设在依法合规设立并经规划环评的产业园区</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75340D8A">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项目不属于石化、化工、焦化项目。</w:t>
                  </w:r>
                </w:p>
              </w:tc>
              <w:tc>
                <w:tcPr>
                  <w:tcW w:w="347" w:type="pct"/>
                  <w:vAlign w:val="center"/>
                </w:tcPr>
                <w:p w14:paraId="68F8529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B119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1A27596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729E7BE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（8）禁止违法占用、损害自然岸线。海洋开发和海岸开发各类活动，大陆自然岸线保有率标准不低于35%、无居民海岛岸线长度保有率标准不低于85%。</w:t>
                  </w:r>
                </w:p>
              </w:tc>
              <w:tc>
                <w:tcPr>
                  <w:tcW w:w="2074" w:type="pct"/>
                  <w:vAlign w:val="center"/>
                </w:tcPr>
                <w:p w14:paraId="4503DD1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4046114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50C3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D67961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9F5055C">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（9）推进海域资源市场化配置，严控新增围填海造地，完善围填海总量管控，除国家重大战略项目外，全面停止新增围填海项目审批，全面清理非法占用海洋生态保护红线区域的围填海项目。</w:t>
                  </w:r>
                </w:p>
              </w:tc>
              <w:tc>
                <w:tcPr>
                  <w:tcW w:w="2074" w:type="pct"/>
                  <w:vAlign w:val="center"/>
                </w:tcPr>
                <w:p w14:paraId="67DB6593">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66D4995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C50F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116712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5004A1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（10）科学论证在三娘湾海洋保护区、茅尾海中部海洋保护区及周边区域的开发利用活动，严格落实保护区管理要求。</w:t>
                  </w:r>
                </w:p>
              </w:tc>
              <w:tc>
                <w:tcPr>
                  <w:tcW w:w="2074" w:type="pct"/>
                  <w:vAlign w:val="center"/>
                </w:tcPr>
                <w:p w14:paraId="4726915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2DA3B48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68BE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A527A3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926544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（11）严格按照相关法律法规及国土空间规划等要求，规范设置和监管入海排污口。禁止采挖海砂、设置直排排污口及其他破坏河口生态功能的开发活动。</w:t>
                  </w:r>
                </w:p>
              </w:tc>
              <w:tc>
                <w:tcPr>
                  <w:tcW w:w="2074" w:type="pct"/>
                  <w:vAlign w:val="center"/>
                </w:tcPr>
                <w:p w14:paraId="2E7C4DF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71C891B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9029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3129126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0FB316F7">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12）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2074" w:type="pct"/>
                  <w:vAlign w:val="center"/>
                </w:tcPr>
                <w:p w14:paraId="6484C1A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5405AE7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5479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74812F4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B00396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（13）严格用途管制，坚持陆海统筹，严禁国家产业政策淘汰类、限制类项目在滨海湿地布局，实现山水林田湖草整体保护、系统修复、综合治理。</w:t>
                  </w:r>
                </w:p>
              </w:tc>
              <w:tc>
                <w:tcPr>
                  <w:tcW w:w="2074" w:type="pct"/>
                  <w:vAlign w:val="center"/>
                </w:tcPr>
                <w:p w14:paraId="72A5C55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5C9117B6">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E311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65A333E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410A0F7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（14）禁止在氮磷浓度严重超标的近岸海域新增或者扩大投饵、投肥海水养殖规模。</w:t>
                  </w:r>
                </w:p>
              </w:tc>
              <w:tc>
                <w:tcPr>
                  <w:tcW w:w="2074" w:type="pct"/>
                  <w:vAlign w:val="center"/>
                </w:tcPr>
                <w:p w14:paraId="39FF073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07C4A66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54F9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5D4F488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459D836F">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（15）平陆运河沿线两岸原则上预留1公里作为生态廊道构建用地，将平陆运河沿线建设成为维护当地自然与文化特色的区域生物廊道、生境走廊、休闲绿道、风景廊道和绿色运河经济带等。</w:t>
                  </w:r>
                </w:p>
              </w:tc>
              <w:tc>
                <w:tcPr>
                  <w:tcW w:w="2074" w:type="pct"/>
                  <w:vAlign w:val="center"/>
                </w:tcPr>
                <w:p w14:paraId="46C81BD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05E174E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85E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940C2F1">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48370CA">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（16）禁止平陆运河建设违规占用环评批复范围之外的红树林，严格落实红树林生态恢复和管护要求。</w:t>
                  </w:r>
                </w:p>
              </w:tc>
              <w:tc>
                <w:tcPr>
                  <w:tcW w:w="2074" w:type="pct"/>
                  <w:vAlign w:val="center"/>
                </w:tcPr>
                <w:p w14:paraId="518ADC0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57281943">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13E4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0BBC626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5174755">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（17）除上述空间布局约束外，还应遵循国土空间规划管控要求。</w:t>
                  </w:r>
                </w:p>
              </w:tc>
              <w:tc>
                <w:tcPr>
                  <w:tcW w:w="2074" w:type="pct"/>
                  <w:vAlign w:val="center"/>
                </w:tcPr>
                <w:p w14:paraId="791859C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项目建设符合国土空间规划要求。</w:t>
                  </w:r>
                </w:p>
              </w:tc>
              <w:tc>
                <w:tcPr>
                  <w:tcW w:w="347" w:type="pct"/>
                  <w:vAlign w:val="center"/>
                </w:tcPr>
                <w:p w14:paraId="3638EF3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E9A5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restart"/>
                  <w:vAlign w:val="center"/>
                </w:tcPr>
                <w:p w14:paraId="0D0DAEB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污染物排放管控</w:t>
                  </w:r>
                </w:p>
              </w:tc>
              <w:tc>
                <w:tcPr>
                  <w:tcW w:w="2170" w:type="pct"/>
                  <w:vAlign w:val="center"/>
                </w:tcPr>
                <w:p w14:paraId="60F3F0CD">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以有色金属、建材、制糖、石化化工、造纸等行业为重点，推进节能改造和污染物深度治理；新建、改建、扩建的制浆造纸、印染、纺织、煤化工、石化、煤电等建设项目新增主要污染物排放应控制在区域总量的要求，确保环境质量达标</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0969D84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项目不涉及所列行业。</w:t>
                  </w:r>
                </w:p>
              </w:tc>
              <w:tc>
                <w:tcPr>
                  <w:tcW w:w="347" w:type="pct"/>
                  <w:vAlign w:val="center"/>
                </w:tcPr>
                <w:p w14:paraId="3C9A82D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384B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53545293">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64F0A12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7E622CA7">
                  <w:pPr>
                    <w:adjustRightInd w:val="0"/>
                    <w:snapToGrid w:val="0"/>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p>
              </w:tc>
              <w:tc>
                <w:tcPr>
                  <w:tcW w:w="347" w:type="pct"/>
                  <w:vAlign w:val="center"/>
                </w:tcPr>
                <w:p w14:paraId="1757EF51">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C401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35AA3B3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EAF90D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开展陆海统筹流域治理，深化钦江、大风江、茅岭江、南流江等流域水环境综合整治，钦江、南流江流域切实开展截污、拔污、清污、治污专项行动，以“控磷除氮”为重点，抓好养殖、生活、工业、农业面源等污染综合治理和河道生态修复，推进河流入海断面水质持续改善，进一步削减入海河流总氮、总磷等的排海量。全面开展茅尾海、钦州湾等重点海域综合整治。严厉打击非法用海抽砂行为，优化茅尾海等海域养殖规划布局，整治非法养殖。完善钦州港区污水截流及雨污分流、海上水产养殖尾水整治。</w:t>
                  </w:r>
                </w:p>
              </w:tc>
              <w:tc>
                <w:tcPr>
                  <w:tcW w:w="2074" w:type="pct"/>
                  <w:vAlign w:val="center"/>
                </w:tcPr>
                <w:p w14:paraId="10536CD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6B83D99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17F8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02B96E3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EC68B07">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完善城镇污水处理厂配套管网建设，加强乡镇级污水处理设施及配套管网建设和改造，实施雨污分流改造，持续开展入河排污口整治，强化城镇生活污染源治理，建立健全生活污水收集、处理体系，推进城镇污水处理设施和服务向农村延伸，提高污水收集处理率，污水处理设施应增加脱氮、除磷工序。持续推进市、县级城市黑臭水体整治</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41D04ADC">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p>
              </w:tc>
              <w:tc>
                <w:tcPr>
                  <w:tcW w:w="347" w:type="pct"/>
                  <w:vAlign w:val="center"/>
                </w:tcPr>
                <w:p w14:paraId="6ED4B70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1150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523DB51">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0BA19F2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加强工业企业无组织废气排放控制，加强挥发性有机物（VOCs）排放企业综合防治，加快高效VOCs收集治理设施建设，大力提升VOCs排放收集率、去除率和治理设施运行率。推进工业涂装、石化、包装印刷、木材加工、汽修等行业和油品储运销的VOCs综合治理</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52633DC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切割粉尘和焊接烟尘经配套的移动式烟尘净化器处理后无组织排放；抛丸粉尘分别经设备自带的滤筒除尘器处理后通过20m排气筒（DA001和DA002）排放；喷漆废气（漆雾和有机废气）密闭负压收集至“水帘柜+过滤棉+1＃二级活性炭吸附装置”处理后通过20m排气筒（DA003）排放；危废暂存间废气密闭负压收集至2＃二级活性炭吸附装置处理后通过20m排气筒（DA004）排放</w:t>
                  </w:r>
                  <w:r>
                    <w:rPr>
                      <w:rFonts w:hint="eastAsia"/>
                      <w:snapToGrid w:val="0"/>
                      <w:color w:val="0D0D0D" w:themeColor="text1" w:themeTint="F2"/>
                      <w:kern w:val="0"/>
                      <w:szCs w:val="21"/>
                      <w14:textFill>
                        <w14:solidFill>
                          <w14:schemeClr w14:val="tx1">
                            <w14:lumMod w14:val="95000"/>
                            <w14:lumOff w14:val="5000"/>
                          </w14:schemeClr>
                        </w14:solidFill>
                      </w14:textFill>
                    </w:rPr>
                    <w:t>。</w:t>
                  </w:r>
                </w:p>
              </w:tc>
              <w:tc>
                <w:tcPr>
                  <w:tcW w:w="347" w:type="pct"/>
                  <w:vAlign w:val="center"/>
                </w:tcPr>
                <w:p w14:paraId="44461EB6">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8139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2F7B2F3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23CE9C62">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（6）完善园区集中供热设施，积极推广集中供热，有条件的工业聚集区建设集中喷涂工程中心，配备高效治污设施，替代企业独立喷涂工序</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485221C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11E7E39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4EAB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719179A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74F5FC4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（7）推进城镇生活垃圾处理基础设施扩能建设，强化渗滤液处理设施运营管理，防止渗滤液积存或违规倾倒垃圾渗滤液至市政管网；加强农村生活垃圾收运、处理体系建设，降低农村垃圾焚烧污染</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1BDBF135">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项目生活垃圾分类集中收集后由环卫部门清运处置。</w:t>
                  </w:r>
                </w:p>
              </w:tc>
              <w:tc>
                <w:tcPr>
                  <w:tcW w:w="347" w:type="pct"/>
                  <w:vAlign w:val="center"/>
                </w:tcPr>
                <w:p w14:paraId="5FC147C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2148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0C9E438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2E9267DE">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（8）新建、改建、扩建涉及重点重金属排放建设项目依照相关规定实行总量控制</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41A77BD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项目不属于涉重项目。</w:t>
                  </w:r>
                </w:p>
              </w:tc>
              <w:tc>
                <w:tcPr>
                  <w:tcW w:w="347" w:type="pct"/>
                  <w:vAlign w:val="center"/>
                </w:tcPr>
                <w:p w14:paraId="5147299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6771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57A28E23">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233BB9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9）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2074" w:type="pct"/>
                  <w:vAlign w:val="center"/>
                </w:tcPr>
                <w:p w14:paraId="65B078C1">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项目不属于“两高”项目。</w:t>
                  </w:r>
                </w:p>
              </w:tc>
              <w:tc>
                <w:tcPr>
                  <w:tcW w:w="347" w:type="pct"/>
                  <w:vAlign w:val="center"/>
                </w:tcPr>
                <w:p w14:paraId="3E15695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6C558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31D354D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36A503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（10）加强海陆联动，严格控制陆源污染物排放。规范入海排污口设置，全面清理非法或设置不合理的入海排污口。加快推进钦州港三墩作业区配套深海排放管道工程。</w:t>
                  </w:r>
                </w:p>
              </w:tc>
              <w:tc>
                <w:tcPr>
                  <w:tcW w:w="2074" w:type="pct"/>
                  <w:vAlign w:val="center"/>
                </w:tcPr>
                <w:p w14:paraId="70930EF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项目不设置入海排污口。</w:t>
                  </w:r>
                </w:p>
              </w:tc>
              <w:tc>
                <w:tcPr>
                  <w:tcW w:w="347" w:type="pct"/>
                  <w:vAlign w:val="center"/>
                </w:tcPr>
                <w:p w14:paraId="54B2D9A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F46B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29039A7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0A4A0015">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11）积极治理船舶污染，推进与城市公共转运及处置设施的有效衔接，全面贯彻落实《广西北部湾港船舶污染物接收、转运、处置能力评估及相应设施建设方案》，建设完善船舶污染物接收处理设施，提高含油污水、化学品洗舱水、船舶垃圾等接收处置能力及污染事故应急能力。加强钦州港码头和船舶修造厂等绿色岸电、环卫设施、污水处理设施建设使用。</w:t>
                  </w:r>
                </w:p>
              </w:tc>
              <w:tc>
                <w:tcPr>
                  <w:tcW w:w="2074" w:type="pct"/>
                  <w:vAlign w:val="center"/>
                </w:tcPr>
                <w:p w14:paraId="53F1DD3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00C0CB5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ED90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5629CC4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C8EBBA7">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12）加强港口码头环保基础设施处理和建设。完善堆场防风抑尘设施，降低扬尘污染。港区实行雨污分流和污水分质处理，防止堆场废水通过雨水沟直排入海，完善配套污水处理设施和管网建设，实现污水集中处理、回用或达标排放。</w:t>
                  </w:r>
                </w:p>
              </w:tc>
              <w:tc>
                <w:tcPr>
                  <w:tcW w:w="2074" w:type="pct"/>
                  <w:vAlign w:val="center"/>
                </w:tcPr>
                <w:p w14:paraId="2AC1B2D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63F5916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16E7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70DDB7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79A9CF81">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2074" w:type="pct"/>
                  <w:vAlign w:val="center"/>
                </w:tcPr>
                <w:p w14:paraId="028A6F32">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p>
              </w:tc>
              <w:tc>
                <w:tcPr>
                  <w:tcW w:w="347" w:type="pct"/>
                  <w:vAlign w:val="center"/>
                </w:tcPr>
                <w:p w14:paraId="13D870D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66D6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3680A98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00F3B593">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14）按照养殖容量控制养殖规模和养殖密度，发展健康、生态养殖方式，推动海水养殖环保设施建设，规范海水养殖尾水排放，加强对蓝圆鲹和二长棘鲷产卵场的保护。旅游休闲娱乐区的污水和垃圾应科学处置、达标排放，禁止直接排入海域</w:t>
                  </w:r>
                </w:p>
              </w:tc>
              <w:tc>
                <w:tcPr>
                  <w:tcW w:w="2074" w:type="pct"/>
                  <w:vAlign w:val="center"/>
                </w:tcPr>
                <w:p w14:paraId="2089779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54BE5FC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B74F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DD2CF8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2B7112A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（15）推动造纸行业节能改造，加大有机废液、有机废物、生物质气体的回收利用，固体废物近零排放。</w:t>
                  </w:r>
                </w:p>
              </w:tc>
              <w:tc>
                <w:tcPr>
                  <w:tcW w:w="2074" w:type="pct"/>
                  <w:vAlign w:val="center"/>
                </w:tcPr>
                <w:p w14:paraId="2BE4DCD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05F8237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DD5B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restart"/>
                  <w:vAlign w:val="center"/>
                </w:tcPr>
                <w:p w14:paraId="714F70B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环境风险防控</w:t>
                  </w:r>
                </w:p>
              </w:tc>
              <w:tc>
                <w:tcPr>
                  <w:tcW w:w="2170" w:type="pct"/>
                  <w:vAlign w:val="center"/>
                </w:tcPr>
                <w:p w14:paraId="0FA3B21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15F2CF4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项目在落实各项风险防范措施后，环境风险可控。</w:t>
                  </w:r>
                </w:p>
              </w:tc>
              <w:tc>
                <w:tcPr>
                  <w:tcW w:w="347" w:type="pct"/>
                  <w:vAlign w:val="center"/>
                </w:tcPr>
                <w:p w14:paraId="1F06AAD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9EA1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6A2CFC7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ADF1F2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（2）选择涉重涉危企业、化工园区、集中式饮用水水源地等重要区域开展突发环境事件风险、环境健康风险评估，实施分类分级风险管控</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3CBAE98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699E532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0CFD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2547A59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48A96BF3">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强化饮用水水源地环境风险排查，加强环境风险源管理，建立健全饮用水水源地应急预案。推进县级及以上饮用水水源地自动监测预警能力建设，实施水源地应急防护工程。加强大气污染防治协作和部门联动，建立健全大气污染联防联控机制。建立健全用地土壤环境联动监督管理机制，实行联动监管</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269F230B">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项目评价范围不涉及饮用水水源地。</w:t>
                  </w:r>
                </w:p>
              </w:tc>
              <w:tc>
                <w:tcPr>
                  <w:tcW w:w="347" w:type="pct"/>
                  <w:vAlign w:val="center"/>
                </w:tcPr>
                <w:p w14:paraId="421027B3">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ADFA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41260AF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6B8034D2">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（4）严格建设项目环境准入，永久基本农田集中区域禁止规划新建可能造成土壤污染的建设项目；新（改、扩）建涉有毒有害物质可能造成土壤污染的建设项目，提出并落实污染防治要求</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3077485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项目不涉及基本农田，厂区实行分区防渗措施。</w:t>
                  </w:r>
                </w:p>
              </w:tc>
              <w:tc>
                <w:tcPr>
                  <w:tcW w:w="347" w:type="pct"/>
                  <w:vAlign w:val="center"/>
                </w:tcPr>
                <w:p w14:paraId="6B1EE26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A382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11FB077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66599573">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（5）强化全域矿产资源开发监管，建立矿石生态环境动态监测网络，禁止矿山废水、废气、废渣的无序排放。</w:t>
                  </w:r>
                </w:p>
              </w:tc>
              <w:tc>
                <w:tcPr>
                  <w:tcW w:w="2074" w:type="pct"/>
                  <w:vAlign w:val="center"/>
                </w:tcPr>
                <w:p w14:paraId="15C7525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项目不属于矿产资源利用项目。</w:t>
                  </w:r>
                </w:p>
              </w:tc>
              <w:tc>
                <w:tcPr>
                  <w:tcW w:w="347" w:type="pct"/>
                  <w:vAlign w:val="center"/>
                </w:tcPr>
                <w:p w14:paraId="1AAEAD3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6CA5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1642A7B6">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1628BE3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严格管控涉海重大工程环境风险，全面排查陆域环境风险源、海上溢油、危险化学品泄漏等环境风险隐患，健全完善海上溢油及危化品泄漏污染环境应急响应机制，完善分类分级的海上应急监测及处置预案，在石化基地、危化品储存区等邻近海域部署快速监测能力和应急处置物资设备。建立健全海洋生态补偿和生态损害赔偿制度</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341640A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54BB76D3">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56D8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0B9B8EF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69C957B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（7）强化沿海工业园区和沿海石油、石化、化工、冶炼及危化品储运等企业的环境风险防控，加强企业和园区环境应急物资储备</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6C374FE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项目后期落实各项环境风险防范措施。</w:t>
                  </w:r>
                </w:p>
              </w:tc>
              <w:tc>
                <w:tcPr>
                  <w:tcW w:w="347" w:type="pct"/>
                  <w:vAlign w:val="center"/>
                </w:tcPr>
                <w:p w14:paraId="2101999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C267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65E1DD3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24F0D11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（8）加强海洋生态灾害应急体系建设，强化海水浴场、电厂取排水口等海洋生态灾害高风险区域的联防联控。</w:t>
                  </w:r>
                </w:p>
              </w:tc>
              <w:tc>
                <w:tcPr>
                  <w:tcW w:w="2074" w:type="pct"/>
                  <w:vAlign w:val="center"/>
                </w:tcPr>
                <w:p w14:paraId="4591283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6CC13BF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B520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7BF4170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E251102">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（9）加强倾倒区使用状况监督管理工作，做好废弃物向海洋倾倒活动的风险管控</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4F0A581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5AE12B96">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EBF4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restart"/>
                  <w:vAlign w:val="center"/>
                </w:tcPr>
                <w:p w14:paraId="650FF19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资源开发利用效率要求</w:t>
                  </w:r>
                </w:p>
              </w:tc>
              <w:tc>
                <w:tcPr>
                  <w:tcW w:w="2170" w:type="pct"/>
                  <w:vAlign w:val="center"/>
                </w:tcPr>
                <w:p w14:paraId="2FB4593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能源：强化和完善能耗双控制度，严格落实《石化化工重点行业严格能效约束推动节能降碳行动方案（2021－2025年）》等有关要求。推进绿色清洁能源生产，推进重点行业和重要领域绿色化改造，打造绿色园区和绿色企业，促进工业园区、产业集聚区低碳循环化发展。推动能源多元清洁发展，培育发展清洁能源和可再生能源产业，锂电池制造及风电、光伏发电、生物质发电等清洁能源产业发展要符合相应能源规划和国土空间规划的要求；推动能源清洁低碳安全高效利用，合理控制煤炭消费。落实国家碳排放达峰行动方案，降低碳排放强度。海洋石油勘探开发严格执行《中华人民共和国海洋石油勘探开发环境保护管理条例》要求。</w:t>
                  </w:r>
                </w:p>
              </w:tc>
              <w:tc>
                <w:tcPr>
                  <w:tcW w:w="2074" w:type="pct"/>
                  <w:vAlign w:val="center"/>
                </w:tcPr>
                <w:p w14:paraId="34CF7CA1">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项目所用能源主要为电能和水。</w:t>
                  </w:r>
                </w:p>
              </w:tc>
              <w:tc>
                <w:tcPr>
                  <w:tcW w:w="347" w:type="pct"/>
                  <w:vAlign w:val="center"/>
                </w:tcPr>
                <w:p w14:paraId="16ED0AA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A746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2C3A867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C462700">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（2）土地资源：严格执行自治区下达的土地资源利用总量及效率管控指标要求。突出节约集约用海原则，合理控制规模，优化空间布局，提高海域空间资源的整体使用效能</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0A5310AE">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项目土地资源消耗量相对区域资源利用总量较少。</w:t>
                  </w:r>
                </w:p>
              </w:tc>
              <w:tc>
                <w:tcPr>
                  <w:tcW w:w="347" w:type="pct"/>
                  <w:vAlign w:val="center"/>
                </w:tcPr>
                <w:p w14:paraId="2FB3A95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6DB10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7FE2CBD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3AB2AF87">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水资源：实行水资源消耗总量和强度“双控”。严格用水总量指标管理，健全市、县（区、市）行政区域的用水总量控制指标体系，统筹生活、生产、生态用水，大力推进农业、工业、城镇等领域节水。严格按照地下水开发利用控制目标控制地下水资源开采</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74049F5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项目用水由园区市政管网供给，用水量较少，不涉及地下水。</w:t>
                  </w:r>
                </w:p>
              </w:tc>
              <w:tc>
                <w:tcPr>
                  <w:tcW w:w="347" w:type="pct"/>
                  <w:vAlign w:val="center"/>
                </w:tcPr>
                <w:p w14:paraId="7061A98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E12D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3CB75BF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6150441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矿产资源：严格执行自治区、市、县矿产资源总体规划中关于矿产资源开发管控和矿产资源高效利用的目标要求。着力提高资源开发利用效率和水平，加快发展绿色矿业；严格控制海岸线的开发建设、海砂开采活动，规范海砂资源开发秩序，加强海岸沙滩保护和矿产开发监管</w:t>
                  </w:r>
                  <w:r>
                    <w:rPr>
                      <w:snapToGrid w:val="0"/>
                      <w:color w:val="0D0D0D" w:themeColor="text1" w:themeTint="F2"/>
                      <w:kern w:val="0"/>
                      <w:szCs w:val="21"/>
                      <w14:textFill>
                        <w14:solidFill>
                          <w14:schemeClr w14:val="tx1">
                            <w14:lumMod w14:val="95000"/>
                            <w14:lumOff w14:val="5000"/>
                          </w14:schemeClr>
                        </w14:solidFill>
                      </w14:textFill>
                    </w:rPr>
                    <w:t>。</w:t>
                  </w:r>
                </w:p>
              </w:tc>
              <w:tc>
                <w:tcPr>
                  <w:tcW w:w="2074" w:type="pct"/>
                  <w:vAlign w:val="center"/>
                </w:tcPr>
                <w:p w14:paraId="5F50D7A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项目不涉及矿产资源。</w:t>
                  </w:r>
                </w:p>
              </w:tc>
              <w:tc>
                <w:tcPr>
                  <w:tcW w:w="347" w:type="pct"/>
                  <w:vAlign w:val="center"/>
                </w:tcPr>
                <w:p w14:paraId="3B6E35C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5843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03D9CEE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5E272E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岸线资源：涉及岸线开发的工业区和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2074" w:type="pct"/>
                  <w:vAlign w:val="center"/>
                </w:tcPr>
                <w:p w14:paraId="6B5E76E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项目不涉及岸线资源。</w:t>
                  </w:r>
                </w:p>
              </w:tc>
              <w:tc>
                <w:tcPr>
                  <w:tcW w:w="347" w:type="pct"/>
                  <w:vAlign w:val="center"/>
                </w:tcPr>
                <w:p w14:paraId="2204999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6125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Merge w:val="continue"/>
                  <w:vAlign w:val="center"/>
                </w:tcPr>
                <w:p w14:paraId="5B36733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170" w:type="pct"/>
                  <w:vAlign w:val="center"/>
                </w:tcPr>
                <w:p w14:paraId="52EFFFE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（6）高污染燃料禁燃区：禁止新建、扩建燃用高污染燃料的项目和设施，已经建成的应逐步或依法限期改用天然气、电或其他清洁能源。</w:t>
                  </w:r>
                </w:p>
              </w:tc>
              <w:tc>
                <w:tcPr>
                  <w:tcW w:w="2074" w:type="pct"/>
                  <w:vAlign w:val="center"/>
                </w:tcPr>
                <w:p w14:paraId="5C38BD0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7" w:type="pct"/>
                  <w:vAlign w:val="center"/>
                </w:tcPr>
                <w:p w14:paraId="07B857F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bl>
          <w:p w14:paraId="482C63BA">
            <w:pPr>
              <w:autoSpaceDE w:val="0"/>
              <w:autoSpaceDN w:val="0"/>
              <w:adjustRightInd w:val="0"/>
              <w:snapToGrid w:val="0"/>
              <w:spacing w:before="120" w:beforeLines="50" w:after="0"/>
              <w:jc w:val="center"/>
              <w:rPr>
                <w:rFonts w:cs="宋体"/>
                <w:b/>
                <w:bCs/>
                <w:color w:val="0D0D0D" w:themeColor="text1" w:themeTint="F2"/>
                <w:kern w:val="0"/>
                <w:szCs w:val="21"/>
                <w14:textFill>
                  <w14:solidFill>
                    <w14:schemeClr w14:val="tx1">
                      <w14:lumMod w14:val="95000"/>
                      <w14:lumOff w14:val="5000"/>
                    </w14:schemeClr>
                  </w14:solidFill>
                </w14:textFill>
              </w:rPr>
            </w:pPr>
            <w:r>
              <w:rPr>
                <w:rFonts w:hint="eastAsia" w:cs="宋体"/>
                <w:b/>
                <w:bCs/>
                <w:color w:val="0D0D0D" w:themeColor="text1" w:themeTint="F2"/>
                <w:kern w:val="0"/>
                <w:szCs w:val="21"/>
                <w14:textFill>
                  <w14:solidFill>
                    <w14:schemeClr w14:val="tx1">
                      <w14:lumMod w14:val="95000"/>
                      <w14:lumOff w14:val="5000"/>
                    </w14:schemeClr>
                  </w14:solidFill>
                </w14:textFill>
              </w:rPr>
              <w:t>表1</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5</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与钦州港经济技术开发区重点管控单元准入要求相符性</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2726"/>
              <w:gridCol w:w="2937"/>
              <w:gridCol w:w="465"/>
            </w:tblGrid>
            <w:tr w14:paraId="2F473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53" w:type="pct"/>
                  <w:gridSpan w:val="2"/>
                  <w:vAlign w:val="center"/>
                </w:tcPr>
                <w:p w14:paraId="69FAC27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生态环境准入清单要求</w:t>
                  </w:r>
                </w:p>
              </w:tc>
              <w:tc>
                <w:tcPr>
                  <w:tcW w:w="2199" w:type="pct"/>
                  <w:vAlign w:val="center"/>
                </w:tcPr>
                <w:p w14:paraId="54033EA6">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项目情况</w:t>
                  </w:r>
                </w:p>
              </w:tc>
              <w:tc>
                <w:tcPr>
                  <w:tcW w:w="348" w:type="pct"/>
                  <w:vAlign w:val="center"/>
                </w:tcPr>
                <w:p w14:paraId="1B8743F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结论</w:t>
                  </w:r>
                </w:p>
              </w:tc>
            </w:tr>
            <w:tr w14:paraId="1481A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restart"/>
                  <w:vAlign w:val="center"/>
                </w:tcPr>
                <w:p w14:paraId="5A03535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空间布局约束</w:t>
                  </w:r>
                </w:p>
              </w:tc>
              <w:tc>
                <w:tcPr>
                  <w:tcW w:w="2041" w:type="pct"/>
                  <w:vAlign w:val="center"/>
                </w:tcPr>
                <w:p w14:paraId="4CA15EAA">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（1）引进项目清洁生产水平须达到国内同行业先进水平。不得引进与园区产业定位不符的产业。</w:t>
                  </w:r>
                </w:p>
              </w:tc>
              <w:tc>
                <w:tcPr>
                  <w:tcW w:w="2199" w:type="pct"/>
                  <w:vAlign w:val="center"/>
                </w:tcPr>
                <w:p w14:paraId="65B977B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建设符合国家和地方产业政策要求，主要服务于广西石化CC项目库区主体工程一、三标段集中防腐等业务，属于园区石油储备区主导产业的配套环节，且项目已取得中马钦州产业园自然资源局出具的选址意见，原则同意项目临时选址，当规划建设需要时，需无条件按照规划要求整改并恢复原貌。</w:t>
                  </w:r>
                </w:p>
              </w:tc>
              <w:tc>
                <w:tcPr>
                  <w:tcW w:w="348" w:type="pct"/>
                  <w:vAlign w:val="center"/>
                </w:tcPr>
                <w:p w14:paraId="1732D77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67A85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4C734E8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7E981B61">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（2）禁止新建不符合国家产业政策的生产项目以及其他不符合园区产业规划的严重污染水环境的生产项目。</w:t>
                  </w:r>
                </w:p>
              </w:tc>
              <w:tc>
                <w:tcPr>
                  <w:tcW w:w="2199" w:type="pct"/>
                  <w:vAlign w:val="center"/>
                </w:tcPr>
                <w:p w14:paraId="2C5F5AFD">
                  <w:pPr>
                    <w:adjustRightInd w:val="0"/>
                    <w:snapToGrid w:val="0"/>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项目符合国家产业政策要求，</w:t>
                  </w: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r>
                    <w:rPr>
                      <w:rFonts w:hint="eastAsia"/>
                      <w:snapToGrid w:val="0"/>
                      <w:color w:val="0D0D0D" w:themeColor="text1" w:themeTint="F2"/>
                      <w:kern w:val="0"/>
                      <w:szCs w:val="21"/>
                      <w14:textFill>
                        <w14:solidFill>
                          <w14:schemeClr w14:val="tx1">
                            <w14:lumMod w14:val="95000"/>
                            <w14:lumOff w14:val="5000"/>
                          </w14:schemeClr>
                        </w14:solidFill>
                      </w14:textFill>
                    </w:rPr>
                    <w:t>。</w:t>
                  </w:r>
                </w:p>
              </w:tc>
              <w:tc>
                <w:tcPr>
                  <w:tcW w:w="348" w:type="pct"/>
                  <w:vAlign w:val="center"/>
                </w:tcPr>
                <w:p w14:paraId="61327466">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EB9E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40AE4E9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7A09E4B2">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（3）严格“两高”建设项目环境准入，新建、改建、扩建“两高”项目须符合生态环境保护法律法规和相关法定规划，满足重点污染物总量控制、相关规划环评和相应行业建设项目环境准入条件等要求</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68978BCE">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项目不属于“两高”项目。</w:t>
                  </w:r>
                </w:p>
              </w:tc>
              <w:tc>
                <w:tcPr>
                  <w:tcW w:w="348" w:type="pct"/>
                  <w:vAlign w:val="center"/>
                </w:tcPr>
                <w:p w14:paraId="18DB438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627A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2C96576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1EA4FA05">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园区产业准入执行《广西壮族自治区人民政府办公厅关于印发北钦防一体化产业协同发展限制布局清单（工业类2021年版）的通知》（桂政办函〔2021〕4号）要求，限制新建水泥制造、建筑陶瓷制品制造、制革及毛皮加工等工业项目</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3A184A3D">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项目不属于《广西壮族自治区人民政府办公厅关于印发北钦防一体化产业协同发展限制布局清单（工业类2021年版）的通知》（桂政办函〔2021〕4号）中的限制类项目。</w:t>
                  </w:r>
                </w:p>
              </w:tc>
              <w:tc>
                <w:tcPr>
                  <w:tcW w:w="348" w:type="pct"/>
                  <w:vAlign w:val="center"/>
                </w:tcPr>
                <w:p w14:paraId="50E4D76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4733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6946DB7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5E5D946E">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（5）严格执行危险化学品“禁限控”目录，新建危险化学品生产项目必须进入一般或较低安全风险等级的化工园区</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47142F01">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8" w:type="pct"/>
                  <w:vAlign w:val="center"/>
                </w:tcPr>
                <w:p w14:paraId="6C5C1A8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4ED8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730D8DF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6A0CEF7C">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园区周边1公里范围内临近生态保护红线（广西茅尾海红树林自治区级自然保护区）以及金窝水库饮用水水源保护区生态环境敏感区域，应优化产业布局，控制开发强度，新建、改建、扩建项目要采取切实可行的环保措施，降低对周边生态环境敏感区域的影响</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0D4C5A7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8" w:type="pct"/>
                  <w:vAlign w:val="center"/>
                </w:tcPr>
                <w:p w14:paraId="453748B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21C3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restart"/>
                  <w:vAlign w:val="center"/>
                </w:tcPr>
                <w:p w14:paraId="58039F8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污染物排放管控</w:t>
                  </w:r>
                </w:p>
              </w:tc>
              <w:tc>
                <w:tcPr>
                  <w:tcW w:w="2041" w:type="pct"/>
                  <w:vAlign w:val="center"/>
                </w:tcPr>
                <w:p w14:paraId="1E0C5F0E">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（1）持续推进石化、化工等行业节能降碳改造；推动石化、化工等重点行业挥发性有机物（VOCs）污染防治。推动石化行业VOCs泄漏检测与修复行动、VOCs削减和有毒有害原料替代</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5BA7617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项目不属于石化、化工行业。</w:t>
                  </w:r>
                </w:p>
              </w:tc>
              <w:tc>
                <w:tcPr>
                  <w:tcW w:w="348" w:type="pct"/>
                  <w:vAlign w:val="center"/>
                </w:tcPr>
                <w:p w14:paraId="3F531A13">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6F25E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3E8929E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2F184487">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（2）石化行业全面推进行业达标排放改造，新建、改建、扩建涉及重点重金属排放建设项目依照相关规定实行总量控制</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5109B3D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项目不属于石化行业，不涉及重点重金属排放。</w:t>
                  </w:r>
                </w:p>
              </w:tc>
              <w:tc>
                <w:tcPr>
                  <w:tcW w:w="348" w:type="pct"/>
                  <w:vAlign w:val="center"/>
                </w:tcPr>
                <w:p w14:paraId="7C449C1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6D2E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1BD0AF0A">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2FD7D69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完善工业园区污水集中处理设施和配套管网。实行“清污分流、雨污分流”，实现废水分类收集、分质处理，入园企业应在达到国家或地方规定的排放标准后接入集中式污水处理设施处理，园区集中式污水处理设施总排口应安装自动监控系统、视频监控系统，并与生态环境主管部门联网。加快推进深海排放基础设施建设。</w:t>
                  </w:r>
                </w:p>
              </w:tc>
              <w:tc>
                <w:tcPr>
                  <w:tcW w:w="2199" w:type="pct"/>
                  <w:vAlign w:val="center"/>
                </w:tcPr>
                <w:p w14:paraId="06505565">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p>
              </w:tc>
              <w:tc>
                <w:tcPr>
                  <w:tcW w:w="348" w:type="pct"/>
                  <w:vAlign w:val="center"/>
                </w:tcPr>
                <w:p w14:paraId="52E8C4C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7777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23EB64B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18846C5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（4）加强园区无组织废气排放管理。</w:t>
                  </w:r>
                </w:p>
              </w:tc>
              <w:tc>
                <w:tcPr>
                  <w:tcW w:w="2199" w:type="pct"/>
                  <w:vAlign w:val="center"/>
                </w:tcPr>
                <w:p w14:paraId="2B3D42F6">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w:t>
                  </w:r>
                  <w:r>
                    <w:rPr>
                      <w:rFonts w:hint="eastAsia"/>
                      <w:color w:val="0D0D0D" w:themeColor="text1" w:themeTint="F2"/>
                      <w14:textFill>
                        <w14:solidFill>
                          <w14:schemeClr w14:val="tx1">
                            <w14:lumMod w14:val="95000"/>
                            <w14:lumOff w14:val="5000"/>
                          </w14:schemeClr>
                        </w14:solidFill>
                      </w14:textFill>
                    </w:rPr>
                    <w:t>切割粉尘和焊接烟尘经配套的移动式烟尘净化器处理后无组织排放；抛丸粉尘分别经设备自带的滤筒除尘器处理后通过20m排气筒（DA001和DA002）排放；喷漆废气（漆雾和有机废气）密闭负压收集至“水帘柜+过滤棉+1＃二级活性炭吸附装置”处理后通过20m排气筒（DA003）排放；危废暂存间废气密闭负压收集至2＃二级活性炭吸附装置处理后通过20m排气筒（DA004）排放。</w:t>
                  </w:r>
                </w:p>
              </w:tc>
              <w:tc>
                <w:tcPr>
                  <w:tcW w:w="348" w:type="pct"/>
                  <w:vAlign w:val="center"/>
                </w:tcPr>
                <w:p w14:paraId="683EACC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8AE1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4D3268F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21F09DAD">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（5）强化固体废物减量化、资源化和无害化控制原则处置，尽量实现废物的综合利用，危险废物应交由有危废处理资质的单位进行安全处置</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26DDAB33">
                  <w:pPr>
                    <w:adjustRightInd w:val="0"/>
                    <w:snapToGrid w:val="0"/>
                    <w:spacing w:after="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项目一般固废收集后暂存于一般固废暂存间，外售第三方单位资源化利用；危险废物暂存于危废暂存间，并委托有资质单位清运处置；生活垃圾分类集中收集后由环卫部门清运处置。</w:t>
                  </w:r>
                </w:p>
              </w:tc>
              <w:tc>
                <w:tcPr>
                  <w:tcW w:w="348" w:type="pct"/>
                  <w:vAlign w:val="center"/>
                </w:tcPr>
                <w:p w14:paraId="20FD839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A679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0AA7374B">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4C00F8AF">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（6）持续推进工业污染源全面达标排放，推进园区技术、工艺、设备等实施能效提升、清洁生产、循环利用等专项技术改造</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5C513381">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项目采取各项污染防治措施后，污染物均可达标排放或得到妥善处置。</w:t>
                  </w:r>
                </w:p>
              </w:tc>
              <w:tc>
                <w:tcPr>
                  <w:tcW w:w="348" w:type="pct"/>
                  <w:vAlign w:val="center"/>
                </w:tcPr>
                <w:p w14:paraId="3231C53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29B6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323DBA92">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052B421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（7）2025年，PM</w:t>
                  </w:r>
                  <w:r>
                    <w:rPr>
                      <w:rFonts w:hint="eastAsia"/>
                      <w:snapToGrid w:val="0"/>
                      <w:color w:val="0D0D0D" w:themeColor="text1" w:themeTint="F2"/>
                      <w:kern w:val="0"/>
                      <w:szCs w:val="21"/>
                      <w:vertAlign w:val="subscript"/>
                      <w14:textFill>
                        <w14:solidFill>
                          <w14:schemeClr w14:val="tx1">
                            <w14:lumMod w14:val="95000"/>
                            <w14:lumOff w14:val="5000"/>
                          </w14:schemeClr>
                        </w14:solidFill>
                      </w14:textFill>
                    </w:rPr>
                    <w:t>2.5</w:t>
                  </w:r>
                  <w:r>
                    <w:rPr>
                      <w:rFonts w:hint="eastAsia"/>
                      <w:snapToGrid w:val="0"/>
                      <w:color w:val="0D0D0D" w:themeColor="text1" w:themeTint="F2"/>
                      <w:kern w:val="0"/>
                      <w:szCs w:val="21"/>
                      <w14:textFill>
                        <w14:solidFill>
                          <w14:schemeClr w14:val="tx1">
                            <w14:lumMod w14:val="95000"/>
                            <w14:lumOff w14:val="5000"/>
                          </w14:schemeClr>
                        </w14:solidFill>
                      </w14:textFill>
                    </w:rPr>
                    <w:t>浓度不高于26.5微克/立方米，实际考核目标以国家、自治区下达为准</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6793380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8" w:type="pct"/>
                  <w:vAlign w:val="center"/>
                </w:tcPr>
                <w:p w14:paraId="15D97648">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C1BB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restart"/>
                  <w:vAlign w:val="center"/>
                </w:tcPr>
                <w:p w14:paraId="2EC37441">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环境风险防控</w:t>
                  </w:r>
                </w:p>
              </w:tc>
              <w:tc>
                <w:tcPr>
                  <w:tcW w:w="2041" w:type="pct"/>
                  <w:vAlign w:val="center"/>
                </w:tcPr>
                <w:p w14:paraId="1B4FBAC8">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（1）开展环境风险评估，制定突发环境事件应急预案并备案，配备应急能力和物资，建设环境应急队伍，并定期演练。企业、园区与地方人民政府环境应急预案应当有机衔接</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5CBD43FA">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项目后期编制突发环境事件应急预案，并按要求备案</w:t>
                  </w:r>
                  <w:r>
                    <w:rPr>
                      <w:rFonts w:hint="eastAsia"/>
                      <w:snapToGrid w:val="0"/>
                      <w:color w:val="0D0D0D" w:themeColor="text1" w:themeTint="F2"/>
                      <w:kern w:val="0"/>
                      <w:szCs w:val="21"/>
                      <w14:textFill>
                        <w14:solidFill>
                          <w14:schemeClr w14:val="tx1">
                            <w14:lumMod w14:val="95000"/>
                            <w14:lumOff w14:val="5000"/>
                          </w14:schemeClr>
                        </w14:solidFill>
                      </w14:textFill>
                    </w:rPr>
                    <w:t>。</w:t>
                  </w:r>
                </w:p>
              </w:tc>
              <w:tc>
                <w:tcPr>
                  <w:tcW w:w="348" w:type="pct"/>
                  <w:vAlign w:val="center"/>
                </w:tcPr>
                <w:p w14:paraId="63E5A5E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4021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4DB0721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0515556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w:t>
                  </w:r>
                  <w:r>
                    <w:rPr>
                      <w:snapToGrid w:val="0"/>
                      <w:color w:val="0D0D0D" w:themeColor="text1" w:themeTint="F2"/>
                      <w:kern w:val="0"/>
                      <w:szCs w:val="21"/>
                      <w14:textFill>
                        <w14:solidFill>
                          <w14:schemeClr w14:val="tx1">
                            <w14:lumMod w14:val="95000"/>
                            <w14:lumOff w14:val="5000"/>
                          </w14:schemeClr>
                        </w14:solidFill>
                      </w14:textFill>
                    </w:rPr>
                    <w:t>土壤环境监管重点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r>
                    <w:rPr>
                      <w:rFonts w:hint="eastAsia"/>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1E7994ED">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w:t>
                  </w:r>
                  <w:r>
                    <w:rPr>
                      <w:snapToGrid w:val="0"/>
                      <w:color w:val="0D0D0D" w:themeColor="text1" w:themeTint="F2"/>
                      <w:kern w:val="0"/>
                      <w:szCs w:val="21"/>
                      <w14:textFill>
                        <w14:solidFill>
                          <w14:schemeClr w14:val="tx1">
                            <w14:lumMod w14:val="95000"/>
                            <w14:lumOff w14:val="5000"/>
                          </w14:schemeClr>
                        </w14:solidFill>
                      </w14:textFill>
                    </w:rPr>
                    <w:t>土壤环境监管重点单位</w:t>
                  </w:r>
                  <w:r>
                    <w:rPr>
                      <w:rFonts w:hint="eastAsia"/>
                      <w:snapToGrid w:val="0"/>
                      <w:color w:val="0D0D0D" w:themeColor="text1" w:themeTint="F2"/>
                      <w:kern w:val="0"/>
                      <w:szCs w:val="21"/>
                      <w14:textFill>
                        <w14:solidFill>
                          <w14:schemeClr w14:val="tx1">
                            <w14:lumMod w14:val="95000"/>
                            <w14:lumOff w14:val="5000"/>
                          </w14:schemeClr>
                        </w14:solidFill>
                      </w14:textFill>
                    </w:rPr>
                    <w:t>。</w:t>
                  </w:r>
                </w:p>
              </w:tc>
              <w:tc>
                <w:tcPr>
                  <w:tcW w:w="348" w:type="pct"/>
                  <w:vAlign w:val="center"/>
                </w:tcPr>
                <w:p w14:paraId="3953196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62F6C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1EDD3AC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2824AE2D">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（3）建设项目应严格落实环境保护措施和环境风险防范措施，减缓对周边生态环境敏感区的不良环境影响。</w:t>
                  </w:r>
                </w:p>
              </w:tc>
              <w:tc>
                <w:tcPr>
                  <w:tcW w:w="2199" w:type="pct"/>
                  <w:vAlign w:val="center"/>
                </w:tcPr>
                <w:p w14:paraId="223AAB92">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项目严格落实环境保护措施和环境风险防范措施，减缓对周边生态环境敏感区的不良环境影响。</w:t>
                  </w:r>
                </w:p>
              </w:tc>
              <w:tc>
                <w:tcPr>
                  <w:tcW w:w="348" w:type="pct"/>
                  <w:vAlign w:val="center"/>
                </w:tcPr>
                <w:p w14:paraId="3FD4D4D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019D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restart"/>
                  <w:vAlign w:val="center"/>
                </w:tcPr>
                <w:p w14:paraId="304004DC">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资源开发利用效率要求</w:t>
                  </w:r>
                </w:p>
              </w:tc>
              <w:tc>
                <w:tcPr>
                  <w:tcW w:w="2041" w:type="pct"/>
                  <w:vAlign w:val="center"/>
                </w:tcPr>
                <w:p w14:paraId="2307476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（1）污染物排放以及用水、能耗、物耗、岸线与土地利用等资源环境指标达到行业先进水平。</w:t>
                  </w:r>
                </w:p>
              </w:tc>
              <w:tc>
                <w:tcPr>
                  <w:tcW w:w="2199" w:type="pct"/>
                  <w:vAlign w:val="center"/>
                </w:tcPr>
                <w:p w14:paraId="694B58AA">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项目污染物排放以及用水、能耗、物耗、岸线与土地利用等资源环境指标达到行业先进水平。</w:t>
                  </w:r>
                </w:p>
              </w:tc>
              <w:tc>
                <w:tcPr>
                  <w:tcW w:w="348" w:type="pct"/>
                  <w:vAlign w:val="center"/>
                </w:tcPr>
                <w:p w14:paraId="0A956394">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E40E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1A083A05">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48A67E7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r>
                    <w:rPr>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364ECBB0">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r>
                    <w:rPr>
                      <w:snapToGrid w:val="0"/>
                      <w:color w:val="0D0D0D" w:themeColor="text1" w:themeTint="F2"/>
                      <w:kern w:val="0"/>
                      <w:szCs w:val="21"/>
                      <w14:textFill>
                        <w14:solidFill>
                          <w14:schemeClr w14:val="tx1">
                            <w14:lumMod w14:val="95000"/>
                            <w14:lumOff w14:val="5000"/>
                          </w14:schemeClr>
                        </w14:solidFill>
                      </w14:textFill>
                    </w:rPr>
                    <w:t>。</w:t>
                  </w:r>
                </w:p>
              </w:tc>
              <w:tc>
                <w:tcPr>
                  <w:tcW w:w="348" w:type="pct"/>
                  <w:vAlign w:val="center"/>
                </w:tcPr>
                <w:p w14:paraId="07E8EFB7">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08F9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6B9BBF59">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5108A6F4">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w:t>
                  </w:r>
                  <w:r>
                    <w:rPr>
                      <w:snapToGrid w:val="0"/>
                      <w:color w:val="0D0D0D" w:themeColor="text1" w:themeTint="F2"/>
                      <w:kern w:val="0"/>
                      <w:szCs w:val="21"/>
                      <w14:textFill>
                        <w14:solidFill>
                          <w14:schemeClr w14:val="tx1">
                            <w14:lumMod w14:val="95000"/>
                            <w14:lumOff w14:val="5000"/>
                          </w14:schemeClr>
                        </w14:solidFill>
                      </w14:textFill>
                    </w:rPr>
                    <w:t>推进区域土地节约集约利用，优先保障区域主导产业发展用地</w:t>
                  </w:r>
                  <w:r>
                    <w:rPr>
                      <w:rFonts w:hint="eastAsia"/>
                      <w:snapToGrid w:val="0"/>
                      <w:color w:val="0D0D0D" w:themeColor="text1" w:themeTint="F2"/>
                      <w:kern w:val="0"/>
                      <w:szCs w:val="21"/>
                      <w14:textFill>
                        <w14:solidFill>
                          <w14:schemeClr w14:val="tx1">
                            <w14:lumMod w14:val="95000"/>
                            <w14:lumOff w14:val="5000"/>
                          </w14:schemeClr>
                        </w14:solidFill>
                      </w14:textFill>
                    </w:rPr>
                    <w:t>。</w:t>
                  </w:r>
                </w:p>
              </w:tc>
              <w:tc>
                <w:tcPr>
                  <w:tcW w:w="2199" w:type="pct"/>
                  <w:vAlign w:val="center"/>
                </w:tcPr>
                <w:p w14:paraId="53F9AE97">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项目土地资源消耗量相对区域资源利用总量较少。</w:t>
                  </w:r>
                </w:p>
              </w:tc>
              <w:tc>
                <w:tcPr>
                  <w:tcW w:w="348" w:type="pct"/>
                  <w:vAlign w:val="center"/>
                </w:tcPr>
                <w:p w14:paraId="2CABA96E">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9C51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2" w:type="pct"/>
                  <w:vMerge w:val="continue"/>
                  <w:vAlign w:val="center"/>
                </w:tcPr>
                <w:p w14:paraId="3035933D">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p>
              </w:tc>
              <w:tc>
                <w:tcPr>
                  <w:tcW w:w="2041" w:type="pct"/>
                  <w:vAlign w:val="center"/>
                </w:tcPr>
                <w:p w14:paraId="125E5B69">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w:t>
                  </w:r>
                  <w:r>
                    <w:rPr>
                      <w:snapToGrid w:val="0"/>
                      <w:color w:val="0D0D0D" w:themeColor="text1" w:themeTint="F2"/>
                      <w:kern w:val="0"/>
                      <w:szCs w:val="21"/>
                      <w14:textFill>
                        <w14:solidFill>
                          <w14:schemeClr w14:val="tx1">
                            <w14:lumMod w14:val="95000"/>
                            <w14:lumOff w14:val="5000"/>
                          </w14:schemeClr>
                        </w14:solidFill>
                      </w14:textFill>
                    </w:rPr>
                    <w:t>提升水资源利用效率，实行水资源消耗总量与消耗强度</w:t>
                  </w:r>
                  <w:r>
                    <w:rPr>
                      <w:rFonts w:hint="eastAsia"/>
                      <w:snapToGrid w:val="0"/>
                      <w:color w:val="0D0D0D" w:themeColor="text1" w:themeTint="F2"/>
                      <w:kern w:val="0"/>
                      <w:szCs w:val="21"/>
                      <w14:textFill>
                        <w14:solidFill>
                          <w14:schemeClr w14:val="tx1">
                            <w14:lumMod w14:val="95000"/>
                            <w14:lumOff w14:val="5000"/>
                          </w14:schemeClr>
                        </w14:solidFill>
                      </w14:textFill>
                    </w:rPr>
                    <w:t>“</w:t>
                  </w:r>
                  <w:r>
                    <w:rPr>
                      <w:snapToGrid w:val="0"/>
                      <w:color w:val="0D0D0D" w:themeColor="text1" w:themeTint="F2"/>
                      <w:kern w:val="0"/>
                      <w:szCs w:val="21"/>
                      <w14:textFill>
                        <w14:solidFill>
                          <w14:schemeClr w14:val="tx1">
                            <w14:lumMod w14:val="95000"/>
                            <w14:lumOff w14:val="5000"/>
                          </w14:schemeClr>
                        </w14:solidFill>
                      </w14:textFill>
                    </w:rPr>
                    <w:t>双控</w:t>
                  </w:r>
                  <w:r>
                    <w:rPr>
                      <w:rFonts w:hint="eastAsia"/>
                      <w:snapToGrid w:val="0"/>
                      <w:color w:val="0D0D0D" w:themeColor="text1" w:themeTint="F2"/>
                      <w:kern w:val="0"/>
                      <w:szCs w:val="21"/>
                      <w14:textFill>
                        <w14:solidFill>
                          <w14:schemeClr w14:val="tx1">
                            <w14:lumMod w14:val="95000"/>
                            <w14:lumOff w14:val="5000"/>
                          </w14:schemeClr>
                        </w14:solidFill>
                      </w14:textFill>
                    </w:rPr>
                    <w:t>”</w:t>
                  </w:r>
                  <w:r>
                    <w:rPr>
                      <w:snapToGrid w:val="0"/>
                      <w:color w:val="0D0D0D" w:themeColor="text1" w:themeTint="F2"/>
                      <w:kern w:val="0"/>
                      <w:szCs w:val="21"/>
                      <w14:textFill>
                        <w14:solidFill>
                          <w14:schemeClr w14:val="tx1">
                            <w14:lumMod w14:val="95000"/>
                            <w14:lumOff w14:val="5000"/>
                          </w14:schemeClr>
                        </w14:solidFill>
                      </w14:textFill>
                    </w:rPr>
                    <w:t>行动。</w:t>
                  </w:r>
                </w:p>
              </w:tc>
              <w:tc>
                <w:tcPr>
                  <w:tcW w:w="2199" w:type="pct"/>
                  <w:vAlign w:val="center"/>
                </w:tcPr>
                <w:p w14:paraId="48E5933A">
                  <w:pPr>
                    <w:adjustRightInd w:val="0"/>
                    <w:snapToGrid w:val="0"/>
                    <w:spacing w:after="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项目用水由园区市政管网供给，用水量较小</w:t>
                  </w:r>
                  <w:r>
                    <w:rPr>
                      <w:snapToGrid w:val="0"/>
                      <w:color w:val="0D0D0D" w:themeColor="text1" w:themeTint="F2"/>
                      <w:kern w:val="0"/>
                      <w:szCs w:val="21"/>
                      <w14:textFill>
                        <w14:solidFill>
                          <w14:schemeClr w14:val="tx1">
                            <w14:lumMod w14:val="95000"/>
                            <w14:lumOff w14:val="5000"/>
                          </w14:schemeClr>
                        </w14:solidFill>
                      </w14:textFill>
                    </w:rPr>
                    <w:t>。</w:t>
                  </w:r>
                </w:p>
              </w:tc>
              <w:tc>
                <w:tcPr>
                  <w:tcW w:w="348" w:type="pct"/>
                  <w:vAlign w:val="center"/>
                </w:tcPr>
                <w:p w14:paraId="2A4DE7DF">
                  <w:pPr>
                    <w:adjustRightInd w:val="0"/>
                    <w:snapToGrid w:val="0"/>
                    <w:spacing w:after="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bl>
          <w:p w14:paraId="699C1477">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综上所述，项目建设符合《钦州市生态环境局关于印发&lt;钦州市生态环境分区管控动态更新成果（2023版）&gt;的通知》相关要求。</w:t>
            </w:r>
          </w:p>
          <w:p w14:paraId="23CA01FB">
            <w:pPr>
              <w:autoSpaceDE w:val="0"/>
              <w:autoSpaceDN w:val="0"/>
              <w:adjustRightInd w:val="0"/>
              <w:snapToGrid w:val="0"/>
              <w:spacing w:after="0" w:line="360" w:lineRule="auto"/>
              <w:ind w:firstLine="482" w:firstLineChars="200"/>
              <w:rPr>
                <w:rFonts w:cs="宋体"/>
                <w:b/>
                <w:color w:val="0D0D0D" w:themeColor="text1" w:themeTint="F2"/>
                <w:kern w:val="0"/>
                <w:sz w:val="24"/>
                <w14:textFill>
                  <w14:solidFill>
                    <w14:schemeClr w14:val="tx1">
                      <w14:lumMod w14:val="95000"/>
                      <w14:lumOff w14:val="5000"/>
                    </w14:schemeClr>
                  </w14:solidFill>
                </w14:textFill>
              </w:rPr>
            </w:pPr>
            <w:r>
              <w:rPr>
                <w:rFonts w:hint="eastAsia" w:cs="宋体"/>
                <w:b/>
                <w:color w:val="0D0D0D" w:themeColor="text1" w:themeTint="F2"/>
                <w:kern w:val="0"/>
                <w:sz w:val="24"/>
                <w14:textFill>
                  <w14:solidFill>
                    <w14:schemeClr w14:val="tx1">
                      <w14:lumMod w14:val="95000"/>
                      <w14:lumOff w14:val="5000"/>
                    </w14:schemeClr>
                  </w14:solidFill>
                </w14:textFill>
              </w:rPr>
              <w:t>3.“三区三线”</w:t>
            </w:r>
            <w:r>
              <w:rPr>
                <w:rFonts w:cs="宋体"/>
                <w:b/>
                <w:color w:val="0D0D0D" w:themeColor="text1" w:themeTint="F2"/>
                <w:kern w:val="0"/>
                <w:sz w:val="24"/>
                <w14:textFill>
                  <w14:solidFill>
                    <w14:schemeClr w14:val="tx1">
                      <w14:lumMod w14:val="95000"/>
                      <w14:lumOff w14:val="5000"/>
                    </w14:schemeClr>
                  </w14:solidFill>
                </w14:textFill>
              </w:rPr>
              <w:t>相符性分析</w:t>
            </w:r>
          </w:p>
          <w:p w14:paraId="17BAD17A">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“三区三线”是根据城镇空间、农业空间、生态空间三种类型的空间，分别对应划定的城镇开发边界、永久基本农田保护红线、生态保护红线三条控制线。</w:t>
            </w:r>
          </w:p>
          <w:p w14:paraId="7503003F">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临时选址于钦州市中国（广西）自由贸易试验区钦州港片区钦州港大榄坪力顺项目东侧、金鸡大街北侧、大榄坪三号路西侧区域，位于城镇开发边界内，不占用基本农田，不涉及生态保护红线，符合“三区三线”管控要求。</w:t>
            </w:r>
          </w:p>
          <w:p w14:paraId="0F2D634E">
            <w:pPr>
              <w:autoSpaceDE w:val="0"/>
              <w:autoSpaceDN w:val="0"/>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4.</w:t>
            </w:r>
            <w:r>
              <w:rPr>
                <w:rFonts w:hint="eastAsia" w:cs="宋体"/>
                <w:b/>
                <w:bCs/>
                <w:color w:val="0D0D0D" w:themeColor="text1" w:themeTint="F2"/>
                <w14:textFill>
                  <w14:solidFill>
                    <w14:schemeClr w14:val="tx1">
                      <w14:lumMod w14:val="95000"/>
                      <w14:lumOff w14:val="5000"/>
                    </w14:schemeClr>
                  </w14:solidFill>
                </w14:textFill>
              </w:rPr>
              <w:t>与</w:t>
            </w:r>
            <w:r>
              <w:rPr>
                <w:rFonts w:hint="eastAsia" w:cs="宋体"/>
                <w:b/>
                <w:bCs/>
                <w:color w:val="0D0D0D" w:themeColor="text1" w:themeTint="F2"/>
                <w:kern w:val="0"/>
                <w:sz w:val="24"/>
                <w14:textFill>
                  <w14:solidFill>
                    <w14:schemeClr w14:val="tx1">
                      <w14:lumMod w14:val="95000"/>
                      <w14:lumOff w14:val="5000"/>
                    </w14:schemeClr>
                  </w14:solidFill>
                </w14:textFill>
              </w:rPr>
              <w:t>《钦州市国土空间总体规划（2021-2035年）》相符性分析</w:t>
            </w:r>
          </w:p>
          <w:p w14:paraId="5B4768E6">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根据《钦州市国土空间总体规划（2021-2035年）》以及《广西壮族自治区人民政府关于&lt;钦州市国土空间总体规划（2021-2035年）&gt;的批复》（桂政函〔2024〕17号），项目相符性分析详见表1-6。</w:t>
            </w:r>
          </w:p>
          <w:p w14:paraId="5D9016EB">
            <w:pPr>
              <w:autoSpaceDE w:val="0"/>
              <w:autoSpaceDN w:val="0"/>
              <w:adjustRightInd w:val="0"/>
              <w:snapToGrid w:val="0"/>
              <w:spacing w:after="0" w:line="240" w:lineRule="auto"/>
              <w:jc w:val="center"/>
              <w:rPr>
                <w:rFonts w:cs="宋体"/>
                <w:b/>
                <w:bCs/>
                <w:color w:val="0D0D0D" w:themeColor="text1" w:themeTint="F2"/>
                <w:kern w:val="0"/>
                <w:szCs w:val="21"/>
                <w14:textFill>
                  <w14:solidFill>
                    <w14:schemeClr w14:val="tx1">
                      <w14:lumMod w14:val="95000"/>
                      <w14:lumOff w14:val="5000"/>
                    </w14:schemeClr>
                  </w14:solidFill>
                </w14:textFill>
              </w:rPr>
            </w:pPr>
            <w:r>
              <w:rPr>
                <w:rFonts w:hint="eastAsia" w:cs="宋体"/>
                <w:b/>
                <w:bCs/>
                <w:color w:val="0D0D0D" w:themeColor="text1" w:themeTint="F2"/>
                <w:kern w:val="0"/>
                <w:szCs w:val="21"/>
                <w14:textFill>
                  <w14:solidFill>
                    <w14:schemeClr w14:val="tx1">
                      <w14:lumMod w14:val="95000"/>
                      <w14:lumOff w14:val="5000"/>
                    </w14:schemeClr>
                  </w14:solidFill>
                </w14:textFill>
              </w:rPr>
              <w:t>表1-6  《钦州市国土空间总体规划（2021-2035年）》相符性分析</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
              <w:gridCol w:w="2537"/>
              <w:gridCol w:w="3197"/>
              <w:gridCol w:w="478"/>
            </w:tblGrid>
            <w:tr w14:paraId="60E10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8" w:type="pct"/>
                  <w:vAlign w:val="center"/>
                </w:tcPr>
                <w:p w14:paraId="7BCC2DA1">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序号</w:t>
                  </w:r>
                </w:p>
              </w:tc>
              <w:tc>
                <w:tcPr>
                  <w:tcW w:w="1900" w:type="pct"/>
                  <w:vAlign w:val="center"/>
                </w:tcPr>
                <w:p w14:paraId="62FF67C8">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规划要求内容</w:t>
                  </w:r>
                </w:p>
              </w:tc>
              <w:tc>
                <w:tcPr>
                  <w:tcW w:w="2394" w:type="pct"/>
                  <w:vAlign w:val="center"/>
                </w:tcPr>
                <w:p w14:paraId="7B3D4BE1">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项目实际情况</w:t>
                  </w:r>
                </w:p>
              </w:tc>
              <w:tc>
                <w:tcPr>
                  <w:tcW w:w="358" w:type="pct"/>
                  <w:vAlign w:val="center"/>
                </w:tcPr>
                <w:p w14:paraId="7994E9FA">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相符性</w:t>
                  </w:r>
                </w:p>
              </w:tc>
            </w:tr>
            <w:tr w14:paraId="559F7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48" w:type="pct"/>
                  <w:vAlign w:val="center"/>
                </w:tcPr>
                <w:p w14:paraId="33598DD4">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1</w:t>
                  </w:r>
                </w:p>
              </w:tc>
              <w:tc>
                <w:tcPr>
                  <w:tcW w:w="1900" w:type="pct"/>
                  <w:vAlign w:val="center"/>
                </w:tcPr>
                <w:p w14:paraId="0DA2D6E2">
                  <w:pPr>
                    <w:autoSpaceDE w:val="0"/>
                    <w:autoSpaceDN w:val="0"/>
                    <w:adjustRightInd w:val="0"/>
                    <w:snapToGrid w:val="0"/>
                    <w:spacing w:after="0" w:line="240" w:lineRule="auto"/>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二、严守国土空间安全底线。到2035年，钦州市耕地保有量不低于251.02万亩，其中永久基本农田保护面积不低于224.49万亩；生态保护红线面积不低于634.42平方千米，其中海洋生态保护红线面积不低于318.67平方千米；城镇开发边界扩展倍数控制在基于2020年城镇建设用地规模的1.30倍以内；大陆自然岸线保有率不低于国家和自治区下达任务；用水总量不超过上级下达任务，其中2025年不超过16.90亿立方米；除国家重大项目外，全面禁止围填海；严格无居民海岛管理。明确自然灾害风险重点防控区域，落实蓝线、绿线、黄线、紫线、历史文化保护线和洪涝风险控制线等底线管控要求。</w:t>
                  </w:r>
                </w:p>
              </w:tc>
              <w:tc>
                <w:tcPr>
                  <w:tcW w:w="2394" w:type="pct"/>
                  <w:vAlign w:val="center"/>
                </w:tcPr>
                <w:p w14:paraId="3B1A5FEA">
                  <w:pPr>
                    <w:autoSpaceDE w:val="0"/>
                    <w:autoSpaceDN w:val="0"/>
                    <w:adjustRightInd w:val="0"/>
                    <w:snapToGrid w:val="0"/>
                    <w:spacing w:after="0" w:line="240" w:lineRule="auto"/>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临时选址于钦州市中国（广西）自由贸易试验区钦州港片区钦州港大榄坪力顺项目东侧、金鸡大街北侧、大榄坪三号路西侧区域，用地类型为二类工业用地，不涉及基本农田，已取得中马钦州产业园自然资源局出具的选址意见，原则同意项目临时选址，当规划建设需要时，需无条件按照规划要求整改并恢复原貌；根据《广西“生态云”平台建设项目智能研判报告》，项目涉及的环境管控单元为钦州港经济技术开发区重点管控单元，不涉及优先保护单元，不涉及生态保护红线。</w:t>
                  </w:r>
                </w:p>
              </w:tc>
              <w:tc>
                <w:tcPr>
                  <w:tcW w:w="358" w:type="pct"/>
                  <w:vAlign w:val="center"/>
                </w:tcPr>
                <w:p w14:paraId="7DDE563E">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41A17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48" w:type="pct"/>
                  <w:vAlign w:val="center"/>
                </w:tcPr>
                <w:p w14:paraId="61D4B5C4">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2</w:t>
                  </w:r>
                </w:p>
              </w:tc>
              <w:tc>
                <w:tcPr>
                  <w:tcW w:w="1900" w:type="pct"/>
                  <w:vAlign w:val="center"/>
                </w:tcPr>
                <w:p w14:paraId="384E18D7">
                  <w:pPr>
                    <w:autoSpaceDE w:val="0"/>
                    <w:autoSpaceDN w:val="0"/>
                    <w:adjustRightInd w:val="0"/>
                    <w:snapToGrid w:val="0"/>
                    <w:spacing w:after="0" w:line="240" w:lineRule="auto"/>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三、优化国土空间开发保护格局。深入实施区域协调发展战略、主体功能区战略、新型城镇化战略、乡村振兴战略和海洋强国战略，积极融入粤港澳大湾区和海南自由贸易港建设，服务西部陆海新通道建设，推进中国—东盟产业合作区和沿边临港产业园区建设，加快北部湾经济区向海发展，提升产业链供应链韧性和安全水平。统筹优化市域农业、生态、城镇等功能空间布局，构建开放式、网络化、集约型、生态化的国土空间开发保护新格局。严格落实耕地和永久基本农田保护任务，拓展优化农业生产空间。稳固生态安全保护格局，筑牢海洋生态安全屏障，加强海岸带保护修复，恢复珊瑚礁、海草床等海洋生态系统。强化陆海统筹，优化海洋开发保护格局。积极融入北部湾城市群，推进与北海、防城港市空间一体化，共同打造边海联动城镇带。</w:t>
                  </w:r>
                </w:p>
              </w:tc>
              <w:tc>
                <w:tcPr>
                  <w:tcW w:w="2394" w:type="pct"/>
                  <w:vAlign w:val="center"/>
                </w:tcPr>
                <w:p w14:paraId="271BB484">
                  <w:pPr>
                    <w:autoSpaceDE w:val="0"/>
                    <w:autoSpaceDN w:val="0"/>
                    <w:adjustRightInd w:val="0"/>
                    <w:snapToGrid w:val="0"/>
                    <w:spacing w:after="0" w:line="240" w:lineRule="auto"/>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临时选址于钦州市中国（广西）自由贸易试验区钦州港片区钦州港大榄坪力顺项目东侧、金鸡大街北侧、大榄坪三号路西侧区域，用地类型为二类工业用地，已取得中马钦州产业园自然资源局出具的选址意见，原则同意项目临时选址，当规划建设需要时，需无条件按照规划要求整改并恢复原貌。</w:t>
                  </w:r>
                </w:p>
              </w:tc>
              <w:tc>
                <w:tcPr>
                  <w:tcW w:w="358" w:type="pct"/>
                  <w:vAlign w:val="center"/>
                </w:tcPr>
                <w:p w14:paraId="6CE8FF92">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08A71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48" w:type="pct"/>
                  <w:vAlign w:val="center"/>
                </w:tcPr>
                <w:p w14:paraId="6AB1A368">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3</w:t>
                  </w:r>
                </w:p>
              </w:tc>
              <w:tc>
                <w:tcPr>
                  <w:tcW w:w="1900" w:type="pct"/>
                  <w:vAlign w:val="center"/>
                </w:tcPr>
                <w:p w14:paraId="3BD6CF9B">
                  <w:pPr>
                    <w:autoSpaceDE w:val="0"/>
                    <w:autoSpaceDN w:val="0"/>
                    <w:adjustRightInd w:val="0"/>
                    <w:snapToGrid w:val="0"/>
                    <w:spacing w:after="0" w:line="240" w:lineRule="auto"/>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四、促进土地节约集约利用。严守城镇开发边界，严控新增城镇建设用地，做好城镇开发边界内增量空间分阶段、分时序管控，合理安排新增城镇建设用地规模、结构和布局。加大城乡存量低效用地挖潜力度，多渠道拓展建设用地空间，切实提高土地节约集约利用水平，促进城市内涵式发展。合理开发利用城市地下空间，引导土地复合利用。</w:t>
                  </w:r>
                </w:p>
              </w:tc>
              <w:tc>
                <w:tcPr>
                  <w:tcW w:w="2394" w:type="pct"/>
                  <w:vAlign w:val="center"/>
                </w:tcPr>
                <w:p w14:paraId="3AE74CB1">
                  <w:pPr>
                    <w:autoSpaceDE w:val="0"/>
                    <w:autoSpaceDN w:val="0"/>
                    <w:adjustRightInd w:val="0"/>
                    <w:snapToGrid w:val="0"/>
                    <w:spacing w:after="0" w:line="240" w:lineRule="auto"/>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项目临时选址于钦州市中国（广西）自由贸易试验区钦州港片区钦州港大榄坪力顺项目东侧、金鸡大街北侧、大榄坪三号路西侧区域，占地44174.16m</w:t>
                  </w:r>
                  <w:r>
                    <w:rPr>
                      <w:rFonts w:hint="eastAsia" w:cs="宋体"/>
                      <w:color w:val="0D0D0D" w:themeColor="text1" w:themeTint="F2"/>
                      <w:kern w:val="0"/>
                      <w:szCs w:val="21"/>
                      <w:vertAlign w:val="superscript"/>
                      <w14:textFill>
                        <w14:solidFill>
                          <w14:schemeClr w14:val="tx1">
                            <w14:lumMod w14:val="95000"/>
                            <w14:lumOff w14:val="5000"/>
                          </w14:schemeClr>
                        </w14:solidFill>
                      </w14:textFill>
                    </w:rPr>
                    <w:t>2</w:t>
                  </w:r>
                  <w:r>
                    <w:rPr>
                      <w:rFonts w:hint="eastAsia" w:cs="宋体"/>
                      <w:color w:val="0D0D0D" w:themeColor="text1" w:themeTint="F2"/>
                      <w:kern w:val="0"/>
                      <w:szCs w:val="21"/>
                      <w14:textFill>
                        <w14:solidFill>
                          <w14:schemeClr w14:val="tx1">
                            <w14:lumMod w14:val="95000"/>
                            <w14:lumOff w14:val="5000"/>
                          </w14:schemeClr>
                        </w14:solidFill>
                      </w14:textFill>
                    </w:rPr>
                    <w:t>，用地类型为二类工业用地，已取得中马钦州产业园自然资源局出具的选址意见，原则同意项目临时选址，当规划建设需要时，需无条件按照规划要求整改并恢复原貌，符合“三区三线”管控要求。</w:t>
                  </w:r>
                </w:p>
              </w:tc>
              <w:tc>
                <w:tcPr>
                  <w:tcW w:w="358" w:type="pct"/>
                  <w:vAlign w:val="center"/>
                </w:tcPr>
                <w:p w14:paraId="567604E8">
                  <w:pPr>
                    <w:autoSpaceDE w:val="0"/>
                    <w:autoSpaceDN w:val="0"/>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bl>
          <w:p w14:paraId="0CA87E5A">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由上表可知，项目建设符合《钦州市国土空间总体规划（2021-2035年）》以及《广西壮族自治区人民政府关于&lt;钦州市国土空间总体规划（2021-2035年）&gt;的批复》（桂政函〔2024〕17号）相关要求。</w:t>
            </w:r>
          </w:p>
          <w:p w14:paraId="3703F007">
            <w:pPr>
              <w:autoSpaceDE w:val="0"/>
              <w:autoSpaceDN w:val="0"/>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5.</w:t>
            </w:r>
            <w:r>
              <w:rPr>
                <w:rFonts w:hint="eastAsia" w:cs="宋体"/>
                <w:b/>
                <w:bCs/>
                <w:color w:val="0D0D0D" w:themeColor="text1" w:themeTint="F2"/>
                <w14:textFill>
                  <w14:solidFill>
                    <w14:schemeClr w14:val="tx1">
                      <w14:lumMod w14:val="95000"/>
                      <w14:lumOff w14:val="5000"/>
                    </w14:schemeClr>
                  </w14:solidFill>
                </w14:textFill>
              </w:rPr>
              <w:t>与</w:t>
            </w:r>
            <w:r>
              <w:rPr>
                <w:rFonts w:hint="eastAsia" w:cs="宋体"/>
                <w:b/>
                <w:bCs/>
                <w:color w:val="0D0D0D" w:themeColor="text1" w:themeTint="F2"/>
                <w:kern w:val="0"/>
                <w:sz w:val="24"/>
                <w14:textFill>
                  <w14:solidFill>
                    <w14:schemeClr w14:val="tx1">
                      <w14:lumMod w14:val="95000"/>
                      <w14:lumOff w14:val="5000"/>
                    </w14:schemeClr>
                  </w14:solidFill>
                </w14:textFill>
              </w:rPr>
              <w:t>《中国（广西）自由贸易试验区钦州港片区国土空间分区规划（2023-2035年）》相符性分析</w:t>
            </w:r>
          </w:p>
          <w:p w14:paraId="2D1C1243">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根据《中国（广西）自由贸易试验区钦州港片区国土空间分区规划（2023-2035年）》以及《</w:t>
            </w:r>
            <w:r>
              <w:rPr>
                <w:rFonts w:hint="eastAsia" w:cs="宋体"/>
                <w:color w:val="0D0D0D" w:themeColor="text1" w:themeTint="F2"/>
                <w:kern w:val="0"/>
                <w:sz w:val="24"/>
                <w:lang w:eastAsia="zh-CN"/>
                <w14:textFill>
                  <w14:solidFill>
                    <w14:schemeClr w14:val="tx1">
                      <w14:lumMod w14:val="95000"/>
                      <w14:lumOff w14:val="5000"/>
                    </w14:schemeClr>
                  </w14:solidFill>
                </w14:textFill>
              </w:rPr>
              <w:t>中国—马来西亚</w:t>
            </w:r>
            <w:r>
              <w:rPr>
                <w:rFonts w:hint="eastAsia" w:cs="宋体"/>
                <w:color w:val="0D0D0D" w:themeColor="text1" w:themeTint="F2"/>
                <w:kern w:val="0"/>
                <w:sz w:val="24"/>
                <w14:textFill>
                  <w14:solidFill>
                    <w14:schemeClr w14:val="tx1">
                      <w14:lumMod w14:val="95000"/>
                      <w14:lumOff w14:val="5000"/>
                    </w14:schemeClr>
                  </w14:solidFill>
                </w14:textFill>
              </w:rPr>
              <w:t>钦州产业园区管理委员会关于印发&lt;中国（广西）自由贸易试验区钦州港片区国土空间分区规划（2023-2035年）&gt;的通知》（中马园发〔2024〕20号），规划范围为钦州港片区管辖范围，到2030年，钦州港片区完成整合建设。实现“国际门户港、自贸试验区、绿色石化园、滨海运河城”近期建设目标，形成绿色石化、化纤纺织服装、电子信息、生物医药、海洋装备制造、新能源材料及新能源汽车零部件六大产业集群。到2035年，全面建成“港产城”融合的国际自由贸易产业新区。更高水平上实现“国际门户港、自贸试验区、绿色石化园、滨海运河城”的发展愿景，建成有竞争力的现代化经济体系。成为面向东盟、服务“一带一路”、连接国内国际“双循环”新发展格局中的全国沿海重要城市；国际性交通枢纽基本建立，成为西部陆海新通道的重要枢纽城市。展望2050年，面向东盟的社会主义现代化滨海运河门户港全面建成，形成“江铁海”联动的现代化临港产业新城，各项经济社会发展指标达到国内领先水平，国土空间治理体系和治理能力实现现代化，全球链接能力显著提高。</w:t>
            </w:r>
          </w:p>
          <w:p w14:paraId="28F56663">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临时选址于钦州市中国（广西）自由贸易试验区钦州港片区钦州港大榄坪力顺项目东侧、金鸡大街北侧、大榄坪三号路西侧区域，选址属于《钦州港大榄坪物流加工区总体规划》中的装备制造产业区，用地类型为二类工业用地。项目主要服务于广西石化CC项目库区主体工程一、三标段集中防腐等业务，属于园区石油储备区主导产业的配套环节，且项目已取得中马钦州产业园自然资源局出具的选址意见，原则同意项目临时选址，当规划建设需要时，需无条件按照规划要求整改并恢复原貌，因此，项目建设符合《中国（广西）自由贸易试验区钦州港片区国土空间分区规划（2023-2035年）》以及《</w:t>
            </w:r>
            <w:r>
              <w:rPr>
                <w:rFonts w:hint="eastAsia" w:cs="宋体"/>
                <w:color w:val="0D0D0D" w:themeColor="text1" w:themeTint="F2"/>
                <w:kern w:val="0"/>
                <w:sz w:val="24"/>
                <w:lang w:eastAsia="zh-CN"/>
                <w14:textFill>
                  <w14:solidFill>
                    <w14:schemeClr w14:val="tx1">
                      <w14:lumMod w14:val="95000"/>
                      <w14:lumOff w14:val="5000"/>
                    </w14:schemeClr>
                  </w14:solidFill>
                </w14:textFill>
              </w:rPr>
              <w:t>中国—马来西亚</w:t>
            </w:r>
            <w:r>
              <w:rPr>
                <w:rFonts w:hint="eastAsia" w:cs="宋体"/>
                <w:color w:val="0D0D0D" w:themeColor="text1" w:themeTint="F2"/>
                <w:kern w:val="0"/>
                <w:sz w:val="24"/>
                <w14:textFill>
                  <w14:solidFill>
                    <w14:schemeClr w14:val="tx1">
                      <w14:lumMod w14:val="95000"/>
                      <w14:lumOff w14:val="5000"/>
                    </w14:schemeClr>
                  </w14:solidFill>
                </w14:textFill>
              </w:rPr>
              <w:t>钦州产业园区管理委员会关于印发&lt;中国（广西）自由贸易试验区钦州港片区国土空间分区规划（2023-2035年）&gt;的通知》（中马园发〔2024〕20号）相关要求。</w:t>
            </w:r>
          </w:p>
          <w:p w14:paraId="6965B9D5">
            <w:pPr>
              <w:autoSpaceDE w:val="0"/>
              <w:autoSpaceDN w:val="0"/>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6.与《挥发性有机物无组织排放控制标准》（GB37822-2019）相符性分析</w:t>
            </w:r>
          </w:p>
          <w:p w14:paraId="7E97005C">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项目与《挥发性有机物无组织排放控制标准》（GB37822-2019）相符性分析详见表1-7。</w:t>
            </w:r>
          </w:p>
          <w:p w14:paraId="01F5BD6A">
            <w:pPr>
              <w:autoSpaceDE w:val="0"/>
              <w:autoSpaceDN w:val="0"/>
              <w:adjustRightInd w:val="0"/>
              <w:snapToGrid w:val="0"/>
              <w:spacing w:after="0"/>
              <w:jc w:val="center"/>
              <w:rPr>
                <w:rFonts w:cs="宋体"/>
                <w:b/>
                <w:bCs/>
                <w:color w:val="0D0D0D" w:themeColor="text1" w:themeTint="F2"/>
                <w:kern w:val="0"/>
                <w:szCs w:val="21"/>
                <w14:textFill>
                  <w14:solidFill>
                    <w14:schemeClr w14:val="tx1">
                      <w14:lumMod w14:val="95000"/>
                      <w14:lumOff w14:val="5000"/>
                    </w14:schemeClr>
                  </w14:solidFill>
                </w14:textFill>
              </w:rPr>
            </w:pPr>
            <w:r>
              <w:rPr>
                <w:rFonts w:hint="eastAsia" w:cs="宋体"/>
                <w:b/>
                <w:bCs/>
                <w:color w:val="0D0D0D" w:themeColor="text1" w:themeTint="F2"/>
                <w:kern w:val="0"/>
                <w:szCs w:val="21"/>
                <w14:textFill>
                  <w14:solidFill>
                    <w14:schemeClr w14:val="tx1">
                      <w14:lumMod w14:val="95000"/>
                      <w14:lumOff w14:val="5000"/>
                    </w14:schemeClr>
                  </w14:solidFill>
                </w14:textFill>
              </w:rPr>
              <w:t>表1-7  与《挥发性有机物无组织排放控制标准》相符性分析一览表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2378"/>
              <w:gridCol w:w="3031"/>
              <w:gridCol w:w="477"/>
            </w:tblGrid>
            <w:tr w14:paraId="7E0D8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Align w:val="center"/>
                </w:tcPr>
                <w:p w14:paraId="4B7045E0">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分类</w:t>
                  </w:r>
                </w:p>
              </w:tc>
              <w:tc>
                <w:tcPr>
                  <w:tcW w:w="1781" w:type="pct"/>
                  <w:vAlign w:val="center"/>
                </w:tcPr>
                <w:p w14:paraId="2D358F53">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基本要求</w:t>
                  </w:r>
                </w:p>
              </w:tc>
              <w:tc>
                <w:tcPr>
                  <w:tcW w:w="2270" w:type="pct"/>
                  <w:vAlign w:val="center"/>
                </w:tcPr>
                <w:p w14:paraId="7AC831AD">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项目情况</w:t>
                  </w:r>
                </w:p>
              </w:tc>
              <w:tc>
                <w:tcPr>
                  <w:tcW w:w="357" w:type="pct"/>
                  <w:vAlign w:val="center"/>
                </w:tcPr>
                <w:p w14:paraId="6D26A179">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相符性</w:t>
                  </w:r>
                </w:p>
              </w:tc>
            </w:tr>
            <w:tr w14:paraId="62828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67166DE3">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VOCs物料储存无组织排放控制要求</w:t>
                  </w:r>
                </w:p>
              </w:tc>
            </w:tr>
            <w:tr w14:paraId="52B41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Merge w:val="restart"/>
                  <w:vAlign w:val="center"/>
                </w:tcPr>
                <w:p w14:paraId="456F173F">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基本</w:t>
                  </w:r>
                </w:p>
                <w:p w14:paraId="51DB9730">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要求</w:t>
                  </w:r>
                </w:p>
              </w:tc>
              <w:tc>
                <w:tcPr>
                  <w:tcW w:w="1781" w:type="pct"/>
                  <w:vAlign w:val="center"/>
                </w:tcPr>
                <w:p w14:paraId="7043FB54">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VOCs物料应储存于密封的容器、包装袋、储罐、储库、料仓中。</w:t>
                  </w:r>
                </w:p>
              </w:tc>
              <w:tc>
                <w:tcPr>
                  <w:tcW w:w="2270" w:type="pct"/>
                  <w:vAlign w:val="center"/>
                </w:tcPr>
                <w:p w14:paraId="7B0DBF1F">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项目油漆和稀释剂使用专用容器桶密闭存放，贮存于仓库中。</w:t>
                  </w:r>
                </w:p>
              </w:tc>
              <w:tc>
                <w:tcPr>
                  <w:tcW w:w="357" w:type="pct"/>
                  <w:vAlign w:val="center"/>
                </w:tcPr>
                <w:p w14:paraId="596A00F8">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7C2CB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Merge w:val="continue"/>
                  <w:vAlign w:val="center"/>
                </w:tcPr>
                <w:p w14:paraId="629F901C">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p>
              </w:tc>
              <w:tc>
                <w:tcPr>
                  <w:tcW w:w="1781" w:type="pct"/>
                  <w:vAlign w:val="center"/>
                </w:tcPr>
                <w:p w14:paraId="1E68738A">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盛装VOCs物料的容器或包装袋应存放于室内，或存放于设置有雨棚、遮阳和防渗设施的专用场地。盛装VOCs物料的容器或包装袋在非取用状态时应加盖、封口，保持密封。</w:t>
                  </w:r>
                </w:p>
              </w:tc>
              <w:tc>
                <w:tcPr>
                  <w:tcW w:w="2270" w:type="pct"/>
                  <w:vAlign w:val="center"/>
                </w:tcPr>
                <w:p w14:paraId="28254828">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项目油漆和稀释剂使用专用容器桶密闭存放，贮存于仓库中，在非取用状态时加盖、封口，保持密闭。</w:t>
                  </w:r>
                </w:p>
              </w:tc>
              <w:tc>
                <w:tcPr>
                  <w:tcW w:w="357" w:type="pct"/>
                  <w:vAlign w:val="center"/>
                </w:tcPr>
                <w:p w14:paraId="394DE3E6">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42036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5BB4CC03">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工艺过程VOCs无组织排放控制要求</w:t>
                  </w:r>
                </w:p>
              </w:tc>
            </w:tr>
            <w:tr w14:paraId="0D492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Merge w:val="restart"/>
                  <w:vAlign w:val="center"/>
                </w:tcPr>
                <w:p w14:paraId="17CC04E9">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物料</w:t>
                  </w:r>
                </w:p>
                <w:p w14:paraId="08E52A67">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投加</w:t>
                  </w:r>
                </w:p>
                <w:p w14:paraId="5A985708">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和卸</w:t>
                  </w:r>
                </w:p>
                <w:p w14:paraId="214FAECA">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放</w:t>
                  </w:r>
                </w:p>
              </w:tc>
              <w:tc>
                <w:tcPr>
                  <w:tcW w:w="1781" w:type="pct"/>
                  <w:vAlign w:val="center"/>
                </w:tcPr>
                <w:p w14:paraId="08F14FE8">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液态VOCs物料应采用密封管道输送方式或采用高位槽（罐）、桶泵等给料方式密封投加。无法密封式投加的，应在密封空间内操作，或进行局部气体收集，废气应排至VOCs废气收集处理系统。</w:t>
                  </w:r>
                </w:p>
              </w:tc>
              <w:tc>
                <w:tcPr>
                  <w:tcW w:w="2270" w:type="pct"/>
                  <w:vAlign w:val="center"/>
                </w:tcPr>
                <w:p w14:paraId="2C932690">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喷漆房为密闭空间，喷漆废气（漆雾和有机废气）密闭负压收集至“水帘柜+过滤棉+1＃二级活性炭吸附装置”处理后通过20m排气筒（DA003）排放；危废暂存间废气密闭负压收集至2＃二级活性炭吸附装置处理后通过20m排气筒（DA004）排放。</w:t>
                  </w:r>
                </w:p>
              </w:tc>
              <w:tc>
                <w:tcPr>
                  <w:tcW w:w="357" w:type="pct"/>
                  <w:vAlign w:val="center"/>
                </w:tcPr>
                <w:p w14:paraId="243B2D65">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73C6B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Merge w:val="continue"/>
                  <w:vAlign w:val="center"/>
                </w:tcPr>
                <w:p w14:paraId="4BA91609">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p>
              </w:tc>
              <w:tc>
                <w:tcPr>
                  <w:tcW w:w="1781" w:type="pct"/>
                  <w:vAlign w:val="center"/>
                </w:tcPr>
                <w:p w14:paraId="30BF286B">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VOCs物料卸（出、放）料过程应密封，卸料废气应排至VOCs废气收集处理系统。</w:t>
                  </w:r>
                </w:p>
              </w:tc>
              <w:tc>
                <w:tcPr>
                  <w:tcW w:w="2270" w:type="pct"/>
                  <w:vAlign w:val="center"/>
                </w:tcPr>
                <w:p w14:paraId="307E5FD9">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项目油漆和稀释剂使用专用容器桶密闭存放，卸货时，无卸料废气产生。</w:t>
                  </w:r>
                </w:p>
              </w:tc>
              <w:tc>
                <w:tcPr>
                  <w:tcW w:w="357" w:type="pct"/>
                  <w:vAlign w:val="center"/>
                </w:tcPr>
                <w:p w14:paraId="7B2FCC8A">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151EA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29CC13C1">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VOCs无组织排放废气收集处理系统要求</w:t>
                  </w:r>
                </w:p>
              </w:tc>
            </w:tr>
            <w:tr w14:paraId="7CD72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Align w:val="center"/>
                </w:tcPr>
                <w:p w14:paraId="548D61EF">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基本</w:t>
                  </w:r>
                </w:p>
                <w:p w14:paraId="4EF2E783">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要求</w:t>
                  </w:r>
                </w:p>
              </w:tc>
              <w:tc>
                <w:tcPr>
                  <w:tcW w:w="1781" w:type="pct"/>
                  <w:vAlign w:val="center"/>
                </w:tcPr>
                <w:p w14:paraId="57A876B0">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2270" w:type="pct"/>
                  <w:vAlign w:val="center"/>
                </w:tcPr>
                <w:p w14:paraId="74DE1F91">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VOCs废气收集处理系统与生产工艺设备同步运行。项目的VOCs废气收集处理系统发生故障或检修时，对应的生产工艺设备停止运行，待检修完毕后同步投入使用。</w:t>
                  </w:r>
                </w:p>
              </w:tc>
              <w:tc>
                <w:tcPr>
                  <w:tcW w:w="357" w:type="pct"/>
                  <w:vAlign w:val="center"/>
                </w:tcPr>
                <w:p w14:paraId="086DF185">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054AA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Align w:val="center"/>
                </w:tcPr>
                <w:p w14:paraId="65227F50">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废气</w:t>
                  </w:r>
                </w:p>
                <w:p w14:paraId="777B1B77">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收集</w:t>
                  </w:r>
                </w:p>
                <w:p w14:paraId="48D9AAA7">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系统</w:t>
                  </w:r>
                </w:p>
              </w:tc>
              <w:tc>
                <w:tcPr>
                  <w:tcW w:w="1781" w:type="pct"/>
                  <w:vAlign w:val="center"/>
                </w:tcPr>
                <w:p w14:paraId="61749D69">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废气收集系统的输送管道应密封，废气收集系统应在负压下运行。</w:t>
                  </w:r>
                </w:p>
              </w:tc>
              <w:tc>
                <w:tcPr>
                  <w:tcW w:w="2270" w:type="pct"/>
                  <w:vAlign w:val="center"/>
                </w:tcPr>
                <w:p w14:paraId="51C7AFB1">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废气收集系统的输送管道密闭，废气收集系统在负压下运行。</w:t>
                  </w:r>
                </w:p>
              </w:tc>
              <w:tc>
                <w:tcPr>
                  <w:tcW w:w="357" w:type="pct"/>
                  <w:vAlign w:val="center"/>
                </w:tcPr>
                <w:p w14:paraId="74ABFE60">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19681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Merge w:val="restart"/>
                  <w:vAlign w:val="center"/>
                </w:tcPr>
                <w:p w14:paraId="1C7613BE">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cs="宋体"/>
                      <w:color w:val="0D0D0D" w:themeColor="text1" w:themeTint="F2"/>
                      <w:kern w:val="0"/>
                      <w:szCs w:val="21"/>
                      <w14:textFill>
                        <w14:solidFill>
                          <w14:schemeClr w14:val="tx1">
                            <w14:lumMod w14:val="95000"/>
                            <w14:lumOff w14:val="5000"/>
                          </w14:schemeClr>
                        </w14:solidFill>
                      </w14:textFill>
                    </w:rPr>
                    <w:t>VOCs</w:t>
                  </w:r>
                </w:p>
                <w:p w14:paraId="78E019B7">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排放</w:t>
                  </w:r>
                </w:p>
                <w:p w14:paraId="48477C70">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控制</w:t>
                  </w:r>
                </w:p>
                <w:p w14:paraId="797DB15F">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要求</w:t>
                  </w:r>
                </w:p>
              </w:tc>
              <w:tc>
                <w:tcPr>
                  <w:tcW w:w="1781" w:type="pct"/>
                  <w:vAlign w:val="center"/>
                </w:tcPr>
                <w:p w14:paraId="660A7DCC">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VOCs废气收集处理系统污染物排放应符合GB16297或相关行业排放标准的规定。</w:t>
                  </w:r>
                </w:p>
              </w:tc>
              <w:tc>
                <w:tcPr>
                  <w:tcW w:w="2270" w:type="pct"/>
                  <w:vAlign w:val="center"/>
                </w:tcPr>
                <w:p w14:paraId="3B88F7B7">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VOCs废气收集处理系统污染物排放符合《大气污染物综合排放标准》（GB16297-1996）标准要求。</w:t>
                  </w:r>
                </w:p>
              </w:tc>
              <w:tc>
                <w:tcPr>
                  <w:tcW w:w="357" w:type="pct"/>
                  <w:vAlign w:val="center"/>
                </w:tcPr>
                <w:p w14:paraId="109403F2">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66CA0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Merge w:val="continue"/>
                  <w:vAlign w:val="center"/>
                </w:tcPr>
                <w:p w14:paraId="48D19A6E">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p>
              </w:tc>
              <w:tc>
                <w:tcPr>
                  <w:tcW w:w="1781" w:type="pct"/>
                  <w:vAlign w:val="center"/>
                </w:tcPr>
                <w:p w14:paraId="2C1E494D">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收集的废气中NMHC初始排放速率≥3kg/h时，应配置VOCs处理设施，处理效率不应低于80%。</w:t>
                  </w:r>
                </w:p>
              </w:tc>
              <w:tc>
                <w:tcPr>
                  <w:tcW w:w="2270" w:type="pct"/>
                  <w:vAlign w:val="center"/>
                </w:tcPr>
                <w:p w14:paraId="20EED28F">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项目NMHC初始排放速率为0.506kg/h≤3kg/h，因此，废气处理设施综合处理效率不强制要求达到80%。</w:t>
                  </w:r>
                </w:p>
              </w:tc>
              <w:tc>
                <w:tcPr>
                  <w:tcW w:w="357" w:type="pct"/>
                  <w:vAlign w:val="center"/>
                </w:tcPr>
                <w:p w14:paraId="05108BA6">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46C18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2" w:type="pct"/>
                  <w:vMerge w:val="continue"/>
                  <w:vAlign w:val="center"/>
                </w:tcPr>
                <w:p w14:paraId="70A13B70">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p>
              </w:tc>
              <w:tc>
                <w:tcPr>
                  <w:tcW w:w="1781" w:type="pct"/>
                  <w:vAlign w:val="center"/>
                </w:tcPr>
                <w:p w14:paraId="747233EA">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排气筒高度不低于15m（因安全考虑或有特殊工艺要求的除外），具体高度以及与周围建筑物的相对高度关系应根据环境影响评价文件确定。</w:t>
                  </w:r>
                </w:p>
              </w:tc>
              <w:tc>
                <w:tcPr>
                  <w:tcW w:w="2270" w:type="pct"/>
                  <w:vAlign w:val="center"/>
                </w:tcPr>
                <w:p w14:paraId="5C3E9E81">
                  <w:pPr>
                    <w:autoSpaceDE w:val="0"/>
                    <w:autoSpaceDN w:val="0"/>
                    <w:adjustRightInd w:val="0"/>
                    <w:snapToGrid w:val="0"/>
                    <w:spacing w:after="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项目DA003和DA004排气筒高度均为20m，满足不低于15m的要求。</w:t>
                  </w:r>
                </w:p>
              </w:tc>
              <w:tc>
                <w:tcPr>
                  <w:tcW w:w="357" w:type="pct"/>
                  <w:vAlign w:val="center"/>
                </w:tcPr>
                <w:p w14:paraId="69539680">
                  <w:pPr>
                    <w:autoSpaceDE w:val="0"/>
                    <w:autoSpaceDN w:val="0"/>
                    <w:adjustRightInd w:val="0"/>
                    <w:snapToGrid w:val="0"/>
                    <w:spacing w:after="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bl>
          <w:p w14:paraId="0A231F95">
            <w:pPr>
              <w:autoSpaceDE w:val="0"/>
              <w:autoSpaceDN w:val="0"/>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由上表可知，项目建设符合《挥发性有机物无组织排放控制标准》（GB37822-2019）相关要求。</w:t>
            </w:r>
          </w:p>
        </w:tc>
      </w:tr>
    </w:tbl>
    <w:p w14:paraId="2DF95282">
      <w:pPr>
        <w:spacing w:after="0" w:line="360" w:lineRule="auto"/>
        <w:outlineLvl w:val="0"/>
        <w:rPr>
          <w:color w:val="0D0D0D" w:themeColor="text1" w:themeTint="F2"/>
          <w:sz w:val="30"/>
          <w14:textFill>
            <w14:solidFill>
              <w14:schemeClr w14:val="tx1">
                <w14:lumMod w14:val="95000"/>
                <w14:lumOff w14:val="5000"/>
              </w14:schemeClr>
            </w14:solidFill>
          </w14:textFill>
        </w:rPr>
        <w:sectPr>
          <w:footerReference r:id="rId7" w:type="default"/>
          <w:pgSz w:w="11906" w:h="16838"/>
          <w:pgMar w:top="1701" w:right="1531" w:bottom="1701" w:left="1531" w:header="851" w:footer="1077" w:gutter="0"/>
          <w:pgNumType w:start="1"/>
          <w:cols w:space="720" w:num="1"/>
          <w:docGrid w:linePitch="312" w:charSpace="0"/>
        </w:sectPr>
      </w:pPr>
    </w:p>
    <w:p w14:paraId="50DF1566">
      <w:pPr>
        <w:pStyle w:val="19"/>
        <w:spacing w:before="0" w:beforeAutospacing="0" w:after="0" w:afterAutospacing="0"/>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8" w:name="_Toc136522024"/>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二、建设项目工程分析</w:t>
      </w:r>
      <w:bookmarkEnd w:id="8"/>
    </w:p>
    <w:tbl>
      <w:tblPr>
        <w:tblStyle w:val="22"/>
        <w:tblW w:w="524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221"/>
      </w:tblGrid>
      <w:tr w14:paraId="7F778B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5" w:hRule="atLeast"/>
          <w:jc w:val="center"/>
        </w:trPr>
        <w:tc>
          <w:tcPr>
            <w:tcW w:w="225" w:type="pct"/>
            <w:vAlign w:val="center"/>
          </w:tcPr>
          <w:p w14:paraId="1944DD09">
            <w:pPr>
              <w:pStyle w:val="19"/>
              <w:adjustRightInd w:val="0"/>
              <w:snapToGrid w:val="0"/>
              <w:spacing w:before="0" w:beforeAutospacing="0" w:after="0" w:afterAutospacing="0" w:line="240" w:lineRule="auto"/>
              <w:jc w:val="center"/>
              <w:rPr>
                <w:rFonts w:ascii="Times New Roman" w:hAnsi="Times New Roman" w:cs="宋体"/>
                <w:color w:val="0D0D0D" w:themeColor="text1" w:themeTint="F2"/>
                <w:szCs w:val="24"/>
                <w14:textFill>
                  <w14:solidFill>
                    <w14:schemeClr w14:val="tx1">
                      <w14:lumMod w14:val="95000"/>
                      <w14:lumOff w14:val="5000"/>
                    </w14:schemeClr>
                  </w14:solidFill>
                </w14:textFill>
              </w:rPr>
            </w:pPr>
            <w:r>
              <w:rPr>
                <w:rFonts w:hint="eastAsia" w:ascii="Times New Roman" w:hAnsi="Times New Roman" w:cs="宋体"/>
                <w:color w:val="0D0D0D" w:themeColor="text1" w:themeTint="F2"/>
                <w:szCs w:val="24"/>
                <w14:textFill>
                  <w14:solidFill>
                    <w14:schemeClr w14:val="tx1">
                      <w14:lumMod w14:val="95000"/>
                      <w14:lumOff w14:val="5000"/>
                    </w14:schemeClr>
                  </w14:solidFill>
                </w14:textFill>
              </w:rPr>
              <w:t>建设内容</w:t>
            </w:r>
          </w:p>
        </w:tc>
        <w:tc>
          <w:tcPr>
            <w:tcW w:w="4775" w:type="pct"/>
          </w:tcPr>
          <w:p w14:paraId="01E05E84">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1.项目基本情况</w:t>
            </w:r>
          </w:p>
          <w:p w14:paraId="1796A2EE">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项目名称：中石油CC项目配套用地临时项目</w:t>
            </w:r>
          </w:p>
          <w:p w14:paraId="08F5480D">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建设单位：广西新动力国际物流有限公司</w:t>
            </w:r>
          </w:p>
          <w:p w14:paraId="44D9DF0F">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建设性质：新建</w:t>
            </w:r>
          </w:p>
          <w:p w14:paraId="754F0F19">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总投资：900万元，</w:t>
            </w:r>
            <w:r>
              <w:rPr>
                <w:rFonts w:hint="eastAsia"/>
                <w:color w:val="0D0D0D" w:themeColor="text1" w:themeTint="F2"/>
                <w:sz w:val="24"/>
                <w:u w:val="single"/>
                <w14:textFill>
                  <w14:solidFill>
                    <w14:schemeClr w14:val="tx1">
                      <w14:lumMod w14:val="95000"/>
                      <w14:lumOff w14:val="5000"/>
                    </w14:schemeClr>
                  </w14:solidFill>
                </w14:textFill>
              </w:rPr>
              <w:t>其中环保投资110万元，占总投资的12.22%</w:t>
            </w:r>
          </w:p>
          <w:p w14:paraId="75032B50">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建设内容及规模：用地面积为44174.16m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，主要建设2个生产车间、露天加工区、原料区、半成品区和成品区等，每个生产车间布置1条防腐生产线，年处理钢材防腐约20000m</w:t>
            </w:r>
            <w:r>
              <w:rPr>
                <w:rFonts w:hint="eastAsia"/>
                <w:color w:val="0D0D0D" w:themeColor="text1" w:themeTint="F2"/>
                <w:sz w:val="24"/>
                <w:vertAlign w:val="superscript"/>
                <w14:textFill>
                  <w14:solidFill>
                    <w14:schemeClr w14:val="tx1">
                      <w14:lumMod w14:val="95000"/>
                      <w14:lumOff w14:val="5000"/>
                    </w14:schemeClr>
                  </w14:solidFill>
                </w14:textFill>
              </w:rPr>
              <w:t>2</w:t>
            </w:r>
          </w:p>
          <w:p w14:paraId="15A1985F">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劳动定员及工作制度：劳动定员150人，年工作300天，不在厂内食宿，每天工作12小时，单班制生产</w:t>
            </w:r>
          </w:p>
          <w:p w14:paraId="735F352C">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周边环境概况：东面为大榄坪三号路，南面为碎石加工厂，西面为广西钦州力顺机械有限公司拟建场地，北面为淡水湾大道</w:t>
            </w:r>
          </w:p>
          <w:p w14:paraId="2687CFD3">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2.主要建设内容</w:t>
            </w:r>
          </w:p>
          <w:p w14:paraId="433C886D">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项目主要建设内容包括生产车间、露天加工区、原料区、半成品区、成品区和油漆库等，设计产能为年处理钢材防腐约20000m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w:t>
            </w:r>
          </w:p>
          <w:p w14:paraId="62DA4D65">
            <w:pPr>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项目于2025年8月开工建设，经现场核查，目前已建成生产车间、露天加工区、原料区、半成品区、成品区、油漆库、一般固废暂存间、危废暂存间和值班室，生产设备已安装，环保措施已安装有2套滤筒除尘器、2套单级活性炭吸附装置以及4根15m排气筒，2025年12月进行试生产，现已停产。现存的主要环境问题为：喷漆房仅为简易围挡，未做到密闭作业空间；切割粉尘和焊接烟尘未配套设置移动式烟尘净化器，呈无组织排放；露天加工区未设置雨水收集系统；已建4根15m排气筒高度无法满足规范要求；二氧化碳瓶、氧气瓶、丙烷瓶等未设置专用存放场所；未按照规范要求设置一般固废暂存间和危废暂存间。针对上述问题，本次评价要求建设单位严格落实本环评提出的各项环保措施，自取得环评批复文件之日起三个月内，对照本环评要求完成整改完善，并依法办理排污许可手续及竣工环境保护验收手续。</w:t>
            </w:r>
          </w:p>
          <w:p w14:paraId="45AE662B">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项目工程组成详见表2</w:t>
            </w:r>
            <w:r>
              <w:rPr>
                <w:color w:val="0D0D0D" w:themeColor="text1" w:themeTint="F2"/>
                <w:sz w:val="24"/>
                <w14:textFill>
                  <w14:solidFill>
                    <w14:schemeClr w14:val="tx1">
                      <w14:lumMod w14:val="95000"/>
                      <w14:lumOff w14:val="5000"/>
                    </w14:schemeClr>
                  </w14:solidFill>
                </w14:textFill>
              </w:rPr>
              <w:t>-1</w:t>
            </w:r>
            <w:r>
              <w:rPr>
                <w:rFonts w:hint="eastAsia"/>
                <w:color w:val="0D0D0D" w:themeColor="text1" w:themeTint="F2"/>
                <w:sz w:val="24"/>
                <w14:textFill>
                  <w14:solidFill>
                    <w14:schemeClr w14:val="tx1">
                      <w14:lumMod w14:val="95000"/>
                      <w14:lumOff w14:val="5000"/>
                    </w14:schemeClr>
                  </w14:solidFill>
                </w14:textFill>
              </w:rPr>
              <w:t>。</w:t>
            </w:r>
          </w:p>
          <w:p w14:paraId="4E9249E0">
            <w:pPr>
              <w:spacing w:after="0"/>
              <w:ind w:firstLine="422" w:firstLineChars="20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1</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工程组成一览表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797"/>
              <w:gridCol w:w="5267"/>
              <w:gridCol w:w="1231"/>
            </w:tblGrid>
            <w:tr w14:paraId="05A91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tcBorders>
                    <w:top w:val="single" w:color="auto" w:sz="4" w:space="0"/>
                    <w:left w:val="single" w:color="auto" w:sz="4" w:space="0"/>
                    <w:bottom w:val="single" w:color="auto" w:sz="4" w:space="0"/>
                    <w:right w:val="single" w:color="auto" w:sz="4" w:space="0"/>
                  </w:tcBorders>
                  <w:vAlign w:val="center"/>
                </w:tcPr>
                <w:p w14:paraId="5D28F07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类别</w:t>
                  </w:r>
                </w:p>
              </w:tc>
              <w:tc>
                <w:tcPr>
                  <w:tcW w:w="999" w:type="pct"/>
                  <w:tcBorders>
                    <w:top w:val="single" w:color="auto" w:sz="4" w:space="0"/>
                    <w:left w:val="single" w:color="auto" w:sz="4" w:space="0"/>
                    <w:bottom w:val="single" w:color="auto" w:sz="4" w:space="0"/>
                    <w:right w:val="single" w:color="auto" w:sz="4" w:space="0"/>
                  </w:tcBorders>
                  <w:vAlign w:val="center"/>
                </w:tcPr>
                <w:p w14:paraId="069CDF4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名称</w:t>
                  </w:r>
                </w:p>
              </w:tc>
              <w:tc>
                <w:tcPr>
                  <w:tcW w:w="2928" w:type="pct"/>
                  <w:tcBorders>
                    <w:top w:val="single" w:color="auto" w:sz="4" w:space="0"/>
                    <w:left w:val="single" w:color="auto" w:sz="4" w:space="0"/>
                    <w:bottom w:val="single" w:color="auto" w:sz="4" w:space="0"/>
                    <w:right w:val="single" w:color="auto" w:sz="4" w:space="0"/>
                  </w:tcBorders>
                  <w:vAlign w:val="center"/>
                </w:tcPr>
                <w:p w14:paraId="4B2E00B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工程内容</w:t>
                  </w:r>
                </w:p>
              </w:tc>
              <w:tc>
                <w:tcPr>
                  <w:tcW w:w="684" w:type="pct"/>
                  <w:tcBorders>
                    <w:top w:val="single" w:color="auto" w:sz="4" w:space="0"/>
                    <w:left w:val="single" w:color="auto" w:sz="4" w:space="0"/>
                    <w:bottom w:val="single" w:color="auto" w:sz="4" w:space="0"/>
                    <w:right w:val="single" w:color="auto" w:sz="4" w:space="0"/>
                  </w:tcBorders>
                  <w:vAlign w:val="center"/>
                </w:tcPr>
                <w:p w14:paraId="3EDED54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备注</w:t>
                  </w:r>
                </w:p>
              </w:tc>
            </w:tr>
            <w:tr w14:paraId="1FECA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top w:val="single" w:color="auto" w:sz="4" w:space="0"/>
                    <w:left w:val="single" w:color="auto" w:sz="4" w:space="0"/>
                    <w:right w:val="single" w:color="auto" w:sz="4" w:space="0"/>
                  </w:tcBorders>
                  <w:vAlign w:val="center"/>
                </w:tcPr>
                <w:p w14:paraId="423F84A4">
                  <w:pPr>
                    <w:spacing w:after="0" w:line="240" w:lineRule="auto"/>
                    <w:jc w:val="center"/>
                    <w:rPr>
                      <w:color w:val="0D0D0D" w:themeColor="text1" w:themeTint="F2"/>
                      <w:szCs w:val="21"/>
                      <w14:textFill>
                        <w14:solidFill>
                          <w14:schemeClr w14:val="tx1">
                            <w14:lumMod w14:val="95000"/>
                            <w14:lumOff w14:val="5000"/>
                          </w14:schemeClr>
                        </w14:solidFill>
                      </w14:textFill>
                    </w:rPr>
                  </w:pPr>
                  <w:bookmarkStart w:id="9" w:name="OLE_LINK9" w:colFirst="1" w:colLast="1"/>
                  <w:r>
                    <w:rPr>
                      <w:rFonts w:hint="eastAsia"/>
                      <w:color w:val="0D0D0D" w:themeColor="text1" w:themeTint="F2"/>
                      <w:szCs w:val="21"/>
                      <w14:textFill>
                        <w14:solidFill>
                          <w14:schemeClr w14:val="tx1">
                            <w14:lumMod w14:val="95000"/>
                            <w14:lumOff w14:val="5000"/>
                          </w14:schemeClr>
                        </w14:solidFill>
                      </w14:textFill>
                    </w:rPr>
                    <w:t>主体工程</w:t>
                  </w:r>
                </w:p>
              </w:tc>
              <w:tc>
                <w:tcPr>
                  <w:tcW w:w="999" w:type="pct"/>
                  <w:tcBorders>
                    <w:top w:val="single" w:color="auto" w:sz="4" w:space="0"/>
                    <w:left w:val="single" w:color="auto" w:sz="4" w:space="0"/>
                    <w:right w:val="single" w:color="auto" w:sz="4" w:space="0"/>
                  </w:tcBorders>
                  <w:vAlign w:val="center"/>
                </w:tcPr>
                <w:p w14:paraId="19D06E1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1＃生产车间</w:t>
                  </w:r>
                </w:p>
              </w:tc>
              <w:tc>
                <w:tcPr>
                  <w:tcW w:w="2928" w:type="pct"/>
                  <w:tcBorders>
                    <w:top w:val="single" w:color="auto" w:sz="4" w:space="0"/>
                    <w:left w:val="single" w:color="auto" w:sz="4" w:space="0"/>
                    <w:right w:val="single" w:color="auto" w:sz="4" w:space="0"/>
                  </w:tcBorders>
                  <w:vAlign w:val="center"/>
                </w:tcPr>
                <w:p w14:paraId="6C1BE1AF">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位于厂区西部，占地面积1500m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，设计规格为60m×25m×15m，钢结构，布置抛丸和喷漆工序，设置1座喷漆房，设计规格为10m×3.5m×3.5m</w:t>
                  </w:r>
                </w:p>
              </w:tc>
              <w:tc>
                <w:tcPr>
                  <w:tcW w:w="684" w:type="pct"/>
                  <w:tcBorders>
                    <w:top w:val="single" w:color="auto" w:sz="4" w:space="0"/>
                    <w:left w:val="single" w:color="auto" w:sz="4" w:space="0"/>
                    <w:right w:val="single" w:color="auto" w:sz="4" w:space="0"/>
                  </w:tcBorders>
                  <w:vAlign w:val="center"/>
                </w:tcPr>
                <w:p w14:paraId="04ADF069">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生产车间已建，喷漆房需完善</w:t>
                  </w:r>
                </w:p>
              </w:tc>
            </w:tr>
            <w:tr w14:paraId="759D8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55B9D12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right w:val="single" w:color="auto" w:sz="4" w:space="0"/>
                  </w:tcBorders>
                  <w:vAlign w:val="center"/>
                </w:tcPr>
                <w:p w14:paraId="5499B80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2＃生产车间</w:t>
                  </w:r>
                </w:p>
              </w:tc>
              <w:tc>
                <w:tcPr>
                  <w:tcW w:w="2928" w:type="pct"/>
                  <w:tcBorders>
                    <w:top w:val="single" w:color="auto" w:sz="4" w:space="0"/>
                    <w:left w:val="single" w:color="auto" w:sz="4" w:space="0"/>
                    <w:right w:val="single" w:color="auto" w:sz="4" w:space="0"/>
                  </w:tcBorders>
                  <w:vAlign w:val="center"/>
                </w:tcPr>
                <w:p w14:paraId="2835F635">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位于厂区西部，占地面积1500m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，设计规格为60m×25m×15m，钢结构，布置抛丸和喷漆工序，设置1座喷漆房，设计规格为10m×3.5m×3.5m</w:t>
                  </w:r>
                </w:p>
              </w:tc>
              <w:tc>
                <w:tcPr>
                  <w:tcW w:w="684" w:type="pct"/>
                  <w:tcBorders>
                    <w:top w:val="single" w:color="auto" w:sz="4" w:space="0"/>
                    <w:left w:val="single" w:color="auto" w:sz="4" w:space="0"/>
                    <w:right w:val="single" w:color="auto" w:sz="4" w:space="0"/>
                  </w:tcBorders>
                  <w:vAlign w:val="center"/>
                </w:tcPr>
                <w:p w14:paraId="393306ED">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生产车间已建，喷漆房需完善</w:t>
                  </w:r>
                </w:p>
              </w:tc>
            </w:tr>
            <w:tr w14:paraId="13039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37D1EA9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right w:val="single" w:color="auto" w:sz="4" w:space="0"/>
                  </w:tcBorders>
                  <w:vAlign w:val="center"/>
                </w:tcPr>
                <w:p w14:paraId="0B20ECB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露天加工区</w:t>
                  </w:r>
                </w:p>
              </w:tc>
              <w:tc>
                <w:tcPr>
                  <w:tcW w:w="2928" w:type="pct"/>
                  <w:tcBorders>
                    <w:top w:val="single" w:color="auto" w:sz="4" w:space="0"/>
                    <w:left w:val="single" w:color="auto" w:sz="4" w:space="0"/>
                    <w:right w:val="single" w:color="auto" w:sz="4" w:space="0"/>
                  </w:tcBorders>
                  <w:vAlign w:val="center"/>
                </w:tcPr>
                <w:p w14:paraId="0924C2E7">
                  <w:pPr>
                    <w:spacing w:after="0" w:line="240" w:lineRule="auto"/>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位于厂区中部，占地面积5000m</w:t>
                  </w:r>
                  <w:r>
                    <w:rPr>
                      <w:rFonts w:hint="eastAsia"/>
                      <w:color w:val="0D0D0D" w:themeColor="text1" w:themeTint="F2"/>
                      <w:szCs w:val="21"/>
                      <w:u w:val="single"/>
                      <w:vertAlign w:val="superscript"/>
                      <w14:textFill>
                        <w14:solidFill>
                          <w14:schemeClr w14:val="tx1">
                            <w14:lumMod w14:val="95000"/>
                            <w14:lumOff w14:val="5000"/>
                          </w14:schemeClr>
                        </w14:solidFill>
                      </w14:textFill>
                    </w:rPr>
                    <w:t>2</w:t>
                  </w:r>
                  <w:r>
                    <w:rPr>
                      <w:rFonts w:hint="eastAsia"/>
                      <w:color w:val="0D0D0D" w:themeColor="text1" w:themeTint="F2"/>
                      <w:szCs w:val="21"/>
                      <w:u w:val="single"/>
                      <w14:textFill>
                        <w14:solidFill>
                          <w14:schemeClr w14:val="tx1">
                            <w14:lumMod w14:val="95000"/>
                            <w14:lumOff w14:val="5000"/>
                          </w14:schemeClr>
                        </w14:solidFill>
                      </w14:textFill>
                    </w:rPr>
                    <w:t>，布置切割工序等</w:t>
                  </w:r>
                </w:p>
              </w:tc>
              <w:tc>
                <w:tcPr>
                  <w:tcW w:w="684" w:type="pct"/>
                  <w:tcBorders>
                    <w:top w:val="single" w:color="auto" w:sz="4" w:space="0"/>
                    <w:left w:val="single" w:color="auto" w:sz="4" w:space="0"/>
                    <w:right w:val="single" w:color="auto" w:sz="4" w:space="0"/>
                  </w:tcBorders>
                  <w:vAlign w:val="center"/>
                </w:tcPr>
                <w:p w14:paraId="6255DCC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2DBD1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left w:val="single" w:color="auto" w:sz="4" w:space="0"/>
                    <w:right w:val="single" w:color="auto" w:sz="4" w:space="0"/>
                  </w:tcBorders>
                  <w:vAlign w:val="center"/>
                </w:tcPr>
                <w:p w14:paraId="0B85C6D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辅助工程</w:t>
                  </w:r>
                </w:p>
              </w:tc>
              <w:tc>
                <w:tcPr>
                  <w:tcW w:w="999" w:type="pct"/>
                  <w:tcBorders>
                    <w:top w:val="single" w:color="auto" w:sz="4" w:space="0"/>
                    <w:left w:val="single" w:color="auto" w:sz="4" w:space="0"/>
                    <w:bottom w:val="single" w:color="auto" w:sz="4" w:space="0"/>
                    <w:right w:val="single" w:color="auto" w:sz="4" w:space="0"/>
                  </w:tcBorders>
                  <w:vAlign w:val="center"/>
                </w:tcPr>
                <w:p w14:paraId="2628CB9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1＃值班室</w:t>
                  </w:r>
                </w:p>
              </w:tc>
              <w:tc>
                <w:tcPr>
                  <w:tcW w:w="2928" w:type="pct"/>
                  <w:tcBorders>
                    <w:top w:val="single" w:color="auto" w:sz="4" w:space="0"/>
                    <w:left w:val="single" w:color="auto" w:sz="4" w:space="0"/>
                    <w:bottom w:val="single" w:color="auto" w:sz="4" w:space="0"/>
                    <w:right w:val="single" w:color="auto" w:sz="4" w:space="0"/>
                  </w:tcBorders>
                  <w:vAlign w:val="center"/>
                </w:tcPr>
                <w:p w14:paraId="06182CC4">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位于厂区西北部，占地15m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，高2.5m</w:t>
                  </w:r>
                </w:p>
              </w:tc>
              <w:tc>
                <w:tcPr>
                  <w:tcW w:w="684" w:type="pct"/>
                  <w:tcBorders>
                    <w:top w:val="single" w:color="auto" w:sz="4" w:space="0"/>
                    <w:left w:val="single" w:color="auto" w:sz="4" w:space="0"/>
                    <w:bottom w:val="single" w:color="auto" w:sz="4" w:space="0"/>
                    <w:right w:val="single" w:color="auto" w:sz="4" w:space="0"/>
                  </w:tcBorders>
                  <w:vAlign w:val="center"/>
                </w:tcPr>
                <w:p w14:paraId="687A0FC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0A491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4A72BDD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2EEA280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2＃值班室</w:t>
                  </w:r>
                </w:p>
              </w:tc>
              <w:tc>
                <w:tcPr>
                  <w:tcW w:w="2928" w:type="pct"/>
                  <w:tcBorders>
                    <w:top w:val="single" w:color="auto" w:sz="4" w:space="0"/>
                    <w:left w:val="single" w:color="auto" w:sz="4" w:space="0"/>
                    <w:bottom w:val="single" w:color="auto" w:sz="4" w:space="0"/>
                    <w:right w:val="single" w:color="auto" w:sz="4" w:space="0"/>
                  </w:tcBorders>
                  <w:vAlign w:val="center"/>
                </w:tcPr>
                <w:p w14:paraId="680EEB49">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位于厂区西北部，占地15m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，高2.5m</w:t>
                  </w:r>
                </w:p>
              </w:tc>
              <w:tc>
                <w:tcPr>
                  <w:tcW w:w="684" w:type="pct"/>
                  <w:tcBorders>
                    <w:top w:val="single" w:color="auto" w:sz="4" w:space="0"/>
                    <w:left w:val="single" w:color="auto" w:sz="4" w:space="0"/>
                    <w:bottom w:val="single" w:color="auto" w:sz="4" w:space="0"/>
                    <w:right w:val="single" w:color="auto" w:sz="4" w:space="0"/>
                  </w:tcBorders>
                  <w:vAlign w:val="center"/>
                </w:tcPr>
                <w:p w14:paraId="1F653FB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01428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left w:val="single" w:color="auto" w:sz="4" w:space="0"/>
                    <w:right w:val="single" w:color="auto" w:sz="4" w:space="0"/>
                  </w:tcBorders>
                  <w:vAlign w:val="center"/>
                </w:tcPr>
                <w:p w14:paraId="3166358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储运工程</w:t>
                  </w:r>
                </w:p>
              </w:tc>
              <w:tc>
                <w:tcPr>
                  <w:tcW w:w="999" w:type="pct"/>
                  <w:tcBorders>
                    <w:top w:val="single" w:color="auto" w:sz="4" w:space="0"/>
                    <w:left w:val="single" w:color="auto" w:sz="4" w:space="0"/>
                    <w:bottom w:val="single" w:color="auto" w:sz="4" w:space="0"/>
                    <w:right w:val="single" w:color="auto" w:sz="4" w:space="0"/>
                  </w:tcBorders>
                  <w:vAlign w:val="center"/>
                </w:tcPr>
                <w:p w14:paraId="392046D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原料区</w:t>
                  </w:r>
                </w:p>
              </w:tc>
              <w:tc>
                <w:tcPr>
                  <w:tcW w:w="2928" w:type="pct"/>
                  <w:tcBorders>
                    <w:top w:val="single" w:color="auto" w:sz="4" w:space="0"/>
                    <w:left w:val="single" w:color="auto" w:sz="4" w:space="0"/>
                    <w:bottom w:val="single" w:color="auto" w:sz="4" w:space="0"/>
                    <w:right w:val="single" w:color="auto" w:sz="4" w:space="0"/>
                  </w:tcBorders>
                  <w:vAlign w:val="center"/>
                </w:tcPr>
                <w:p w14:paraId="2649CAC5">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位于厂区东部，占地5500m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，露天设置</w:t>
                  </w:r>
                </w:p>
              </w:tc>
              <w:tc>
                <w:tcPr>
                  <w:tcW w:w="684" w:type="pct"/>
                  <w:tcBorders>
                    <w:top w:val="single" w:color="auto" w:sz="4" w:space="0"/>
                    <w:left w:val="single" w:color="auto" w:sz="4" w:space="0"/>
                    <w:bottom w:val="single" w:color="auto" w:sz="4" w:space="0"/>
                    <w:right w:val="single" w:color="auto" w:sz="4" w:space="0"/>
                  </w:tcBorders>
                  <w:vAlign w:val="center"/>
                </w:tcPr>
                <w:p w14:paraId="77F4B14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19759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6F3F411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68B1C6E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半成品区</w:t>
                  </w:r>
                </w:p>
              </w:tc>
              <w:tc>
                <w:tcPr>
                  <w:tcW w:w="2928" w:type="pct"/>
                  <w:tcBorders>
                    <w:top w:val="single" w:color="auto" w:sz="4" w:space="0"/>
                    <w:left w:val="single" w:color="auto" w:sz="4" w:space="0"/>
                    <w:bottom w:val="single" w:color="auto" w:sz="4" w:space="0"/>
                    <w:right w:val="single" w:color="auto" w:sz="4" w:space="0"/>
                  </w:tcBorders>
                  <w:vAlign w:val="center"/>
                </w:tcPr>
                <w:p w14:paraId="0728A1B4">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位于厂区西南部，占地4000m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，露天设置</w:t>
                  </w:r>
                </w:p>
              </w:tc>
              <w:tc>
                <w:tcPr>
                  <w:tcW w:w="684" w:type="pct"/>
                  <w:tcBorders>
                    <w:top w:val="single" w:color="auto" w:sz="4" w:space="0"/>
                    <w:left w:val="single" w:color="auto" w:sz="4" w:space="0"/>
                    <w:bottom w:val="single" w:color="auto" w:sz="4" w:space="0"/>
                    <w:right w:val="single" w:color="auto" w:sz="4" w:space="0"/>
                  </w:tcBorders>
                  <w:vAlign w:val="center"/>
                </w:tcPr>
                <w:p w14:paraId="3CD02DB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6BA3C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4ED76A9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3921774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成品区</w:t>
                  </w:r>
                </w:p>
              </w:tc>
              <w:tc>
                <w:tcPr>
                  <w:tcW w:w="2928" w:type="pct"/>
                  <w:tcBorders>
                    <w:top w:val="single" w:color="auto" w:sz="4" w:space="0"/>
                    <w:left w:val="single" w:color="auto" w:sz="4" w:space="0"/>
                    <w:bottom w:val="single" w:color="auto" w:sz="4" w:space="0"/>
                    <w:right w:val="single" w:color="auto" w:sz="4" w:space="0"/>
                  </w:tcBorders>
                  <w:vAlign w:val="center"/>
                </w:tcPr>
                <w:p w14:paraId="53E9B6C2">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位于厂区西北部，占地1200m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，露天设置</w:t>
                  </w:r>
                </w:p>
              </w:tc>
              <w:tc>
                <w:tcPr>
                  <w:tcW w:w="684" w:type="pct"/>
                  <w:tcBorders>
                    <w:top w:val="single" w:color="auto" w:sz="4" w:space="0"/>
                    <w:left w:val="single" w:color="auto" w:sz="4" w:space="0"/>
                    <w:bottom w:val="single" w:color="auto" w:sz="4" w:space="0"/>
                    <w:right w:val="single" w:color="auto" w:sz="4" w:space="0"/>
                  </w:tcBorders>
                  <w:vAlign w:val="center"/>
                </w:tcPr>
                <w:p w14:paraId="481513C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5BB0F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050E91B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1AF830C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油漆库</w:t>
                  </w:r>
                </w:p>
              </w:tc>
              <w:tc>
                <w:tcPr>
                  <w:tcW w:w="2928" w:type="pct"/>
                  <w:tcBorders>
                    <w:top w:val="single" w:color="auto" w:sz="4" w:space="0"/>
                    <w:left w:val="single" w:color="auto" w:sz="4" w:space="0"/>
                    <w:bottom w:val="single" w:color="auto" w:sz="4" w:space="0"/>
                    <w:right w:val="single" w:color="auto" w:sz="4" w:space="0"/>
                  </w:tcBorders>
                  <w:vAlign w:val="center"/>
                </w:tcPr>
                <w:p w14:paraId="3E753231">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1＃油漆库位于厂区西北部，占地54m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，高2.5m</w:t>
                  </w:r>
                </w:p>
                <w:p w14:paraId="31135619">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2＃油漆库位于厂区西北部，占地54m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，高2.5m</w:t>
                  </w:r>
                </w:p>
              </w:tc>
              <w:tc>
                <w:tcPr>
                  <w:tcW w:w="684" w:type="pct"/>
                  <w:tcBorders>
                    <w:top w:val="single" w:color="auto" w:sz="4" w:space="0"/>
                    <w:left w:val="single" w:color="auto" w:sz="4" w:space="0"/>
                    <w:bottom w:val="single" w:color="auto" w:sz="4" w:space="0"/>
                    <w:right w:val="single" w:color="auto" w:sz="4" w:space="0"/>
                  </w:tcBorders>
                  <w:vAlign w:val="center"/>
                </w:tcPr>
                <w:p w14:paraId="4DDABDD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00031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7091B47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20C43F2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气瓶库</w:t>
                  </w:r>
                </w:p>
              </w:tc>
              <w:tc>
                <w:tcPr>
                  <w:tcW w:w="2928" w:type="pct"/>
                  <w:tcBorders>
                    <w:top w:val="single" w:color="auto" w:sz="4" w:space="0"/>
                    <w:left w:val="single" w:color="auto" w:sz="4" w:space="0"/>
                    <w:bottom w:val="single" w:color="auto" w:sz="4" w:space="0"/>
                    <w:right w:val="single" w:color="auto" w:sz="4" w:space="0"/>
                  </w:tcBorders>
                  <w:vAlign w:val="center"/>
                </w:tcPr>
                <w:p w14:paraId="23B85905">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1间，位于厂区北部，占地30m</w:t>
                  </w:r>
                  <w:r>
                    <w:rPr>
                      <w:rFonts w:hint="eastAsia"/>
                      <w:color w:val="0D0D0D" w:themeColor="text1" w:themeTint="F2"/>
                      <w:szCs w:val="21"/>
                      <w:u w:val="single"/>
                      <w:vertAlign w:val="superscript"/>
                      <w14:textFill>
                        <w14:solidFill>
                          <w14:schemeClr w14:val="tx1">
                            <w14:lumMod w14:val="95000"/>
                            <w14:lumOff w14:val="5000"/>
                          </w14:schemeClr>
                        </w14:solidFill>
                      </w14:textFill>
                    </w:rPr>
                    <w:t>2</w:t>
                  </w:r>
                  <w:r>
                    <w:rPr>
                      <w:rFonts w:hint="eastAsia"/>
                      <w:color w:val="0D0D0D" w:themeColor="text1" w:themeTint="F2"/>
                      <w:szCs w:val="21"/>
                      <w:u w:val="single"/>
                      <w14:textFill>
                        <w14:solidFill>
                          <w14:schemeClr w14:val="tx1">
                            <w14:lumMod w14:val="95000"/>
                            <w14:lumOff w14:val="5000"/>
                          </w14:schemeClr>
                        </w14:solidFill>
                      </w14:textFill>
                    </w:rPr>
                    <w:t>，储存氧气、二氧化碳和丙烷</w:t>
                  </w:r>
                </w:p>
              </w:tc>
              <w:tc>
                <w:tcPr>
                  <w:tcW w:w="684" w:type="pct"/>
                  <w:tcBorders>
                    <w:top w:val="single" w:color="auto" w:sz="4" w:space="0"/>
                    <w:left w:val="single" w:color="auto" w:sz="4" w:space="0"/>
                    <w:bottom w:val="single" w:color="auto" w:sz="4" w:space="0"/>
                    <w:right w:val="single" w:color="auto" w:sz="4" w:space="0"/>
                  </w:tcBorders>
                  <w:vAlign w:val="center"/>
                </w:tcPr>
                <w:p w14:paraId="723BED1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未建</w:t>
                  </w:r>
                </w:p>
              </w:tc>
            </w:tr>
            <w:bookmarkEnd w:id="9"/>
            <w:tr w14:paraId="3D465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top w:val="single" w:color="auto" w:sz="4" w:space="0"/>
                    <w:left w:val="single" w:color="auto" w:sz="4" w:space="0"/>
                    <w:right w:val="single" w:color="auto" w:sz="4" w:space="0"/>
                  </w:tcBorders>
                  <w:vAlign w:val="center"/>
                </w:tcPr>
                <w:p w14:paraId="2F42F6CD">
                  <w:pPr>
                    <w:spacing w:after="0" w:line="240" w:lineRule="auto"/>
                    <w:jc w:val="center"/>
                    <w:rPr>
                      <w:color w:val="0D0D0D" w:themeColor="text1" w:themeTint="F2"/>
                      <w:szCs w:val="21"/>
                      <w:lang w:eastAsia="en-US"/>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公用工程</w:t>
                  </w:r>
                </w:p>
              </w:tc>
              <w:tc>
                <w:tcPr>
                  <w:tcW w:w="999" w:type="pct"/>
                  <w:tcBorders>
                    <w:top w:val="single" w:color="auto" w:sz="4" w:space="0"/>
                    <w:left w:val="single" w:color="auto" w:sz="4" w:space="0"/>
                    <w:bottom w:val="single" w:color="auto" w:sz="4" w:space="0"/>
                    <w:right w:val="single" w:color="auto" w:sz="4" w:space="0"/>
                  </w:tcBorders>
                  <w:vAlign w:val="center"/>
                </w:tcPr>
                <w:p w14:paraId="3702DA4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供电</w:t>
                  </w:r>
                </w:p>
              </w:tc>
              <w:tc>
                <w:tcPr>
                  <w:tcW w:w="2928" w:type="pct"/>
                  <w:tcBorders>
                    <w:top w:val="single" w:color="auto" w:sz="4" w:space="0"/>
                    <w:left w:val="single" w:color="auto" w:sz="4" w:space="0"/>
                    <w:bottom w:val="single" w:color="auto" w:sz="4" w:space="0"/>
                    <w:right w:val="single" w:color="auto" w:sz="4" w:space="0"/>
                  </w:tcBorders>
                  <w:vAlign w:val="center"/>
                </w:tcPr>
                <w:p w14:paraId="037CE4C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由</w:t>
                  </w:r>
                  <w:r>
                    <w:rPr>
                      <w:rFonts w:hint="eastAsia"/>
                      <w:color w:val="0D0D0D" w:themeColor="text1" w:themeTint="F2"/>
                      <w:szCs w:val="21"/>
                      <w14:textFill>
                        <w14:solidFill>
                          <w14:schemeClr w14:val="tx1">
                            <w14:lumMod w14:val="95000"/>
                            <w14:lumOff w14:val="5000"/>
                          </w14:schemeClr>
                        </w14:solidFill>
                      </w14:textFill>
                    </w:rPr>
                    <w:t>园区市政电网</w:t>
                  </w:r>
                  <w:r>
                    <w:rPr>
                      <w:color w:val="0D0D0D" w:themeColor="text1" w:themeTint="F2"/>
                      <w:szCs w:val="21"/>
                      <w14:textFill>
                        <w14:solidFill>
                          <w14:schemeClr w14:val="tx1">
                            <w14:lumMod w14:val="95000"/>
                            <w14:lumOff w14:val="5000"/>
                          </w14:schemeClr>
                        </w14:solidFill>
                      </w14:textFill>
                    </w:rPr>
                    <w:t>供应</w:t>
                  </w:r>
                </w:p>
              </w:tc>
              <w:tc>
                <w:tcPr>
                  <w:tcW w:w="684" w:type="pct"/>
                  <w:tcBorders>
                    <w:top w:val="single" w:color="auto" w:sz="4" w:space="0"/>
                    <w:left w:val="single" w:color="auto" w:sz="4" w:space="0"/>
                    <w:bottom w:val="single" w:color="auto" w:sz="4" w:space="0"/>
                    <w:right w:val="single" w:color="auto" w:sz="4" w:space="0"/>
                  </w:tcBorders>
                  <w:vAlign w:val="center"/>
                </w:tcPr>
                <w:p w14:paraId="6960AFD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42CA5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4DB35986">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747E589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供水</w:t>
                  </w:r>
                </w:p>
              </w:tc>
              <w:tc>
                <w:tcPr>
                  <w:tcW w:w="2928" w:type="pct"/>
                  <w:tcBorders>
                    <w:top w:val="single" w:color="auto" w:sz="4" w:space="0"/>
                    <w:left w:val="single" w:color="auto" w:sz="4" w:space="0"/>
                    <w:bottom w:val="single" w:color="auto" w:sz="4" w:space="0"/>
                    <w:right w:val="single" w:color="auto" w:sz="4" w:space="0"/>
                  </w:tcBorders>
                  <w:vAlign w:val="center"/>
                </w:tcPr>
                <w:p w14:paraId="2E18D2A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由</w:t>
                  </w:r>
                  <w:r>
                    <w:rPr>
                      <w:rFonts w:hint="eastAsia"/>
                      <w:color w:val="0D0D0D" w:themeColor="text1" w:themeTint="F2"/>
                      <w:szCs w:val="21"/>
                      <w14:textFill>
                        <w14:solidFill>
                          <w14:schemeClr w14:val="tx1">
                            <w14:lumMod w14:val="95000"/>
                            <w14:lumOff w14:val="5000"/>
                          </w14:schemeClr>
                        </w14:solidFill>
                      </w14:textFill>
                    </w:rPr>
                    <w:t>园区市政自来水管网</w:t>
                  </w:r>
                  <w:r>
                    <w:rPr>
                      <w:color w:val="0D0D0D" w:themeColor="text1" w:themeTint="F2"/>
                      <w:szCs w:val="21"/>
                      <w14:textFill>
                        <w14:solidFill>
                          <w14:schemeClr w14:val="tx1">
                            <w14:lumMod w14:val="95000"/>
                            <w14:lumOff w14:val="5000"/>
                          </w14:schemeClr>
                        </w14:solidFill>
                      </w14:textFill>
                    </w:rPr>
                    <w:t>供给</w:t>
                  </w:r>
                </w:p>
              </w:tc>
              <w:tc>
                <w:tcPr>
                  <w:tcW w:w="684" w:type="pct"/>
                  <w:tcBorders>
                    <w:top w:val="single" w:color="auto" w:sz="4" w:space="0"/>
                    <w:left w:val="single" w:color="auto" w:sz="4" w:space="0"/>
                    <w:bottom w:val="single" w:color="auto" w:sz="4" w:space="0"/>
                    <w:right w:val="single" w:color="auto" w:sz="4" w:space="0"/>
                  </w:tcBorders>
                  <w:vAlign w:val="center"/>
                </w:tcPr>
                <w:p w14:paraId="0955FCA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07B57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6886C1DB">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14C7E40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排水</w:t>
                  </w:r>
                </w:p>
              </w:tc>
              <w:tc>
                <w:tcPr>
                  <w:tcW w:w="2928" w:type="pct"/>
                  <w:tcBorders>
                    <w:top w:val="single" w:color="auto" w:sz="4" w:space="0"/>
                    <w:left w:val="single" w:color="auto" w:sz="4" w:space="0"/>
                    <w:bottom w:val="single" w:color="auto" w:sz="4" w:space="0"/>
                    <w:right w:val="single" w:color="auto" w:sz="4" w:space="0"/>
                  </w:tcBorders>
                  <w:vAlign w:val="center"/>
                </w:tcPr>
                <w:p w14:paraId="53847301">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实行雨污分流，初期雨水经初期雨水池收集后用于厂区降尘等；</w:t>
                  </w:r>
                  <w:r>
                    <w:rPr>
                      <w:rFonts w:hint="eastAsia"/>
                      <w:color w:val="0D0D0D" w:themeColor="text1" w:themeTint="F2"/>
                      <w:szCs w:val="21"/>
                      <w14:textFill>
                        <w14:solidFill>
                          <w14:schemeClr w14:val="tx1">
                            <w14:lumMod w14:val="95000"/>
                            <w14:lumOff w14:val="5000"/>
                          </w14:schemeClr>
                        </w14:solidFill>
                      </w14:textFill>
                    </w:rPr>
                    <w:t>无生产废水产生；生活污水经三级化粪池预处理后使用吸污车清运至钦州市大榄坪污水处理厂进一步处理</w:t>
                  </w:r>
                </w:p>
              </w:tc>
              <w:tc>
                <w:tcPr>
                  <w:tcW w:w="684" w:type="pct"/>
                  <w:tcBorders>
                    <w:top w:val="single" w:color="auto" w:sz="4" w:space="0"/>
                    <w:left w:val="single" w:color="auto" w:sz="4" w:space="0"/>
                    <w:bottom w:val="single" w:color="auto" w:sz="4" w:space="0"/>
                    <w:right w:val="single" w:color="auto" w:sz="4" w:space="0"/>
                  </w:tcBorders>
                  <w:vAlign w:val="center"/>
                </w:tcPr>
                <w:p w14:paraId="1B3CD49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2DFE7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top w:val="single" w:color="auto" w:sz="4" w:space="0"/>
                    <w:left w:val="single" w:color="auto" w:sz="4" w:space="0"/>
                    <w:right w:val="single" w:color="auto" w:sz="4" w:space="0"/>
                  </w:tcBorders>
                  <w:vAlign w:val="center"/>
                </w:tcPr>
                <w:p w14:paraId="56A6632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环保工程</w:t>
                  </w:r>
                </w:p>
              </w:tc>
              <w:tc>
                <w:tcPr>
                  <w:tcW w:w="999" w:type="pct"/>
                  <w:tcBorders>
                    <w:top w:val="single" w:color="auto" w:sz="4" w:space="0"/>
                    <w:left w:val="single" w:color="auto" w:sz="4" w:space="0"/>
                    <w:right w:val="single" w:color="auto" w:sz="4" w:space="0"/>
                  </w:tcBorders>
                  <w:vAlign w:val="center"/>
                </w:tcPr>
                <w:p w14:paraId="4835D3E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废气</w:t>
                  </w:r>
                </w:p>
              </w:tc>
              <w:tc>
                <w:tcPr>
                  <w:tcW w:w="2928" w:type="pct"/>
                  <w:tcBorders>
                    <w:top w:val="single" w:color="auto" w:sz="4" w:space="0"/>
                    <w:left w:val="single" w:color="auto" w:sz="4" w:space="0"/>
                    <w:bottom w:val="single" w:color="auto" w:sz="4" w:space="0"/>
                    <w:right w:val="single" w:color="auto" w:sz="4" w:space="0"/>
                  </w:tcBorders>
                  <w:vAlign w:val="center"/>
                </w:tcPr>
                <w:p w14:paraId="540F7333">
                  <w:pPr>
                    <w:spacing w:after="0" w:line="240" w:lineRule="auto"/>
                    <w:rPr>
                      <w:color w:val="0D0D0D" w:themeColor="text1" w:themeTint="F2"/>
                      <w:szCs w:val="21"/>
                      <w14:textFill>
                        <w14:solidFill>
                          <w14:schemeClr w14:val="tx1">
                            <w14:lumMod w14:val="95000"/>
                            <w14:lumOff w14:val="5000"/>
                          </w14:schemeClr>
                        </w14:solidFill>
                      </w14:textFill>
                    </w:rPr>
                  </w:pPr>
                  <w:bookmarkStart w:id="10" w:name="OLE_LINK11"/>
                  <w:r>
                    <w:rPr>
                      <w:rFonts w:hint="eastAsia"/>
                      <w:color w:val="0D0D0D" w:themeColor="text1" w:themeTint="F2"/>
                      <w:szCs w:val="21"/>
                      <w14:textFill>
                        <w14:solidFill>
                          <w14:schemeClr w14:val="tx1">
                            <w14:lumMod w14:val="95000"/>
                            <w14:lumOff w14:val="5000"/>
                          </w14:schemeClr>
                        </w14:solidFill>
                      </w14:textFill>
                    </w:rPr>
                    <w:t>（1）切割粉尘</w:t>
                  </w:r>
                  <w:bookmarkEnd w:id="10"/>
                  <w:r>
                    <w:rPr>
                      <w:rFonts w:hint="eastAsia"/>
                      <w:color w:val="0D0D0D" w:themeColor="text1" w:themeTint="F2"/>
                      <w:szCs w:val="21"/>
                      <w14:textFill>
                        <w14:solidFill>
                          <w14:schemeClr w14:val="tx1">
                            <w14:lumMod w14:val="95000"/>
                            <w14:lumOff w14:val="5000"/>
                          </w14:schemeClr>
                        </w14:solidFill>
                      </w14:textFill>
                    </w:rPr>
                    <w:t>和焊接烟尘：经移动式烟尘净化器处理后无组织排放，收集效率为90%，去除率为95%</w:t>
                  </w:r>
                </w:p>
                <w:p w14:paraId="6FC35865">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（2）抛丸粉尘：分别经设备自带的滤筒除尘器处理后通过20m排气筒（DA001和DA002）排放，单台风机设计风量为20000m</w:t>
                  </w:r>
                  <w:r>
                    <w:rPr>
                      <w:rFonts w:hint="eastAsia"/>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/h</w:t>
                  </w:r>
                </w:p>
                <w:p w14:paraId="342317F9">
                  <w:pPr>
                    <w:spacing w:after="0" w:line="240" w:lineRule="auto"/>
                    <w:rPr>
                      <w:color w:val="0D0D0D" w:themeColor="text1" w:themeTint="F2"/>
                      <w:szCs w:val="21"/>
                      <w14:textFill>
                        <w14:solidFill>
                          <w14:schemeClr w14:val="tx1">
                            <w14:lumMod w14:val="95000"/>
                            <w14:lumOff w14:val="5000"/>
                          </w14:schemeClr>
                        </w14:solidFill>
                      </w14:textFill>
                    </w:rPr>
                  </w:pPr>
                  <w:bookmarkStart w:id="11" w:name="OLE_LINK12"/>
                  <w:r>
                    <w:rPr>
                      <w:rFonts w:hint="eastAsia"/>
                      <w:color w:val="0D0D0D" w:themeColor="text1" w:themeTint="F2"/>
                      <w:szCs w:val="21"/>
                      <w14:textFill>
                        <w14:solidFill>
                          <w14:schemeClr w14:val="tx1">
                            <w14:lumMod w14:val="95000"/>
                            <w14:lumOff w14:val="5000"/>
                          </w14:schemeClr>
                        </w14:solidFill>
                      </w14:textFill>
                    </w:rPr>
                    <w:t>（3）喷漆废气</w:t>
                  </w:r>
                  <w:bookmarkEnd w:id="11"/>
                  <w:r>
                    <w:rPr>
                      <w:rFonts w:hint="eastAsia"/>
                      <w:color w:val="0D0D0D" w:themeColor="text1" w:themeTint="F2"/>
                      <w:szCs w:val="21"/>
                      <w14:textFill>
                        <w14:solidFill>
                          <w14:schemeClr w14:val="tx1">
                            <w14:lumMod w14:val="95000"/>
                            <w14:lumOff w14:val="5000"/>
                          </w14:schemeClr>
                        </w14:solidFill>
                      </w14:textFill>
                    </w:rPr>
                    <w:t>（漆雾和有机废气）：密闭负压收集至“水帘柜+过滤棉+1＃二级活性炭吸附装置”处理后通过20m排气筒（DA003）排放，废气收集率为90%，漆雾去除率为95%，非甲烷总烃和二甲苯去除率为30%，风机设计风量为20000m</w:t>
                  </w:r>
                  <w:r>
                    <w:rPr>
                      <w:rFonts w:hint="eastAsia"/>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/h</w:t>
                  </w:r>
                </w:p>
                <w:p w14:paraId="415B79E8">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（4）危废暂存间废气：密闭负压收集至2＃二级活性炭吸附装置处理后通过20m排气筒（DA004）排放，废气收集率为90%，非甲烷总烃和二甲苯去除率为30%，风机设计风量为20000m</w:t>
                  </w:r>
                  <w:r>
                    <w:rPr>
                      <w:rFonts w:hint="eastAsia"/>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/h</w:t>
                  </w:r>
                </w:p>
              </w:tc>
              <w:tc>
                <w:tcPr>
                  <w:tcW w:w="684" w:type="pct"/>
                  <w:tcBorders>
                    <w:top w:val="single" w:color="auto" w:sz="4" w:space="0"/>
                    <w:left w:val="single" w:color="auto" w:sz="4" w:space="0"/>
                    <w:bottom w:val="single" w:color="auto" w:sz="4" w:space="0"/>
                    <w:right w:val="single" w:color="auto" w:sz="4" w:space="0"/>
                  </w:tcBorders>
                  <w:vAlign w:val="center"/>
                </w:tcPr>
                <w:p w14:paraId="6D6099F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需完善</w:t>
                  </w:r>
                </w:p>
              </w:tc>
            </w:tr>
            <w:tr w14:paraId="592B3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top w:val="single" w:color="auto" w:sz="4" w:space="0"/>
                    <w:left w:val="single" w:color="auto" w:sz="4" w:space="0"/>
                    <w:right w:val="single" w:color="auto" w:sz="4" w:space="0"/>
                  </w:tcBorders>
                  <w:vAlign w:val="center"/>
                </w:tcPr>
                <w:p w14:paraId="3B5F36F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vMerge w:val="restart"/>
                  <w:tcBorders>
                    <w:top w:val="single" w:color="auto" w:sz="4" w:space="0"/>
                    <w:left w:val="single" w:color="auto" w:sz="4" w:space="0"/>
                    <w:right w:val="single" w:color="auto" w:sz="4" w:space="0"/>
                  </w:tcBorders>
                  <w:vAlign w:val="center"/>
                </w:tcPr>
                <w:p w14:paraId="4ECCF8C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w:t>
                  </w:r>
                </w:p>
              </w:tc>
              <w:tc>
                <w:tcPr>
                  <w:tcW w:w="2928" w:type="pct"/>
                  <w:tcBorders>
                    <w:top w:val="single" w:color="auto" w:sz="4" w:space="0"/>
                    <w:left w:val="single" w:color="auto" w:sz="4" w:space="0"/>
                    <w:bottom w:val="single" w:color="auto" w:sz="4" w:space="0"/>
                    <w:right w:val="single" w:color="auto" w:sz="4" w:space="0"/>
                  </w:tcBorders>
                  <w:vAlign w:val="center"/>
                </w:tcPr>
                <w:p w14:paraId="2870A99C">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初期雨水：经1座150m</w:t>
                  </w:r>
                  <w:r>
                    <w:rPr>
                      <w:rFonts w:hint="eastAsia"/>
                      <w:color w:val="0D0D0D" w:themeColor="text1" w:themeTint="F2"/>
                      <w:szCs w:val="21"/>
                      <w:u w:val="single"/>
                      <w:vertAlign w:val="superscript"/>
                      <w14:textFill>
                        <w14:solidFill>
                          <w14:schemeClr w14:val="tx1">
                            <w14:lumMod w14:val="95000"/>
                            <w14:lumOff w14:val="5000"/>
                          </w14:schemeClr>
                        </w14:solidFill>
                      </w14:textFill>
                    </w:rPr>
                    <w:t>3</w:t>
                  </w:r>
                  <w:r>
                    <w:rPr>
                      <w:rFonts w:hint="eastAsia"/>
                      <w:color w:val="0D0D0D" w:themeColor="text1" w:themeTint="F2"/>
                      <w:szCs w:val="21"/>
                      <w:u w:val="single"/>
                      <w14:textFill>
                        <w14:solidFill>
                          <w14:schemeClr w14:val="tx1">
                            <w14:lumMod w14:val="95000"/>
                            <w14:lumOff w14:val="5000"/>
                          </w14:schemeClr>
                        </w14:solidFill>
                      </w14:textFill>
                    </w:rPr>
                    <w:t>的初期雨水池收集后用于厂区降尘等，初期雨水池位于厂区北部</w:t>
                  </w:r>
                </w:p>
              </w:tc>
              <w:tc>
                <w:tcPr>
                  <w:tcW w:w="684" w:type="pct"/>
                  <w:tcBorders>
                    <w:top w:val="single" w:color="auto" w:sz="4" w:space="0"/>
                    <w:left w:val="single" w:color="auto" w:sz="4" w:space="0"/>
                    <w:bottom w:val="single" w:color="auto" w:sz="4" w:space="0"/>
                    <w:right w:val="single" w:color="auto" w:sz="4" w:space="0"/>
                  </w:tcBorders>
                  <w:vAlign w:val="center"/>
                </w:tcPr>
                <w:p w14:paraId="05278BC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初期雨水池未建</w:t>
                  </w:r>
                </w:p>
              </w:tc>
            </w:tr>
            <w:tr w14:paraId="3BE6B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156E975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vMerge w:val="continue"/>
                  <w:tcBorders>
                    <w:left w:val="single" w:color="auto" w:sz="4" w:space="0"/>
                    <w:right w:val="single" w:color="auto" w:sz="4" w:space="0"/>
                  </w:tcBorders>
                  <w:vAlign w:val="center"/>
                </w:tcPr>
                <w:p w14:paraId="4EB0B587">
                  <w:pPr>
                    <w:spacing w:after="0" w:line="240" w:lineRule="auto"/>
                    <w:jc w:val="center"/>
                    <w:rPr>
                      <w:color w:val="0D0D0D" w:themeColor="text1" w:themeTint="F2"/>
                      <w:szCs w:val="21"/>
                      <w:lang w:eastAsia="en-US"/>
                      <w14:textFill>
                        <w14:solidFill>
                          <w14:schemeClr w14:val="tx1">
                            <w14:lumMod w14:val="95000"/>
                            <w14:lumOff w14:val="5000"/>
                          </w14:schemeClr>
                        </w14:solidFill>
                      </w14:textFill>
                    </w:rPr>
                  </w:pPr>
                </w:p>
              </w:tc>
              <w:tc>
                <w:tcPr>
                  <w:tcW w:w="2928" w:type="pct"/>
                  <w:tcBorders>
                    <w:top w:val="single" w:color="auto" w:sz="4" w:space="0"/>
                    <w:left w:val="single" w:color="auto" w:sz="4" w:space="0"/>
                    <w:bottom w:val="single" w:color="auto" w:sz="4" w:space="0"/>
                    <w:right w:val="single" w:color="auto" w:sz="4" w:space="0"/>
                  </w:tcBorders>
                  <w:vAlign w:val="center"/>
                </w:tcPr>
                <w:p w14:paraId="6C30DC79">
                  <w:pPr>
                    <w:spacing w:after="0" w:line="240" w:lineRule="auto"/>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生活污水</w:t>
                  </w:r>
                  <w:r>
                    <w:rPr>
                      <w:rFonts w:hint="eastAsia"/>
                      <w:color w:val="0D0D0D" w:themeColor="text1" w:themeTint="F2"/>
                      <w:szCs w:val="21"/>
                      <w14:textFill>
                        <w14:solidFill>
                          <w14:schemeClr w14:val="tx1">
                            <w14:lumMod w14:val="95000"/>
                            <w14:lumOff w14:val="5000"/>
                          </w14:schemeClr>
                        </w14:solidFill>
                      </w14:textFill>
                    </w:rPr>
                    <w:t>：经三级化粪池预处理后使用吸污车清运至钦州市大榄坪污水处理厂进一步处理</w:t>
                  </w:r>
                </w:p>
              </w:tc>
              <w:tc>
                <w:tcPr>
                  <w:tcW w:w="684" w:type="pct"/>
                  <w:tcBorders>
                    <w:top w:val="single" w:color="auto" w:sz="4" w:space="0"/>
                    <w:left w:val="single" w:color="auto" w:sz="4" w:space="0"/>
                    <w:bottom w:val="single" w:color="auto" w:sz="4" w:space="0"/>
                    <w:right w:val="single" w:color="auto" w:sz="4" w:space="0"/>
                  </w:tcBorders>
                  <w:vAlign w:val="center"/>
                </w:tcPr>
                <w:p w14:paraId="2987056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4D226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1DC14A9A">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1B57B676">
                  <w:pPr>
                    <w:spacing w:after="0" w:line="240" w:lineRule="auto"/>
                    <w:jc w:val="center"/>
                    <w:rPr>
                      <w:color w:val="0D0D0D" w:themeColor="text1" w:themeTint="F2"/>
                      <w:szCs w:val="21"/>
                      <w:lang w:eastAsia="en-US"/>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噪声</w:t>
                  </w:r>
                </w:p>
              </w:tc>
              <w:tc>
                <w:tcPr>
                  <w:tcW w:w="2928" w:type="pct"/>
                  <w:tcBorders>
                    <w:top w:val="single" w:color="auto" w:sz="4" w:space="0"/>
                    <w:left w:val="single" w:color="auto" w:sz="4" w:space="0"/>
                    <w:bottom w:val="single" w:color="auto" w:sz="4" w:space="0"/>
                    <w:right w:val="single" w:color="auto" w:sz="4" w:space="0"/>
                  </w:tcBorders>
                  <w:vAlign w:val="center"/>
                </w:tcPr>
                <w:p w14:paraId="0EFF8F6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选用低噪声设备、基础减振、厂房隔声等</w:t>
                  </w:r>
                </w:p>
              </w:tc>
              <w:tc>
                <w:tcPr>
                  <w:tcW w:w="684" w:type="pct"/>
                  <w:tcBorders>
                    <w:top w:val="single" w:color="auto" w:sz="4" w:space="0"/>
                    <w:left w:val="single" w:color="auto" w:sz="4" w:space="0"/>
                    <w:bottom w:val="single" w:color="auto" w:sz="4" w:space="0"/>
                    <w:right w:val="single" w:color="auto" w:sz="4" w:space="0"/>
                  </w:tcBorders>
                  <w:vAlign w:val="center"/>
                </w:tcPr>
                <w:p w14:paraId="7D2D47A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30994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3CE2763A">
                  <w:pPr>
                    <w:widowControl/>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99" w:type="pct"/>
                  <w:tcBorders>
                    <w:top w:val="single" w:color="auto" w:sz="4" w:space="0"/>
                    <w:left w:val="single" w:color="auto" w:sz="4" w:space="0"/>
                    <w:bottom w:val="single" w:color="auto" w:sz="4" w:space="0"/>
                    <w:right w:val="single" w:color="auto" w:sz="4" w:space="0"/>
                  </w:tcBorders>
                  <w:vAlign w:val="center"/>
                </w:tcPr>
                <w:p w14:paraId="56DE577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固体废物</w:t>
                  </w:r>
                </w:p>
              </w:tc>
              <w:tc>
                <w:tcPr>
                  <w:tcW w:w="2928" w:type="pct"/>
                  <w:tcBorders>
                    <w:top w:val="single" w:color="auto" w:sz="4" w:space="0"/>
                    <w:left w:val="single" w:color="auto" w:sz="4" w:space="0"/>
                    <w:bottom w:val="single" w:color="auto" w:sz="4" w:space="0"/>
                    <w:right w:val="single" w:color="auto" w:sz="4" w:space="0"/>
                  </w:tcBorders>
                  <w:vAlign w:val="center"/>
                </w:tcPr>
                <w:p w14:paraId="2ACDC273">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（1）生活垃圾：在厂区</w:t>
                  </w:r>
                  <w:r>
                    <w:rPr>
                      <w:color w:val="0D0D0D" w:themeColor="text1" w:themeTint="F2"/>
                      <w:szCs w:val="21"/>
                      <w14:textFill>
                        <w14:solidFill>
                          <w14:schemeClr w14:val="tx1">
                            <w14:lumMod w14:val="95000"/>
                            <w14:lumOff w14:val="5000"/>
                          </w14:schemeClr>
                        </w14:solidFill>
                      </w14:textFill>
                    </w:rPr>
                    <w:t>设置</w:t>
                  </w:r>
                  <w:r>
                    <w:rPr>
                      <w:rFonts w:hint="eastAsia"/>
                      <w:color w:val="0D0D0D" w:themeColor="text1" w:themeTint="F2"/>
                      <w:szCs w:val="21"/>
                      <w14:textFill>
                        <w14:solidFill>
                          <w14:schemeClr w14:val="tx1">
                            <w14:lumMod w14:val="95000"/>
                            <w14:lumOff w14:val="5000"/>
                          </w14:schemeClr>
                        </w14:solidFill>
                      </w14:textFill>
                    </w:rPr>
                    <w:t>若干生活垃圾桶，集中分类收集后由环卫部门清运处置</w:t>
                  </w:r>
                </w:p>
                <w:p w14:paraId="32A9904B">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（2）一般固废：在厂区西北部设置1个30</w:t>
                  </w:r>
                  <w:r>
                    <w:rPr>
                      <w:color w:val="0D0D0D" w:themeColor="text1" w:themeTint="F2"/>
                      <w:szCs w:val="21"/>
                      <w14:textFill>
                        <w14:solidFill>
                          <w14:schemeClr w14:val="tx1">
                            <w14:lumMod w14:val="95000"/>
                            <w14:lumOff w14:val="5000"/>
                          </w14:schemeClr>
                        </w14:solidFill>
                      </w14:textFill>
                    </w:rPr>
                    <w:t>m</w:t>
                  </w:r>
                  <w:r>
                    <w:rPr>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，高2m的一般固废暂存间，一般固废外售第三方单位资源化利用，一般固废暂存间按照《一般工业固体废物贮存和填埋污染控制标准》（GB18599-2020）相关要求进行建设和管理</w:t>
                  </w:r>
                </w:p>
                <w:p w14:paraId="2E1150E8">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（3）危险废物：在厂区西北部设置2个54</w:t>
                  </w:r>
                  <w:r>
                    <w:rPr>
                      <w:color w:val="0D0D0D" w:themeColor="text1" w:themeTint="F2"/>
                      <w:szCs w:val="21"/>
                      <w14:textFill>
                        <w14:solidFill>
                          <w14:schemeClr w14:val="tx1">
                            <w14:lumMod w14:val="95000"/>
                            <w14:lumOff w14:val="5000"/>
                          </w14:schemeClr>
                        </w14:solidFill>
                      </w14:textFill>
                    </w:rPr>
                    <w:t>m</w:t>
                  </w:r>
                  <w:r>
                    <w:rPr>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，高2.5m的</w:t>
                  </w:r>
                  <w:bookmarkStart w:id="12" w:name="OLE_LINK14"/>
                  <w:r>
                    <w:rPr>
                      <w:rFonts w:hint="eastAsia"/>
                      <w:color w:val="0D0D0D" w:themeColor="text1" w:themeTint="F2"/>
                      <w:szCs w:val="21"/>
                      <w14:textFill>
                        <w14:solidFill>
                          <w14:schemeClr w14:val="tx1">
                            <w14:lumMod w14:val="95000"/>
                            <w14:lumOff w14:val="5000"/>
                          </w14:schemeClr>
                        </w14:solidFill>
                      </w14:textFill>
                    </w:rPr>
                    <w:t>危废暂存间</w:t>
                  </w:r>
                  <w:bookmarkEnd w:id="12"/>
                  <w:r>
                    <w:rPr>
                      <w:rFonts w:hint="eastAsia"/>
                      <w:color w:val="0D0D0D" w:themeColor="text1" w:themeTint="F2"/>
                      <w:szCs w:val="21"/>
                      <w14:textFill>
                        <w14:solidFill>
                          <w14:schemeClr w14:val="tx1">
                            <w14:lumMod w14:val="95000"/>
                            <w14:lumOff w14:val="5000"/>
                          </w14:schemeClr>
                        </w14:solidFill>
                      </w14:textFill>
                    </w:rPr>
                    <w:t>，危险废物委托有资质单位清运处置，危废暂存间按照《危险废物贮存污染控制标准》（GB18597-2023）相关要求进行建设和管理</w:t>
                  </w:r>
                </w:p>
              </w:tc>
              <w:tc>
                <w:tcPr>
                  <w:tcW w:w="684" w:type="pct"/>
                  <w:tcBorders>
                    <w:top w:val="single" w:color="auto" w:sz="4" w:space="0"/>
                    <w:left w:val="single" w:color="auto" w:sz="4" w:space="0"/>
                    <w:bottom w:val="single" w:color="auto" w:sz="4" w:space="0"/>
                    <w:right w:val="single" w:color="auto" w:sz="4" w:space="0"/>
                  </w:tcBorders>
                  <w:vAlign w:val="center"/>
                </w:tcPr>
                <w:p w14:paraId="6959AEF1">
                  <w:pPr>
                    <w:spacing w:after="0" w:line="240" w:lineRule="auto"/>
                    <w:rPr>
                      <w:color w:val="0D0D0D" w:themeColor="text1" w:themeTint="F2"/>
                      <w:szCs w:val="21"/>
                      <w14:textFill>
                        <w14:solidFill>
                          <w14:schemeClr w14:val="tx1">
                            <w14:lumMod w14:val="95000"/>
                            <w14:lumOff w14:val="5000"/>
                          </w14:schemeClr>
                        </w14:solidFill>
                      </w14:textFill>
                    </w:rPr>
                  </w:pPr>
                  <w:bookmarkStart w:id="13" w:name="OLE_LINK13"/>
                  <w:r>
                    <w:rPr>
                      <w:rFonts w:hint="eastAsia"/>
                      <w:color w:val="0D0D0D" w:themeColor="text1" w:themeTint="F2"/>
                      <w:szCs w:val="21"/>
                      <w14:textFill>
                        <w14:solidFill>
                          <w14:schemeClr w14:val="tx1">
                            <w14:lumMod w14:val="95000"/>
                            <w14:lumOff w14:val="5000"/>
                          </w14:schemeClr>
                        </w14:solidFill>
                      </w14:textFill>
                    </w:rPr>
                    <w:t>一般固废暂存间和危废暂存间</w:t>
                  </w:r>
                  <w:bookmarkEnd w:id="13"/>
                  <w:r>
                    <w:rPr>
                      <w:rFonts w:hint="eastAsia"/>
                      <w:color w:val="0D0D0D" w:themeColor="text1" w:themeTint="F2"/>
                      <w:szCs w:val="21"/>
                      <w14:textFill>
                        <w14:solidFill>
                          <w14:schemeClr w14:val="tx1">
                            <w14:lumMod w14:val="95000"/>
                            <w14:lumOff w14:val="5000"/>
                          </w14:schemeClr>
                        </w14:solidFill>
                      </w14:textFill>
                    </w:rPr>
                    <w:t>需完善</w:t>
                  </w:r>
                </w:p>
              </w:tc>
            </w:tr>
          </w:tbl>
          <w:p w14:paraId="03F2B304">
            <w:pPr>
              <w:pStyle w:val="47"/>
              <w:spacing w:after="0" w:line="360" w:lineRule="auto"/>
              <w:ind w:firstLine="482" w:firstLineChars="200"/>
              <w:rPr>
                <w:rFonts w:ascii="Times New Roman" w:hAnsi="Times New Roman"/>
                <w:b/>
                <w:bCs/>
                <w:color w:val="0D0D0D" w:themeColor="text1" w:themeTint="F2"/>
                <w:sz w:val="24"/>
                <w:szCs w:val="24"/>
                <w:lang w:eastAsia="zh-CN"/>
                <w14:textFill>
                  <w14:solidFill>
                    <w14:schemeClr w14:val="tx1">
                      <w14:lumMod w14:val="95000"/>
                      <w14:lumOff w14:val="5000"/>
                    </w14:schemeClr>
                  </w14:solidFill>
                </w14:textFill>
              </w:rPr>
            </w:pPr>
            <w:r>
              <w:rPr>
                <w:rFonts w:hint="eastAsia" w:ascii="Times New Roman" w:hAnsi="Times New Roman"/>
                <w:b/>
                <w:bCs/>
                <w:color w:val="0D0D0D" w:themeColor="text1" w:themeTint="F2"/>
                <w:sz w:val="24"/>
                <w:szCs w:val="24"/>
                <w:lang w:eastAsia="zh-CN"/>
                <w14:textFill>
                  <w14:solidFill>
                    <w14:schemeClr w14:val="tx1">
                      <w14:lumMod w14:val="95000"/>
                      <w14:lumOff w14:val="5000"/>
                    </w14:schemeClr>
                  </w14:solidFill>
                </w14:textFill>
              </w:rPr>
              <w:t>3.产品方案</w:t>
            </w:r>
          </w:p>
          <w:p w14:paraId="10CA4C70">
            <w:pPr>
              <w:pStyle w:val="47"/>
              <w:spacing w:after="0" w:line="360" w:lineRule="auto"/>
              <w:ind w:firstLine="480" w:firstLineChars="200"/>
              <w:jc w:val="both"/>
              <w:rPr>
                <w:rFonts w:ascii="Times New Roman" w:hAnsi="Times New Roman"/>
                <w:color w:val="0D0D0D" w:themeColor="text1" w:themeTint="F2"/>
                <w:sz w:val="24"/>
                <w:szCs w:val="24"/>
                <w:lang w:eastAsia="zh-CN"/>
                <w14:textFill>
                  <w14:solidFill>
                    <w14:schemeClr w14:val="tx1">
                      <w14:lumMod w14:val="95000"/>
                      <w14:lumOff w14:val="5000"/>
                    </w14:schemeClr>
                  </w14:solidFill>
                </w14:textFill>
              </w:rPr>
            </w:pPr>
            <w:r>
              <w:rPr>
                <w:rFonts w:ascii="Times New Roman" w:hAnsi="Times New Roman"/>
                <w:color w:val="0D0D0D" w:themeColor="text1" w:themeTint="F2"/>
                <w:sz w:val="24"/>
                <w:szCs w:val="24"/>
                <w:lang w:eastAsia="zh-CN"/>
                <w14:textFill>
                  <w14:solidFill>
                    <w14:schemeClr w14:val="tx1">
                      <w14:lumMod w14:val="95000"/>
                      <w14:lumOff w14:val="5000"/>
                    </w14:schemeClr>
                  </w14:solidFill>
                </w14:textFill>
              </w:rPr>
              <w:t>项目</w:t>
            </w:r>
            <w:r>
              <w:rPr>
                <w:rFonts w:hint="eastAsia" w:ascii="Times New Roman" w:hAnsi="Times New Roman"/>
                <w:color w:val="0D0D0D" w:themeColor="text1" w:themeTint="F2"/>
                <w:sz w:val="24"/>
                <w:szCs w:val="24"/>
                <w:lang w:eastAsia="zh-CN"/>
                <w14:textFill>
                  <w14:solidFill>
                    <w14:schemeClr w14:val="tx1">
                      <w14:lumMod w14:val="95000"/>
                      <w14:lumOff w14:val="5000"/>
                    </w14:schemeClr>
                  </w14:solidFill>
                </w14:textFill>
              </w:rPr>
              <w:t>产品方案详见表2-2。</w:t>
            </w:r>
          </w:p>
          <w:p w14:paraId="3BE33011">
            <w:pPr>
              <w:spacing w:after="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2</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产品方案一览表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4"/>
              <w:gridCol w:w="3095"/>
              <w:gridCol w:w="1864"/>
              <w:gridCol w:w="2172"/>
            </w:tblGrid>
            <w:tr w14:paraId="62518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6" w:type="pct"/>
                  <w:vAlign w:val="center"/>
                </w:tcPr>
                <w:p w14:paraId="15B7CBA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1720" w:type="pct"/>
                  <w:vAlign w:val="center"/>
                </w:tcPr>
                <w:p w14:paraId="470D7AF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名称</w:t>
                  </w:r>
                </w:p>
              </w:tc>
              <w:tc>
                <w:tcPr>
                  <w:tcW w:w="1036" w:type="pct"/>
                  <w:vAlign w:val="center"/>
                </w:tcPr>
                <w:p w14:paraId="6B33751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单位</w:t>
                  </w:r>
                </w:p>
              </w:tc>
              <w:tc>
                <w:tcPr>
                  <w:tcW w:w="1207" w:type="pct"/>
                  <w:vAlign w:val="center"/>
                </w:tcPr>
                <w:p w14:paraId="30204DB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数量</w:t>
                  </w:r>
                </w:p>
              </w:tc>
            </w:tr>
            <w:tr w14:paraId="33B6E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6" w:type="pct"/>
                  <w:vAlign w:val="center"/>
                </w:tcPr>
                <w:p w14:paraId="6D55B55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1720" w:type="pct"/>
                  <w:vAlign w:val="center"/>
                </w:tcPr>
                <w:p w14:paraId="0C1B6D1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防腐钢材</w:t>
                  </w:r>
                </w:p>
              </w:tc>
              <w:tc>
                <w:tcPr>
                  <w:tcW w:w="1036" w:type="pct"/>
                  <w:vAlign w:val="center"/>
                </w:tcPr>
                <w:p w14:paraId="133560D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/a</w:t>
                  </w:r>
                </w:p>
              </w:tc>
              <w:tc>
                <w:tcPr>
                  <w:tcW w:w="1207" w:type="pct"/>
                  <w:vAlign w:val="center"/>
                </w:tcPr>
                <w:p w14:paraId="01D06B7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20000</w:t>
                  </w:r>
                </w:p>
              </w:tc>
            </w:tr>
          </w:tbl>
          <w:p w14:paraId="0B57B426">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4.主要生产设备</w:t>
            </w:r>
          </w:p>
          <w:p w14:paraId="3EA6C05D">
            <w:pPr>
              <w:spacing w:after="0" w:line="360" w:lineRule="auto"/>
              <w:ind w:left="105" w:leftChars="50"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项目主要生产设备详见表2</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3。</w:t>
            </w:r>
          </w:p>
          <w:p w14:paraId="1E2E9038">
            <w:pPr>
              <w:spacing w:after="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3</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主要生产设备一览表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3287"/>
              <w:gridCol w:w="1441"/>
              <w:gridCol w:w="828"/>
              <w:gridCol w:w="828"/>
              <w:gridCol w:w="1783"/>
            </w:tblGrid>
            <w:tr w14:paraId="743E2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7B5F856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序</w:t>
                  </w:r>
                  <w:r>
                    <w:rPr>
                      <w:bCs/>
                      <w:color w:val="0D0D0D" w:themeColor="text1" w:themeTint="F2"/>
                      <w:szCs w:val="21"/>
                      <w14:textFill>
                        <w14:solidFill>
                          <w14:schemeClr w14:val="tx1">
                            <w14:lumMod w14:val="95000"/>
                            <w14:lumOff w14:val="5000"/>
                          </w14:schemeClr>
                        </w14:solidFill>
                      </w14:textFill>
                    </w:rPr>
                    <w:t>号</w:t>
                  </w:r>
                </w:p>
              </w:tc>
              <w:tc>
                <w:tcPr>
                  <w:tcW w:w="1827" w:type="pct"/>
                  <w:vAlign w:val="center"/>
                </w:tcPr>
                <w:p w14:paraId="1A8E21E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名称</w:t>
                  </w:r>
                </w:p>
              </w:tc>
              <w:tc>
                <w:tcPr>
                  <w:tcW w:w="801" w:type="pct"/>
                  <w:vAlign w:val="center"/>
                </w:tcPr>
                <w:p w14:paraId="59B67DA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规格</w:t>
                  </w:r>
                </w:p>
              </w:tc>
              <w:tc>
                <w:tcPr>
                  <w:tcW w:w="460" w:type="pct"/>
                  <w:vAlign w:val="center"/>
                </w:tcPr>
                <w:p w14:paraId="48FEF2A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单位</w:t>
                  </w:r>
                </w:p>
              </w:tc>
              <w:tc>
                <w:tcPr>
                  <w:tcW w:w="460" w:type="pct"/>
                  <w:vAlign w:val="center"/>
                </w:tcPr>
                <w:p w14:paraId="77B047C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数量</w:t>
                  </w:r>
                </w:p>
              </w:tc>
              <w:tc>
                <w:tcPr>
                  <w:tcW w:w="991" w:type="pct"/>
                  <w:vAlign w:val="center"/>
                </w:tcPr>
                <w:p w14:paraId="40BED6A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备注</w:t>
                  </w:r>
                </w:p>
              </w:tc>
            </w:tr>
            <w:tr w14:paraId="799E6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vAlign w:val="center"/>
                </w:tcPr>
                <w:p w14:paraId="0E6952E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下料切割工序</w:t>
                  </w:r>
                </w:p>
              </w:tc>
            </w:tr>
            <w:tr w14:paraId="6B673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4CB14312">
                  <w:pPr>
                    <w:pStyle w:val="63"/>
                    <w:numPr>
                      <w:ilvl w:val="0"/>
                      <w:numId w:val="1"/>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27" w:type="pct"/>
                  <w:vAlign w:val="center"/>
                </w:tcPr>
                <w:p w14:paraId="4766F3D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电动葫芦门式起重机</w:t>
                  </w:r>
                </w:p>
              </w:tc>
              <w:tc>
                <w:tcPr>
                  <w:tcW w:w="801" w:type="pct"/>
                  <w:vAlign w:val="center"/>
                </w:tcPr>
                <w:p w14:paraId="53A6357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16t</w:t>
                  </w:r>
                </w:p>
              </w:tc>
              <w:tc>
                <w:tcPr>
                  <w:tcW w:w="460" w:type="pct"/>
                  <w:vAlign w:val="center"/>
                </w:tcPr>
                <w:p w14:paraId="2A5DB0F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675B611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w:t>
                  </w:r>
                </w:p>
              </w:tc>
              <w:tc>
                <w:tcPr>
                  <w:tcW w:w="991" w:type="pct"/>
                  <w:vAlign w:val="center"/>
                </w:tcPr>
                <w:p w14:paraId="37A90D1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1＃生产车间</w:t>
                  </w:r>
                </w:p>
              </w:tc>
            </w:tr>
            <w:tr w14:paraId="30E03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70D82EB2">
                  <w:pPr>
                    <w:pStyle w:val="63"/>
                    <w:numPr>
                      <w:ilvl w:val="0"/>
                      <w:numId w:val="1"/>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27" w:type="pct"/>
                  <w:vAlign w:val="center"/>
                </w:tcPr>
                <w:p w14:paraId="30845E8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电动葫芦门式起重机</w:t>
                  </w:r>
                </w:p>
              </w:tc>
              <w:tc>
                <w:tcPr>
                  <w:tcW w:w="801" w:type="pct"/>
                  <w:vAlign w:val="center"/>
                </w:tcPr>
                <w:p w14:paraId="612AF7E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20t</w:t>
                  </w:r>
                </w:p>
              </w:tc>
              <w:tc>
                <w:tcPr>
                  <w:tcW w:w="460" w:type="pct"/>
                  <w:vAlign w:val="center"/>
                </w:tcPr>
                <w:p w14:paraId="4874F56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49F6D81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w:t>
                  </w:r>
                </w:p>
              </w:tc>
              <w:tc>
                <w:tcPr>
                  <w:tcW w:w="991" w:type="pct"/>
                  <w:vAlign w:val="center"/>
                </w:tcPr>
                <w:p w14:paraId="1DCBDCB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2＃生产车间</w:t>
                  </w:r>
                </w:p>
              </w:tc>
            </w:tr>
            <w:tr w14:paraId="3BCD8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241DC9E0">
                  <w:pPr>
                    <w:pStyle w:val="63"/>
                    <w:numPr>
                      <w:ilvl w:val="0"/>
                      <w:numId w:val="1"/>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27" w:type="pct"/>
                  <w:vAlign w:val="center"/>
                </w:tcPr>
                <w:p w14:paraId="25D65E3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滚板机</w:t>
                  </w:r>
                </w:p>
              </w:tc>
              <w:tc>
                <w:tcPr>
                  <w:tcW w:w="801" w:type="pct"/>
                  <w:vAlign w:val="center"/>
                </w:tcPr>
                <w:p w14:paraId="2BE9DEB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460" w:type="pct"/>
                  <w:vAlign w:val="center"/>
                </w:tcPr>
                <w:p w14:paraId="4610FD4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14D2340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991" w:type="pct"/>
                  <w:vAlign w:val="center"/>
                </w:tcPr>
                <w:p w14:paraId="5F22240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露天加工区</w:t>
                  </w:r>
                </w:p>
              </w:tc>
            </w:tr>
            <w:tr w14:paraId="6EB4C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560F888C">
                  <w:pPr>
                    <w:pStyle w:val="63"/>
                    <w:numPr>
                      <w:ilvl w:val="0"/>
                      <w:numId w:val="1"/>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27" w:type="pct"/>
                  <w:vAlign w:val="center"/>
                </w:tcPr>
                <w:p w14:paraId="2CF63D6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等离子切割机</w:t>
                  </w:r>
                </w:p>
              </w:tc>
              <w:tc>
                <w:tcPr>
                  <w:tcW w:w="801" w:type="pct"/>
                  <w:vAlign w:val="center"/>
                </w:tcPr>
                <w:p w14:paraId="7D9D4F8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460" w:type="pct"/>
                  <w:vAlign w:val="center"/>
                </w:tcPr>
                <w:p w14:paraId="1701157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1FA0151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22</w:t>
                  </w:r>
                </w:p>
              </w:tc>
              <w:tc>
                <w:tcPr>
                  <w:tcW w:w="991" w:type="pct"/>
                  <w:vAlign w:val="center"/>
                </w:tcPr>
                <w:p w14:paraId="5B5533E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露天加工区</w:t>
                  </w:r>
                </w:p>
              </w:tc>
            </w:tr>
            <w:tr w14:paraId="0A313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2882C786">
                  <w:pPr>
                    <w:pStyle w:val="63"/>
                    <w:numPr>
                      <w:ilvl w:val="0"/>
                      <w:numId w:val="1"/>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27" w:type="pct"/>
                  <w:vAlign w:val="center"/>
                </w:tcPr>
                <w:p w14:paraId="3C2D282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火焰切割机</w:t>
                  </w:r>
                </w:p>
              </w:tc>
              <w:tc>
                <w:tcPr>
                  <w:tcW w:w="801" w:type="pct"/>
                  <w:vAlign w:val="center"/>
                </w:tcPr>
                <w:p w14:paraId="2B6992F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460" w:type="pct"/>
                  <w:vAlign w:val="center"/>
                </w:tcPr>
                <w:p w14:paraId="0C38F0A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7F75942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48</w:t>
                  </w:r>
                </w:p>
              </w:tc>
              <w:tc>
                <w:tcPr>
                  <w:tcW w:w="991" w:type="pct"/>
                  <w:vAlign w:val="center"/>
                </w:tcPr>
                <w:p w14:paraId="5CC199A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露天加工区</w:t>
                  </w:r>
                </w:p>
              </w:tc>
            </w:tr>
            <w:tr w14:paraId="4A0B0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1E477246">
                  <w:pPr>
                    <w:pStyle w:val="63"/>
                    <w:numPr>
                      <w:ilvl w:val="0"/>
                      <w:numId w:val="1"/>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27" w:type="pct"/>
                  <w:vAlign w:val="center"/>
                </w:tcPr>
                <w:p w14:paraId="35F7A40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半自动切割机</w:t>
                  </w:r>
                </w:p>
              </w:tc>
              <w:tc>
                <w:tcPr>
                  <w:tcW w:w="801" w:type="pct"/>
                  <w:vAlign w:val="center"/>
                </w:tcPr>
                <w:p w14:paraId="785D382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460" w:type="pct"/>
                  <w:vAlign w:val="center"/>
                </w:tcPr>
                <w:p w14:paraId="2B40EBB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749EBAF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w:t>
                  </w:r>
                </w:p>
              </w:tc>
              <w:tc>
                <w:tcPr>
                  <w:tcW w:w="991" w:type="pct"/>
                  <w:vAlign w:val="center"/>
                </w:tcPr>
                <w:p w14:paraId="0876A0F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露天加工区</w:t>
                  </w:r>
                </w:p>
              </w:tc>
            </w:tr>
            <w:tr w14:paraId="74B38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vAlign w:val="center"/>
                </w:tcPr>
                <w:p w14:paraId="249B4BB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焊接工序</w:t>
                  </w:r>
                </w:p>
              </w:tc>
            </w:tr>
            <w:tr w14:paraId="6CF1A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276356FB">
                  <w:pPr>
                    <w:pStyle w:val="63"/>
                    <w:numPr>
                      <w:ilvl w:val="0"/>
                      <w:numId w:val="1"/>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27" w:type="pct"/>
                  <w:vAlign w:val="center"/>
                </w:tcPr>
                <w:p w14:paraId="290C98D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焊接设备</w:t>
                  </w:r>
                </w:p>
              </w:tc>
              <w:tc>
                <w:tcPr>
                  <w:tcW w:w="801" w:type="pct"/>
                  <w:vAlign w:val="center"/>
                </w:tcPr>
                <w:p w14:paraId="6350A97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460" w:type="pct"/>
                  <w:vAlign w:val="center"/>
                </w:tcPr>
                <w:p w14:paraId="288295B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34B5A87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w:t>
                  </w:r>
                </w:p>
              </w:tc>
              <w:tc>
                <w:tcPr>
                  <w:tcW w:w="991" w:type="pct"/>
                  <w:vAlign w:val="center"/>
                </w:tcPr>
                <w:p w14:paraId="380D2FD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露天加工区</w:t>
                  </w:r>
                </w:p>
              </w:tc>
            </w:tr>
            <w:tr w14:paraId="5DD1E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vAlign w:val="center"/>
                </w:tcPr>
                <w:p w14:paraId="0EC95BC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抛丸工序</w:t>
                  </w:r>
                </w:p>
              </w:tc>
            </w:tr>
            <w:tr w14:paraId="0CFDE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586D0915">
                  <w:pPr>
                    <w:pStyle w:val="63"/>
                    <w:numPr>
                      <w:ilvl w:val="0"/>
                      <w:numId w:val="1"/>
                    </w:numPr>
                    <w:spacing w:after="0" w:line="240" w:lineRule="auto"/>
                    <w:ind w:firstLineChars="0"/>
                    <w:jc w:val="center"/>
                    <w:rPr>
                      <w:color w:val="0D0D0D" w:themeColor="text1" w:themeTint="F2"/>
                      <w:szCs w:val="21"/>
                      <w14:textFill>
                        <w14:solidFill>
                          <w14:schemeClr w14:val="tx1">
                            <w14:lumMod w14:val="95000"/>
                            <w14:lumOff w14:val="5000"/>
                          </w14:schemeClr>
                        </w14:solidFill>
                      </w14:textFill>
                    </w:rPr>
                  </w:pPr>
                </w:p>
              </w:tc>
              <w:tc>
                <w:tcPr>
                  <w:tcW w:w="1827" w:type="pct"/>
                  <w:vAlign w:val="center"/>
                </w:tcPr>
                <w:p w14:paraId="6A025FB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轨道通过式抛丸清理机</w:t>
                  </w:r>
                </w:p>
              </w:tc>
              <w:tc>
                <w:tcPr>
                  <w:tcW w:w="801" w:type="pct"/>
                  <w:vAlign w:val="center"/>
                </w:tcPr>
                <w:p w14:paraId="781FD230">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2G36-12</w:t>
                  </w:r>
                </w:p>
              </w:tc>
              <w:tc>
                <w:tcPr>
                  <w:tcW w:w="460" w:type="pct"/>
                  <w:vAlign w:val="center"/>
                </w:tcPr>
                <w:p w14:paraId="77CF774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6D205BD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991" w:type="pct"/>
                  <w:vAlign w:val="center"/>
                </w:tcPr>
                <w:p w14:paraId="0D6F96E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每个车间1台</w:t>
                  </w:r>
                </w:p>
              </w:tc>
            </w:tr>
            <w:tr w14:paraId="65BE4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vAlign w:val="center"/>
                </w:tcPr>
                <w:p w14:paraId="031C0A2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喷漆工序</w:t>
                  </w:r>
                </w:p>
              </w:tc>
            </w:tr>
            <w:tr w14:paraId="43A0F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4F5F3CC8">
                  <w:pPr>
                    <w:pStyle w:val="63"/>
                    <w:numPr>
                      <w:ilvl w:val="0"/>
                      <w:numId w:val="1"/>
                    </w:numPr>
                    <w:spacing w:after="0" w:line="240" w:lineRule="auto"/>
                    <w:ind w:firstLineChars="0"/>
                    <w:jc w:val="center"/>
                    <w:rPr>
                      <w:color w:val="0D0D0D" w:themeColor="text1" w:themeTint="F2"/>
                      <w:szCs w:val="21"/>
                      <w14:textFill>
                        <w14:solidFill>
                          <w14:schemeClr w14:val="tx1">
                            <w14:lumMod w14:val="95000"/>
                            <w14:lumOff w14:val="5000"/>
                          </w14:schemeClr>
                        </w14:solidFill>
                      </w14:textFill>
                    </w:rPr>
                  </w:pPr>
                </w:p>
              </w:tc>
              <w:tc>
                <w:tcPr>
                  <w:tcW w:w="1827" w:type="pct"/>
                  <w:vAlign w:val="center"/>
                </w:tcPr>
                <w:p w14:paraId="13ABB1C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螺杆式空气压缩机</w:t>
                  </w:r>
                </w:p>
              </w:tc>
              <w:tc>
                <w:tcPr>
                  <w:tcW w:w="801" w:type="pct"/>
                  <w:vAlign w:val="center"/>
                </w:tcPr>
                <w:p w14:paraId="3CCEFE9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50A</w:t>
                  </w:r>
                </w:p>
              </w:tc>
              <w:tc>
                <w:tcPr>
                  <w:tcW w:w="460" w:type="pct"/>
                  <w:vAlign w:val="center"/>
                </w:tcPr>
                <w:p w14:paraId="6C090F7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32A4103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991" w:type="pct"/>
                  <w:vAlign w:val="center"/>
                </w:tcPr>
                <w:p w14:paraId="5B0E034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每个车间1台</w:t>
                  </w:r>
                </w:p>
              </w:tc>
            </w:tr>
            <w:tr w14:paraId="093EC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1273043D">
                  <w:pPr>
                    <w:pStyle w:val="63"/>
                    <w:numPr>
                      <w:ilvl w:val="0"/>
                      <w:numId w:val="1"/>
                    </w:numPr>
                    <w:spacing w:after="0" w:line="240" w:lineRule="auto"/>
                    <w:ind w:firstLineChars="0"/>
                    <w:jc w:val="center"/>
                    <w:rPr>
                      <w:color w:val="0D0D0D" w:themeColor="text1" w:themeTint="F2"/>
                      <w:szCs w:val="21"/>
                      <w14:textFill>
                        <w14:solidFill>
                          <w14:schemeClr w14:val="tx1">
                            <w14:lumMod w14:val="95000"/>
                            <w14:lumOff w14:val="5000"/>
                          </w14:schemeClr>
                        </w14:solidFill>
                      </w14:textFill>
                    </w:rPr>
                  </w:pPr>
                </w:p>
              </w:tc>
              <w:tc>
                <w:tcPr>
                  <w:tcW w:w="1827" w:type="pct"/>
                  <w:vAlign w:val="center"/>
                </w:tcPr>
                <w:p w14:paraId="6176484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高压无气喷涂机</w:t>
                  </w:r>
                </w:p>
              </w:tc>
              <w:tc>
                <w:tcPr>
                  <w:tcW w:w="801" w:type="pct"/>
                  <w:vAlign w:val="center"/>
                </w:tcPr>
                <w:p w14:paraId="11BF23B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2PT6528K</w:t>
                  </w:r>
                </w:p>
              </w:tc>
              <w:tc>
                <w:tcPr>
                  <w:tcW w:w="460" w:type="pct"/>
                  <w:vAlign w:val="center"/>
                </w:tcPr>
                <w:p w14:paraId="6CC9A9C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0F82F4A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w:t>
                  </w:r>
                </w:p>
              </w:tc>
              <w:tc>
                <w:tcPr>
                  <w:tcW w:w="991" w:type="pct"/>
                  <w:vAlign w:val="center"/>
                </w:tcPr>
                <w:p w14:paraId="2DF0C83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每个车间3台</w:t>
                  </w:r>
                </w:p>
              </w:tc>
            </w:tr>
            <w:tr w14:paraId="19594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Align w:val="center"/>
                </w:tcPr>
                <w:p w14:paraId="49247E1A">
                  <w:pPr>
                    <w:pStyle w:val="63"/>
                    <w:numPr>
                      <w:ilvl w:val="0"/>
                      <w:numId w:val="1"/>
                    </w:numPr>
                    <w:spacing w:after="0" w:line="240" w:lineRule="auto"/>
                    <w:ind w:firstLineChars="0"/>
                    <w:jc w:val="center"/>
                    <w:rPr>
                      <w:color w:val="0D0D0D" w:themeColor="text1" w:themeTint="F2"/>
                      <w:szCs w:val="21"/>
                      <w14:textFill>
                        <w14:solidFill>
                          <w14:schemeClr w14:val="tx1">
                            <w14:lumMod w14:val="95000"/>
                            <w14:lumOff w14:val="5000"/>
                          </w14:schemeClr>
                        </w14:solidFill>
                      </w14:textFill>
                    </w:rPr>
                  </w:pPr>
                </w:p>
              </w:tc>
              <w:tc>
                <w:tcPr>
                  <w:tcW w:w="1827" w:type="pct"/>
                  <w:vAlign w:val="center"/>
                </w:tcPr>
                <w:p w14:paraId="1806997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离心通风机</w:t>
                  </w:r>
                </w:p>
              </w:tc>
              <w:tc>
                <w:tcPr>
                  <w:tcW w:w="801" w:type="pct"/>
                  <w:vAlign w:val="center"/>
                </w:tcPr>
                <w:p w14:paraId="5039506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4-72-8C</w:t>
                  </w:r>
                </w:p>
              </w:tc>
              <w:tc>
                <w:tcPr>
                  <w:tcW w:w="460" w:type="pct"/>
                  <w:vAlign w:val="center"/>
                </w:tcPr>
                <w:p w14:paraId="41CE5CC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460" w:type="pct"/>
                  <w:vAlign w:val="center"/>
                </w:tcPr>
                <w:p w14:paraId="24CA249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991" w:type="pct"/>
                  <w:vAlign w:val="center"/>
                </w:tcPr>
                <w:p w14:paraId="79E9CC8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bl>
          <w:p w14:paraId="107C4600">
            <w:pPr>
              <w:adjustRightInd w:val="0"/>
              <w:snapToGrid w:val="0"/>
              <w:spacing w:after="0" w:line="360" w:lineRule="auto"/>
              <w:ind w:firstLine="482" w:firstLineChars="200"/>
              <w:jc w:val="left"/>
              <w:rPr>
                <w:rFonts w:cs="宋体"/>
                <w:b/>
                <w:bCs/>
                <w:color w:val="0D0D0D" w:themeColor="text1" w:themeTint="F2"/>
                <w:sz w:val="24"/>
                <w14:textFill>
                  <w14:solidFill>
                    <w14:schemeClr w14:val="tx1">
                      <w14:lumMod w14:val="95000"/>
                      <w14:lumOff w14:val="5000"/>
                    </w14:schemeClr>
                  </w14:solidFill>
                </w14:textFill>
              </w:rPr>
            </w:pPr>
            <w:r>
              <w:rPr>
                <w:rFonts w:hint="eastAsia" w:cs="宋体"/>
                <w:b/>
                <w:bCs/>
                <w:color w:val="0D0D0D" w:themeColor="text1" w:themeTint="F2"/>
                <w:sz w:val="24"/>
                <w14:textFill>
                  <w14:solidFill>
                    <w14:schemeClr w14:val="tx1">
                      <w14:lumMod w14:val="95000"/>
                      <w14:lumOff w14:val="5000"/>
                    </w14:schemeClr>
                  </w14:solidFill>
                </w14:textFill>
              </w:rPr>
              <w:t>5.主要原辅材料及能耗</w:t>
            </w:r>
          </w:p>
          <w:p w14:paraId="0A963795">
            <w:pPr>
              <w:spacing w:after="0" w:line="360" w:lineRule="auto"/>
              <w:ind w:left="105" w:leftChars="50"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项目主要原辅材料及能耗详见表2</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4。</w:t>
            </w:r>
          </w:p>
          <w:p w14:paraId="3FDF10D7">
            <w:pPr>
              <w:spacing w:after="0"/>
              <w:ind w:firstLine="422" w:firstLineChars="20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4</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主要原辅材料及能耗一览表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2191"/>
              <w:gridCol w:w="1079"/>
              <w:gridCol w:w="1087"/>
              <w:gridCol w:w="993"/>
              <w:gridCol w:w="930"/>
              <w:gridCol w:w="1094"/>
              <w:gridCol w:w="1151"/>
            </w:tblGrid>
            <w:tr w14:paraId="3C146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6B95ED6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序号</w:t>
                  </w:r>
                </w:p>
              </w:tc>
              <w:tc>
                <w:tcPr>
                  <w:tcW w:w="1818" w:type="pct"/>
                  <w:gridSpan w:val="2"/>
                  <w:vAlign w:val="center"/>
                </w:tcPr>
                <w:p w14:paraId="71C19EC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名称</w:t>
                  </w:r>
                </w:p>
              </w:tc>
              <w:tc>
                <w:tcPr>
                  <w:tcW w:w="604" w:type="pct"/>
                  <w:vAlign w:val="center"/>
                </w:tcPr>
                <w:p w14:paraId="2BF5E73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单位</w:t>
                  </w:r>
                </w:p>
              </w:tc>
              <w:tc>
                <w:tcPr>
                  <w:tcW w:w="552" w:type="pct"/>
                  <w:vAlign w:val="center"/>
                </w:tcPr>
                <w:p w14:paraId="13B4844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使用量</w:t>
                  </w:r>
                </w:p>
              </w:tc>
              <w:tc>
                <w:tcPr>
                  <w:tcW w:w="517" w:type="pct"/>
                  <w:vAlign w:val="center"/>
                </w:tcPr>
                <w:p w14:paraId="0F44247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最大储存量</w:t>
                  </w:r>
                </w:p>
              </w:tc>
              <w:tc>
                <w:tcPr>
                  <w:tcW w:w="608" w:type="pct"/>
                  <w:vAlign w:val="center"/>
                </w:tcPr>
                <w:p w14:paraId="443890D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存放</w:t>
                  </w:r>
                </w:p>
                <w:p w14:paraId="4918B81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位置</w:t>
                  </w:r>
                </w:p>
              </w:tc>
              <w:tc>
                <w:tcPr>
                  <w:tcW w:w="640" w:type="pct"/>
                  <w:vAlign w:val="center"/>
                </w:tcPr>
                <w:p w14:paraId="545AD7C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备注</w:t>
                  </w:r>
                </w:p>
              </w:tc>
            </w:tr>
            <w:tr w14:paraId="1356B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7B374B7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原辅材料</w:t>
                  </w:r>
                </w:p>
              </w:tc>
            </w:tr>
            <w:tr w14:paraId="71FFF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75DCF9A7">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396271C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钢材</w:t>
                  </w:r>
                </w:p>
              </w:tc>
              <w:tc>
                <w:tcPr>
                  <w:tcW w:w="604" w:type="pct"/>
                  <w:vAlign w:val="center"/>
                </w:tcPr>
                <w:p w14:paraId="10B2DD2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38DA9AB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863.5</w:t>
                  </w:r>
                </w:p>
              </w:tc>
              <w:tc>
                <w:tcPr>
                  <w:tcW w:w="517" w:type="pct"/>
                  <w:vAlign w:val="center"/>
                </w:tcPr>
                <w:p w14:paraId="356E939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150</w:t>
                  </w:r>
                </w:p>
              </w:tc>
              <w:tc>
                <w:tcPr>
                  <w:tcW w:w="608" w:type="pct"/>
                  <w:vAlign w:val="center"/>
                </w:tcPr>
                <w:p w14:paraId="6E2095F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原料区</w:t>
                  </w:r>
                </w:p>
              </w:tc>
              <w:tc>
                <w:tcPr>
                  <w:tcW w:w="640" w:type="pct"/>
                  <w:vAlign w:val="center"/>
                </w:tcPr>
                <w:p w14:paraId="73251E1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t>
                  </w:r>
                </w:p>
              </w:tc>
            </w:tr>
            <w:tr w14:paraId="0CC4A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047CD708">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4451EEC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焊条</w:t>
                  </w:r>
                </w:p>
              </w:tc>
              <w:tc>
                <w:tcPr>
                  <w:tcW w:w="604" w:type="pct"/>
                  <w:vAlign w:val="center"/>
                </w:tcPr>
                <w:p w14:paraId="1642FE5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232467F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3</w:t>
                  </w:r>
                </w:p>
              </w:tc>
              <w:tc>
                <w:tcPr>
                  <w:tcW w:w="517" w:type="pct"/>
                  <w:vAlign w:val="center"/>
                </w:tcPr>
                <w:p w14:paraId="46B4203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w:t>
                  </w:r>
                </w:p>
              </w:tc>
              <w:tc>
                <w:tcPr>
                  <w:tcW w:w="608" w:type="pct"/>
                  <w:vAlign w:val="center"/>
                </w:tcPr>
                <w:p w14:paraId="07453A3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车间</w:t>
                  </w:r>
                </w:p>
              </w:tc>
              <w:tc>
                <w:tcPr>
                  <w:tcW w:w="640" w:type="pct"/>
                  <w:vAlign w:val="center"/>
                </w:tcPr>
                <w:p w14:paraId="05D663F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t>
                  </w:r>
                </w:p>
              </w:tc>
            </w:tr>
            <w:tr w14:paraId="0E663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6EE80383">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55DBB53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实芯焊丝</w:t>
                  </w:r>
                </w:p>
              </w:tc>
              <w:tc>
                <w:tcPr>
                  <w:tcW w:w="604" w:type="pct"/>
                  <w:vAlign w:val="center"/>
                </w:tcPr>
                <w:p w14:paraId="68C31BB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200A886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3</w:t>
                  </w:r>
                </w:p>
              </w:tc>
              <w:tc>
                <w:tcPr>
                  <w:tcW w:w="517" w:type="pct"/>
                  <w:vAlign w:val="center"/>
                </w:tcPr>
                <w:p w14:paraId="4F1ECFB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w:t>
                  </w:r>
                </w:p>
              </w:tc>
              <w:tc>
                <w:tcPr>
                  <w:tcW w:w="608" w:type="pct"/>
                  <w:vAlign w:val="center"/>
                </w:tcPr>
                <w:p w14:paraId="6C13C7E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车间</w:t>
                  </w:r>
                </w:p>
              </w:tc>
              <w:tc>
                <w:tcPr>
                  <w:tcW w:w="640" w:type="pct"/>
                  <w:vAlign w:val="center"/>
                </w:tcPr>
                <w:p w14:paraId="4DE968C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t>
                  </w:r>
                </w:p>
              </w:tc>
            </w:tr>
            <w:tr w14:paraId="0D3D8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03A42EC7">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4CA3449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氧气</w:t>
                  </w:r>
                </w:p>
              </w:tc>
              <w:tc>
                <w:tcPr>
                  <w:tcW w:w="604" w:type="pct"/>
                  <w:vAlign w:val="center"/>
                </w:tcPr>
                <w:p w14:paraId="2E8BF6F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瓶/a</w:t>
                  </w:r>
                </w:p>
              </w:tc>
              <w:tc>
                <w:tcPr>
                  <w:tcW w:w="552" w:type="pct"/>
                  <w:vAlign w:val="center"/>
                </w:tcPr>
                <w:p w14:paraId="4A8EBAA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300</w:t>
                  </w:r>
                </w:p>
              </w:tc>
              <w:tc>
                <w:tcPr>
                  <w:tcW w:w="517" w:type="pct"/>
                  <w:vAlign w:val="center"/>
                </w:tcPr>
                <w:p w14:paraId="609B465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w:t>
                  </w:r>
                </w:p>
              </w:tc>
              <w:tc>
                <w:tcPr>
                  <w:tcW w:w="608" w:type="pct"/>
                  <w:vAlign w:val="center"/>
                </w:tcPr>
                <w:p w14:paraId="3FE7A31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车间</w:t>
                  </w:r>
                </w:p>
              </w:tc>
              <w:tc>
                <w:tcPr>
                  <w:tcW w:w="640" w:type="pct"/>
                  <w:vAlign w:val="center"/>
                </w:tcPr>
                <w:p w14:paraId="3467CD5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10L/瓶</w:t>
                  </w:r>
                </w:p>
              </w:tc>
            </w:tr>
            <w:tr w14:paraId="08E68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0B7F947F">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38707F7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丙烷</w:t>
                  </w:r>
                </w:p>
              </w:tc>
              <w:tc>
                <w:tcPr>
                  <w:tcW w:w="604" w:type="pct"/>
                  <w:vAlign w:val="center"/>
                </w:tcPr>
                <w:p w14:paraId="4ED6BBF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瓶/a</w:t>
                  </w:r>
                </w:p>
              </w:tc>
              <w:tc>
                <w:tcPr>
                  <w:tcW w:w="552" w:type="pct"/>
                  <w:vAlign w:val="center"/>
                </w:tcPr>
                <w:p w14:paraId="1EF5D45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300</w:t>
                  </w:r>
                </w:p>
              </w:tc>
              <w:tc>
                <w:tcPr>
                  <w:tcW w:w="517" w:type="pct"/>
                  <w:vAlign w:val="center"/>
                </w:tcPr>
                <w:p w14:paraId="57E0C14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w:t>
                  </w:r>
                </w:p>
              </w:tc>
              <w:tc>
                <w:tcPr>
                  <w:tcW w:w="608" w:type="pct"/>
                  <w:vAlign w:val="center"/>
                </w:tcPr>
                <w:p w14:paraId="6462FA2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车间</w:t>
                  </w:r>
                </w:p>
              </w:tc>
              <w:tc>
                <w:tcPr>
                  <w:tcW w:w="640" w:type="pct"/>
                  <w:vAlign w:val="center"/>
                </w:tcPr>
                <w:p w14:paraId="4422DF8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10L/瓶</w:t>
                  </w:r>
                </w:p>
              </w:tc>
            </w:tr>
            <w:tr w14:paraId="105F9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0FECBE71">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0852B29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二氧化碳</w:t>
                  </w:r>
                </w:p>
              </w:tc>
              <w:tc>
                <w:tcPr>
                  <w:tcW w:w="604" w:type="pct"/>
                  <w:vAlign w:val="center"/>
                </w:tcPr>
                <w:p w14:paraId="6799436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瓶/a</w:t>
                  </w:r>
                </w:p>
              </w:tc>
              <w:tc>
                <w:tcPr>
                  <w:tcW w:w="552" w:type="pct"/>
                  <w:vAlign w:val="center"/>
                </w:tcPr>
                <w:p w14:paraId="7DBAF73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500</w:t>
                  </w:r>
                </w:p>
              </w:tc>
              <w:tc>
                <w:tcPr>
                  <w:tcW w:w="517" w:type="pct"/>
                  <w:vAlign w:val="center"/>
                </w:tcPr>
                <w:p w14:paraId="08AAF96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42</w:t>
                  </w:r>
                </w:p>
              </w:tc>
              <w:tc>
                <w:tcPr>
                  <w:tcW w:w="608" w:type="pct"/>
                  <w:vAlign w:val="center"/>
                </w:tcPr>
                <w:p w14:paraId="222EF18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车间</w:t>
                  </w:r>
                </w:p>
              </w:tc>
              <w:tc>
                <w:tcPr>
                  <w:tcW w:w="640" w:type="pct"/>
                  <w:vAlign w:val="center"/>
                </w:tcPr>
                <w:p w14:paraId="7DF3E33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10L/瓶</w:t>
                  </w:r>
                </w:p>
              </w:tc>
            </w:tr>
            <w:tr w14:paraId="6DD97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3E06CDA8">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260C80D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钢丸</w:t>
                  </w:r>
                </w:p>
              </w:tc>
              <w:tc>
                <w:tcPr>
                  <w:tcW w:w="604" w:type="pct"/>
                  <w:vAlign w:val="center"/>
                </w:tcPr>
                <w:p w14:paraId="48B7BE0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4C00F68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w:t>
                  </w:r>
                </w:p>
              </w:tc>
              <w:tc>
                <w:tcPr>
                  <w:tcW w:w="517" w:type="pct"/>
                  <w:vAlign w:val="center"/>
                </w:tcPr>
                <w:p w14:paraId="5BFF059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t>
                  </w:r>
                </w:p>
              </w:tc>
              <w:tc>
                <w:tcPr>
                  <w:tcW w:w="608" w:type="pct"/>
                  <w:vAlign w:val="center"/>
                </w:tcPr>
                <w:p w14:paraId="61865C8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车间</w:t>
                  </w:r>
                </w:p>
              </w:tc>
              <w:tc>
                <w:tcPr>
                  <w:tcW w:w="640" w:type="pct"/>
                  <w:vAlign w:val="center"/>
                </w:tcPr>
                <w:p w14:paraId="7A99803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t>
                  </w:r>
                </w:p>
              </w:tc>
            </w:tr>
            <w:tr w14:paraId="5316C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4AB843D9">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1A0FC2DC">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HT-1无机富锌涂料</w:t>
                  </w:r>
                </w:p>
              </w:tc>
              <w:tc>
                <w:tcPr>
                  <w:tcW w:w="600" w:type="pct"/>
                  <w:vAlign w:val="center"/>
                </w:tcPr>
                <w:p w14:paraId="69B3426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1D06F9A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2FA54BA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0.28</w:t>
                  </w:r>
                </w:p>
              </w:tc>
              <w:tc>
                <w:tcPr>
                  <w:tcW w:w="517" w:type="pct"/>
                  <w:vAlign w:val="center"/>
                </w:tcPr>
                <w:p w14:paraId="7353E50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0.15</w:t>
                  </w:r>
                </w:p>
              </w:tc>
              <w:tc>
                <w:tcPr>
                  <w:tcW w:w="608" w:type="pct"/>
                  <w:vAlign w:val="center"/>
                </w:tcPr>
                <w:p w14:paraId="748774C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0B97A16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315AC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2C6ED5AB">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3307C7A1">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4C82426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3C3A5E3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263DDE1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0.03</w:t>
                  </w:r>
                </w:p>
              </w:tc>
              <w:tc>
                <w:tcPr>
                  <w:tcW w:w="517" w:type="pct"/>
                  <w:vAlign w:val="center"/>
                </w:tcPr>
                <w:p w14:paraId="2E7DFE5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0.02</w:t>
                  </w:r>
                </w:p>
              </w:tc>
              <w:tc>
                <w:tcPr>
                  <w:tcW w:w="608" w:type="pct"/>
                  <w:vAlign w:val="center"/>
                </w:tcPr>
                <w:p w14:paraId="3292E4E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4863A26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63FCC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02A1714D">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06843C24">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8701改性环氧树脂防腐涂料</w:t>
                  </w:r>
                </w:p>
              </w:tc>
              <w:tc>
                <w:tcPr>
                  <w:tcW w:w="600" w:type="pct"/>
                  <w:vAlign w:val="center"/>
                </w:tcPr>
                <w:p w14:paraId="1A03E82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22EDFE0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1F37CD7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0.71</w:t>
                  </w:r>
                </w:p>
              </w:tc>
              <w:tc>
                <w:tcPr>
                  <w:tcW w:w="517" w:type="pct"/>
                  <w:vAlign w:val="center"/>
                </w:tcPr>
                <w:p w14:paraId="3AD1374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0.36</w:t>
                  </w:r>
                </w:p>
              </w:tc>
              <w:tc>
                <w:tcPr>
                  <w:tcW w:w="608" w:type="pct"/>
                  <w:vAlign w:val="center"/>
                </w:tcPr>
                <w:p w14:paraId="0742DBC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2AF7156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2A4F6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726A0011">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679191EC">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5697ED6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1D7BDDD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33F95A6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0.07</w:t>
                  </w:r>
                </w:p>
              </w:tc>
              <w:tc>
                <w:tcPr>
                  <w:tcW w:w="517" w:type="pct"/>
                  <w:vAlign w:val="center"/>
                </w:tcPr>
                <w:p w14:paraId="000D826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0.04</w:t>
                  </w:r>
                </w:p>
              </w:tc>
              <w:tc>
                <w:tcPr>
                  <w:tcW w:w="608" w:type="pct"/>
                  <w:vAlign w:val="center"/>
                </w:tcPr>
                <w:p w14:paraId="2150554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21E35C0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5F719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43B427DA">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7169C11E">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EP-98无溶剂环氧防腐涂料</w:t>
                  </w:r>
                </w:p>
              </w:tc>
              <w:tc>
                <w:tcPr>
                  <w:tcW w:w="600" w:type="pct"/>
                  <w:vAlign w:val="center"/>
                </w:tcPr>
                <w:p w14:paraId="01227D7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2333B82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122CE1C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1.02</w:t>
                  </w:r>
                </w:p>
              </w:tc>
              <w:tc>
                <w:tcPr>
                  <w:tcW w:w="517" w:type="pct"/>
                  <w:vAlign w:val="center"/>
                </w:tcPr>
                <w:p w14:paraId="5EDD547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0.51</w:t>
                  </w:r>
                </w:p>
              </w:tc>
              <w:tc>
                <w:tcPr>
                  <w:tcW w:w="608" w:type="pct"/>
                  <w:vAlign w:val="center"/>
                </w:tcPr>
                <w:p w14:paraId="6BFDFC8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09CED94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09154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235F2A7F">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14EE0D5A">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0B82E68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37D3732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45F6A23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0.1</w:t>
                  </w:r>
                </w:p>
              </w:tc>
              <w:tc>
                <w:tcPr>
                  <w:tcW w:w="517" w:type="pct"/>
                  <w:vAlign w:val="center"/>
                </w:tcPr>
                <w:p w14:paraId="21BB325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0.05</w:t>
                  </w:r>
                </w:p>
              </w:tc>
              <w:tc>
                <w:tcPr>
                  <w:tcW w:w="608" w:type="pct"/>
                  <w:vAlign w:val="center"/>
                </w:tcPr>
                <w:p w14:paraId="2587EDB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6AB6FD0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00DC1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107D3DB6">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2FB51E2C">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EP-2000非碳系环氧导静电防腐蚀涂料</w:t>
                  </w:r>
                </w:p>
              </w:tc>
              <w:tc>
                <w:tcPr>
                  <w:tcW w:w="600" w:type="pct"/>
                  <w:vAlign w:val="center"/>
                </w:tcPr>
                <w:p w14:paraId="52535A8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62C486A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286F2C9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0.79</w:t>
                  </w:r>
                </w:p>
              </w:tc>
              <w:tc>
                <w:tcPr>
                  <w:tcW w:w="517" w:type="pct"/>
                  <w:vAlign w:val="center"/>
                </w:tcPr>
                <w:p w14:paraId="4C0F120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0.4</w:t>
                  </w:r>
                </w:p>
              </w:tc>
              <w:tc>
                <w:tcPr>
                  <w:tcW w:w="608" w:type="pct"/>
                  <w:vAlign w:val="center"/>
                </w:tcPr>
                <w:p w14:paraId="7933303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3BCE9FF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39F70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159A8FB1">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65872CA0">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0DC7EBB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49AB087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4170015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0.08</w:t>
                  </w:r>
                </w:p>
              </w:tc>
              <w:tc>
                <w:tcPr>
                  <w:tcW w:w="517" w:type="pct"/>
                  <w:vAlign w:val="center"/>
                </w:tcPr>
                <w:p w14:paraId="00F1219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0.04</w:t>
                  </w:r>
                </w:p>
              </w:tc>
              <w:tc>
                <w:tcPr>
                  <w:tcW w:w="608" w:type="pct"/>
                  <w:vAlign w:val="center"/>
                </w:tcPr>
                <w:p w14:paraId="3DA3027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31A249D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3665B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555EA5D0">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2B0BFDAC">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EP-90环氧富锌底漆</w:t>
                  </w:r>
                </w:p>
              </w:tc>
              <w:tc>
                <w:tcPr>
                  <w:tcW w:w="600" w:type="pct"/>
                  <w:vAlign w:val="center"/>
                </w:tcPr>
                <w:p w14:paraId="060F728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19AA2E2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30B8E74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0.72</w:t>
                  </w:r>
                </w:p>
              </w:tc>
              <w:tc>
                <w:tcPr>
                  <w:tcW w:w="517" w:type="pct"/>
                  <w:vAlign w:val="center"/>
                </w:tcPr>
                <w:p w14:paraId="408D849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0.36</w:t>
                  </w:r>
                </w:p>
              </w:tc>
              <w:tc>
                <w:tcPr>
                  <w:tcW w:w="608" w:type="pct"/>
                  <w:vAlign w:val="center"/>
                </w:tcPr>
                <w:p w14:paraId="1024104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5291974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30kg/桶</w:t>
                  </w:r>
                </w:p>
              </w:tc>
            </w:tr>
            <w:tr w14:paraId="0E5F4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7679B597">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36384716">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280BD9C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69AD94E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43357EC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0.07</w:t>
                  </w:r>
                </w:p>
              </w:tc>
              <w:tc>
                <w:tcPr>
                  <w:tcW w:w="517" w:type="pct"/>
                  <w:vAlign w:val="center"/>
                </w:tcPr>
                <w:p w14:paraId="764DD94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0.04</w:t>
                  </w:r>
                </w:p>
              </w:tc>
              <w:tc>
                <w:tcPr>
                  <w:tcW w:w="608" w:type="pct"/>
                  <w:vAlign w:val="center"/>
                </w:tcPr>
                <w:p w14:paraId="239681F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6003D71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3kg/桶</w:t>
                  </w:r>
                </w:p>
              </w:tc>
            </w:tr>
            <w:tr w14:paraId="6CFB9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79270773">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6955C8DA">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EP-86环氧云铁防腐蚀涂料</w:t>
                  </w:r>
                </w:p>
              </w:tc>
              <w:tc>
                <w:tcPr>
                  <w:tcW w:w="600" w:type="pct"/>
                  <w:vAlign w:val="center"/>
                </w:tcPr>
                <w:p w14:paraId="1B0739A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7F3A6E3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7FA30B9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1.48</w:t>
                  </w:r>
                </w:p>
              </w:tc>
              <w:tc>
                <w:tcPr>
                  <w:tcW w:w="517" w:type="pct"/>
                  <w:vAlign w:val="center"/>
                </w:tcPr>
                <w:p w14:paraId="2CFFC6E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0.75</w:t>
                  </w:r>
                </w:p>
              </w:tc>
              <w:tc>
                <w:tcPr>
                  <w:tcW w:w="608" w:type="pct"/>
                  <w:vAlign w:val="center"/>
                </w:tcPr>
                <w:p w14:paraId="6B7EE7F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7E96746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6C7DF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0A2348E0">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06AF7758">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148226C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6015DEB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420E883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0.15</w:t>
                  </w:r>
                </w:p>
              </w:tc>
              <w:tc>
                <w:tcPr>
                  <w:tcW w:w="517" w:type="pct"/>
                  <w:vAlign w:val="center"/>
                </w:tcPr>
                <w:p w14:paraId="428DAA5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0.08</w:t>
                  </w:r>
                </w:p>
              </w:tc>
              <w:tc>
                <w:tcPr>
                  <w:tcW w:w="608" w:type="pct"/>
                  <w:vAlign w:val="center"/>
                </w:tcPr>
                <w:p w14:paraId="4FCC69B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7000DF2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10855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36CDD539">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1179BDC2">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DC脂肪族丙烯酸聚氨酯防腐蚀涂料</w:t>
                  </w:r>
                </w:p>
              </w:tc>
              <w:tc>
                <w:tcPr>
                  <w:tcW w:w="600" w:type="pct"/>
                  <w:vAlign w:val="center"/>
                </w:tcPr>
                <w:p w14:paraId="06716AF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4821FF2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5B46E23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0.3</w:t>
                  </w:r>
                </w:p>
              </w:tc>
              <w:tc>
                <w:tcPr>
                  <w:tcW w:w="517" w:type="pct"/>
                  <w:vAlign w:val="center"/>
                </w:tcPr>
                <w:p w14:paraId="49626B9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0.15</w:t>
                  </w:r>
                </w:p>
              </w:tc>
              <w:tc>
                <w:tcPr>
                  <w:tcW w:w="608" w:type="pct"/>
                  <w:vAlign w:val="center"/>
                </w:tcPr>
                <w:p w14:paraId="5FC7795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028702D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16697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663CC67F">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4497EF98">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13CF84E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1B2AF80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5A79D10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0.03</w:t>
                  </w:r>
                </w:p>
              </w:tc>
              <w:tc>
                <w:tcPr>
                  <w:tcW w:w="517" w:type="pct"/>
                  <w:vAlign w:val="center"/>
                </w:tcPr>
                <w:p w14:paraId="0E55B58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0.02</w:t>
                  </w:r>
                </w:p>
              </w:tc>
              <w:tc>
                <w:tcPr>
                  <w:tcW w:w="608" w:type="pct"/>
                  <w:vAlign w:val="center"/>
                </w:tcPr>
                <w:p w14:paraId="092161F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60B838D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47D09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660C4F55">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014C6260">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SF-01氟碳防腐蚀涂料</w:t>
                  </w:r>
                </w:p>
              </w:tc>
              <w:tc>
                <w:tcPr>
                  <w:tcW w:w="600" w:type="pct"/>
                  <w:vAlign w:val="center"/>
                </w:tcPr>
                <w:p w14:paraId="6A669EF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7DED5C5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15FD8A5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0.27</w:t>
                  </w:r>
                </w:p>
              </w:tc>
              <w:tc>
                <w:tcPr>
                  <w:tcW w:w="517" w:type="pct"/>
                  <w:vAlign w:val="center"/>
                </w:tcPr>
                <w:p w14:paraId="3AB21AA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0.14</w:t>
                  </w:r>
                </w:p>
              </w:tc>
              <w:tc>
                <w:tcPr>
                  <w:tcW w:w="608" w:type="pct"/>
                  <w:vAlign w:val="center"/>
                </w:tcPr>
                <w:p w14:paraId="5DB6599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379770D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77CF4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27F3600E">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3EB8B960">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4FAC6BD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24B3153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0542AD1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0.03</w:t>
                  </w:r>
                </w:p>
              </w:tc>
              <w:tc>
                <w:tcPr>
                  <w:tcW w:w="517" w:type="pct"/>
                  <w:vAlign w:val="center"/>
                </w:tcPr>
                <w:p w14:paraId="69F6FC5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0.02</w:t>
                  </w:r>
                </w:p>
              </w:tc>
              <w:tc>
                <w:tcPr>
                  <w:tcW w:w="608" w:type="pct"/>
                  <w:vAlign w:val="center"/>
                </w:tcPr>
                <w:p w14:paraId="433C275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75BD3CB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69FFD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65E64A7D">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restart"/>
                  <w:vAlign w:val="center"/>
                </w:tcPr>
                <w:p w14:paraId="4EC48C3B">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WE-2水性环氧防腐蚀涂料</w:t>
                  </w:r>
                </w:p>
              </w:tc>
              <w:tc>
                <w:tcPr>
                  <w:tcW w:w="600" w:type="pct"/>
                  <w:vAlign w:val="center"/>
                </w:tcPr>
                <w:p w14:paraId="65447FB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基料</w:t>
                  </w:r>
                </w:p>
              </w:tc>
              <w:tc>
                <w:tcPr>
                  <w:tcW w:w="604" w:type="pct"/>
                  <w:vAlign w:val="center"/>
                </w:tcPr>
                <w:p w14:paraId="0FE43F8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426548A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1.45</w:t>
                  </w:r>
                </w:p>
              </w:tc>
              <w:tc>
                <w:tcPr>
                  <w:tcW w:w="517" w:type="pct"/>
                  <w:vAlign w:val="center"/>
                </w:tcPr>
                <w:p w14:paraId="429FF94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0.73</w:t>
                  </w:r>
                </w:p>
              </w:tc>
              <w:tc>
                <w:tcPr>
                  <w:tcW w:w="608" w:type="pct"/>
                  <w:vAlign w:val="center"/>
                </w:tcPr>
                <w:p w14:paraId="0E2A891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10D8D8B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2DB1D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17131B12">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218" w:type="pct"/>
                  <w:vMerge w:val="continue"/>
                  <w:vAlign w:val="center"/>
                </w:tcPr>
                <w:p w14:paraId="5302340A">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600" w:type="pct"/>
                  <w:vAlign w:val="center"/>
                </w:tcPr>
                <w:p w14:paraId="16934DC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固化剂</w:t>
                  </w:r>
                </w:p>
              </w:tc>
              <w:tc>
                <w:tcPr>
                  <w:tcW w:w="604" w:type="pct"/>
                  <w:vAlign w:val="center"/>
                </w:tcPr>
                <w:p w14:paraId="2C1CC07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660F520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0.14</w:t>
                  </w:r>
                </w:p>
              </w:tc>
              <w:tc>
                <w:tcPr>
                  <w:tcW w:w="517" w:type="pct"/>
                  <w:vAlign w:val="center"/>
                </w:tcPr>
                <w:p w14:paraId="74CB432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0.07</w:t>
                  </w:r>
                </w:p>
              </w:tc>
              <w:tc>
                <w:tcPr>
                  <w:tcW w:w="608" w:type="pct"/>
                  <w:vAlign w:val="center"/>
                </w:tcPr>
                <w:p w14:paraId="34DC93E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0D23B3B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2.5kg/桶</w:t>
                  </w:r>
                </w:p>
              </w:tc>
            </w:tr>
            <w:tr w14:paraId="385A5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1B1C3A76">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24FB85A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DX-1环氧涂料稀释剂</w:t>
                  </w:r>
                </w:p>
              </w:tc>
              <w:tc>
                <w:tcPr>
                  <w:tcW w:w="604" w:type="pct"/>
                  <w:vAlign w:val="center"/>
                </w:tcPr>
                <w:p w14:paraId="604327C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0B596AB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0.52</w:t>
                  </w:r>
                </w:p>
              </w:tc>
              <w:tc>
                <w:tcPr>
                  <w:tcW w:w="517" w:type="pct"/>
                  <w:vAlign w:val="center"/>
                </w:tcPr>
                <w:p w14:paraId="005FA02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0.27</w:t>
                  </w:r>
                </w:p>
              </w:tc>
              <w:tc>
                <w:tcPr>
                  <w:tcW w:w="608" w:type="pct"/>
                  <w:vAlign w:val="center"/>
                </w:tcPr>
                <w:p w14:paraId="6F9008C7">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03ADA9D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14kg/桶</w:t>
                  </w:r>
                </w:p>
              </w:tc>
            </w:tr>
            <w:tr w14:paraId="5836F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7CC7B0E6">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13DA5FF8">
                  <w:pPr>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DX-2丙烯酸聚氨酯涂料稀释剂</w:t>
                  </w:r>
                </w:p>
              </w:tc>
              <w:tc>
                <w:tcPr>
                  <w:tcW w:w="604" w:type="pct"/>
                  <w:vAlign w:val="center"/>
                </w:tcPr>
                <w:p w14:paraId="3BA05CA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1210197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0.03</w:t>
                  </w:r>
                </w:p>
              </w:tc>
              <w:tc>
                <w:tcPr>
                  <w:tcW w:w="517" w:type="pct"/>
                  <w:vAlign w:val="center"/>
                </w:tcPr>
                <w:p w14:paraId="0EACA73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0.02</w:t>
                  </w:r>
                </w:p>
              </w:tc>
              <w:tc>
                <w:tcPr>
                  <w:tcW w:w="608" w:type="pct"/>
                  <w:vAlign w:val="center"/>
                </w:tcPr>
                <w:p w14:paraId="1096E3E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07B224B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14kg/桶</w:t>
                  </w:r>
                </w:p>
              </w:tc>
            </w:tr>
            <w:tr w14:paraId="75C82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50960E79">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27B6076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X-3无机富锌底漆稀释剂</w:t>
                  </w:r>
                </w:p>
              </w:tc>
              <w:tc>
                <w:tcPr>
                  <w:tcW w:w="604" w:type="pct"/>
                  <w:vAlign w:val="center"/>
                </w:tcPr>
                <w:p w14:paraId="0D4602C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51E4A33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0.03</w:t>
                  </w:r>
                </w:p>
              </w:tc>
              <w:tc>
                <w:tcPr>
                  <w:tcW w:w="517" w:type="pct"/>
                  <w:vAlign w:val="center"/>
                </w:tcPr>
                <w:p w14:paraId="4B57686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0.02</w:t>
                  </w:r>
                </w:p>
              </w:tc>
              <w:tc>
                <w:tcPr>
                  <w:tcW w:w="608" w:type="pct"/>
                  <w:vAlign w:val="center"/>
                </w:tcPr>
                <w:p w14:paraId="734CF9F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6B1DEADE">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14kg/桶</w:t>
                  </w:r>
                </w:p>
              </w:tc>
            </w:tr>
            <w:tr w14:paraId="7AF41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1BDD92C7">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1E5499A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喷枪清洗剂</w:t>
                  </w:r>
                </w:p>
              </w:tc>
              <w:tc>
                <w:tcPr>
                  <w:tcW w:w="604" w:type="pct"/>
                  <w:vAlign w:val="center"/>
                </w:tcPr>
                <w:p w14:paraId="2E97B92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桶/a</w:t>
                  </w:r>
                </w:p>
              </w:tc>
              <w:tc>
                <w:tcPr>
                  <w:tcW w:w="552" w:type="pct"/>
                  <w:vAlign w:val="center"/>
                </w:tcPr>
                <w:p w14:paraId="0DA7791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16</w:t>
                  </w:r>
                </w:p>
              </w:tc>
              <w:tc>
                <w:tcPr>
                  <w:tcW w:w="517" w:type="pct"/>
                  <w:vAlign w:val="center"/>
                </w:tcPr>
                <w:p w14:paraId="6CDE4D3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8</w:t>
                  </w:r>
                </w:p>
              </w:tc>
              <w:tc>
                <w:tcPr>
                  <w:tcW w:w="608" w:type="pct"/>
                  <w:vAlign w:val="center"/>
                </w:tcPr>
                <w:p w14:paraId="2744FE3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油漆库</w:t>
                  </w:r>
                </w:p>
              </w:tc>
              <w:tc>
                <w:tcPr>
                  <w:tcW w:w="640" w:type="pct"/>
                  <w:vAlign w:val="center"/>
                </w:tcPr>
                <w:p w14:paraId="1CDA3A1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10kg/桶</w:t>
                  </w:r>
                </w:p>
              </w:tc>
            </w:tr>
            <w:tr w14:paraId="3CF19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0119574F">
                  <w:pPr>
                    <w:pStyle w:val="63"/>
                    <w:numPr>
                      <w:ilvl w:val="0"/>
                      <w:numId w:val="2"/>
                    </w:numPr>
                    <w:spacing w:after="0" w:line="240" w:lineRule="auto"/>
                    <w:ind w:firstLineChars="0"/>
                    <w:jc w:val="center"/>
                    <w:rPr>
                      <w:bCs/>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443734E9">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活性炭</w:t>
                  </w:r>
                </w:p>
              </w:tc>
              <w:tc>
                <w:tcPr>
                  <w:tcW w:w="604" w:type="pct"/>
                  <w:vAlign w:val="center"/>
                </w:tcPr>
                <w:p w14:paraId="14F5A5DD">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t/a</w:t>
                  </w:r>
                </w:p>
              </w:tc>
              <w:tc>
                <w:tcPr>
                  <w:tcW w:w="552" w:type="pct"/>
                  <w:vAlign w:val="center"/>
                </w:tcPr>
                <w:p w14:paraId="2EE8DEB6">
                  <w:pPr>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29.25</w:t>
                  </w:r>
                </w:p>
              </w:tc>
              <w:tc>
                <w:tcPr>
                  <w:tcW w:w="517" w:type="pct"/>
                  <w:vAlign w:val="center"/>
                </w:tcPr>
                <w:p w14:paraId="36B4B446">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t>
                  </w:r>
                </w:p>
              </w:tc>
              <w:tc>
                <w:tcPr>
                  <w:tcW w:w="608" w:type="pct"/>
                  <w:vAlign w:val="center"/>
                </w:tcPr>
                <w:p w14:paraId="4D74B83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t>
                  </w:r>
                </w:p>
              </w:tc>
              <w:tc>
                <w:tcPr>
                  <w:tcW w:w="640" w:type="pct"/>
                  <w:vAlign w:val="center"/>
                </w:tcPr>
                <w:p w14:paraId="11CB3D0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外购</w:t>
                  </w:r>
                </w:p>
              </w:tc>
            </w:tr>
            <w:tr w14:paraId="22C35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18196EFB">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能源</w:t>
                  </w:r>
                </w:p>
              </w:tc>
            </w:tr>
            <w:tr w14:paraId="4B3C6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1A68F3A3">
                  <w:pPr>
                    <w:pStyle w:val="63"/>
                    <w:numPr>
                      <w:ilvl w:val="0"/>
                      <w:numId w:val="2"/>
                    </w:numPr>
                    <w:spacing w:after="0" w:line="240" w:lineRule="auto"/>
                    <w:ind w:firstLineChars="0"/>
                    <w:jc w:val="center"/>
                    <w:rPr>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475776E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水</w:t>
                  </w:r>
                </w:p>
              </w:tc>
              <w:tc>
                <w:tcPr>
                  <w:tcW w:w="604" w:type="pct"/>
                  <w:vAlign w:val="center"/>
                </w:tcPr>
                <w:p w14:paraId="017948B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m</w:t>
                  </w:r>
                  <w:r>
                    <w:rPr>
                      <w:color w:val="0D0D0D" w:themeColor="text1" w:themeTint="F2"/>
                      <w:szCs w:val="21"/>
                      <w:vertAlign w:val="superscript"/>
                      <w14:textFill>
                        <w14:solidFill>
                          <w14:schemeClr w14:val="tx1">
                            <w14:lumMod w14:val="95000"/>
                            <w14:lumOff w14:val="5000"/>
                          </w14:schemeClr>
                        </w14:solidFill>
                      </w14:textFill>
                    </w:rPr>
                    <w:t>3</w:t>
                  </w:r>
                  <w:r>
                    <w:rPr>
                      <w:color w:val="0D0D0D" w:themeColor="text1" w:themeTint="F2"/>
                      <w:szCs w:val="21"/>
                      <w14:textFill>
                        <w14:solidFill>
                          <w14:schemeClr w14:val="tx1">
                            <w14:lumMod w14:val="95000"/>
                            <w14:lumOff w14:val="5000"/>
                          </w14:schemeClr>
                        </w14:solidFill>
                      </w14:textFill>
                    </w:rPr>
                    <w:t>/a</w:t>
                  </w:r>
                </w:p>
              </w:tc>
              <w:tc>
                <w:tcPr>
                  <w:tcW w:w="552" w:type="pct"/>
                  <w:vAlign w:val="center"/>
                </w:tcPr>
                <w:p w14:paraId="24E79BA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6830.08</w:t>
                  </w:r>
                </w:p>
              </w:tc>
              <w:tc>
                <w:tcPr>
                  <w:tcW w:w="517" w:type="pct"/>
                  <w:vAlign w:val="center"/>
                </w:tcPr>
                <w:p w14:paraId="644B233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608" w:type="pct"/>
                  <w:vAlign w:val="center"/>
                </w:tcPr>
                <w:p w14:paraId="3193009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640" w:type="pct"/>
                  <w:vAlign w:val="center"/>
                </w:tcPr>
                <w:p w14:paraId="6F8B39F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1F0C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vAlign w:val="center"/>
                </w:tcPr>
                <w:p w14:paraId="67284F91">
                  <w:pPr>
                    <w:pStyle w:val="63"/>
                    <w:numPr>
                      <w:ilvl w:val="0"/>
                      <w:numId w:val="2"/>
                    </w:numPr>
                    <w:spacing w:after="0" w:line="240" w:lineRule="auto"/>
                    <w:ind w:firstLineChars="0"/>
                    <w:jc w:val="center"/>
                    <w:rPr>
                      <w:color w:val="0D0D0D" w:themeColor="text1" w:themeTint="F2"/>
                      <w:szCs w:val="21"/>
                      <w14:textFill>
                        <w14:solidFill>
                          <w14:schemeClr w14:val="tx1">
                            <w14:lumMod w14:val="95000"/>
                            <w14:lumOff w14:val="5000"/>
                          </w14:schemeClr>
                        </w14:solidFill>
                      </w14:textFill>
                    </w:rPr>
                  </w:pPr>
                </w:p>
              </w:tc>
              <w:tc>
                <w:tcPr>
                  <w:tcW w:w="1818" w:type="pct"/>
                  <w:gridSpan w:val="2"/>
                  <w:vAlign w:val="center"/>
                </w:tcPr>
                <w:p w14:paraId="1081669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电</w:t>
                  </w:r>
                </w:p>
              </w:tc>
              <w:tc>
                <w:tcPr>
                  <w:tcW w:w="604" w:type="pct"/>
                  <w:vAlign w:val="center"/>
                </w:tcPr>
                <w:p w14:paraId="4F4A4EF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kW</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h</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a</w:t>
                  </w:r>
                </w:p>
              </w:tc>
              <w:tc>
                <w:tcPr>
                  <w:tcW w:w="552" w:type="pct"/>
                  <w:vAlign w:val="center"/>
                </w:tcPr>
                <w:p w14:paraId="70C3D02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30万</w:t>
                  </w:r>
                </w:p>
              </w:tc>
              <w:tc>
                <w:tcPr>
                  <w:tcW w:w="517" w:type="pct"/>
                  <w:vAlign w:val="center"/>
                </w:tcPr>
                <w:p w14:paraId="2314C55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608" w:type="pct"/>
                  <w:vAlign w:val="center"/>
                </w:tcPr>
                <w:p w14:paraId="6EE2EFA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640" w:type="pct"/>
                  <w:vAlign w:val="center"/>
                </w:tcPr>
                <w:p w14:paraId="1311704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bl>
          <w:p w14:paraId="31582A44">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根据油漆和稀释剂的安全技术说明书，其成分含量详见表2-5，理化性质详见表2-6。</w:t>
            </w:r>
          </w:p>
          <w:p w14:paraId="1E5A4FB1">
            <w:pPr>
              <w:spacing w:after="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5</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涂料成分含量表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5"/>
              <w:gridCol w:w="1096"/>
              <w:gridCol w:w="2189"/>
              <w:gridCol w:w="1410"/>
              <w:gridCol w:w="937"/>
              <w:gridCol w:w="941"/>
              <w:gridCol w:w="1017"/>
            </w:tblGrid>
            <w:tr w14:paraId="47958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gridSpan w:val="2"/>
                  <w:vAlign w:val="center"/>
                </w:tcPr>
                <w:p w14:paraId="09AFFCB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F7FA46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ED37AD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96BDFC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5FDC33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337326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F56E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4F0E3322">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6ECC8C9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83A9CF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3BA5031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4474E5F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53A6452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CB8245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8864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34DE736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54FE9208">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217" w:type="pct"/>
                  <w:vAlign w:val="center"/>
                </w:tcPr>
                <w:p w14:paraId="453525A8">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784" w:type="pct"/>
                  <w:vAlign w:val="center"/>
                </w:tcPr>
                <w:p w14:paraId="22F2755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4A8BBC1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DBB3DA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33A241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EB6C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2DF8F6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158C3B8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FD57CB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7C1E794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81FA23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09ED08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57B3906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3007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5EEEAA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19ADB15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77801F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1F0012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F69E7C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5CED7B4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D9E7523">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41E3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230533D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19A26A3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06D09E4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0C55311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B49C9C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8CF940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E6E2F6C">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104B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643E75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560DE2A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DBCB41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7B55187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A9865E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388F15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7A005A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0981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CB78CB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389D418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03E7F97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7559214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75E16E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FA176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051E3AC">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8067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65172495">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43E3529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02E4C78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DC7108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8D21BB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F7EBC1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C035CA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C9E9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AB98373">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49F4B83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C4C870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EE4D7F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C3E9A1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8AB33E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AF24DC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AADD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BC4CB72">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47BDC67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56733BA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DC4B55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E6D702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774155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B641CB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5477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9B6365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5E503DA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75A7F4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75D2469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EEB3A1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11F79F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F96BFC3">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AA23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2299D90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0327A56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302362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6E4D4D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3C6C01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AC4B0E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6C2CF95">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D2DF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BF7264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6383869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7CE6BA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504ACA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F5F507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769FA77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5E9960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C6A4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716DBE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4300350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79FEC88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3E5F900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324293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D4EEFD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852D2B4">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27B7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2396110E">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4F191E3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1A87BB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07A0137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317CE9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35C60B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9F68C9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A19B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4F1659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7BD42B1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587447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015A5AF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261092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5FA9F3D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5FB708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F351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7AA20A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54B293F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1E3055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D5053D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6DAE11C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9ED375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C6FFC7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CCC4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122BD82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370FC04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725076E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3ED5EB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4578FB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7E301A6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6725FA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4474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418B1A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42653AA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087D55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3611093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469B077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47AA94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30BC564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6A26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D255AD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1D1B6CF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030C8E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A98191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80752A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BFAE5E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353885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F8B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2FD290E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3C0EF47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4C4882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2A8896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6ACF01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38385D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7B32B2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4194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1F7022BC">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2BF1583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4D13E1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A4806F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483F3EC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D58B32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EDDF554">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5245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96A436F">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4CA99C0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1D3231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3BF6EB5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AAE963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6C46A6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832EFC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E12B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DF74E73">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638956A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6CD824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350BE08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3B20CE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00A62D6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227707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B4A3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046AC6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6250909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7C7819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BC25E8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AB2675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9337B2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37094FE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A34D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A63DCE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141D772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970338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7076D77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A355E0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0C6606F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1252CC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3C3E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770AF9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690C1AA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0665AD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1B8E25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6CCF3E4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595F9F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5A4866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EBF8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1DDF625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1DCCE96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592375B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06841D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AB2330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15BE17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5CE66BB9">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4160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64A903F3">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43095BC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59133E6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24DF67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3F4450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D08568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3EBB1E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4AF4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3D5FFD2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680767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94DD29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995453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5E8C748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D5FC91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EB36ED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6308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496FE7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FADE65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D6A64C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35A929F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5BAE1D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5D77908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EF19D6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4C84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2EEBE24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A5481C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0702994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09BF6D0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FC5468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E30A03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A7EFD4D">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7E67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12CA5E2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788AB45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7C3553F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4E2BCA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96BA2F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156B65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69E09B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AC51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F44595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C24C92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A44E58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602582F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A1F312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9AD67B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C70499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C2A2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6BAD79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08ED299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0D60B9F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2CA9F6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4252237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428298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73CF20CC">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2E17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2843AB1F">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47088AE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DC63E3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94DFD4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FFA6E3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562797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DDA830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09A9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DC23F3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000568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8047DB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6F58AFC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85D13C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5CC9E1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75D8FE24">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45E3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4AA68F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7888CF3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381B5B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224ED6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DB4133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7051B81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A100A0C">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137B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C8F460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F7E7D9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2A4FE2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EB6A7A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04BC10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53955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397CA4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1A77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204DB2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6F583AD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6D7060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20E266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3E4600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B44331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2682D8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BEFF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037BCE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7555BB4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74FDC3A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648668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629299D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D25BC6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BB9A4B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85AE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0A3AD2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2373FA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C92059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8ED7D5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59EE179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E0CFE4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73831F7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9F7B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22F17AB4">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24FD116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B905C6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0C34BA2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5DD7080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D5B801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5A4D7E6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FC7A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5E776F9F">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702161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616E08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06AF6E6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32B78C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05C6355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FF89DB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710B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8DC9CF8">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527EB54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1FC4C5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70880C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C40A1A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686D50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DA6E7A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49D9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678528D">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1103CD6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59EADA2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1BF004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77B5B6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26F02B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7C8276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C2C1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CDB4230">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5286D70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9F4B64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C00E61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98780E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E681BF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B06BA7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9642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35CBFA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783224D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36BB3F0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86D553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56C0EB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D7DE24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15F203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8959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725643BF">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7271E36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62DF1B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7B9EA05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F7B1A6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00B0BCC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746221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3834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1D48C37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0B7ECD2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A90F16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58940D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D89B58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705B6B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13F469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9332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DA6A4A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D07E0B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244363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DE12AE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3238E0D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B15DBD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0A085A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F2B7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B00FF2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004A9B2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92FAC7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4F7538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5F4B45A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65BC87B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CB0369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54FD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225CA9B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57E68EA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42FC05C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97633A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6A771E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00C91FD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3ED6E65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B1BE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73306DB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23EE554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094992F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66985E0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E5C313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1DA1DA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17B0222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7354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restart"/>
                  <w:vAlign w:val="center"/>
                </w:tcPr>
                <w:p w14:paraId="59609608">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69689A1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CECD88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53C4B6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526630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CB2A40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5C4B136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7A5D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61A3A80C">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5E72B8E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722CB9B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38DD204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162C479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3BC3591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503E0DD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BDC5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2F5BCC98">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6FC4B7A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8C6C36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C4448A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52A4D60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18B3F22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4A5DCF0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DBDA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1E4F33FD">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5F8A31B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53A2649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7FAD62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0CF60DA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5675983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785CDE0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E766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0EE5F2EB">
                  <w:pPr>
                    <w:spacing w:after="0" w:line="240" w:lineRule="auto"/>
                    <w:rPr>
                      <w:color w:val="0D0D0D" w:themeColor="text1" w:themeTint="F2"/>
                      <w:szCs w:val="21"/>
                      <w14:textFill>
                        <w14:solidFill>
                          <w14:schemeClr w14:val="tx1">
                            <w14:lumMod w14:val="95000"/>
                            <w14:lumOff w14:val="5000"/>
                          </w14:schemeClr>
                        </w14:solidFill>
                      </w14:textFill>
                    </w:rPr>
                  </w:pPr>
                </w:p>
              </w:tc>
              <w:tc>
                <w:tcPr>
                  <w:tcW w:w="609" w:type="pct"/>
                  <w:vMerge w:val="restart"/>
                  <w:vAlign w:val="center"/>
                </w:tcPr>
                <w:p w14:paraId="26A4D69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1CC8778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519E63B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4465208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769CBC5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75F260B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C661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1" w:type="pct"/>
                  <w:vMerge w:val="continue"/>
                  <w:vAlign w:val="center"/>
                </w:tcPr>
                <w:p w14:paraId="4F10036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09" w:type="pct"/>
                  <w:vMerge w:val="continue"/>
                  <w:vAlign w:val="center"/>
                </w:tcPr>
                <w:p w14:paraId="345EA81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2E63138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9F1237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22E99A7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76D8919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6D562213">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5775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gridSpan w:val="2"/>
                  <w:vMerge w:val="restart"/>
                  <w:vAlign w:val="center"/>
                </w:tcPr>
                <w:p w14:paraId="12F51BE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03C72B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0A0AA63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5598230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4884146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E0FF6A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5874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gridSpan w:val="2"/>
                  <w:vMerge w:val="continue"/>
                  <w:vAlign w:val="center"/>
                </w:tcPr>
                <w:p w14:paraId="1E922BD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8A95B2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441BDFC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7C63EC7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20738D0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0BF588A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B431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gridSpan w:val="2"/>
                  <w:vAlign w:val="center"/>
                </w:tcPr>
                <w:p w14:paraId="11F44ECF">
                  <w:pPr>
                    <w:spacing w:after="0" w:line="240" w:lineRule="auto"/>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6480108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2007B14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622922F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5F2F820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3C9CED29">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6C63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gridSpan w:val="2"/>
                  <w:vAlign w:val="center"/>
                </w:tcPr>
                <w:p w14:paraId="0928CB01">
                  <w:pPr>
                    <w:spacing w:after="0" w:line="240" w:lineRule="auto"/>
                    <w:rPr>
                      <w:color w:val="0D0D0D" w:themeColor="text1" w:themeTint="F2"/>
                      <w:szCs w:val="21"/>
                      <w14:textFill>
                        <w14:solidFill>
                          <w14:schemeClr w14:val="tx1">
                            <w14:lumMod w14:val="95000"/>
                            <w14:lumOff w14:val="5000"/>
                          </w14:schemeClr>
                        </w14:solidFill>
                      </w14:textFill>
                    </w:rPr>
                  </w:pPr>
                </w:p>
              </w:tc>
              <w:tc>
                <w:tcPr>
                  <w:tcW w:w="1217" w:type="pct"/>
                  <w:vAlign w:val="center"/>
                </w:tcPr>
                <w:p w14:paraId="7D00A7D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84" w:type="pct"/>
                  <w:vAlign w:val="center"/>
                </w:tcPr>
                <w:p w14:paraId="1D3327E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1" w:type="pct"/>
                  <w:vAlign w:val="center"/>
                </w:tcPr>
                <w:p w14:paraId="4E8F02F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3" w:type="pct"/>
                  <w:vAlign w:val="center"/>
                </w:tcPr>
                <w:p w14:paraId="5F71981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65" w:type="pct"/>
                  <w:vAlign w:val="center"/>
                </w:tcPr>
                <w:p w14:paraId="23E4ACC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721B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vAlign w:val="center"/>
                </w:tcPr>
                <w:p w14:paraId="1D03D57C">
                  <w:pPr>
                    <w:spacing w:after="0" w:line="240" w:lineRule="auto"/>
                    <w:rPr>
                      <w:color w:val="0D0D0D" w:themeColor="text1" w:themeTint="F2"/>
                      <w:szCs w:val="21"/>
                      <w14:textFill>
                        <w14:solidFill>
                          <w14:schemeClr w14:val="tx1">
                            <w14:lumMod w14:val="95000"/>
                            <w14:lumOff w14:val="5000"/>
                          </w14:schemeClr>
                        </w14:solidFill>
                      </w14:textFill>
                    </w:rPr>
                  </w:pPr>
                </w:p>
              </w:tc>
            </w:tr>
          </w:tbl>
          <w:p w14:paraId="23C45095">
            <w:pPr>
              <w:spacing w:after="0"/>
              <w:ind w:firstLine="422" w:firstLineChars="20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表2-6  涂料主要理化性质一览表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4"/>
              <w:gridCol w:w="3623"/>
              <w:gridCol w:w="4168"/>
            </w:tblGrid>
            <w:tr w14:paraId="69C86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3D543474">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2014" w:type="pct"/>
                  <w:vAlign w:val="center"/>
                </w:tcPr>
                <w:p w14:paraId="626D1530">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0DD2C47B">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r>
            <w:tr w14:paraId="58320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483ED64E">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014" w:type="pct"/>
                  <w:vAlign w:val="center"/>
                </w:tcPr>
                <w:p w14:paraId="2DB0427B">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5DF341D9">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2DE69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1170FD12">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014" w:type="pct"/>
                  <w:vAlign w:val="center"/>
                </w:tcPr>
                <w:p w14:paraId="36A96665">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1BC9F5C7">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50ED4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0284A5F2">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014" w:type="pct"/>
                  <w:vAlign w:val="center"/>
                </w:tcPr>
                <w:p w14:paraId="35DEE817">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437A9685">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7DEC3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39C31D0A">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0D3DE34D">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1A45AC35">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0BEB0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6B53A231">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0282239F">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559D3AF1">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670A0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51A65795">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757ACA2A">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02AAA1B3">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6DF0D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07C7AB70">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120889DC">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6C9D69CD">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66B3F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4B52B4BB">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3EEC4B91">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0A1BC728">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46429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20EFD38F">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2B93CBB9">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5FFB4994">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r>
            <w:tr w14:paraId="244C3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039A16A8">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4963CEEC">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15060DCD">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2C0B4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1A1AF9F7">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17F44815">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117E0ED2">
                  <w:pPr>
                    <w:spacing w:after="0" w:line="240" w:lineRule="auto"/>
                    <w:rPr>
                      <w:bCs/>
                      <w:color w:val="0D0D0D" w:themeColor="text1" w:themeTint="F2"/>
                      <w:szCs w:val="21"/>
                      <w14:textFill>
                        <w14:solidFill>
                          <w14:schemeClr w14:val="tx1">
                            <w14:lumMod w14:val="95000"/>
                            <w14:lumOff w14:val="5000"/>
                          </w14:schemeClr>
                        </w14:solidFill>
                      </w14:textFill>
                    </w:rPr>
                  </w:pPr>
                </w:p>
              </w:tc>
            </w:tr>
            <w:tr w14:paraId="7446A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9" w:type="pct"/>
                  <w:vAlign w:val="center"/>
                </w:tcPr>
                <w:p w14:paraId="470F0C10">
                  <w:pPr>
                    <w:spacing w:after="0" w:line="240" w:lineRule="auto"/>
                    <w:rPr>
                      <w:color w:val="0D0D0D" w:themeColor="text1" w:themeTint="F2"/>
                      <w:szCs w:val="21"/>
                      <w14:textFill>
                        <w14:solidFill>
                          <w14:schemeClr w14:val="tx1">
                            <w14:lumMod w14:val="95000"/>
                            <w14:lumOff w14:val="5000"/>
                          </w14:schemeClr>
                        </w14:solidFill>
                      </w14:textFill>
                    </w:rPr>
                  </w:pPr>
                </w:p>
              </w:tc>
              <w:tc>
                <w:tcPr>
                  <w:tcW w:w="2014" w:type="pct"/>
                  <w:vAlign w:val="center"/>
                </w:tcPr>
                <w:p w14:paraId="274EAE3C">
                  <w:pPr>
                    <w:spacing w:after="0" w:line="240" w:lineRule="auto"/>
                    <w:rPr>
                      <w:bCs/>
                      <w:color w:val="0D0D0D" w:themeColor="text1" w:themeTint="F2"/>
                      <w:szCs w:val="21"/>
                      <w14:textFill>
                        <w14:solidFill>
                          <w14:schemeClr w14:val="tx1">
                            <w14:lumMod w14:val="95000"/>
                            <w14:lumOff w14:val="5000"/>
                          </w14:schemeClr>
                        </w14:solidFill>
                      </w14:textFill>
                    </w:rPr>
                  </w:pPr>
                </w:p>
              </w:tc>
              <w:tc>
                <w:tcPr>
                  <w:tcW w:w="2317" w:type="pct"/>
                  <w:vAlign w:val="center"/>
                </w:tcPr>
                <w:p w14:paraId="107F0745">
                  <w:pPr>
                    <w:spacing w:after="0" w:line="240" w:lineRule="auto"/>
                    <w:rPr>
                      <w:bCs/>
                      <w:color w:val="0D0D0D" w:themeColor="text1" w:themeTint="F2"/>
                      <w:szCs w:val="21"/>
                      <w14:textFill>
                        <w14:solidFill>
                          <w14:schemeClr w14:val="tx1">
                            <w14:lumMod w14:val="95000"/>
                            <w14:lumOff w14:val="5000"/>
                          </w14:schemeClr>
                        </w14:solidFill>
                      </w14:textFill>
                    </w:rPr>
                  </w:pPr>
                </w:p>
              </w:tc>
            </w:tr>
          </w:tbl>
          <w:p w14:paraId="54E37026">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油漆用量核算：</w:t>
            </w:r>
          </w:p>
          <w:p w14:paraId="3452368D">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油漆用量根据《涂料工艺与设备手册》（叶扬详主编，机械工业出版社出版）中的单位面积涂料消耗量计算公式进行核算，如下：</w:t>
            </w:r>
          </w:p>
          <w:p w14:paraId="51038368">
            <w:pPr>
              <w:spacing w:after="0" w:line="360" w:lineRule="auto"/>
              <w:jc w:val="center"/>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m=ρδs×10</w:t>
            </w:r>
            <w:r>
              <w:rPr>
                <w:rFonts w:hint="eastAsia"/>
                <w:color w:val="0D0D0D" w:themeColor="text1" w:themeTint="F2"/>
                <w:sz w:val="24"/>
                <w:vertAlign w:val="superscript"/>
                <w14:textFill>
                  <w14:solidFill>
                    <w14:schemeClr w14:val="tx1">
                      <w14:lumMod w14:val="95000"/>
                      <w14:lumOff w14:val="5000"/>
                    </w14:schemeClr>
                  </w14:solidFill>
                </w14:textFill>
              </w:rPr>
              <w:t>-6</w:t>
            </w:r>
            <w:r>
              <w:rPr>
                <w:rFonts w:hint="eastAsia"/>
                <w:color w:val="0D0D0D" w:themeColor="text1" w:themeTint="F2"/>
                <w:sz w:val="24"/>
                <w14:textFill>
                  <w14:solidFill>
                    <w14:schemeClr w14:val="tx1">
                      <w14:lumMod w14:val="95000"/>
                      <w14:lumOff w14:val="5000"/>
                    </w14:schemeClr>
                  </w14:solidFill>
                </w14:textFill>
              </w:rPr>
              <w:t>/（NV·ε）</w:t>
            </w:r>
          </w:p>
          <w:p w14:paraId="0ED511DD">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式中：</w:t>
            </w:r>
          </w:p>
          <w:p w14:paraId="1F1B0009">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m——漆总用量（t/a）；</w:t>
            </w:r>
          </w:p>
          <w:p w14:paraId="69DD2E50">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ρ——油漆密度（g/cm³）；</w:t>
            </w:r>
          </w:p>
          <w:p w14:paraId="6546931E">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δ——涂层厚度（μm）；</w:t>
            </w:r>
          </w:p>
          <w:p w14:paraId="5F86E0DB">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s——喷涂面积（m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/a）；</w:t>
            </w:r>
          </w:p>
          <w:p w14:paraId="546D0E2B">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NV——油漆中的体积固体份（%）；</w:t>
            </w:r>
          </w:p>
          <w:p w14:paraId="76C574F0">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ε——上漆率（%），根据《涂装工常用技术手册》（李群英，上海科学技术出版社，2008年），无气喷涂的涂装上漆率可达70%，项目采用高压无气喷涂工艺，本次评价上漆率保守取值70%。</w:t>
            </w:r>
          </w:p>
          <w:p w14:paraId="10241BEB">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根据建设单位提供的资料，喷涂方案详见表2-7。</w:t>
            </w:r>
          </w:p>
          <w:p w14:paraId="544FBC3E">
            <w:pPr>
              <w:spacing w:after="0" w:line="240" w:lineRule="auto"/>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表2-7  喷涂方案一览表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7"/>
              <w:gridCol w:w="3132"/>
              <w:gridCol w:w="1097"/>
              <w:gridCol w:w="783"/>
              <w:gridCol w:w="997"/>
              <w:gridCol w:w="959"/>
            </w:tblGrid>
            <w:tr w14:paraId="2DEC5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Align w:val="center"/>
                </w:tcPr>
                <w:p w14:paraId="11F5875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1356E9C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5CEC43A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0AF1836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4937E4B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Align w:val="center"/>
                </w:tcPr>
                <w:p w14:paraId="4D0AAF1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7BF3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restart"/>
                  <w:vAlign w:val="center"/>
                </w:tcPr>
                <w:p w14:paraId="5DD88F4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57FE1FD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4B175A2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59EAAA7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1A9978D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restart"/>
                  <w:vAlign w:val="center"/>
                </w:tcPr>
                <w:p w14:paraId="0CBD5DAC">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A71E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continue"/>
                  <w:vAlign w:val="center"/>
                </w:tcPr>
                <w:p w14:paraId="5EC3912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0FA5AEE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6233FDA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7F95F34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36A323A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continue"/>
                  <w:vAlign w:val="center"/>
                </w:tcPr>
                <w:p w14:paraId="2B9B289D">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2E35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Align w:val="center"/>
                </w:tcPr>
                <w:p w14:paraId="7EC34DC2">
                  <w:pPr>
                    <w:spacing w:after="0" w:line="240" w:lineRule="auto"/>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258B151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63B613A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5B1D2C9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0944497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Align w:val="center"/>
                </w:tcPr>
                <w:p w14:paraId="1BC22A74">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7C42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Align w:val="center"/>
                </w:tcPr>
                <w:p w14:paraId="65E7629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78BEB12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469ECB4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54EA5AB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3DA6B6C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Align w:val="center"/>
                </w:tcPr>
                <w:p w14:paraId="3FBE049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F446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restart"/>
                  <w:vAlign w:val="center"/>
                </w:tcPr>
                <w:p w14:paraId="3A3003C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5F0DE7D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338441A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73D78AF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2EFC1E9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restart"/>
                  <w:vAlign w:val="center"/>
                </w:tcPr>
                <w:p w14:paraId="192F866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CB95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continue"/>
                  <w:vAlign w:val="center"/>
                </w:tcPr>
                <w:p w14:paraId="0DA5560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1AE249E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763AB47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452AB30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1223774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continue"/>
                  <w:vAlign w:val="center"/>
                </w:tcPr>
                <w:p w14:paraId="75A2AC5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ABDF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continue"/>
                  <w:vAlign w:val="center"/>
                </w:tcPr>
                <w:p w14:paraId="6E96E3A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2DA9609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55EBDE6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54C08CF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79ED586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continue"/>
                  <w:vAlign w:val="center"/>
                </w:tcPr>
                <w:p w14:paraId="2165D58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8040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restart"/>
                  <w:vAlign w:val="center"/>
                </w:tcPr>
                <w:p w14:paraId="441AD90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5505E6F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5E79AB3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7CAABDB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3D3BFF2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restart"/>
                  <w:vAlign w:val="center"/>
                </w:tcPr>
                <w:p w14:paraId="41B92D1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3A04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continue"/>
                  <w:vAlign w:val="center"/>
                </w:tcPr>
                <w:p w14:paraId="4E10B21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718DFD7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6F42A76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6B1C47E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3700032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continue"/>
                  <w:vAlign w:val="center"/>
                </w:tcPr>
                <w:p w14:paraId="1686921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7732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Merge w:val="continue"/>
                  <w:vAlign w:val="center"/>
                </w:tcPr>
                <w:p w14:paraId="77020BF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249298D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26FF39B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2855FCB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05CDE80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Merge w:val="continue"/>
                  <w:vAlign w:val="center"/>
                </w:tcPr>
                <w:p w14:paraId="474A462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4F5D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7" w:type="pct"/>
                  <w:vAlign w:val="center"/>
                </w:tcPr>
                <w:p w14:paraId="67D476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741" w:type="pct"/>
                  <w:vAlign w:val="center"/>
                </w:tcPr>
                <w:p w14:paraId="5CD8CF2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10" w:type="pct"/>
                  <w:vAlign w:val="center"/>
                </w:tcPr>
                <w:p w14:paraId="048F763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35" w:type="pct"/>
                  <w:vAlign w:val="center"/>
                </w:tcPr>
                <w:p w14:paraId="0EB5EEA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54" w:type="pct"/>
                  <w:vAlign w:val="center"/>
                </w:tcPr>
                <w:p w14:paraId="7492112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Align w:val="center"/>
                </w:tcPr>
                <w:p w14:paraId="22A8E8C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025D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66" w:type="pct"/>
                  <w:gridSpan w:val="5"/>
                  <w:vAlign w:val="center"/>
                </w:tcPr>
                <w:p w14:paraId="2552C51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4" w:type="pct"/>
                  <w:vAlign w:val="center"/>
                </w:tcPr>
                <w:p w14:paraId="73604AE3">
                  <w:pPr>
                    <w:spacing w:after="0" w:line="240" w:lineRule="auto"/>
                    <w:jc w:val="center"/>
                    <w:rPr>
                      <w:color w:val="0D0D0D" w:themeColor="text1" w:themeTint="F2"/>
                      <w:szCs w:val="21"/>
                      <w14:textFill>
                        <w14:solidFill>
                          <w14:schemeClr w14:val="tx1">
                            <w14:lumMod w14:val="95000"/>
                            <w14:lumOff w14:val="5000"/>
                          </w14:schemeClr>
                        </w14:solidFill>
                      </w14:textFill>
                    </w:rPr>
                  </w:pPr>
                </w:p>
              </w:tc>
            </w:tr>
          </w:tbl>
          <w:p w14:paraId="5762B336">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根据建设单位提供的资料，项目所用钢材类型为板材，密度一般为7.85t/m</w:t>
            </w:r>
            <w:r>
              <w:rPr>
                <w:rFonts w:hint="eastAsia"/>
                <w:color w:val="0D0D0D" w:themeColor="text1" w:themeTint="F2"/>
                <w:sz w:val="24"/>
                <w:vertAlign w:val="superscript"/>
                <w14:textFill>
                  <w14:solidFill>
                    <w14:schemeClr w14:val="tx1">
                      <w14:lumMod w14:val="95000"/>
                      <w14:lumOff w14:val="5000"/>
                    </w14:schemeClr>
                  </w14:solidFill>
                </w14:textFill>
              </w:rPr>
              <w:t>3</w:t>
            </w:r>
            <w:r>
              <w:rPr>
                <w:rFonts w:hint="eastAsia"/>
                <w:color w:val="0D0D0D" w:themeColor="text1" w:themeTint="F2"/>
                <w:sz w:val="24"/>
                <w14:textFill>
                  <w14:solidFill>
                    <w14:schemeClr w14:val="tx1">
                      <w14:lumMod w14:val="95000"/>
                      <w14:lumOff w14:val="5000"/>
                    </w14:schemeClr>
                  </w14:solidFill>
                </w14:textFill>
              </w:rPr>
              <w:t>，厚度在5mm～6mm之间，本次评价按5.5mm计，总喷涂面积为20000m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/a，属于双面喷涂，经计算，钢材重量为863.5t/a。</w:t>
            </w:r>
          </w:p>
          <w:p w14:paraId="0082062C">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油漆用量核算参数详见表2-8。</w:t>
            </w:r>
          </w:p>
          <w:p w14:paraId="17337A83">
            <w:pPr>
              <w:spacing w:after="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表2-8  核算参数表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5"/>
              <w:gridCol w:w="2098"/>
              <w:gridCol w:w="1243"/>
              <w:gridCol w:w="970"/>
              <w:gridCol w:w="1128"/>
              <w:gridCol w:w="896"/>
              <w:gridCol w:w="896"/>
              <w:gridCol w:w="729"/>
            </w:tblGrid>
            <w:tr w14:paraId="2E685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576" w:type="pct"/>
                  <w:vAlign w:val="center"/>
                </w:tcPr>
                <w:p w14:paraId="02CEDE7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553A69E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5943E60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501EE8A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240CE11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2AB881C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71854F5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4A580944">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D09D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restart"/>
                  <w:vAlign w:val="center"/>
                </w:tcPr>
                <w:p w14:paraId="72F416D6">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191D120C">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0B4A050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31B030B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4F48CAE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369C8FC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2F4598C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1C037E1D">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7BE9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continue"/>
                  <w:vAlign w:val="center"/>
                </w:tcPr>
                <w:p w14:paraId="0D20CAE3">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3E1410F3">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22DB13B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4991353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62B36CF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18687F2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7BE3985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65584E3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2CFC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36D2951F">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47AFA831">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38D4492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43071F7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034F820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1C3B55C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2B567EF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3051F27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7481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07405361">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49CB62F7">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1AA0767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18ECCF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4FE7042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6C96EE6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75450C5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74F7F39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B5E0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restart"/>
                  <w:vAlign w:val="center"/>
                </w:tcPr>
                <w:p w14:paraId="5317C87B">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5272FA0A">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1FEF25E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348EDC3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67A267F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5C7B6DF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06363A2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6962B8F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EB8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continue"/>
                  <w:vAlign w:val="center"/>
                </w:tcPr>
                <w:p w14:paraId="31F11906">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0959C67C">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54204B9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7600400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02A4855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7C9D055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2EE2E28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511932A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C15B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continue"/>
                  <w:vAlign w:val="center"/>
                </w:tcPr>
                <w:p w14:paraId="0895E4DB">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79796026">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406A93A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53AF65A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0ADAA3E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00CEF3F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1E7322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4205302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4F05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restart"/>
                  <w:vAlign w:val="center"/>
                </w:tcPr>
                <w:p w14:paraId="48E39E25">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5F36C270">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52CE2A1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4A31814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683A7C1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26B6F6F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542C2FB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3E2ED00D">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F12D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continue"/>
                  <w:vAlign w:val="center"/>
                </w:tcPr>
                <w:p w14:paraId="343B7090">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675A16BB">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0626FCA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20B7115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2A20464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3335540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1FE4A36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215C5AC4">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542A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Merge w:val="continue"/>
                  <w:vAlign w:val="center"/>
                </w:tcPr>
                <w:p w14:paraId="3FCAC4F8">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60F322A7">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6A85423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154A719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63F411A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2557350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1D9A07D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392B82B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4728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6" w:type="pct"/>
                  <w:vAlign w:val="center"/>
                </w:tcPr>
                <w:p w14:paraId="7A3AAB25">
                  <w:pPr>
                    <w:spacing w:after="0" w:line="240" w:lineRule="auto"/>
                    <w:rPr>
                      <w:color w:val="0D0D0D" w:themeColor="text1" w:themeTint="F2"/>
                      <w:szCs w:val="21"/>
                      <w14:textFill>
                        <w14:solidFill>
                          <w14:schemeClr w14:val="tx1">
                            <w14:lumMod w14:val="95000"/>
                            <w14:lumOff w14:val="5000"/>
                          </w14:schemeClr>
                        </w14:solidFill>
                      </w14:textFill>
                    </w:rPr>
                  </w:pPr>
                </w:p>
              </w:tc>
              <w:tc>
                <w:tcPr>
                  <w:tcW w:w="1166" w:type="pct"/>
                  <w:vAlign w:val="center"/>
                </w:tcPr>
                <w:p w14:paraId="37C4B55C">
                  <w:pPr>
                    <w:spacing w:after="0" w:line="240" w:lineRule="auto"/>
                    <w:rPr>
                      <w:color w:val="0D0D0D" w:themeColor="text1" w:themeTint="F2"/>
                      <w:szCs w:val="21"/>
                      <w14:textFill>
                        <w14:solidFill>
                          <w14:schemeClr w14:val="tx1">
                            <w14:lumMod w14:val="95000"/>
                            <w14:lumOff w14:val="5000"/>
                          </w14:schemeClr>
                        </w14:solidFill>
                      </w14:textFill>
                    </w:rPr>
                  </w:pPr>
                </w:p>
              </w:tc>
              <w:tc>
                <w:tcPr>
                  <w:tcW w:w="691" w:type="pct"/>
                  <w:vAlign w:val="center"/>
                </w:tcPr>
                <w:p w14:paraId="106E5B4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39" w:type="pct"/>
                  <w:vAlign w:val="center"/>
                </w:tcPr>
                <w:p w14:paraId="74B03F8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27" w:type="pct"/>
                  <w:vAlign w:val="center"/>
                </w:tcPr>
                <w:p w14:paraId="2882199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221CF0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98" w:type="pct"/>
                  <w:vAlign w:val="center"/>
                </w:tcPr>
                <w:p w14:paraId="4B4909F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5" w:type="pct"/>
                  <w:vAlign w:val="center"/>
                </w:tcPr>
                <w:p w14:paraId="4C11082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bl>
          <w:p w14:paraId="77B6DC7F">
            <w:pPr>
              <w:spacing w:after="0" w:line="360" w:lineRule="auto"/>
              <w:ind w:firstLine="480" w:firstLineChars="200"/>
              <w:rPr>
                <w:b/>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油漆用量核算结果详见表2-9。</w:t>
            </w:r>
          </w:p>
          <w:p w14:paraId="3D35E5BA">
            <w:pPr>
              <w:spacing w:after="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表2-9  涂料使用情况表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45"/>
              <w:gridCol w:w="1056"/>
              <w:gridCol w:w="2294"/>
            </w:tblGrid>
            <w:tr w14:paraId="23B2E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Align w:val="center"/>
                </w:tcPr>
                <w:p w14:paraId="57BAF87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62" w:type="pct"/>
                  <w:gridSpan w:val="2"/>
                  <w:vAlign w:val="center"/>
                </w:tcPr>
                <w:p w14:paraId="3ADBF78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3535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208BBDC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2BFC16C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010336A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2382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5F9ECC9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6A1A95F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18F8F769">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9BBC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5FDEE66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0539B5D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1201CA55">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C81E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64EC457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5731630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1CB024D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A6B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0ECCF01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67247B1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7D9363D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63AA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1C3D8A7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7FF5BEB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11A230E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6D20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63207F2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70BA88E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3F2202C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0148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120A665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3406183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68DBB75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5961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3E95808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086FE86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48335D7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1282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1ABD814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731425E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66FFDF58">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9C14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7BC78D1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317D367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2B9FBA7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7E11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75D0425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518F34F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7DF0BF2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8126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31B210A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1736015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0DDED15C">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F7AC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35EB48E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1E5975F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690FD567">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CD03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44E19E1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1E7B060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70A3891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24AB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6B92597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687F4D6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76CA19B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0A30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restart"/>
                  <w:vAlign w:val="center"/>
                </w:tcPr>
                <w:p w14:paraId="480FEA6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restart"/>
                  <w:vAlign w:val="center"/>
                </w:tcPr>
                <w:p w14:paraId="259FDDC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010C5199">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192A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Merge w:val="continue"/>
                  <w:vAlign w:val="center"/>
                </w:tcPr>
                <w:p w14:paraId="19FA8B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87" w:type="pct"/>
                  <w:vMerge w:val="continue"/>
                  <w:vAlign w:val="center"/>
                </w:tcPr>
                <w:p w14:paraId="3BCC3AF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75" w:type="pct"/>
                  <w:vAlign w:val="center"/>
                </w:tcPr>
                <w:p w14:paraId="24FE0F03">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39204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Align w:val="center"/>
                </w:tcPr>
                <w:p w14:paraId="3275C63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62" w:type="pct"/>
                  <w:gridSpan w:val="2"/>
                  <w:vAlign w:val="center"/>
                </w:tcPr>
                <w:p w14:paraId="6B4109C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7D14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Align w:val="center"/>
                </w:tcPr>
                <w:p w14:paraId="275DB0B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62" w:type="pct"/>
                  <w:gridSpan w:val="2"/>
                  <w:vAlign w:val="center"/>
                </w:tcPr>
                <w:p w14:paraId="50513E5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7F6A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Align w:val="center"/>
                </w:tcPr>
                <w:p w14:paraId="134EFF9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62" w:type="pct"/>
                  <w:gridSpan w:val="2"/>
                  <w:vAlign w:val="center"/>
                </w:tcPr>
                <w:p w14:paraId="58AEE0E6">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AEA3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8" w:type="pct"/>
                  <w:vAlign w:val="center"/>
                </w:tcPr>
                <w:p w14:paraId="5CE96DE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62" w:type="pct"/>
                  <w:gridSpan w:val="2"/>
                  <w:vAlign w:val="center"/>
                </w:tcPr>
                <w:p w14:paraId="022A46C9">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0EEB5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3"/>
                  <w:vAlign w:val="center"/>
                </w:tcPr>
                <w:p w14:paraId="291B146D">
                  <w:pPr>
                    <w:spacing w:after="0" w:line="240" w:lineRule="auto"/>
                    <w:rPr>
                      <w:color w:val="0D0D0D" w:themeColor="text1" w:themeTint="F2"/>
                      <w:szCs w:val="21"/>
                      <w14:textFill>
                        <w14:solidFill>
                          <w14:schemeClr w14:val="tx1">
                            <w14:lumMod w14:val="95000"/>
                            <w14:lumOff w14:val="5000"/>
                          </w14:schemeClr>
                        </w14:solidFill>
                      </w14:textFill>
                    </w:rPr>
                  </w:pPr>
                </w:p>
              </w:tc>
            </w:tr>
          </w:tbl>
          <w:p w14:paraId="764E88AC">
            <w:pPr>
              <w:adjustRightInd w:val="0"/>
              <w:snapToGrid w:val="0"/>
              <w:spacing w:after="0" w:line="360" w:lineRule="auto"/>
              <w:ind w:firstLine="482" w:firstLineChars="200"/>
              <w:rPr>
                <w:rFonts w:cs="宋体"/>
                <w:b/>
                <w:bCs/>
                <w:color w:val="0D0D0D" w:themeColor="text1" w:themeTint="F2"/>
                <w:sz w:val="24"/>
                <w14:textFill>
                  <w14:solidFill>
                    <w14:schemeClr w14:val="tx1">
                      <w14:lumMod w14:val="95000"/>
                      <w14:lumOff w14:val="5000"/>
                    </w14:schemeClr>
                  </w14:solidFill>
                </w14:textFill>
              </w:rPr>
            </w:pPr>
            <w:r>
              <w:rPr>
                <w:rFonts w:hint="eastAsia" w:cs="宋体"/>
                <w:b/>
                <w:bCs/>
                <w:color w:val="0D0D0D" w:themeColor="text1" w:themeTint="F2"/>
                <w:sz w:val="24"/>
                <w14:textFill>
                  <w14:solidFill>
                    <w14:schemeClr w14:val="tx1">
                      <w14:lumMod w14:val="95000"/>
                      <w14:lumOff w14:val="5000"/>
                    </w14:schemeClr>
                  </w14:solidFill>
                </w14:textFill>
              </w:rPr>
              <w:t>6.公用工程</w:t>
            </w:r>
          </w:p>
          <w:p w14:paraId="3DDE210D">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（1）给水</w:t>
            </w:r>
          </w:p>
          <w:p w14:paraId="0DA6BF3A">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cs="宋体"/>
                <w:bCs/>
                <w:color w:val="0D0D0D" w:themeColor="text1" w:themeTint="F2"/>
                <w:sz w:val="24"/>
                <w14:textFill>
                  <w14:solidFill>
                    <w14:schemeClr w14:val="tx1">
                      <w14:lumMod w14:val="95000"/>
                      <w14:lumOff w14:val="5000"/>
                    </w14:schemeClr>
                  </w14:solidFill>
                </w14:textFill>
              </w:rPr>
              <w:t>项目用水</w:t>
            </w:r>
            <w:r>
              <w:rPr>
                <w:rFonts w:hint="eastAsia" w:cs="宋体"/>
                <w:bCs/>
                <w:color w:val="0D0D0D" w:themeColor="text1" w:themeTint="F2"/>
                <w:sz w:val="24"/>
                <w14:textFill>
                  <w14:solidFill>
                    <w14:schemeClr w14:val="tx1">
                      <w14:lumMod w14:val="95000"/>
                      <w14:lumOff w14:val="5000"/>
                    </w14:schemeClr>
                  </w14:solidFill>
                </w14:textFill>
              </w:rPr>
              <w:t>包括生产用水和生活用水，</w:t>
            </w:r>
            <w:r>
              <w:rPr>
                <w:rFonts w:cs="宋体"/>
                <w:bCs/>
                <w:color w:val="0D0D0D" w:themeColor="text1" w:themeTint="F2"/>
                <w:sz w:val="24"/>
                <w14:textFill>
                  <w14:solidFill>
                    <w14:schemeClr w14:val="tx1">
                      <w14:lumMod w14:val="95000"/>
                      <w14:lumOff w14:val="5000"/>
                    </w14:schemeClr>
                  </w14:solidFill>
                </w14:textFill>
              </w:rPr>
              <w:t>由</w:t>
            </w:r>
            <w:r>
              <w:rPr>
                <w:rFonts w:hint="eastAsia" w:cs="宋体"/>
                <w:bCs/>
                <w:color w:val="0D0D0D" w:themeColor="text1" w:themeTint="F2"/>
                <w:sz w:val="24"/>
                <w14:textFill>
                  <w14:solidFill>
                    <w14:schemeClr w14:val="tx1">
                      <w14:lumMod w14:val="95000"/>
                      <w14:lumOff w14:val="5000"/>
                    </w14:schemeClr>
                  </w14:solidFill>
                </w14:textFill>
              </w:rPr>
              <w:t>园区市政自来水管网供给</w:t>
            </w:r>
            <w:r>
              <w:rPr>
                <w:rFonts w:cs="宋体"/>
                <w:bCs/>
                <w:color w:val="0D0D0D" w:themeColor="text1" w:themeTint="F2"/>
                <w:sz w:val="24"/>
                <w14:textFill>
                  <w14:solidFill>
                    <w14:schemeClr w14:val="tx1">
                      <w14:lumMod w14:val="95000"/>
                      <w14:lumOff w14:val="5000"/>
                    </w14:schemeClr>
                  </w14:solidFill>
                </w14:textFill>
              </w:rPr>
              <w:t>，可满足项目需求</w:t>
            </w:r>
            <w:r>
              <w:rPr>
                <w:rFonts w:hint="eastAsia" w:cs="宋体"/>
                <w:bCs/>
                <w:color w:val="0D0D0D" w:themeColor="text1" w:themeTint="F2"/>
                <w:sz w:val="24"/>
                <w14:textFill>
                  <w14:solidFill>
                    <w14:schemeClr w14:val="tx1">
                      <w14:lumMod w14:val="95000"/>
                      <w14:lumOff w14:val="5000"/>
                    </w14:schemeClr>
                  </w14:solidFill>
                </w14:textFill>
              </w:rPr>
              <w:t>。生产用水包括水帘柜喷淋用水和喷枪清洗用水，所用水性漆不需额外加水进行调漆，无调漆用水产生。</w:t>
            </w:r>
          </w:p>
          <w:p w14:paraId="5102BCD5">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①</w:t>
            </w:r>
            <w:bookmarkStart w:id="14" w:name="OLE_LINK3"/>
            <w:r>
              <w:rPr>
                <w:rFonts w:hint="eastAsia" w:cs="宋体"/>
                <w:bCs/>
                <w:color w:val="0D0D0D" w:themeColor="text1" w:themeTint="F2"/>
                <w:sz w:val="24"/>
                <w14:textFill>
                  <w14:solidFill>
                    <w14:schemeClr w14:val="tx1">
                      <w14:lumMod w14:val="95000"/>
                      <w14:lumOff w14:val="5000"/>
                    </w14:schemeClr>
                  </w14:solidFill>
                </w14:textFill>
              </w:rPr>
              <w:t>水帘柜喷淋用水</w:t>
            </w:r>
            <w:bookmarkEnd w:id="14"/>
          </w:p>
          <w:p w14:paraId="71130A06">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项目喷漆工序设置1个水帘柜，根据设计资料，水帘柜最大储水量为2m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，循环水量为1m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/h，年工作时间300天，日工作时间12小时，则循环水量为12m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/d，3600m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/a。水帘柜喷淋用水循环使用，为保证污染物的去除率，每季度更换1次，年更换次数为4次，总更换量为8m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a，更换废水属于危险废物，使用专用容器收集后暂存于危废暂存间，委托有资质单位清运处置。参照《涂装工艺及车间设计手册》（傅邵燕，机械工业出版社，2013年），水帘柜用水损耗率按每小时循环水量的1%～2%考虑，本次评价从最不利角度出发，损耗量按2%计，则补充水量为0.24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/d，72m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/a。</w:t>
            </w:r>
          </w:p>
          <w:p w14:paraId="02746F6F">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综上，水帘柜喷淋用水为0.27m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/d，80m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/a。</w:t>
            </w:r>
          </w:p>
          <w:p w14:paraId="47E3B47D">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②喷枪清洗用水</w:t>
            </w:r>
          </w:p>
          <w:p w14:paraId="058FFDFA">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设置有6台高压无气喷涂机，共配备有6个喷枪，其中5个喷枪用于油性漆喷涂，1个喷枪用于水性漆喷涂，喷漆过程中枪头需定期清洗，油性漆枪头使用专用喷枪清洗剂进行清洗，清洗剂循环使用，为保证清洗效率，每半年更换一次，该部分更换废液属于危险废物，按危废进行管理。水性漆枪头需用水进行清洗，在1个25kg规格的桶（装水系数按0.8计）中用水清洗，为保证清洗效率，每季度更换一次，年更换次数4次，则喷枪清洗用水为0.08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/a，0.00027m</w:t>
            </w:r>
            <w:r>
              <w:rPr>
                <w:rFonts w:hint="eastAsia" w:cs="宋体"/>
                <w:bCs/>
                <w:color w:val="0D0D0D" w:themeColor="text1" w:themeTint="F2"/>
                <w:sz w:val="24"/>
                <w:vertAlign w:val="superscript"/>
                <w14:textFill>
                  <w14:solidFill>
                    <w14:schemeClr w14:val="tx1">
                      <w14:lumMod w14:val="95000"/>
                      <w14:lumOff w14:val="5000"/>
                    </w14:schemeClr>
                  </w14:solidFill>
                </w14:textFill>
              </w:rPr>
              <w:t>3</w:t>
            </w:r>
            <w:r>
              <w:rPr>
                <w:rFonts w:hint="eastAsia" w:cs="宋体"/>
                <w:bCs/>
                <w:color w:val="0D0D0D" w:themeColor="text1" w:themeTint="F2"/>
                <w:sz w:val="24"/>
                <w14:textFill>
                  <w14:solidFill>
                    <w14:schemeClr w14:val="tx1">
                      <w14:lumMod w14:val="95000"/>
                      <w14:lumOff w14:val="5000"/>
                    </w14:schemeClr>
                  </w14:solidFill>
                </w14:textFill>
              </w:rPr>
              <w:t>/d。该部分清洗废液在进行危险废物属性鉴定之前，作为危险废物进行管理和处置。</w:t>
            </w:r>
          </w:p>
          <w:p w14:paraId="000F0CC8">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③生活用水</w:t>
            </w:r>
          </w:p>
          <w:p w14:paraId="5C6A0788">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项目劳动定员150人，年工作300天，不在厂内食宿，参照《城镇生活用水定额》（D</w:t>
            </w:r>
            <w:r>
              <w:rPr>
                <w:rFonts w:cs="宋体"/>
                <w:bCs/>
                <w:color w:val="0D0D0D" w:themeColor="text1" w:themeTint="F2"/>
                <w:sz w:val="24"/>
                <w14:textFill>
                  <w14:solidFill>
                    <w14:schemeClr w14:val="tx1">
                      <w14:lumMod w14:val="95000"/>
                      <w14:lumOff w14:val="5000"/>
                    </w14:schemeClr>
                  </w14:solidFill>
                </w14:textFill>
              </w:rPr>
              <w:t>B45/T679-2</w:t>
            </w:r>
            <w:r>
              <w:rPr>
                <w:rFonts w:hint="eastAsia" w:cs="宋体"/>
                <w:bCs/>
                <w:color w:val="0D0D0D" w:themeColor="text1" w:themeTint="F2"/>
                <w:sz w:val="24"/>
                <w14:textFill>
                  <w14:solidFill>
                    <w14:schemeClr w14:val="tx1">
                      <w14:lumMod w14:val="95000"/>
                      <w14:lumOff w14:val="5000"/>
                    </w14:schemeClr>
                  </w14:solidFill>
                </w14:textFill>
              </w:rPr>
              <w:t>023），用水定额按150</w:t>
            </w:r>
            <w:r>
              <w:rPr>
                <w:rFonts w:cs="宋体"/>
                <w:bCs/>
                <w:color w:val="0D0D0D" w:themeColor="text1" w:themeTint="F2"/>
                <w:sz w:val="24"/>
                <w14:textFill>
                  <w14:solidFill>
                    <w14:schemeClr w14:val="tx1">
                      <w14:lumMod w14:val="95000"/>
                      <w14:lumOff w14:val="5000"/>
                    </w14:schemeClr>
                  </w14:solidFill>
                </w14:textFill>
              </w:rPr>
              <w:t>L/</w:t>
            </w:r>
            <w:r>
              <w:rPr>
                <w:rFonts w:hint="eastAsia" w:cs="宋体"/>
                <w:bCs/>
                <w:color w:val="0D0D0D" w:themeColor="text1" w:themeTint="F2"/>
                <w:sz w:val="24"/>
                <w14:textFill>
                  <w14:solidFill>
                    <w14:schemeClr w14:val="tx1">
                      <w14:lumMod w14:val="95000"/>
                      <w14:lumOff w14:val="5000"/>
                    </w14:schemeClr>
                  </w14:solidFill>
                </w14:textFill>
              </w:rPr>
              <w:t>（</w:t>
            </w:r>
            <w:r>
              <w:rPr>
                <w:rFonts w:cs="宋体"/>
                <w:bCs/>
                <w:color w:val="0D0D0D" w:themeColor="text1" w:themeTint="F2"/>
                <w:sz w:val="24"/>
                <w14:textFill>
                  <w14:solidFill>
                    <w14:schemeClr w14:val="tx1">
                      <w14:lumMod w14:val="95000"/>
                      <w14:lumOff w14:val="5000"/>
                    </w14:schemeClr>
                  </w14:solidFill>
                </w14:textFill>
              </w:rPr>
              <w:t>d·</w:t>
            </w:r>
            <w:r>
              <w:rPr>
                <w:rFonts w:hint="eastAsia" w:cs="宋体"/>
                <w:bCs/>
                <w:color w:val="0D0D0D" w:themeColor="text1" w:themeTint="F2"/>
                <w:sz w:val="24"/>
                <w14:textFill>
                  <w14:solidFill>
                    <w14:schemeClr w14:val="tx1">
                      <w14:lumMod w14:val="95000"/>
                      <w14:lumOff w14:val="5000"/>
                    </w14:schemeClr>
                  </w14:solidFill>
                </w14:textFill>
              </w:rPr>
              <w:t>人）计，则生活用水量为22.5</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/d</w:t>
            </w:r>
            <w:r>
              <w:rPr>
                <w:rFonts w:hint="eastAsia" w:cs="宋体"/>
                <w:bCs/>
                <w:color w:val="0D0D0D" w:themeColor="text1" w:themeTint="F2"/>
                <w:sz w:val="24"/>
                <w14:textFill>
                  <w14:solidFill>
                    <w14:schemeClr w14:val="tx1">
                      <w14:lumMod w14:val="95000"/>
                      <w14:lumOff w14:val="5000"/>
                    </w14:schemeClr>
                  </w14:solidFill>
                </w14:textFill>
              </w:rPr>
              <w:t>，6750</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/a</w:t>
            </w:r>
            <w:r>
              <w:rPr>
                <w:rFonts w:hint="eastAsia" w:cs="宋体"/>
                <w:bCs/>
                <w:color w:val="0D0D0D" w:themeColor="text1" w:themeTint="F2"/>
                <w:sz w:val="24"/>
                <w14:textFill>
                  <w14:solidFill>
                    <w14:schemeClr w14:val="tx1">
                      <w14:lumMod w14:val="95000"/>
                      <w14:lumOff w14:val="5000"/>
                    </w14:schemeClr>
                  </w14:solidFill>
                </w14:textFill>
              </w:rPr>
              <w:t>。</w:t>
            </w:r>
          </w:p>
          <w:p w14:paraId="6AAFD30F">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（2）排水</w:t>
            </w:r>
          </w:p>
          <w:p w14:paraId="7640C814">
            <w:pPr>
              <w:adjustRightInd w:val="0"/>
              <w:snapToGrid w:val="0"/>
              <w:spacing w:after="0"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①生活污水</w:t>
            </w:r>
          </w:p>
          <w:p w14:paraId="2E489B1B">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根据《排放源统计调查产排污核算方法和系数手册》（生态环境部公告2021年第24号）中的《生活污染源产排污系数手册》，</w:t>
            </w:r>
            <w:r>
              <w:rPr>
                <w:rFonts w:cs="宋体"/>
                <w:bCs/>
                <w:color w:val="0D0D0D" w:themeColor="text1" w:themeTint="F2"/>
                <w:sz w:val="24"/>
                <w14:textFill>
                  <w14:solidFill>
                    <w14:schemeClr w14:val="tx1">
                      <w14:lumMod w14:val="95000"/>
                      <w14:lumOff w14:val="5000"/>
                    </w14:schemeClr>
                  </w14:solidFill>
                </w14:textFill>
              </w:rPr>
              <w:t>生活污水</w:t>
            </w:r>
            <w:r>
              <w:rPr>
                <w:rFonts w:hint="eastAsia" w:cs="宋体"/>
                <w:bCs/>
                <w:color w:val="0D0D0D" w:themeColor="text1" w:themeTint="F2"/>
                <w:sz w:val="24"/>
                <w14:textFill>
                  <w14:solidFill>
                    <w14:schemeClr w14:val="tx1">
                      <w14:lumMod w14:val="95000"/>
                      <w14:lumOff w14:val="5000"/>
                    </w14:schemeClr>
                  </w14:solidFill>
                </w14:textFill>
              </w:rPr>
              <w:t>产生</w:t>
            </w:r>
            <w:r>
              <w:rPr>
                <w:rFonts w:cs="宋体"/>
                <w:bCs/>
                <w:color w:val="0D0D0D" w:themeColor="text1" w:themeTint="F2"/>
                <w:sz w:val="24"/>
                <w14:textFill>
                  <w14:solidFill>
                    <w14:schemeClr w14:val="tx1">
                      <w14:lumMod w14:val="95000"/>
                      <w14:lumOff w14:val="5000"/>
                    </w14:schemeClr>
                  </w14:solidFill>
                </w14:textFill>
              </w:rPr>
              <w:t>量按用水量的80%计，</w:t>
            </w:r>
            <w:r>
              <w:rPr>
                <w:rFonts w:hint="eastAsia" w:cs="宋体"/>
                <w:bCs/>
                <w:color w:val="0D0D0D" w:themeColor="text1" w:themeTint="F2"/>
                <w:sz w:val="24"/>
                <w14:textFill>
                  <w14:solidFill>
                    <w14:schemeClr w14:val="tx1">
                      <w14:lumMod w14:val="95000"/>
                      <w14:lumOff w14:val="5000"/>
                    </w14:schemeClr>
                  </w14:solidFill>
                </w14:textFill>
              </w:rPr>
              <w:t>则生活污水产生量为18</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/d</w:t>
            </w:r>
            <w:r>
              <w:rPr>
                <w:rFonts w:hint="eastAsia" w:cs="宋体"/>
                <w:bCs/>
                <w:color w:val="0D0D0D" w:themeColor="text1" w:themeTint="F2"/>
                <w:sz w:val="24"/>
                <w14:textFill>
                  <w14:solidFill>
                    <w14:schemeClr w14:val="tx1">
                      <w14:lumMod w14:val="95000"/>
                      <w14:lumOff w14:val="5000"/>
                    </w14:schemeClr>
                  </w14:solidFill>
                </w14:textFill>
              </w:rPr>
              <w:t>，5400</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/a</w:t>
            </w:r>
            <w:r>
              <w:rPr>
                <w:rFonts w:hint="eastAsia" w:cs="宋体"/>
                <w:bCs/>
                <w:color w:val="0D0D0D" w:themeColor="text1" w:themeTint="F2"/>
                <w:sz w:val="24"/>
                <w14:textFill>
                  <w14:solidFill>
                    <w14:schemeClr w14:val="tx1">
                      <w14:lumMod w14:val="95000"/>
                      <w14:lumOff w14:val="5000"/>
                    </w14:schemeClr>
                  </w14:solidFill>
                </w14:textFill>
              </w:rPr>
              <w:t>，经三级化粪池预处理后使用吸污车清运至钦州市大榄坪污水处理厂进一步处理。</w:t>
            </w:r>
          </w:p>
          <w:p w14:paraId="32732DC1">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项目水平衡详见表2-10和图2-1。</w:t>
            </w:r>
          </w:p>
          <w:p w14:paraId="07AF21E1">
            <w:pPr>
              <w:adjustRightInd w:val="0"/>
              <w:snapToGrid w:val="0"/>
              <w:spacing w:after="0"/>
              <w:jc w:val="center"/>
              <w:rPr>
                <w:rFonts w:cs="宋体"/>
                <w:b/>
                <w:color w:val="0D0D0D" w:themeColor="text1" w:themeTint="F2"/>
                <w:szCs w:val="21"/>
                <w14:textFill>
                  <w14:solidFill>
                    <w14:schemeClr w14:val="tx1">
                      <w14:lumMod w14:val="95000"/>
                      <w14:lumOff w14:val="5000"/>
                    </w14:schemeClr>
                  </w14:solidFill>
                </w14:textFill>
              </w:rPr>
            </w:pPr>
            <w:r>
              <w:rPr>
                <w:rFonts w:hint="eastAsia" w:cs="宋体"/>
                <w:b/>
                <w:color w:val="0D0D0D" w:themeColor="text1" w:themeTint="F2"/>
                <w:szCs w:val="21"/>
                <w14:textFill>
                  <w14:solidFill>
                    <w14:schemeClr w14:val="tx1">
                      <w14:lumMod w14:val="95000"/>
                      <w14:lumOff w14:val="5000"/>
                    </w14:schemeClr>
                  </w14:solidFill>
                </w14:textFill>
              </w:rPr>
              <w:t>表2</w:t>
            </w:r>
            <w:r>
              <w:rPr>
                <w:rFonts w:cs="宋体"/>
                <w:b/>
                <w:color w:val="0D0D0D" w:themeColor="text1" w:themeTint="F2"/>
                <w:szCs w:val="21"/>
                <w14:textFill>
                  <w14:solidFill>
                    <w14:schemeClr w14:val="tx1">
                      <w14:lumMod w14:val="95000"/>
                      <w14:lumOff w14:val="5000"/>
                    </w14:schemeClr>
                  </w14:solidFill>
                </w14:textFill>
              </w:rPr>
              <w:t>-</w:t>
            </w:r>
            <w:r>
              <w:rPr>
                <w:rFonts w:hint="eastAsia" w:cs="宋体"/>
                <w:b/>
                <w:color w:val="0D0D0D" w:themeColor="text1" w:themeTint="F2"/>
                <w:szCs w:val="21"/>
                <w14:textFill>
                  <w14:solidFill>
                    <w14:schemeClr w14:val="tx1">
                      <w14:lumMod w14:val="95000"/>
                      <w14:lumOff w14:val="5000"/>
                    </w14:schemeClr>
                  </w14:solidFill>
                </w14:textFill>
              </w:rPr>
              <w:t>10</w:t>
            </w:r>
            <w:r>
              <w:rPr>
                <w:rFonts w:cs="宋体"/>
                <w:b/>
                <w:color w:val="0D0D0D" w:themeColor="text1" w:themeTint="F2"/>
                <w:szCs w:val="21"/>
                <w14:textFill>
                  <w14:solidFill>
                    <w14:schemeClr w14:val="tx1">
                      <w14:lumMod w14:val="95000"/>
                      <w14:lumOff w14:val="5000"/>
                    </w14:schemeClr>
                  </w14:solidFill>
                </w14:textFill>
              </w:rPr>
              <w:t xml:space="preserve">  </w:t>
            </w:r>
            <w:r>
              <w:rPr>
                <w:rFonts w:hint="eastAsia" w:cs="宋体"/>
                <w:b/>
                <w:color w:val="0D0D0D" w:themeColor="text1" w:themeTint="F2"/>
                <w:szCs w:val="21"/>
                <w14:textFill>
                  <w14:solidFill>
                    <w14:schemeClr w14:val="tx1">
                      <w14:lumMod w14:val="95000"/>
                      <w14:lumOff w14:val="5000"/>
                    </w14:schemeClr>
                  </w14:solidFill>
                </w14:textFill>
              </w:rPr>
              <w:t xml:space="preserve">项目水平衡一览表 </w:t>
            </w:r>
            <w:r>
              <w:rPr>
                <w:rFonts w:cs="宋体"/>
                <w:b/>
                <w:color w:val="0D0D0D" w:themeColor="text1" w:themeTint="F2"/>
                <w:szCs w:val="21"/>
                <w14:textFill>
                  <w14:solidFill>
                    <w14:schemeClr w14:val="tx1">
                      <w14:lumMod w14:val="95000"/>
                      <w14:lumOff w14:val="5000"/>
                    </w14:schemeClr>
                  </w14:solidFill>
                </w14:textFill>
              </w:rPr>
              <w:t xml:space="preserve"> </w:t>
            </w:r>
            <w:r>
              <w:rPr>
                <w:rFonts w:hint="eastAsia" w:cs="宋体"/>
                <w:b/>
                <w:color w:val="0D0D0D" w:themeColor="text1" w:themeTint="F2"/>
                <w:szCs w:val="21"/>
                <w14:textFill>
                  <w14:solidFill>
                    <w14:schemeClr w14:val="tx1">
                      <w14:lumMod w14:val="95000"/>
                      <w14:lumOff w14:val="5000"/>
                    </w14:schemeClr>
                  </w14:solidFill>
                </w14:textFill>
              </w:rPr>
              <w:t>单位：m</w:t>
            </w:r>
            <w:r>
              <w:rPr>
                <w:rFonts w:cs="宋体"/>
                <w:b/>
                <w:color w:val="0D0D0D" w:themeColor="text1" w:themeTint="F2"/>
                <w:szCs w:val="21"/>
                <w:vertAlign w:val="superscript"/>
                <w14:textFill>
                  <w14:solidFill>
                    <w14:schemeClr w14:val="tx1">
                      <w14:lumMod w14:val="95000"/>
                      <w14:lumOff w14:val="5000"/>
                    </w14:schemeClr>
                  </w14:solidFill>
                </w14:textFill>
              </w:rPr>
              <w:t>3</w:t>
            </w:r>
            <w:r>
              <w:rPr>
                <w:rFonts w:cs="宋体"/>
                <w:b/>
                <w:color w:val="0D0D0D" w:themeColor="text1" w:themeTint="F2"/>
                <w:szCs w:val="21"/>
                <w14:textFill>
                  <w14:solidFill>
                    <w14:schemeClr w14:val="tx1">
                      <w14:lumMod w14:val="95000"/>
                      <w14:lumOff w14:val="5000"/>
                    </w14:schemeClr>
                  </w14:solidFill>
                </w14:textFill>
              </w:rPr>
              <w:t>/a</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936"/>
              <w:gridCol w:w="1237"/>
              <w:gridCol w:w="618"/>
              <w:gridCol w:w="899"/>
              <w:gridCol w:w="899"/>
              <w:gridCol w:w="508"/>
              <w:gridCol w:w="637"/>
              <w:gridCol w:w="1805"/>
            </w:tblGrid>
            <w:tr w14:paraId="4BADD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vAlign w:val="center"/>
                </w:tcPr>
                <w:p w14:paraId="64B36344">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序号</w:t>
                  </w:r>
                </w:p>
              </w:tc>
              <w:tc>
                <w:tcPr>
                  <w:tcW w:w="1102" w:type="pct"/>
                  <w:vAlign w:val="center"/>
                </w:tcPr>
                <w:p w14:paraId="50F42030">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用水项目</w:t>
                  </w:r>
                </w:p>
              </w:tc>
              <w:tc>
                <w:tcPr>
                  <w:tcW w:w="713" w:type="pct"/>
                  <w:vAlign w:val="center"/>
                </w:tcPr>
                <w:p w14:paraId="4083AE46">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用水定额</w:t>
                  </w:r>
                </w:p>
              </w:tc>
              <w:tc>
                <w:tcPr>
                  <w:tcW w:w="369" w:type="pct"/>
                  <w:vAlign w:val="center"/>
                </w:tcPr>
                <w:p w14:paraId="16C18F4B">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用水</w:t>
                  </w:r>
                </w:p>
                <w:p w14:paraId="1AA2FE40">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数量</w:t>
                  </w:r>
                </w:p>
              </w:tc>
              <w:tc>
                <w:tcPr>
                  <w:tcW w:w="411" w:type="pct"/>
                  <w:vAlign w:val="center"/>
                </w:tcPr>
                <w:p w14:paraId="7A009418">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总用</w:t>
                  </w:r>
                </w:p>
                <w:p w14:paraId="033E5B6D">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水量</w:t>
                  </w:r>
                </w:p>
              </w:tc>
              <w:tc>
                <w:tcPr>
                  <w:tcW w:w="411" w:type="pct"/>
                  <w:vAlign w:val="center"/>
                </w:tcPr>
                <w:p w14:paraId="0A461E12">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新鲜</w:t>
                  </w:r>
                </w:p>
                <w:p w14:paraId="3EFC583B">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水量</w:t>
                  </w:r>
                </w:p>
              </w:tc>
              <w:tc>
                <w:tcPr>
                  <w:tcW w:w="308" w:type="pct"/>
                  <w:vAlign w:val="center"/>
                </w:tcPr>
                <w:p w14:paraId="71D1A909">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产污</w:t>
                  </w:r>
                </w:p>
                <w:p w14:paraId="134EB87B">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系数</w:t>
                  </w:r>
                </w:p>
              </w:tc>
              <w:tc>
                <w:tcPr>
                  <w:tcW w:w="360" w:type="pct"/>
                  <w:vAlign w:val="center"/>
                </w:tcPr>
                <w:p w14:paraId="4E08040D">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损耗量</w:t>
                  </w:r>
                </w:p>
              </w:tc>
              <w:tc>
                <w:tcPr>
                  <w:tcW w:w="1048" w:type="pct"/>
                  <w:vAlign w:val="center"/>
                </w:tcPr>
                <w:p w14:paraId="2490377F">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污水量</w:t>
                  </w:r>
                </w:p>
              </w:tc>
            </w:tr>
            <w:tr w14:paraId="587C3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vAlign w:val="center"/>
                </w:tcPr>
                <w:p w14:paraId="66E9812A">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bookmarkStart w:id="15" w:name="_Hlk202196231"/>
                  <w:r>
                    <w:rPr>
                      <w:rFonts w:hint="eastAsia" w:cs="宋体"/>
                      <w:bCs/>
                      <w:color w:val="0D0D0D" w:themeColor="text1" w:themeTint="F2"/>
                      <w:szCs w:val="21"/>
                      <w14:textFill>
                        <w14:solidFill>
                          <w14:schemeClr w14:val="tx1">
                            <w14:lumMod w14:val="95000"/>
                            <w14:lumOff w14:val="5000"/>
                          </w14:schemeClr>
                        </w14:solidFill>
                      </w14:textFill>
                    </w:rPr>
                    <w:t>1</w:t>
                  </w:r>
                </w:p>
              </w:tc>
              <w:tc>
                <w:tcPr>
                  <w:tcW w:w="1102" w:type="pct"/>
                  <w:vAlign w:val="center"/>
                </w:tcPr>
                <w:p w14:paraId="270D15E1">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生活用水</w:t>
                  </w:r>
                </w:p>
              </w:tc>
              <w:tc>
                <w:tcPr>
                  <w:tcW w:w="713" w:type="pct"/>
                  <w:vAlign w:val="center"/>
                </w:tcPr>
                <w:p w14:paraId="3C0D289D">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1</w:t>
                  </w:r>
                  <w:r>
                    <w:rPr>
                      <w:rFonts w:cs="宋体"/>
                      <w:bCs/>
                      <w:color w:val="0D0D0D" w:themeColor="text1" w:themeTint="F2"/>
                      <w:szCs w:val="21"/>
                      <w14:textFill>
                        <w14:solidFill>
                          <w14:schemeClr w14:val="tx1">
                            <w14:lumMod w14:val="95000"/>
                            <w14:lumOff w14:val="5000"/>
                          </w14:schemeClr>
                        </w14:solidFill>
                      </w14:textFill>
                    </w:rPr>
                    <w:t>50L/（d</w:t>
                  </w:r>
                  <w:r>
                    <w:rPr>
                      <w:rFonts w:hint="eastAsia" w:cs="宋体"/>
                      <w:bCs/>
                      <w:color w:val="0D0D0D" w:themeColor="text1" w:themeTint="F2"/>
                      <w:szCs w:val="21"/>
                      <w14:textFill>
                        <w14:solidFill>
                          <w14:schemeClr w14:val="tx1">
                            <w14:lumMod w14:val="95000"/>
                            <w14:lumOff w14:val="5000"/>
                          </w14:schemeClr>
                        </w14:solidFill>
                      </w14:textFill>
                    </w:rPr>
                    <w:t>·</w:t>
                  </w:r>
                  <w:r>
                    <w:rPr>
                      <w:rFonts w:cs="宋体"/>
                      <w:bCs/>
                      <w:color w:val="0D0D0D" w:themeColor="text1" w:themeTint="F2"/>
                      <w:szCs w:val="21"/>
                      <w14:textFill>
                        <w14:solidFill>
                          <w14:schemeClr w14:val="tx1">
                            <w14:lumMod w14:val="95000"/>
                            <w14:lumOff w14:val="5000"/>
                          </w14:schemeClr>
                        </w14:solidFill>
                      </w14:textFill>
                    </w:rPr>
                    <w:t>人）</w:t>
                  </w:r>
                </w:p>
              </w:tc>
              <w:tc>
                <w:tcPr>
                  <w:tcW w:w="369" w:type="pct"/>
                  <w:vAlign w:val="center"/>
                </w:tcPr>
                <w:p w14:paraId="5FDBDAA3">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150人</w:t>
                  </w:r>
                </w:p>
              </w:tc>
              <w:tc>
                <w:tcPr>
                  <w:tcW w:w="411" w:type="pct"/>
                  <w:vAlign w:val="center"/>
                </w:tcPr>
                <w:p w14:paraId="105F839F">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6750</w:t>
                  </w:r>
                </w:p>
              </w:tc>
              <w:tc>
                <w:tcPr>
                  <w:tcW w:w="411" w:type="pct"/>
                  <w:vAlign w:val="center"/>
                </w:tcPr>
                <w:p w14:paraId="3B492D86">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6750</w:t>
                  </w:r>
                </w:p>
              </w:tc>
              <w:tc>
                <w:tcPr>
                  <w:tcW w:w="308" w:type="pct"/>
                  <w:vAlign w:val="center"/>
                </w:tcPr>
                <w:p w14:paraId="01644174">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0</w:t>
                  </w:r>
                  <w:r>
                    <w:rPr>
                      <w:rFonts w:cs="宋体"/>
                      <w:bCs/>
                      <w:color w:val="0D0D0D" w:themeColor="text1" w:themeTint="F2"/>
                      <w:szCs w:val="21"/>
                      <w14:textFill>
                        <w14:solidFill>
                          <w14:schemeClr w14:val="tx1">
                            <w14:lumMod w14:val="95000"/>
                            <w14:lumOff w14:val="5000"/>
                          </w14:schemeClr>
                        </w14:solidFill>
                      </w14:textFill>
                    </w:rPr>
                    <w:t>.8</w:t>
                  </w:r>
                </w:p>
              </w:tc>
              <w:tc>
                <w:tcPr>
                  <w:tcW w:w="360" w:type="pct"/>
                  <w:vAlign w:val="center"/>
                </w:tcPr>
                <w:p w14:paraId="7E2FB576">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1350</w:t>
                  </w:r>
                </w:p>
              </w:tc>
              <w:tc>
                <w:tcPr>
                  <w:tcW w:w="1048" w:type="pct"/>
                  <w:vAlign w:val="center"/>
                </w:tcPr>
                <w:p w14:paraId="07516429">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5400</w:t>
                  </w:r>
                </w:p>
              </w:tc>
            </w:tr>
            <w:tr w14:paraId="641F9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vAlign w:val="center"/>
                </w:tcPr>
                <w:p w14:paraId="2FEFBC7A">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2</w:t>
                  </w:r>
                </w:p>
              </w:tc>
              <w:tc>
                <w:tcPr>
                  <w:tcW w:w="1102" w:type="pct"/>
                  <w:vAlign w:val="center"/>
                </w:tcPr>
                <w:p w14:paraId="1B1E5EE0">
                  <w:pPr>
                    <w:adjustRightInd w:val="0"/>
                    <w:snapToGrid w:val="0"/>
                    <w:spacing w:after="0" w:line="240" w:lineRule="auto"/>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水帘柜喷淋用水</w:t>
                  </w:r>
                </w:p>
              </w:tc>
              <w:tc>
                <w:tcPr>
                  <w:tcW w:w="713" w:type="pct"/>
                  <w:vAlign w:val="center"/>
                </w:tcPr>
                <w:p w14:paraId="772A86F2">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w:t>
                  </w:r>
                </w:p>
              </w:tc>
              <w:tc>
                <w:tcPr>
                  <w:tcW w:w="369" w:type="pct"/>
                  <w:vAlign w:val="center"/>
                </w:tcPr>
                <w:p w14:paraId="3587EE5F">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w:t>
                  </w:r>
                </w:p>
              </w:tc>
              <w:tc>
                <w:tcPr>
                  <w:tcW w:w="411" w:type="pct"/>
                  <w:vAlign w:val="center"/>
                </w:tcPr>
                <w:p w14:paraId="3AD0811D">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80</w:t>
                  </w:r>
                </w:p>
              </w:tc>
              <w:tc>
                <w:tcPr>
                  <w:tcW w:w="411" w:type="pct"/>
                  <w:vAlign w:val="center"/>
                </w:tcPr>
                <w:p w14:paraId="6BF5FDC4">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80</w:t>
                  </w:r>
                </w:p>
              </w:tc>
              <w:tc>
                <w:tcPr>
                  <w:tcW w:w="308" w:type="pct"/>
                  <w:vAlign w:val="center"/>
                </w:tcPr>
                <w:p w14:paraId="571525F0">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w:t>
                  </w:r>
                </w:p>
              </w:tc>
              <w:tc>
                <w:tcPr>
                  <w:tcW w:w="360" w:type="pct"/>
                  <w:vAlign w:val="center"/>
                </w:tcPr>
                <w:p w14:paraId="615D4B04">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72</w:t>
                  </w:r>
                </w:p>
              </w:tc>
              <w:tc>
                <w:tcPr>
                  <w:tcW w:w="1048" w:type="pct"/>
                  <w:vAlign w:val="center"/>
                </w:tcPr>
                <w:p w14:paraId="5313C8B2">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8</w:t>
                  </w:r>
                </w:p>
                <w:p w14:paraId="39073240">
                  <w:pPr>
                    <w:adjustRightInd w:val="0"/>
                    <w:snapToGrid w:val="0"/>
                    <w:spacing w:after="0" w:line="240" w:lineRule="auto"/>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（按危废管理，不计入污水量）</w:t>
                  </w:r>
                </w:p>
              </w:tc>
            </w:tr>
            <w:tr w14:paraId="5144B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vAlign w:val="center"/>
                </w:tcPr>
                <w:p w14:paraId="2ACCFBB2">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3</w:t>
                  </w:r>
                </w:p>
              </w:tc>
              <w:tc>
                <w:tcPr>
                  <w:tcW w:w="1102" w:type="pct"/>
                  <w:vAlign w:val="center"/>
                </w:tcPr>
                <w:p w14:paraId="14E09643">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喷枪清洗用水</w:t>
                  </w:r>
                </w:p>
              </w:tc>
              <w:tc>
                <w:tcPr>
                  <w:tcW w:w="713" w:type="pct"/>
                  <w:vAlign w:val="center"/>
                </w:tcPr>
                <w:p w14:paraId="06F13D78">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w:t>
                  </w:r>
                </w:p>
              </w:tc>
              <w:tc>
                <w:tcPr>
                  <w:tcW w:w="369" w:type="pct"/>
                  <w:vAlign w:val="center"/>
                </w:tcPr>
                <w:p w14:paraId="6FCFCFC0">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w:t>
                  </w:r>
                </w:p>
              </w:tc>
              <w:tc>
                <w:tcPr>
                  <w:tcW w:w="411" w:type="pct"/>
                  <w:vAlign w:val="center"/>
                </w:tcPr>
                <w:p w14:paraId="1261EA92">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0.08</w:t>
                  </w:r>
                </w:p>
              </w:tc>
              <w:tc>
                <w:tcPr>
                  <w:tcW w:w="411" w:type="pct"/>
                  <w:vAlign w:val="center"/>
                </w:tcPr>
                <w:p w14:paraId="51709338">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0.08</w:t>
                  </w:r>
                </w:p>
              </w:tc>
              <w:tc>
                <w:tcPr>
                  <w:tcW w:w="308" w:type="pct"/>
                  <w:vAlign w:val="center"/>
                </w:tcPr>
                <w:p w14:paraId="66CC9D50">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w:t>
                  </w:r>
                </w:p>
              </w:tc>
              <w:tc>
                <w:tcPr>
                  <w:tcW w:w="360" w:type="pct"/>
                  <w:vAlign w:val="center"/>
                </w:tcPr>
                <w:p w14:paraId="52BBFB53">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0</w:t>
                  </w:r>
                </w:p>
              </w:tc>
              <w:tc>
                <w:tcPr>
                  <w:tcW w:w="1048" w:type="pct"/>
                  <w:vAlign w:val="center"/>
                </w:tcPr>
                <w:p w14:paraId="10A58342">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0.08</w:t>
                  </w:r>
                </w:p>
                <w:p w14:paraId="38A9483A">
                  <w:pPr>
                    <w:adjustRightInd w:val="0"/>
                    <w:snapToGrid w:val="0"/>
                    <w:spacing w:after="0" w:line="240" w:lineRule="auto"/>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（按危废管理，不计入污水量）</w:t>
                  </w:r>
                </w:p>
              </w:tc>
            </w:tr>
            <w:bookmarkEnd w:id="15"/>
            <w:tr w14:paraId="3ECBA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62" w:type="pct"/>
                  <w:gridSpan w:val="4"/>
                  <w:vAlign w:val="center"/>
                </w:tcPr>
                <w:p w14:paraId="551FF457">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合计</w:t>
                  </w:r>
                </w:p>
              </w:tc>
              <w:tc>
                <w:tcPr>
                  <w:tcW w:w="411" w:type="pct"/>
                  <w:vAlign w:val="center"/>
                </w:tcPr>
                <w:p w14:paraId="45ED899E">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6830.08</w:t>
                  </w:r>
                </w:p>
              </w:tc>
              <w:tc>
                <w:tcPr>
                  <w:tcW w:w="411" w:type="pct"/>
                  <w:vAlign w:val="center"/>
                </w:tcPr>
                <w:p w14:paraId="44C54E56">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6830.08</w:t>
                  </w:r>
                </w:p>
              </w:tc>
              <w:tc>
                <w:tcPr>
                  <w:tcW w:w="308" w:type="pct"/>
                  <w:vAlign w:val="center"/>
                </w:tcPr>
                <w:p w14:paraId="605B0E36">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w:t>
                  </w:r>
                </w:p>
              </w:tc>
              <w:tc>
                <w:tcPr>
                  <w:tcW w:w="360" w:type="pct"/>
                  <w:vAlign w:val="center"/>
                </w:tcPr>
                <w:p w14:paraId="203D06B6">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1422</w:t>
                  </w:r>
                </w:p>
              </w:tc>
              <w:tc>
                <w:tcPr>
                  <w:tcW w:w="1048" w:type="pct"/>
                  <w:vAlign w:val="center"/>
                </w:tcPr>
                <w:p w14:paraId="60372678">
                  <w:pPr>
                    <w:adjustRightInd w:val="0"/>
                    <w:snapToGrid w:val="0"/>
                    <w:spacing w:after="0" w:line="240" w:lineRule="auto"/>
                    <w:jc w:val="center"/>
                    <w:rPr>
                      <w:rFonts w:cs="宋体"/>
                      <w:bCs/>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zCs w:val="21"/>
                      <w14:textFill>
                        <w14:solidFill>
                          <w14:schemeClr w14:val="tx1">
                            <w14:lumMod w14:val="95000"/>
                            <w14:lumOff w14:val="5000"/>
                          </w14:schemeClr>
                        </w14:solidFill>
                      </w14:textFill>
                    </w:rPr>
                    <w:t>5400</w:t>
                  </w:r>
                </w:p>
              </w:tc>
            </w:tr>
          </w:tbl>
          <w:p w14:paraId="25A5A6DC">
            <w:pPr>
              <w:adjustRightInd w:val="0"/>
              <w:snapToGrid w:val="0"/>
              <w:spacing w:after="0" w:line="240" w:lineRule="auto"/>
              <w:jc w:val="center"/>
              <w:rPr>
                <w:rFonts w:cs="宋体"/>
                <w:bCs/>
                <w:color w:val="0D0D0D" w:themeColor="text1" w:themeTint="F2"/>
                <w:sz w:val="24"/>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object>
                <v:shape id="_x0000_i1025" o:spt="75" type="#_x0000_t75" style="height:187.5pt;width:450.25pt;" o:ole="t" filled="f" o:preferrelative="t" stroked="f" coordsize="21600,21600">
                  <v:path/>
                  <v:fill on="f" focussize="0,0"/>
                  <v:stroke on="f" joinstyle="miter"/>
                  <v:imagedata r:id="rId17" o:title=""/>
                  <o:lock v:ext="edit" aspectratio="t"/>
                  <w10:wrap type="none"/>
                  <w10:anchorlock/>
                </v:shape>
                <o:OLEObject Type="Embed" ProgID="Visio.Drawing.15" ShapeID="_x0000_i1025" DrawAspect="Content" ObjectID="_1468075725" r:id="rId16">
                  <o:LockedField>false</o:LockedField>
                </o:OLEObject>
              </w:object>
            </w:r>
          </w:p>
          <w:p w14:paraId="5EFF0E87">
            <w:pPr>
              <w:adjustRightInd w:val="0"/>
              <w:snapToGrid w:val="0"/>
              <w:spacing w:after="0"/>
              <w:jc w:val="center"/>
              <w:rPr>
                <w:rFonts w:cs="宋体"/>
                <w:b/>
                <w:color w:val="0D0D0D" w:themeColor="text1" w:themeTint="F2"/>
                <w:szCs w:val="21"/>
                <w14:textFill>
                  <w14:solidFill>
                    <w14:schemeClr w14:val="tx1">
                      <w14:lumMod w14:val="95000"/>
                      <w14:lumOff w14:val="5000"/>
                    </w14:schemeClr>
                  </w14:solidFill>
                </w14:textFill>
              </w:rPr>
            </w:pPr>
            <w:r>
              <w:rPr>
                <w:rFonts w:hint="eastAsia" w:cs="宋体"/>
                <w:b/>
                <w:color w:val="0D0D0D" w:themeColor="text1" w:themeTint="F2"/>
                <w:szCs w:val="21"/>
                <w14:textFill>
                  <w14:solidFill>
                    <w14:schemeClr w14:val="tx1">
                      <w14:lumMod w14:val="95000"/>
                      <w14:lumOff w14:val="5000"/>
                    </w14:schemeClr>
                  </w14:solidFill>
                </w14:textFill>
              </w:rPr>
              <w:t>图2-1</w:t>
            </w:r>
            <w:r>
              <w:rPr>
                <w:rFonts w:cs="宋体"/>
                <w:b/>
                <w:color w:val="0D0D0D" w:themeColor="text1" w:themeTint="F2"/>
                <w:szCs w:val="21"/>
                <w14:textFill>
                  <w14:solidFill>
                    <w14:schemeClr w14:val="tx1">
                      <w14:lumMod w14:val="95000"/>
                      <w14:lumOff w14:val="5000"/>
                    </w14:schemeClr>
                  </w14:solidFill>
                </w14:textFill>
              </w:rPr>
              <w:t xml:space="preserve">  </w:t>
            </w:r>
            <w:r>
              <w:rPr>
                <w:rFonts w:hint="eastAsia" w:cs="宋体"/>
                <w:b/>
                <w:color w:val="0D0D0D" w:themeColor="text1" w:themeTint="F2"/>
                <w:szCs w:val="21"/>
                <w14:textFill>
                  <w14:solidFill>
                    <w14:schemeClr w14:val="tx1">
                      <w14:lumMod w14:val="95000"/>
                      <w14:lumOff w14:val="5000"/>
                    </w14:schemeClr>
                  </w14:solidFill>
                </w14:textFill>
              </w:rPr>
              <w:t xml:space="preserve">项目水平衡图 </w:t>
            </w:r>
            <w:r>
              <w:rPr>
                <w:rFonts w:cs="宋体"/>
                <w:b/>
                <w:color w:val="0D0D0D" w:themeColor="text1" w:themeTint="F2"/>
                <w:szCs w:val="21"/>
                <w14:textFill>
                  <w14:solidFill>
                    <w14:schemeClr w14:val="tx1">
                      <w14:lumMod w14:val="95000"/>
                      <w14:lumOff w14:val="5000"/>
                    </w14:schemeClr>
                  </w14:solidFill>
                </w14:textFill>
              </w:rPr>
              <w:t xml:space="preserve"> </w:t>
            </w:r>
            <w:r>
              <w:rPr>
                <w:rFonts w:hint="eastAsia" w:cs="宋体"/>
                <w:b/>
                <w:color w:val="0D0D0D" w:themeColor="text1" w:themeTint="F2"/>
                <w:szCs w:val="21"/>
                <w14:textFill>
                  <w14:solidFill>
                    <w14:schemeClr w14:val="tx1">
                      <w14:lumMod w14:val="95000"/>
                      <w14:lumOff w14:val="5000"/>
                    </w14:schemeClr>
                  </w14:solidFill>
                </w14:textFill>
              </w:rPr>
              <w:t>单位：m</w:t>
            </w:r>
            <w:r>
              <w:rPr>
                <w:rFonts w:cs="宋体"/>
                <w:b/>
                <w:color w:val="0D0D0D" w:themeColor="text1" w:themeTint="F2"/>
                <w:szCs w:val="21"/>
                <w:vertAlign w:val="superscript"/>
                <w14:textFill>
                  <w14:solidFill>
                    <w14:schemeClr w14:val="tx1">
                      <w14:lumMod w14:val="95000"/>
                      <w14:lumOff w14:val="5000"/>
                    </w14:schemeClr>
                  </w14:solidFill>
                </w14:textFill>
              </w:rPr>
              <w:t>3</w:t>
            </w:r>
            <w:r>
              <w:rPr>
                <w:rFonts w:cs="宋体"/>
                <w:b/>
                <w:color w:val="0D0D0D" w:themeColor="text1" w:themeTint="F2"/>
                <w:szCs w:val="21"/>
                <w14:textFill>
                  <w14:solidFill>
                    <w14:schemeClr w14:val="tx1">
                      <w14:lumMod w14:val="95000"/>
                      <w14:lumOff w14:val="5000"/>
                    </w14:schemeClr>
                  </w14:solidFill>
                </w14:textFill>
              </w:rPr>
              <w:t>/</w:t>
            </w:r>
            <w:r>
              <w:rPr>
                <w:rFonts w:hint="eastAsia" w:cs="宋体"/>
                <w:b/>
                <w:color w:val="0D0D0D" w:themeColor="text1" w:themeTint="F2"/>
                <w:szCs w:val="21"/>
                <w14:textFill>
                  <w14:solidFill>
                    <w14:schemeClr w14:val="tx1">
                      <w14:lumMod w14:val="95000"/>
                      <w14:lumOff w14:val="5000"/>
                    </w14:schemeClr>
                  </w14:solidFill>
                </w14:textFill>
              </w:rPr>
              <w:t>d</w:t>
            </w:r>
          </w:p>
          <w:p w14:paraId="79DD2B41">
            <w:pPr>
              <w:adjustRightInd w:val="0"/>
              <w:snapToGrid w:val="0"/>
              <w:spacing w:after="0" w:line="360" w:lineRule="auto"/>
              <w:ind w:firstLine="482" w:firstLineChars="200"/>
              <w:rPr>
                <w:rFonts w:cs="宋体"/>
                <w:b/>
                <w:bCs/>
                <w:color w:val="0D0D0D" w:themeColor="text1" w:themeTint="F2"/>
                <w:sz w:val="24"/>
                <w14:textFill>
                  <w14:solidFill>
                    <w14:schemeClr w14:val="tx1">
                      <w14:lumMod w14:val="95000"/>
                      <w14:lumOff w14:val="5000"/>
                    </w14:schemeClr>
                  </w14:solidFill>
                </w14:textFill>
              </w:rPr>
            </w:pPr>
            <w:r>
              <w:rPr>
                <w:rFonts w:hint="eastAsia" w:cs="宋体"/>
                <w:b/>
                <w:bCs/>
                <w:color w:val="0D0D0D" w:themeColor="text1" w:themeTint="F2"/>
                <w:sz w:val="24"/>
                <w14:textFill>
                  <w14:solidFill>
                    <w14:schemeClr w14:val="tx1">
                      <w14:lumMod w14:val="95000"/>
                      <w14:lumOff w14:val="5000"/>
                    </w14:schemeClr>
                  </w14:solidFill>
                </w14:textFill>
              </w:rPr>
              <w:t>（3）供电</w:t>
            </w:r>
          </w:p>
          <w:p w14:paraId="34D15121">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cs="宋体"/>
                <w:bCs/>
                <w:color w:val="0D0D0D" w:themeColor="text1" w:themeTint="F2"/>
                <w:sz w:val="24"/>
                <w14:textFill>
                  <w14:solidFill>
                    <w14:schemeClr w14:val="tx1">
                      <w14:lumMod w14:val="95000"/>
                      <w14:lumOff w14:val="5000"/>
                    </w14:schemeClr>
                  </w14:solidFill>
                </w14:textFill>
              </w:rPr>
              <w:t>项目用电由</w:t>
            </w:r>
            <w:r>
              <w:rPr>
                <w:rFonts w:hint="eastAsia" w:cs="宋体"/>
                <w:bCs/>
                <w:color w:val="0D0D0D" w:themeColor="text1" w:themeTint="F2"/>
                <w:sz w:val="24"/>
                <w14:textFill>
                  <w14:solidFill>
                    <w14:schemeClr w14:val="tx1">
                      <w14:lumMod w14:val="95000"/>
                      <w14:lumOff w14:val="5000"/>
                    </w14:schemeClr>
                  </w14:solidFill>
                </w14:textFill>
              </w:rPr>
              <w:t>园区市政电网供给</w:t>
            </w:r>
            <w:r>
              <w:rPr>
                <w:rFonts w:cs="宋体"/>
                <w:bCs/>
                <w:color w:val="0D0D0D" w:themeColor="text1" w:themeTint="F2"/>
                <w:sz w:val="24"/>
                <w14:textFill>
                  <w14:solidFill>
                    <w14:schemeClr w14:val="tx1">
                      <w14:lumMod w14:val="95000"/>
                      <w14:lumOff w14:val="5000"/>
                    </w14:schemeClr>
                  </w14:solidFill>
                </w14:textFill>
              </w:rPr>
              <w:t>，电力充足，供电有保障</w:t>
            </w:r>
            <w:r>
              <w:rPr>
                <w:rFonts w:hint="eastAsia" w:cs="宋体"/>
                <w:bCs/>
                <w:color w:val="0D0D0D" w:themeColor="text1" w:themeTint="F2"/>
                <w:sz w:val="24"/>
                <w14:textFill>
                  <w14:solidFill>
                    <w14:schemeClr w14:val="tx1">
                      <w14:lumMod w14:val="95000"/>
                      <w14:lumOff w14:val="5000"/>
                    </w14:schemeClr>
                  </w14:solidFill>
                </w14:textFill>
              </w:rPr>
              <w:t>，</w:t>
            </w:r>
            <w:r>
              <w:rPr>
                <w:rFonts w:cs="宋体"/>
                <w:bCs/>
                <w:color w:val="0D0D0D" w:themeColor="text1" w:themeTint="F2"/>
                <w:sz w:val="24"/>
                <w14:textFill>
                  <w14:solidFill>
                    <w14:schemeClr w14:val="tx1">
                      <w14:lumMod w14:val="95000"/>
                      <w14:lumOff w14:val="5000"/>
                    </w14:schemeClr>
                  </w14:solidFill>
                </w14:textFill>
              </w:rPr>
              <w:t>不</w:t>
            </w:r>
            <w:r>
              <w:rPr>
                <w:rFonts w:hint="eastAsia" w:cs="宋体"/>
                <w:bCs/>
                <w:color w:val="0D0D0D" w:themeColor="text1" w:themeTint="F2"/>
                <w:sz w:val="24"/>
                <w14:textFill>
                  <w14:solidFill>
                    <w14:schemeClr w14:val="tx1">
                      <w14:lumMod w14:val="95000"/>
                      <w14:lumOff w14:val="5000"/>
                    </w14:schemeClr>
                  </w14:solidFill>
                </w14:textFill>
              </w:rPr>
              <w:t>设置备</w:t>
            </w:r>
            <w:r>
              <w:rPr>
                <w:rFonts w:cs="宋体"/>
                <w:bCs/>
                <w:color w:val="0D0D0D" w:themeColor="text1" w:themeTint="F2"/>
                <w:sz w:val="24"/>
                <w14:textFill>
                  <w14:solidFill>
                    <w14:schemeClr w14:val="tx1">
                      <w14:lumMod w14:val="95000"/>
                      <w14:lumOff w14:val="5000"/>
                    </w14:schemeClr>
                  </w14:solidFill>
                </w14:textFill>
              </w:rPr>
              <w:t>用</w:t>
            </w:r>
            <w:r>
              <w:rPr>
                <w:rFonts w:hint="eastAsia" w:cs="宋体"/>
                <w:bCs/>
                <w:color w:val="0D0D0D" w:themeColor="text1" w:themeTint="F2"/>
                <w:sz w:val="24"/>
                <w14:textFill>
                  <w14:solidFill>
                    <w14:schemeClr w14:val="tx1">
                      <w14:lumMod w14:val="95000"/>
                      <w14:lumOff w14:val="5000"/>
                    </w14:schemeClr>
                  </w14:solidFill>
                </w14:textFill>
              </w:rPr>
              <w:t>柴油</w:t>
            </w:r>
            <w:r>
              <w:rPr>
                <w:rFonts w:cs="宋体"/>
                <w:bCs/>
                <w:color w:val="0D0D0D" w:themeColor="text1" w:themeTint="F2"/>
                <w:sz w:val="24"/>
                <w14:textFill>
                  <w14:solidFill>
                    <w14:schemeClr w14:val="tx1">
                      <w14:lumMod w14:val="95000"/>
                      <w14:lumOff w14:val="5000"/>
                    </w14:schemeClr>
                  </w14:solidFill>
                </w14:textFill>
              </w:rPr>
              <w:t>发电机</w:t>
            </w:r>
            <w:r>
              <w:rPr>
                <w:rFonts w:hint="eastAsia" w:cs="宋体"/>
                <w:bCs/>
                <w:color w:val="0D0D0D" w:themeColor="text1" w:themeTint="F2"/>
                <w:sz w:val="24"/>
                <w14:textFill>
                  <w14:solidFill>
                    <w14:schemeClr w14:val="tx1">
                      <w14:lumMod w14:val="95000"/>
                      <w14:lumOff w14:val="5000"/>
                    </w14:schemeClr>
                  </w14:solidFill>
                </w14:textFill>
              </w:rPr>
              <w:t>。</w:t>
            </w:r>
          </w:p>
          <w:p w14:paraId="5D2223D9">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7.施工计划</w:t>
            </w:r>
          </w:p>
          <w:p w14:paraId="01C612E7">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项目预计2026年5月建成投产。</w:t>
            </w:r>
          </w:p>
          <w:p w14:paraId="26CFDDF1">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8.总平面布置</w:t>
            </w:r>
          </w:p>
          <w:p w14:paraId="0F823EF9">
            <w:pPr>
              <w:adjustRightInd w:val="0"/>
              <w:snapToGrid w:val="0"/>
              <w:spacing w:after="0"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cs="宋体"/>
                <w:bCs/>
                <w:color w:val="0D0D0D" w:themeColor="text1" w:themeTint="F2"/>
                <w:sz w:val="24"/>
                <w:u w:val="single"/>
                <w14:textFill>
                  <w14:solidFill>
                    <w14:schemeClr w14:val="tx1">
                      <w14:lumMod w14:val="95000"/>
                      <w14:lumOff w14:val="5000"/>
                    </w14:schemeClr>
                  </w14:solidFill>
                </w14:textFill>
              </w:rPr>
              <w:t>项目</w:t>
            </w:r>
            <w:r>
              <w:rPr>
                <w:rFonts w:hint="eastAsia" w:cs="宋体"/>
                <w:bCs/>
                <w:color w:val="0D0D0D" w:themeColor="text1" w:themeTint="F2"/>
                <w:sz w:val="24"/>
                <w:u w:val="single"/>
                <w14:textFill>
                  <w14:solidFill>
                    <w14:schemeClr w14:val="tx1">
                      <w14:lumMod w14:val="95000"/>
                      <w14:lumOff w14:val="5000"/>
                    </w14:schemeClr>
                  </w14:solidFill>
                </w14:textFill>
              </w:rPr>
              <w:t>平面布置按照生产工艺流程进行设计，将厂区划分为生产区和生活办公区，其中生产区包括生产车间、露天加工区、原料区、半成品区、成品区和油漆库，生活办公区包括值班室，生产区和生活办公区通过道路进行分隔。经现场核查，已建的生产车间位于厂区西部，原料区位于厂区东部，露天加工区位于厂区中部，半成品区位于厂区西南部，成品区、危废暂存间、油漆库、一般固废暂存间和值班室位于厂区西北部，均与平面布置图一致。拟建初期雨水池位于厂区北部，喷漆房布置于生产车间北部，危废暂存间选址符合《危险废物贮存污染控制标准》（GB18597-2023）相关要求。项目所在区域钦州市常年主导方向为北风，DA001、DA002和DA003排气筒位于值班室的下风向，DA004排气筒位于值班室的侧风向，可有效减轻废气污染物对职工的影响。</w:t>
            </w:r>
          </w:p>
          <w:p w14:paraId="12B68777">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从生态环境保护角度分析，项目平面布置基本合理，平面布置详见附图2。</w:t>
            </w:r>
          </w:p>
        </w:tc>
      </w:tr>
      <w:tr w14:paraId="4E8FF8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225" w:type="pct"/>
            <w:vAlign w:val="center"/>
          </w:tcPr>
          <w:p w14:paraId="2839A623">
            <w:pPr>
              <w:pStyle w:val="19"/>
              <w:adjustRightInd w:val="0"/>
              <w:snapToGrid w:val="0"/>
              <w:spacing w:before="0" w:beforeAutospacing="0" w:after="0" w:afterAutospacing="0"/>
              <w:jc w:val="center"/>
              <w:rPr>
                <w:rFonts w:ascii="Times New Roman" w:hAnsi="Times New Roman" w:cs="宋体"/>
                <w:color w:val="0D0D0D" w:themeColor="text1" w:themeTint="F2"/>
                <w:szCs w:val="24"/>
                <w14:textFill>
                  <w14:solidFill>
                    <w14:schemeClr w14:val="tx1">
                      <w14:lumMod w14:val="95000"/>
                      <w14:lumOff w14:val="5000"/>
                    </w14:schemeClr>
                  </w14:solidFill>
                </w14:textFill>
              </w:rPr>
            </w:pPr>
            <w:r>
              <w:rPr>
                <w:rFonts w:hint="eastAsia" w:ascii="Times New Roman" w:hAnsi="Times New Roman" w:cs="宋体"/>
                <w:color w:val="0D0D0D" w:themeColor="text1" w:themeTint="F2"/>
                <w:szCs w:val="24"/>
                <w14:textFill>
                  <w14:solidFill>
                    <w14:schemeClr w14:val="tx1">
                      <w14:lumMod w14:val="95000"/>
                      <w14:lumOff w14:val="5000"/>
                    </w14:schemeClr>
                  </w14:solidFill>
                </w14:textFill>
              </w:rPr>
              <w:t>工艺流程和产排污环节</w:t>
            </w:r>
          </w:p>
        </w:tc>
        <w:tc>
          <w:tcPr>
            <w:tcW w:w="4775" w:type="pct"/>
          </w:tcPr>
          <w:p w14:paraId="46A74E94">
            <w:pPr>
              <w:adjustRightInd w:val="0"/>
              <w:snapToGrid w:val="0"/>
              <w:spacing w:after="0" w:line="360" w:lineRule="auto"/>
              <w:ind w:firstLine="482" w:firstLineChars="200"/>
              <w:jc w:val="left"/>
              <w:rPr>
                <w:b/>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1.施工期</w:t>
            </w:r>
          </w:p>
          <w:p w14:paraId="1B7E50A5">
            <w:pPr>
              <w:adjustRightInd w:val="0"/>
              <w:snapToGrid w:val="0"/>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u w:val="single"/>
                <w14:textFill>
                  <w14:solidFill>
                    <w14:schemeClr w14:val="tx1">
                      <w14:lumMod w14:val="95000"/>
                      <w14:lumOff w14:val="5000"/>
                    </w14:schemeClr>
                  </w14:solidFill>
                </w14:textFill>
              </w:rPr>
              <w:t>项目施工期施工内容主要为喷漆房、初期雨水池和环保措施的建设完善</w:t>
            </w:r>
            <w:r>
              <w:rPr>
                <w:rFonts w:hint="eastAsia"/>
                <w:bCs/>
                <w:color w:val="0D0D0D" w:themeColor="text1" w:themeTint="F2"/>
                <w:sz w:val="24"/>
                <w14:textFill>
                  <w14:solidFill>
                    <w14:schemeClr w14:val="tx1">
                      <w14:lumMod w14:val="95000"/>
                      <w14:lumOff w14:val="5000"/>
                    </w14:schemeClr>
                  </w14:solidFill>
                </w14:textFill>
              </w:rPr>
              <w:t>，施工工艺流程简单，施工期较短，施工期影响随着施工的结束而消失，因此，本次评价不再对施工期工艺流程和产排污环节进行分析。</w:t>
            </w:r>
          </w:p>
          <w:p w14:paraId="57E88B5A">
            <w:pPr>
              <w:adjustRightInd w:val="0"/>
              <w:snapToGrid w:val="0"/>
              <w:spacing w:after="0" w:line="360" w:lineRule="auto"/>
              <w:ind w:firstLine="482" w:firstLineChars="200"/>
              <w:rPr>
                <w:b/>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2.运营期</w:t>
            </w:r>
          </w:p>
          <w:p w14:paraId="0F36EB7E">
            <w:pPr>
              <w:adjustRightInd w:val="0"/>
              <w:snapToGrid w:val="0"/>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项目运营期工艺流程和产污环节如图2</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2所示。</w:t>
            </w:r>
          </w:p>
          <w:p w14:paraId="48F4F48C">
            <w:pPr>
              <w:adjustRightInd w:val="0"/>
              <w:snapToGrid w:val="0"/>
              <w:spacing w:after="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object>
                <v:shape id="_x0000_i1026" o:spt="75" type="#_x0000_t75" style="height:279.95pt;width:236.4pt;" o:ole="t" filled="f" o:preferrelative="t" stroked="f" coordsize="21600,21600">
                  <v:path/>
                  <v:fill on="f" focussize="0,0"/>
                  <v:stroke on="f" joinstyle="miter"/>
                  <v:imagedata r:id="rId19" o:title=""/>
                  <o:lock v:ext="edit" aspectratio="t"/>
                  <w10:wrap type="none"/>
                  <w10:anchorlock/>
                </v:shape>
                <o:OLEObject Type="Embed" ProgID="Visio.Drawing.15" ShapeID="_x0000_i1026" DrawAspect="Content" ObjectID="_1468075726" r:id="rId18">
                  <o:LockedField>false</o:LockedField>
                </o:OLEObject>
              </w:object>
            </w:r>
          </w:p>
          <w:p w14:paraId="78568C67">
            <w:pPr>
              <w:adjustRightInd w:val="0"/>
              <w:snapToGrid w:val="0"/>
              <w:spacing w:after="0"/>
              <w:jc w:val="center"/>
              <w:rPr>
                <w:bCs/>
                <w:color w:val="0D0D0D" w:themeColor="text1" w:themeTint="F2"/>
                <w:szCs w:val="21"/>
                <w14:textFill>
                  <w14:solidFill>
                    <w14:schemeClr w14:val="tx1">
                      <w14:lumMod w14:val="95000"/>
                      <w14:lumOff w14:val="5000"/>
                    </w14:schemeClr>
                  </w14:solidFill>
                </w14:textFill>
              </w:rPr>
            </w:pPr>
            <w:r>
              <w:rPr>
                <w:rFonts w:hint="eastAsia"/>
                <w:b/>
                <w:color w:val="0D0D0D" w:themeColor="text1" w:themeTint="F2"/>
                <w:szCs w:val="21"/>
                <w14:textFill>
                  <w14:solidFill>
                    <w14:schemeClr w14:val="tx1">
                      <w14:lumMod w14:val="95000"/>
                      <w14:lumOff w14:val="5000"/>
                    </w14:schemeClr>
                  </w14:solidFill>
                </w14:textFill>
              </w:rPr>
              <w:t>图2-2</w:t>
            </w:r>
            <w:r>
              <w:rPr>
                <w:b/>
                <w:color w:val="0D0D0D" w:themeColor="text1" w:themeTint="F2"/>
                <w:szCs w:val="21"/>
                <w14:textFill>
                  <w14:solidFill>
                    <w14:schemeClr w14:val="tx1">
                      <w14:lumMod w14:val="95000"/>
                      <w14:lumOff w14:val="5000"/>
                    </w14:schemeClr>
                  </w14:solidFill>
                </w14:textFill>
              </w:rPr>
              <w:t xml:space="preserve">  </w:t>
            </w:r>
            <w:r>
              <w:rPr>
                <w:rFonts w:hint="eastAsia"/>
                <w:b/>
                <w:color w:val="0D0D0D" w:themeColor="text1" w:themeTint="F2"/>
                <w:szCs w:val="21"/>
                <w14:textFill>
                  <w14:solidFill>
                    <w14:schemeClr w14:val="tx1">
                      <w14:lumMod w14:val="95000"/>
                      <w14:lumOff w14:val="5000"/>
                    </w14:schemeClr>
                  </w14:solidFill>
                </w14:textFill>
              </w:rPr>
              <w:t>运营期工艺流程及产污环节图</w:t>
            </w:r>
          </w:p>
          <w:p w14:paraId="2B553AB0">
            <w:pPr>
              <w:adjustRightInd w:val="0"/>
              <w:snapToGrid w:val="0"/>
              <w:spacing w:after="0" w:line="360" w:lineRule="auto"/>
              <w:ind w:firstLine="482" w:firstLineChars="200"/>
              <w:rPr>
                <w:bCs/>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工艺流程简述：</w:t>
            </w:r>
          </w:p>
          <w:p w14:paraId="7FB941BC">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（1）下料切割</w:t>
            </w:r>
          </w:p>
          <w:p w14:paraId="011BB44C">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根据图纸要求，利用半自动切割机、火焰切割机和等离子切割机等设备对钢材原料进行切割处理，形成后续加工所需坯料。半自动切割机、火焰切割机和等离子切割机均为间断性作业，按生产计划单独立动，分别布置在露天加工区不同方位，作业点较为分散。切割粉尘经移动式烟尘净化器处理后无组织排放。</w:t>
            </w:r>
          </w:p>
          <w:p w14:paraId="1EE089C6">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此过程会产生切割粉尘（G1）、设备运行噪声（N）、废边角料（S1）和除尘设备收集粉尘（S2）。</w:t>
            </w:r>
          </w:p>
          <w:p w14:paraId="27123352">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（2）冷加工</w:t>
            </w:r>
          </w:p>
          <w:p w14:paraId="00478D39">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根据图纸要求，利用卷板机对切割后的坯料进行冷加工，通过物理压力弯曲成所需形状。</w:t>
            </w:r>
          </w:p>
          <w:p w14:paraId="540176EB">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此过程会产生设备运行噪声（N）。</w:t>
            </w:r>
          </w:p>
          <w:p w14:paraId="573C0833">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（3）焊接组装</w:t>
            </w:r>
          </w:p>
          <w:p w14:paraId="35136F82">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根据图纸要求，利用不同的焊接设备将冷加工后的工件进行焊接组装。项目焊接方式主要包括焊条电弧焊、熔化极气体保护焊、埋弧焊、电渣焊和钨极氩弧焊，均为手工操作，作业人员需手持焊机，根据焊缝位置灵活调整身体姿态和手法，作业点较为分散。焊条电弧焊主要用于罐底边缘板、大角缝、接管与补强板、法兰与接管、加筋板、其余附件等的焊接；熔化极气体保护焊主要用于罐底边缘板+中幅板（过渡层/对接）、罐底中幅板、壁板与补强圈、加强圈等的焊接；埋弧焊主要用于罐底边缘板+中幅板、壁板环缝、大角缝等的焊接；电渣焊主要用于壁板立缝的焊接；钨极氩弧焊主要用于法兰与接管的焊接。焊接烟尘经移动式烟尘净化器处理后无组织排放。</w:t>
            </w:r>
          </w:p>
          <w:p w14:paraId="45A9A60B">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此过程会产生焊接烟尘（G2）、设备运行噪声（N）、除尘设备收集粉尘（S2）和废焊接材料（S3）。</w:t>
            </w:r>
          </w:p>
          <w:p w14:paraId="1853C958">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（4）抛丸除锈</w:t>
            </w:r>
          </w:p>
          <w:p w14:paraId="615FE42C">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利用轨道通过式抛丸清理机对焊接组装后的工件进行抛丸除锈，以清除焊接飞溅和临时存放产生的浮锈。抛丸粉尘分别经设备自带的滤筒除尘器处理后通过20m排气筒（DA001和DA002）排放。</w:t>
            </w:r>
          </w:p>
          <w:p w14:paraId="36C15675">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此过程会产生抛丸粉尘（G3）、设备运行噪声（N）、除尘设备收集粉尘（S2）、废钢丸（S4）和废滤芯（S5）。</w:t>
            </w:r>
          </w:p>
          <w:p w14:paraId="321EA49D">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（5）喷涂防腐</w:t>
            </w:r>
          </w:p>
          <w:p w14:paraId="5C9DFA45">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根据图纸要求，对不同的部位进行喷涂防腐，具体喷涂工艺路线为：罐底板下表面喷涂HT-1无机富锌涂料和8701改性环氧树脂防腐涂料；罐体内表面（下）喷涂EP-98无溶剂环氧防腐涂料；与油品接触的碳钢外表面喷涂EP-2000非碳系环氧导静电防腐蚀涂料；罐体外部分喷涂EP-90环氧富锌底漆、EP-86环氧云铁防腐蚀涂料和DC脂肪族丙烯酸聚氨酯防腐蚀涂料；浮顶上表面及附件喷涂EP-90环氧富锌底漆、EP-86环氧云铁防腐蚀涂料和SF-01氟碳防腐蚀涂料；浮舱内表面喷涂WE-2水性环氧防腐蚀涂料。各涂料喷涂层次均为1层，采用高压无气喷涂方式。</w:t>
            </w:r>
          </w:p>
          <w:p w14:paraId="3396FDBD">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项目所用涂料包含油性漆和水性漆，使用前按照安全技术说明书等相关要求，将涂料基料、固化剂以及稀释剂进行人工调配，混合搅拌均匀后调节黏度，调漆过程中不需额外添加水。</w:t>
            </w:r>
          </w:p>
          <w:p w14:paraId="4290F8E0">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调漆完成后利用高压无气喷涂机将涂料加压通过喷枪雾化，均匀喷涂至工件表面，形成防腐涂层，喷涂完成后，工件在喷漆房自然晾干，喷枪枪头需定期清洗，油性漆枪头使用专用喷枪清洗剂进行清洗，清洗剂循环使用，为保证清洗效率，每半年更换一次，水性漆枪头需用水进行清洗，在1个25kg规格的桶（装水系数按0.8计）中用水清洗，为保证清洗效率，每季度更换一次，年更换次数4次。</w:t>
            </w:r>
          </w:p>
          <w:p w14:paraId="4EA89293">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每座生产车间内均设置有1座喷漆房，调漆、喷漆、晾干、喷枪清洗工序均在密闭喷漆房内进行，全程保持喷漆房密闭负压，产生的有机废气一并收集至废气治理设施进行处理。喷漆房为密闭负压设计，利用风压差将废气有序排出，废气经“水帘柜+过滤棉+1＃二级活性炭吸附装置”处理后，通过20m排气筒（DA003）排放。</w:t>
            </w:r>
          </w:p>
          <w:p w14:paraId="340BEC24">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此过程会产生喷漆废气（G4）、设备运行噪声（N）、喷枪清洗废液（S6）、废油性漆桶（S7）、废水性漆桶（S8）、漆渣（S9）、水帘柜喷漆废水（S10）、废过滤棉（S11）和废活性炭（S12）。</w:t>
            </w:r>
          </w:p>
          <w:p w14:paraId="486EF9A5">
            <w:pPr>
              <w:adjustRightInd w:val="0"/>
              <w:snapToGrid w:val="0"/>
              <w:spacing w:after="0" w:line="360" w:lineRule="auto"/>
              <w:ind w:firstLine="482"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（6）成品入库</w:t>
            </w:r>
          </w:p>
          <w:p w14:paraId="646BFD3D">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将</w:t>
            </w:r>
            <w:r>
              <w:rPr>
                <w:rFonts w:cs="宋体"/>
                <w:bCs/>
                <w:color w:val="0D0D0D" w:themeColor="text1" w:themeTint="F2"/>
                <w:sz w:val="24"/>
                <w14:textFill>
                  <w14:solidFill>
                    <w14:schemeClr w14:val="tx1">
                      <w14:lumMod w14:val="95000"/>
                      <w14:lumOff w14:val="5000"/>
                    </w14:schemeClr>
                  </w14:solidFill>
                </w14:textFill>
              </w:rPr>
              <w:t>产品运至成品区暂存，</w:t>
            </w:r>
            <w:r>
              <w:rPr>
                <w:rFonts w:hint="eastAsia" w:cs="宋体"/>
                <w:bCs/>
                <w:color w:val="0D0D0D" w:themeColor="text1" w:themeTint="F2"/>
                <w:sz w:val="24"/>
                <w14:textFill>
                  <w14:solidFill>
                    <w14:schemeClr w14:val="tx1">
                      <w14:lumMod w14:val="95000"/>
                      <w14:lumOff w14:val="5000"/>
                    </w14:schemeClr>
                  </w14:solidFill>
                </w14:textFill>
              </w:rPr>
              <w:t>并做好标识与记录，待委托单位清运。</w:t>
            </w:r>
          </w:p>
          <w:p w14:paraId="1DDF063F">
            <w:pPr>
              <w:adjustRightInd w:val="0"/>
              <w:snapToGrid w:val="0"/>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（7）其他产污环节</w:t>
            </w:r>
          </w:p>
          <w:p w14:paraId="0FFF66BF">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①废气：危废暂存间产生的有机废气（G5）。</w:t>
            </w:r>
          </w:p>
          <w:p w14:paraId="54156848">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②废水：员工产生的生活污水（W1），</w:t>
            </w:r>
            <w:r>
              <w:rPr>
                <w:rFonts w:hint="eastAsia" w:cs="宋体"/>
                <w:bCs/>
                <w:color w:val="0D0D0D" w:themeColor="text1" w:themeTint="F2"/>
                <w:sz w:val="24"/>
                <w:u w:val="single"/>
                <w14:textFill>
                  <w14:solidFill>
                    <w14:schemeClr w14:val="tx1">
                      <w14:lumMod w14:val="95000"/>
                      <w14:lumOff w14:val="5000"/>
                    </w14:schemeClr>
                  </w14:solidFill>
                </w14:textFill>
              </w:rPr>
              <w:t>露天加工区产生的初期雨水（W2）</w:t>
            </w:r>
            <w:r>
              <w:rPr>
                <w:rFonts w:hint="eastAsia" w:cs="宋体"/>
                <w:bCs/>
                <w:color w:val="0D0D0D" w:themeColor="text1" w:themeTint="F2"/>
                <w:sz w:val="24"/>
                <w14:textFill>
                  <w14:solidFill>
                    <w14:schemeClr w14:val="tx1">
                      <w14:lumMod w14:val="95000"/>
                      <w14:lumOff w14:val="5000"/>
                    </w14:schemeClr>
                  </w14:solidFill>
                </w14:textFill>
              </w:rPr>
              <w:t>。</w:t>
            </w:r>
          </w:p>
          <w:p w14:paraId="544E6327">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③噪声：交通及人群活动噪声（N）。</w:t>
            </w:r>
          </w:p>
          <w:p w14:paraId="5E3EB691">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④固废：危废暂存间废气治理产生的废活性炭（S12），设备维护产生的废机油（S13）、废机油桶（S14）和废含油抹布（S15）；员工产生的生活垃圾（S16）。</w:t>
            </w:r>
          </w:p>
          <w:p w14:paraId="26EECBFE">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项目运营期主要环境影响因素识别结果详见表2-11。</w:t>
            </w:r>
          </w:p>
          <w:p w14:paraId="321497A8">
            <w:pPr>
              <w:adjustRightInd w:val="0"/>
              <w:snapToGrid w:val="0"/>
              <w:spacing w:after="0"/>
              <w:jc w:val="center"/>
              <w:rPr>
                <w:b/>
                <w:color w:val="0D0D0D" w:themeColor="text1" w:themeTint="F2"/>
                <w:szCs w:val="21"/>
                <w14:textFill>
                  <w14:solidFill>
                    <w14:schemeClr w14:val="tx1">
                      <w14:lumMod w14:val="95000"/>
                      <w14:lumOff w14:val="5000"/>
                    </w14:schemeClr>
                  </w14:solidFill>
                </w14:textFill>
              </w:rPr>
            </w:pPr>
            <w:r>
              <w:rPr>
                <w:rFonts w:hint="eastAsia"/>
                <w:b/>
                <w:color w:val="0D0D0D" w:themeColor="text1" w:themeTint="F2"/>
                <w:szCs w:val="21"/>
                <w14:textFill>
                  <w14:solidFill>
                    <w14:schemeClr w14:val="tx1">
                      <w14:lumMod w14:val="95000"/>
                      <w14:lumOff w14:val="5000"/>
                    </w14:schemeClr>
                  </w14:solidFill>
                </w14:textFill>
              </w:rPr>
              <w:t>表2-11</w:t>
            </w:r>
            <w:r>
              <w:rPr>
                <w:b/>
                <w:color w:val="0D0D0D" w:themeColor="text1" w:themeTint="F2"/>
                <w:szCs w:val="21"/>
                <w14:textFill>
                  <w14:solidFill>
                    <w14:schemeClr w14:val="tx1">
                      <w14:lumMod w14:val="95000"/>
                      <w14:lumOff w14:val="5000"/>
                    </w14:schemeClr>
                  </w14:solidFill>
                </w14:textFill>
              </w:rPr>
              <w:t xml:space="preserve">  运营期主要环境影响因素识别</w:t>
            </w:r>
            <w:r>
              <w:rPr>
                <w:rFonts w:hint="eastAsia"/>
                <w:b/>
                <w:color w:val="0D0D0D" w:themeColor="text1" w:themeTint="F2"/>
                <w:szCs w:val="21"/>
                <w14:textFill>
                  <w14:solidFill>
                    <w14:schemeClr w14:val="tx1">
                      <w14:lumMod w14:val="95000"/>
                      <w14:lumOff w14:val="5000"/>
                    </w14:schemeClr>
                  </w14:solidFill>
                </w14:textFill>
              </w:rPr>
              <w:t>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2375"/>
              <w:gridCol w:w="856"/>
              <w:gridCol w:w="1720"/>
              <w:gridCol w:w="3359"/>
            </w:tblGrid>
            <w:tr w14:paraId="4B6D3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Align w:val="center"/>
                </w:tcPr>
                <w:p w14:paraId="5B0ACD57">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类别</w:t>
                  </w:r>
                </w:p>
              </w:tc>
              <w:tc>
                <w:tcPr>
                  <w:tcW w:w="1320" w:type="pct"/>
                  <w:vAlign w:val="center"/>
                </w:tcPr>
                <w:p w14:paraId="48745D1E">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名称</w:t>
                  </w:r>
                </w:p>
              </w:tc>
              <w:tc>
                <w:tcPr>
                  <w:tcW w:w="476" w:type="pct"/>
                  <w:vAlign w:val="center"/>
                </w:tcPr>
                <w:p w14:paraId="332531E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编号</w:t>
                  </w:r>
                </w:p>
              </w:tc>
              <w:tc>
                <w:tcPr>
                  <w:tcW w:w="956" w:type="pct"/>
                  <w:vAlign w:val="center"/>
                </w:tcPr>
                <w:p w14:paraId="34F9056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产污环节</w:t>
                  </w:r>
                </w:p>
              </w:tc>
              <w:tc>
                <w:tcPr>
                  <w:tcW w:w="1867" w:type="pct"/>
                  <w:vAlign w:val="center"/>
                </w:tcPr>
                <w:p w14:paraId="5050EBA7">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污染物</w:t>
                  </w:r>
                </w:p>
              </w:tc>
            </w:tr>
            <w:tr w14:paraId="38E1F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restart"/>
                  <w:vAlign w:val="center"/>
                </w:tcPr>
                <w:p w14:paraId="380D9CB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废气</w:t>
                  </w:r>
                </w:p>
              </w:tc>
              <w:tc>
                <w:tcPr>
                  <w:tcW w:w="1320" w:type="pct"/>
                  <w:vAlign w:val="center"/>
                </w:tcPr>
                <w:p w14:paraId="7D4170C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切割粉尘</w:t>
                  </w:r>
                </w:p>
              </w:tc>
              <w:tc>
                <w:tcPr>
                  <w:tcW w:w="476" w:type="pct"/>
                  <w:vAlign w:val="center"/>
                </w:tcPr>
                <w:p w14:paraId="5290051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G1</w:t>
                  </w:r>
                </w:p>
              </w:tc>
              <w:tc>
                <w:tcPr>
                  <w:tcW w:w="956" w:type="pct"/>
                  <w:vAlign w:val="center"/>
                </w:tcPr>
                <w:p w14:paraId="7A1F2C5F">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切割</w:t>
                  </w:r>
                </w:p>
              </w:tc>
              <w:tc>
                <w:tcPr>
                  <w:tcW w:w="1867" w:type="pct"/>
                  <w:vAlign w:val="center"/>
                </w:tcPr>
                <w:p w14:paraId="18F6387E">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颗粒物</w:t>
                  </w:r>
                </w:p>
              </w:tc>
            </w:tr>
            <w:tr w14:paraId="2AF44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4FBBF1E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783B5E90">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焊接烟尘</w:t>
                  </w:r>
                </w:p>
              </w:tc>
              <w:tc>
                <w:tcPr>
                  <w:tcW w:w="476" w:type="pct"/>
                  <w:vAlign w:val="center"/>
                </w:tcPr>
                <w:p w14:paraId="18A7B6FF">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G2</w:t>
                  </w:r>
                </w:p>
              </w:tc>
              <w:tc>
                <w:tcPr>
                  <w:tcW w:w="956" w:type="pct"/>
                  <w:vAlign w:val="center"/>
                </w:tcPr>
                <w:p w14:paraId="752411B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焊接</w:t>
                  </w:r>
                </w:p>
              </w:tc>
              <w:tc>
                <w:tcPr>
                  <w:tcW w:w="1867" w:type="pct"/>
                  <w:vAlign w:val="center"/>
                </w:tcPr>
                <w:p w14:paraId="03C801A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颗粒物</w:t>
                  </w:r>
                </w:p>
              </w:tc>
            </w:tr>
            <w:tr w14:paraId="7D8A0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784CE5D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391B1C6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抛丸粉尘</w:t>
                  </w:r>
                </w:p>
              </w:tc>
              <w:tc>
                <w:tcPr>
                  <w:tcW w:w="476" w:type="pct"/>
                  <w:vAlign w:val="center"/>
                </w:tcPr>
                <w:p w14:paraId="601CD85B">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G3</w:t>
                  </w:r>
                </w:p>
              </w:tc>
              <w:tc>
                <w:tcPr>
                  <w:tcW w:w="956" w:type="pct"/>
                  <w:vAlign w:val="center"/>
                </w:tcPr>
                <w:p w14:paraId="4DA5057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抛丸</w:t>
                  </w:r>
                </w:p>
              </w:tc>
              <w:tc>
                <w:tcPr>
                  <w:tcW w:w="1867" w:type="pct"/>
                  <w:vAlign w:val="center"/>
                </w:tcPr>
                <w:p w14:paraId="4ECF30A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颗粒物</w:t>
                  </w:r>
                </w:p>
              </w:tc>
            </w:tr>
            <w:tr w14:paraId="7E341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342CF0E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3B22B51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喷漆废气</w:t>
                  </w:r>
                </w:p>
              </w:tc>
              <w:tc>
                <w:tcPr>
                  <w:tcW w:w="476" w:type="pct"/>
                  <w:vAlign w:val="center"/>
                </w:tcPr>
                <w:p w14:paraId="3D8A382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G4</w:t>
                  </w:r>
                </w:p>
              </w:tc>
              <w:tc>
                <w:tcPr>
                  <w:tcW w:w="956" w:type="pct"/>
                  <w:vAlign w:val="center"/>
                </w:tcPr>
                <w:p w14:paraId="7A981EBB">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喷漆</w:t>
                  </w:r>
                </w:p>
              </w:tc>
              <w:tc>
                <w:tcPr>
                  <w:tcW w:w="1867" w:type="pct"/>
                  <w:vAlign w:val="center"/>
                </w:tcPr>
                <w:p w14:paraId="38DFD67B">
                  <w:pPr>
                    <w:adjustRightInd w:val="0"/>
                    <w:snapToGrid w:val="0"/>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颗粒物、非甲烷总烃、二甲苯、臭气浓度</w:t>
                  </w:r>
                </w:p>
              </w:tc>
            </w:tr>
            <w:tr w14:paraId="11665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2EA000B2">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4B47799D">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危废暂存间废气</w:t>
                  </w:r>
                </w:p>
              </w:tc>
              <w:tc>
                <w:tcPr>
                  <w:tcW w:w="476" w:type="pct"/>
                  <w:vAlign w:val="center"/>
                </w:tcPr>
                <w:p w14:paraId="10116AC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G5</w:t>
                  </w:r>
                </w:p>
              </w:tc>
              <w:tc>
                <w:tcPr>
                  <w:tcW w:w="956" w:type="pct"/>
                  <w:vAlign w:val="center"/>
                </w:tcPr>
                <w:p w14:paraId="073A3FF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危废暂存</w:t>
                  </w:r>
                </w:p>
              </w:tc>
              <w:tc>
                <w:tcPr>
                  <w:tcW w:w="1867" w:type="pct"/>
                  <w:vAlign w:val="center"/>
                </w:tcPr>
                <w:p w14:paraId="60B4C13E">
                  <w:pPr>
                    <w:adjustRightInd w:val="0"/>
                    <w:snapToGrid w:val="0"/>
                    <w:spacing w:after="0" w:line="240" w:lineRule="auto"/>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非甲烷总烃、二甲苯、臭气浓度</w:t>
                  </w:r>
                </w:p>
              </w:tc>
            </w:tr>
            <w:tr w14:paraId="5EBE1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restart"/>
                  <w:vAlign w:val="center"/>
                </w:tcPr>
                <w:p w14:paraId="1D53428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废水</w:t>
                  </w:r>
                </w:p>
              </w:tc>
              <w:tc>
                <w:tcPr>
                  <w:tcW w:w="1320" w:type="pct"/>
                  <w:vAlign w:val="center"/>
                </w:tcPr>
                <w:p w14:paraId="1E2BE047">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生活污水</w:t>
                  </w:r>
                </w:p>
              </w:tc>
              <w:tc>
                <w:tcPr>
                  <w:tcW w:w="476" w:type="pct"/>
                  <w:vAlign w:val="center"/>
                </w:tcPr>
                <w:p w14:paraId="1447D63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W1</w:t>
                  </w:r>
                </w:p>
              </w:tc>
              <w:tc>
                <w:tcPr>
                  <w:tcW w:w="956" w:type="pct"/>
                  <w:vAlign w:val="center"/>
                </w:tcPr>
                <w:p w14:paraId="22F1CE5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员工</w:t>
                  </w:r>
                </w:p>
              </w:tc>
              <w:tc>
                <w:tcPr>
                  <w:tcW w:w="1867" w:type="pct"/>
                  <w:vAlign w:val="center"/>
                </w:tcPr>
                <w:p w14:paraId="318537E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C</w:t>
                  </w:r>
                  <w:r>
                    <w:rPr>
                      <w:bCs/>
                      <w:color w:val="0D0D0D" w:themeColor="text1" w:themeTint="F2"/>
                      <w:szCs w:val="21"/>
                      <w14:textFill>
                        <w14:solidFill>
                          <w14:schemeClr w14:val="tx1">
                            <w14:lumMod w14:val="95000"/>
                            <w14:lumOff w14:val="5000"/>
                          </w14:schemeClr>
                        </w14:solidFill>
                      </w14:textFill>
                    </w:rPr>
                    <w:t>OD</w:t>
                  </w:r>
                  <w:r>
                    <w:rPr>
                      <w:rFonts w:hint="eastAsia"/>
                      <w:bCs/>
                      <w:color w:val="0D0D0D" w:themeColor="text1" w:themeTint="F2"/>
                      <w:szCs w:val="21"/>
                      <w14:textFill>
                        <w14:solidFill>
                          <w14:schemeClr w14:val="tx1">
                            <w14:lumMod w14:val="95000"/>
                            <w14:lumOff w14:val="5000"/>
                          </w14:schemeClr>
                        </w14:solidFill>
                      </w14:textFill>
                    </w:rPr>
                    <w:t>cr、</w:t>
                  </w:r>
                  <w:r>
                    <w:rPr>
                      <w:bCs/>
                      <w:color w:val="0D0D0D" w:themeColor="text1" w:themeTint="F2"/>
                      <w:szCs w:val="21"/>
                      <w14:textFill>
                        <w14:solidFill>
                          <w14:schemeClr w14:val="tx1">
                            <w14:lumMod w14:val="95000"/>
                            <w14:lumOff w14:val="5000"/>
                          </w14:schemeClr>
                        </w14:solidFill>
                      </w14:textFill>
                    </w:rPr>
                    <w:t>BOD</w:t>
                  </w:r>
                  <w:r>
                    <w:rPr>
                      <w:bCs/>
                      <w:color w:val="0D0D0D" w:themeColor="text1" w:themeTint="F2"/>
                      <w:szCs w:val="21"/>
                      <w:vertAlign w:val="subscript"/>
                      <w14:textFill>
                        <w14:solidFill>
                          <w14:schemeClr w14:val="tx1">
                            <w14:lumMod w14:val="95000"/>
                            <w14:lumOff w14:val="5000"/>
                          </w14:schemeClr>
                        </w14:solidFill>
                      </w14:textFill>
                    </w:rPr>
                    <w:t>5</w:t>
                  </w:r>
                  <w:r>
                    <w:rPr>
                      <w:rFonts w:hint="eastAsia"/>
                      <w:bCs/>
                      <w:color w:val="0D0D0D" w:themeColor="text1" w:themeTint="F2"/>
                      <w:szCs w:val="21"/>
                      <w14:textFill>
                        <w14:solidFill>
                          <w14:schemeClr w14:val="tx1">
                            <w14:lumMod w14:val="95000"/>
                            <w14:lumOff w14:val="5000"/>
                          </w14:schemeClr>
                        </w14:solidFill>
                      </w14:textFill>
                    </w:rPr>
                    <w:t>、N</w:t>
                  </w:r>
                  <w:r>
                    <w:rPr>
                      <w:bCs/>
                      <w:color w:val="0D0D0D" w:themeColor="text1" w:themeTint="F2"/>
                      <w:szCs w:val="21"/>
                      <w14:textFill>
                        <w14:solidFill>
                          <w14:schemeClr w14:val="tx1">
                            <w14:lumMod w14:val="95000"/>
                            <w14:lumOff w14:val="5000"/>
                          </w14:schemeClr>
                        </w14:solidFill>
                      </w14:textFill>
                    </w:rPr>
                    <w:t>H</w:t>
                  </w:r>
                  <w:r>
                    <w:rPr>
                      <w:bCs/>
                      <w:color w:val="0D0D0D" w:themeColor="text1" w:themeTint="F2"/>
                      <w:szCs w:val="21"/>
                      <w:vertAlign w:val="subscript"/>
                      <w14:textFill>
                        <w14:solidFill>
                          <w14:schemeClr w14:val="tx1">
                            <w14:lumMod w14:val="95000"/>
                            <w14:lumOff w14:val="5000"/>
                          </w14:schemeClr>
                        </w14:solidFill>
                      </w14:textFill>
                    </w:rPr>
                    <w:t>3</w:t>
                  </w:r>
                  <w:r>
                    <w:rPr>
                      <w:bCs/>
                      <w:color w:val="0D0D0D" w:themeColor="text1" w:themeTint="F2"/>
                      <w:szCs w:val="21"/>
                      <w14:textFill>
                        <w14:solidFill>
                          <w14:schemeClr w14:val="tx1">
                            <w14:lumMod w14:val="95000"/>
                            <w14:lumOff w14:val="5000"/>
                          </w14:schemeClr>
                        </w14:solidFill>
                      </w14:textFill>
                    </w:rPr>
                    <w:t>-N</w:t>
                  </w:r>
                  <w:r>
                    <w:rPr>
                      <w:rFonts w:hint="eastAsia"/>
                      <w:bCs/>
                      <w:color w:val="0D0D0D" w:themeColor="text1" w:themeTint="F2"/>
                      <w:szCs w:val="21"/>
                      <w14:textFill>
                        <w14:solidFill>
                          <w14:schemeClr w14:val="tx1">
                            <w14:lumMod w14:val="95000"/>
                            <w14:lumOff w14:val="5000"/>
                          </w14:schemeClr>
                        </w14:solidFill>
                      </w14:textFill>
                    </w:rPr>
                    <w:t>、S</w:t>
                  </w:r>
                  <w:r>
                    <w:rPr>
                      <w:bCs/>
                      <w:color w:val="0D0D0D" w:themeColor="text1" w:themeTint="F2"/>
                      <w:szCs w:val="21"/>
                      <w14:textFill>
                        <w14:solidFill>
                          <w14:schemeClr w14:val="tx1">
                            <w14:lumMod w14:val="95000"/>
                            <w14:lumOff w14:val="5000"/>
                          </w14:schemeClr>
                        </w14:solidFill>
                      </w14:textFill>
                    </w:rPr>
                    <w:t>S</w:t>
                  </w:r>
                </w:p>
              </w:tc>
            </w:tr>
            <w:tr w14:paraId="26B43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72DE192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4D783C4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初期雨水</w:t>
                  </w:r>
                </w:p>
              </w:tc>
              <w:tc>
                <w:tcPr>
                  <w:tcW w:w="476" w:type="pct"/>
                  <w:vAlign w:val="center"/>
                </w:tcPr>
                <w:p w14:paraId="18ACFF02">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W2</w:t>
                  </w:r>
                </w:p>
              </w:tc>
              <w:tc>
                <w:tcPr>
                  <w:tcW w:w="956" w:type="pct"/>
                  <w:vAlign w:val="center"/>
                </w:tcPr>
                <w:p w14:paraId="3FBF9E5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场区</w:t>
                  </w:r>
                </w:p>
              </w:tc>
              <w:tc>
                <w:tcPr>
                  <w:tcW w:w="1867" w:type="pct"/>
                  <w:vAlign w:val="center"/>
                </w:tcPr>
                <w:p w14:paraId="3529FBF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SS</w:t>
                  </w:r>
                </w:p>
              </w:tc>
            </w:tr>
            <w:tr w14:paraId="3443A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restart"/>
                  <w:vAlign w:val="center"/>
                </w:tcPr>
                <w:p w14:paraId="3E39246D">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噪声</w:t>
                  </w:r>
                </w:p>
              </w:tc>
              <w:tc>
                <w:tcPr>
                  <w:tcW w:w="1320" w:type="pct"/>
                  <w:vAlign w:val="center"/>
                </w:tcPr>
                <w:p w14:paraId="31373C3F">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设备噪声</w:t>
                  </w:r>
                </w:p>
              </w:tc>
              <w:tc>
                <w:tcPr>
                  <w:tcW w:w="476" w:type="pct"/>
                  <w:vAlign w:val="center"/>
                </w:tcPr>
                <w:p w14:paraId="2F0EFDC7">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N</w:t>
                  </w:r>
                </w:p>
              </w:tc>
              <w:tc>
                <w:tcPr>
                  <w:tcW w:w="956" w:type="pct"/>
                  <w:vAlign w:val="center"/>
                </w:tcPr>
                <w:p w14:paraId="6D2A7A4E">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设备运行</w:t>
                  </w:r>
                </w:p>
              </w:tc>
              <w:tc>
                <w:tcPr>
                  <w:tcW w:w="1867" w:type="pct"/>
                  <w:vAlign w:val="center"/>
                </w:tcPr>
                <w:p w14:paraId="11A2F95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等效连续A声级</w:t>
                  </w:r>
                </w:p>
              </w:tc>
            </w:tr>
            <w:tr w14:paraId="6C025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22D28CAD">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026B8F5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交通及人群噪声</w:t>
                  </w:r>
                </w:p>
              </w:tc>
              <w:tc>
                <w:tcPr>
                  <w:tcW w:w="476" w:type="pct"/>
                  <w:vAlign w:val="center"/>
                </w:tcPr>
                <w:p w14:paraId="73676CF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N</w:t>
                  </w:r>
                </w:p>
              </w:tc>
              <w:tc>
                <w:tcPr>
                  <w:tcW w:w="956" w:type="pct"/>
                  <w:vAlign w:val="center"/>
                </w:tcPr>
                <w:p w14:paraId="61CC814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生产过程</w:t>
                  </w:r>
                </w:p>
              </w:tc>
              <w:tc>
                <w:tcPr>
                  <w:tcW w:w="1867" w:type="pct"/>
                  <w:vAlign w:val="center"/>
                </w:tcPr>
                <w:p w14:paraId="7D882BB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等效连续A声级</w:t>
                  </w:r>
                </w:p>
              </w:tc>
            </w:tr>
            <w:tr w14:paraId="77639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restart"/>
                  <w:vAlign w:val="center"/>
                </w:tcPr>
                <w:p w14:paraId="317C608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固废</w:t>
                  </w:r>
                </w:p>
              </w:tc>
              <w:tc>
                <w:tcPr>
                  <w:tcW w:w="1320" w:type="pct"/>
                  <w:vAlign w:val="center"/>
                </w:tcPr>
                <w:p w14:paraId="0B8F71E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废边角料</w:t>
                  </w:r>
                </w:p>
              </w:tc>
              <w:tc>
                <w:tcPr>
                  <w:tcW w:w="476" w:type="pct"/>
                  <w:vAlign w:val="center"/>
                </w:tcPr>
                <w:p w14:paraId="1911B5D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w:t>
                  </w:r>
                </w:p>
              </w:tc>
              <w:tc>
                <w:tcPr>
                  <w:tcW w:w="956" w:type="pct"/>
                  <w:vAlign w:val="center"/>
                </w:tcPr>
                <w:p w14:paraId="5779A370">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切割</w:t>
                  </w:r>
                </w:p>
              </w:tc>
              <w:tc>
                <w:tcPr>
                  <w:tcW w:w="1867" w:type="pct"/>
                  <w:vAlign w:val="center"/>
                </w:tcPr>
                <w:p w14:paraId="707FF19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废钢材</w:t>
                  </w:r>
                </w:p>
              </w:tc>
            </w:tr>
            <w:tr w14:paraId="58BC9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42D2C9D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2B96644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除尘设备收集粉尘</w:t>
                  </w:r>
                </w:p>
              </w:tc>
              <w:tc>
                <w:tcPr>
                  <w:tcW w:w="476" w:type="pct"/>
                  <w:vAlign w:val="center"/>
                </w:tcPr>
                <w:p w14:paraId="43918E1F">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S2</w:t>
                  </w:r>
                </w:p>
              </w:tc>
              <w:tc>
                <w:tcPr>
                  <w:tcW w:w="956" w:type="pct"/>
                  <w:vAlign w:val="center"/>
                </w:tcPr>
                <w:p w14:paraId="42061A0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废气治理</w:t>
                  </w:r>
                </w:p>
              </w:tc>
              <w:tc>
                <w:tcPr>
                  <w:tcW w:w="1867" w:type="pct"/>
                  <w:vAlign w:val="center"/>
                </w:tcPr>
                <w:p w14:paraId="7F220F9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金属粉尘</w:t>
                  </w:r>
                </w:p>
              </w:tc>
            </w:tr>
            <w:tr w14:paraId="220F7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56E2A290">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4F83652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废焊接材料</w:t>
                  </w:r>
                </w:p>
              </w:tc>
              <w:tc>
                <w:tcPr>
                  <w:tcW w:w="476" w:type="pct"/>
                  <w:vAlign w:val="center"/>
                </w:tcPr>
                <w:p w14:paraId="7ECC3FCA">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S3</w:t>
                  </w:r>
                </w:p>
              </w:tc>
              <w:tc>
                <w:tcPr>
                  <w:tcW w:w="956" w:type="pct"/>
                  <w:vAlign w:val="center"/>
                </w:tcPr>
                <w:p w14:paraId="7CB8122E">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焊接</w:t>
                  </w:r>
                </w:p>
              </w:tc>
              <w:tc>
                <w:tcPr>
                  <w:tcW w:w="1867" w:type="pct"/>
                  <w:vAlign w:val="center"/>
                </w:tcPr>
                <w:p w14:paraId="3C9E5AD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废焊材</w:t>
                  </w:r>
                </w:p>
              </w:tc>
            </w:tr>
            <w:tr w14:paraId="0CD53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46FE69C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292CA9B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废钢丸</w:t>
                  </w:r>
                </w:p>
              </w:tc>
              <w:tc>
                <w:tcPr>
                  <w:tcW w:w="476" w:type="pct"/>
                  <w:vAlign w:val="center"/>
                </w:tcPr>
                <w:p w14:paraId="3177DB0D">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S4</w:t>
                  </w:r>
                </w:p>
              </w:tc>
              <w:tc>
                <w:tcPr>
                  <w:tcW w:w="956" w:type="pct"/>
                  <w:vAlign w:val="center"/>
                </w:tcPr>
                <w:p w14:paraId="5E1B481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抛丸</w:t>
                  </w:r>
                </w:p>
              </w:tc>
              <w:tc>
                <w:tcPr>
                  <w:tcW w:w="1867" w:type="pct"/>
                  <w:vAlign w:val="center"/>
                </w:tcPr>
                <w:p w14:paraId="57A9169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废钢丸</w:t>
                  </w:r>
                </w:p>
              </w:tc>
            </w:tr>
            <w:tr w14:paraId="15C44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6A6D10B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75264352">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废滤芯</w:t>
                  </w:r>
                </w:p>
              </w:tc>
              <w:tc>
                <w:tcPr>
                  <w:tcW w:w="476" w:type="pct"/>
                  <w:vAlign w:val="center"/>
                </w:tcPr>
                <w:p w14:paraId="57F185A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S5</w:t>
                  </w:r>
                </w:p>
              </w:tc>
              <w:tc>
                <w:tcPr>
                  <w:tcW w:w="956" w:type="pct"/>
                  <w:vAlign w:val="center"/>
                </w:tcPr>
                <w:p w14:paraId="67A0D14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废气治理</w:t>
                  </w:r>
                </w:p>
              </w:tc>
              <w:tc>
                <w:tcPr>
                  <w:tcW w:w="1867" w:type="pct"/>
                  <w:vAlign w:val="center"/>
                </w:tcPr>
                <w:p w14:paraId="1F8A3FF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废滤芯</w:t>
                  </w:r>
                </w:p>
              </w:tc>
            </w:tr>
            <w:tr w14:paraId="3AFED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26647ECA">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7860D20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喷枪清洗废液</w:t>
                  </w:r>
                </w:p>
              </w:tc>
              <w:tc>
                <w:tcPr>
                  <w:tcW w:w="476" w:type="pct"/>
                  <w:vAlign w:val="center"/>
                </w:tcPr>
                <w:p w14:paraId="3566AE7D">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S6</w:t>
                  </w:r>
                </w:p>
              </w:tc>
              <w:tc>
                <w:tcPr>
                  <w:tcW w:w="956" w:type="pct"/>
                  <w:vAlign w:val="center"/>
                </w:tcPr>
                <w:p w14:paraId="3F40B7C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喷枪清洗</w:t>
                  </w:r>
                </w:p>
              </w:tc>
              <w:tc>
                <w:tcPr>
                  <w:tcW w:w="1867" w:type="pct"/>
                  <w:vAlign w:val="center"/>
                </w:tcPr>
                <w:p w14:paraId="30D6C98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喷枪清洗废液</w:t>
                  </w:r>
                </w:p>
              </w:tc>
            </w:tr>
            <w:tr w14:paraId="0C2F3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5D79BF2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22A6420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废油性漆桶</w:t>
                  </w:r>
                </w:p>
              </w:tc>
              <w:tc>
                <w:tcPr>
                  <w:tcW w:w="476" w:type="pct"/>
                  <w:vAlign w:val="center"/>
                </w:tcPr>
                <w:p w14:paraId="5F3F2B9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S7</w:t>
                  </w:r>
                </w:p>
              </w:tc>
              <w:tc>
                <w:tcPr>
                  <w:tcW w:w="956" w:type="pct"/>
                  <w:vAlign w:val="center"/>
                </w:tcPr>
                <w:p w14:paraId="1577B957">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喷漆</w:t>
                  </w:r>
                </w:p>
              </w:tc>
              <w:tc>
                <w:tcPr>
                  <w:tcW w:w="1867" w:type="pct"/>
                  <w:vAlign w:val="center"/>
                </w:tcPr>
                <w:p w14:paraId="2D0DF9A7">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废油性漆桶</w:t>
                  </w:r>
                </w:p>
              </w:tc>
            </w:tr>
            <w:tr w14:paraId="5E78B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09F3E75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6CFE027D">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废水性漆桶</w:t>
                  </w:r>
                </w:p>
              </w:tc>
              <w:tc>
                <w:tcPr>
                  <w:tcW w:w="476" w:type="pct"/>
                  <w:vAlign w:val="center"/>
                </w:tcPr>
                <w:p w14:paraId="67B25D1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S8</w:t>
                  </w:r>
                </w:p>
              </w:tc>
              <w:tc>
                <w:tcPr>
                  <w:tcW w:w="956" w:type="pct"/>
                  <w:vAlign w:val="center"/>
                </w:tcPr>
                <w:p w14:paraId="40AAE3FF">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喷漆</w:t>
                  </w:r>
                </w:p>
              </w:tc>
              <w:tc>
                <w:tcPr>
                  <w:tcW w:w="1867" w:type="pct"/>
                  <w:vAlign w:val="center"/>
                </w:tcPr>
                <w:p w14:paraId="76F98BE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废水性漆桶</w:t>
                  </w:r>
                </w:p>
              </w:tc>
            </w:tr>
            <w:tr w14:paraId="793A0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5905654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3F0B8CD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漆渣</w:t>
                  </w:r>
                </w:p>
              </w:tc>
              <w:tc>
                <w:tcPr>
                  <w:tcW w:w="476" w:type="pct"/>
                  <w:vAlign w:val="center"/>
                </w:tcPr>
                <w:p w14:paraId="39260BF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S9</w:t>
                  </w:r>
                </w:p>
              </w:tc>
              <w:tc>
                <w:tcPr>
                  <w:tcW w:w="956" w:type="pct"/>
                  <w:vAlign w:val="center"/>
                </w:tcPr>
                <w:p w14:paraId="03A5B4A3">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喷漆</w:t>
                  </w:r>
                </w:p>
              </w:tc>
              <w:tc>
                <w:tcPr>
                  <w:tcW w:w="1867" w:type="pct"/>
                  <w:vAlign w:val="center"/>
                </w:tcPr>
                <w:p w14:paraId="070F83A5">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漆渣</w:t>
                  </w:r>
                </w:p>
              </w:tc>
            </w:tr>
            <w:tr w14:paraId="556E1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432F9E6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14DBB84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水帘柜喷漆废水</w:t>
                  </w:r>
                </w:p>
              </w:tc>
              <w:tc>
                <w:tcPr>
                  <w:tcW w:w="476" w:type="pct"/>
                  <w:vAlign w:val="center"/>
                </w:tcPr>
                <w:p w14:paraId="4C39F2E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S10</w:t>
                  </w:r>
                </w:p>
              </w:tc>
              <w:tc>
                <w:tcPr>
                  <w:tcW w:w="956" w:type="pct"/>
                  <w:vAlign w:val="center"/>
                </w:tcPr>
                <w:p w14:paraId="66288A1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废气治理</w:t>
                  </w:r>
                </w:p>
              </w:tc>
              <w:tc>
                <w:tcPr>
                  <w:tcW w:w="1867" w:type="pct"/>
                  <w:vAlign w:val="center"/>
                </w:tcPr>
                <w:p w14:paraId="3C459B92">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水帘柜喷漆废水</w:t>
                  </w:r>
                </w:p>
              </w:tc>
            </w:tr>
            <w:tr w14:paraId="5F2E7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7A9D417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7DE5C89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废过滤棉</w:t>
                  </w:r>
                </w:p>
              </w:tc>
              <w:tc>
                <w:tcPr>
                  <w:tcW w:w="476" w:type="pct"/>
                  <w:vAlign w:val="center"/>
                </w:tcPr>
                <w:p w14:paraId="734D895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S11</w:t>
                  </w:r>
                </w:p>
              </w:tc>
              <w:tc>
                <w:tcPr>
                  <w:tcW w:w="956" w:type="pct"/>
                  <w:vAlign w:val="center"/>
                </w:tcPr>
                <w:p w14:paraId="009AE73D">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废气治理</w:t>
                  </w:r>
                </w:p>
              </w:tc>
              <w:tc>
                <w:tcPr>
                  <w:tcW w:w="1867" w:type="pct"/>
                  <w:vAlign w:val="center"/>
                </w:tcPr>
                <w:p w14:paraId="51A5C2C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废过滤棉</w:t>
                  </w:r>
                </w:p>
              </w:tc>
            </w:tr>
            <w:tr w14:paraId="7B56C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14D6951A">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0722CD6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废活性炭</w:t>
                  </w:r>
                </w:p>
              </w:tc>
              <w:tc>
                <w:tcPr>
                  <w:tcW w:w="476" w:type="pct"/>
                  <w:vAlign w:val="center"/>
                </w:tcPr>
                <w:p w14:paraId="5D2EC2C8">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S12</w:t>
                  </w:r>
                </w:p>
              </w:tc>
              <w:tc>
                <w:tcPr>
                  <w:tcW w:w="956" w:type="pct"/>
                  <w:vAlign w:val="center"/>
                </w:tcPr>
                <w:p w14:paraId="65F34EBE">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废气治理</w:t>
                  </w:r>
                </w:p>
              </w:tc>
              <w:tc>
                <w:tcPr>
                  <w:tcW w:w="1867" w:type="pct"/>
                  <w:vAlign w:val="center"/>
                </w:tcPr>
                <w:p w14:paraId="4220B1EE">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废活性炭</w:t>
                  </w:r>
                </w:p>
              </w:tc>
            </w:tr>
            <w:tr w14:paraId="35E4A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4B4F582A">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3DF6189A">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废机油</w:t>
                  </w:r>
                </w:p>
              </w:tc>
              <w:tc>
                <w:tcPr>
                  <w:tcW w:w="476" w:type="pct"/>
                  <w:vAlign w:val="center"/>
                </w:tcPr>
                <w:p w14:paraId="251AA18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S13</w:t>
                  </w:r>
                </w:p>
              </w:tc>
              <w:tc>
                <w:tcPr>
                  <w:tcW w:w="956" w:type="pct"/>
                  <w:vAlign w:val="center"/>
                </w:tcPr>
                <w:p w14:paraId="09B3091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设备维护</w:t>
                  </w:r>
                </w:p>
              </w:tc>
              <w:tc>
                <w:tcPr>
                  <w:tcW w:w="1867" w:type="pct"/>
                  <w:vAlign w:val="center"/>
                </w:tcPr>
                <w:p w14:paraId="346F88E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废机油</w:t>
                  </w:r>
                </w:p>
              </w:tc>
            </w:tr>
            <w:tr w14:paraId="5A031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1F9992C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61A0266B">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废机油桶</w:t>
                  </w:r>
                </w:p>
              </w:tc>
              <w:tc>
                <w:tcPr>
                  <w:tcW w:w="476" w:type="pct"/>
                  <w:vAlign w:val="center"/>
                </w:tcPr>
                <w:p w14:paraId="57EEC012">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S14</w:t>
                  </w:r>
                </w:p>
              </w:tc>
              <w:tc>
                <w:tcPr>
                  <w:tcW w:w="956" w:type="pct"/>
                  <w:vAlign w:val="center"/>
                </w:tcPr>
                <w:p w14:paraId="7D4B4D4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设备维护</w:t>
                  </w:r>
                </w:p>
              </w:tc>
              <w:tc>
                <w:tcPr>
                  <w:tcW w:w="1867" w:type="pct"/>
                  <w:vAlign w:val="center"/>
                </w:tcPr>
                <w:p w14:paraId="4CE0755C">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废机油桶</w:t>
                  </w:r>
                </w:p>
              </w:tc>
            </w:tr>
            <w:tr w14:paraId="2A14E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43DE03AB">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373F9D19">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废含油抹布</w:t>
                  </w:r>
                </w:p>
              </w:tc>
              <w:tc>
                <w:tcPr>
                  <w:tcW w:w="476" w:type="pct"/>
                  <w:vAlign w:val="center"/>
                </w:tcPr>
                <w:p w14:paraId="1E7AAA17">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S15</w:t>
                  </w:r>
                </w:p>
              </w:tc>
              <w:tc>
                <w:tcPr>
                  <w:tcW w:w="956" w:type="pct"/>
                  <w:vAlign w:val="center"/>
                </w:tcPr>
                <w:p w14:paraId="62DBFE4F">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设备维护</w:t>
                  </w:r>
                </w:p>
              </w:tc>
              <w:tc>
                <w:tcPr>
                  <w:tcW w:w="1867" w:type="pct"/>
                  <w:vAlign w:val="center"/>
                </w:tcPr>
                <w:p w14:paraId="2CB80141">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废含油抹布</w:t>
                  </w:r>
                </w:p>
              </w:tc>
            </w:tr>
            <w:tr w14:paraId="08704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vAlign w:val="center"/>
                </w:tcPr>
                <w:p w14:paraId="7F942796">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1320" w:type="pct"/>
                  <w:vAlign w:val="center"/>
                </w:tcPr>
                <w:p w14:paraId="71BFA94A">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生活垃圾</w:t>
                  </w:r>
                </w:p>
              </w:tc>
              <w:tc>
                <w:tcPr>
                  <w:tcW w:w="476" w:type="pct"/>
                  <w:vAlign w:val="center"/>
                </w:tcPr>
                <w:p w14:paraId="60CE693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S16</w:t>
                  </w:r>
                </w:p>
              </w:tc>
              <w:tc>
                <w:tcPr>
                  <w:tcW w:w="956" w:type="pct"/>
                  <w:vAlign w:val="center"/>
                </w:tcPr>
                <w:p w14:paraId="69A6CA54">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员工</w:t>
                  </w:r>
                </w:p>
              </w:tc>
              <w:tc>
                <w:tcPr>
                  <w:tcW w:w="1867" w:type="pct"/>
                  <w:vAlign w:val="center"/>
                </w:tcPr>
                <w:p w14:paraId="3EACDB92">
                  <w:pPr>
                    <w:adjustRightInd w:val="0"/>
                    <w:snapToGrid w:val="0"/>
                    <w:spacing w:after="0" w:line="240" w:lineRule="auto"/>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生活垃圾</w:t>
                  </w:r>
                </w:p>
              </w:tc>
            </w:tr>
          </w:tbl>
          <w:p w14:paraId="578CC5E0">
            <w:pPr>
              <w:adjustRightInd w:val="0"/>
              <w:snapToGrid w:val="0"/>
              <w:spacing w:after="0" w:line="360" w:lineRule="auto"/>
              <w:rPr>
                <w:color w:val="0D0D0D" w:themeColor="text1" w:themeTint="F2"/>
                <w:sz w:val="24"/>
                <w14:textFill>
                  <w14:solidFill>
                    <w14:schemeClr w14:val="tx1">
                      <w14:lumMod w14:val="95000"/>
                      <w14:lumOff w14:val="5000"/>
                    </w14:schemeClr>
                  </w14:solidFill>
                </w14:textFill>
              </w:rPr>
            </w:pPr>
          </w:p>
        </w:tc>
      </w:tr>
      <w:tr w14:paraId="25DCD6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40" w:hRule="atLeast"/>
          <w:jc w:val="center"/>
        </w:trPr>
        <w:tc>
          <w:tcPr>
            <w:tcW w:w="225" w:type="pct"/>
            <w:vAlign w:val="center"/>
          </w:tcPr>
          <w:p w14:paraId="04362262">
            <w:pPr>
              <w:pStyle w:val="19"/>
              <w:adjustRightInd w:val="0"/>
              <w:snapToGrid w:val="0"/>
              <w:spacing w:before="0" w:beforeAutospacing="0" w:after="0" w:afterAutospacing="0"/>
              <w:jc w:val="center"/>
              <w:rPr>
                <w:rFonts w:ascii="Times New Roman" w:hAnsi="Times New Roman" w:cs="宋体"/>
                <w:color w:val="0D0D0D" w:themeColor="text1" w:themeTint="F2"/>
                <w:szCs w:val="24"/>
                <w14:textFill>
                  <w14:solidFill>
                    <w14:schemeClr w14:val="tx1">
                      <w14:lumMod w14:val="95000"/>
                      <w14:lumOff w14:val="5000"/>
                    </w14:schemeClr>
                  </w14:solidFill>
                </w14:textFill>
              </w:rPr>
            </w:pPr>
            <w:r>
              <w:rPr>
                <w:rFonts w:hint="eastAsia" w:ascii="Times New Roman" w:hAnsi="Times New Roman" w:cs="宋体"/>
                <w:bCs/>
                <w:color w:val="0D0D0D" w:themeColor="text1" w:themeTint="F2"/>
                <w:kern w:val="2"/>
                <w:szCs w:val="24"/>
                <w14:textFill>
                  <w14:solidFill>
                    <w14:schemeClr w14:val="tx1">
                      <w14:lumMod w14:val="95000"/>
                      <w14:lumOff w14:val="5000"/>
                    </w14:schemeClr>
                  </w14:solidFill>
                </w14:textFill>
              </w:rPr>
              <w:t>与项目有关的原有环境污染问题</w:t>
            </w:r>
          </w:p>
        </w:tc>
        <w:tc>
          <w:tcPr>
            <w:tcW w:w="4775" w:type="pct"/>
          </w:tcPr>
          <w:p w14:paraId="2BD1ACBF">
            <w:pPr>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为新建项目，企业进驻时选址地块现状为空地，经现场踏勘及向中国（广西）自由贸易试验区钦州港片区自然资源和建设局核实，该地块历史上未用作工业企业生产场所。根据广西壮族自治区生态环境厅网站发布的历年《广西壮族自治区生态环境厅 广西壮族自治区自然资源厅关于公布广西壮族自治区建设用地土壤污染风险管控和修复名录、移出清单》，项目选址不属于疑似污染地块或污染地块。因此，不存在与项目有关的原有环境污染问题。</w:t>
            </w:r>
          </w:p>
        </w:tc>
      </w:tr>
    </w:tbl>
    <w:p w14:paraId="240F996A">
      <w:pPr>
        <w:pStyle w:val="19"/>
        <w:spacing w:before="0" w:beforeAutospacing="0" w:after="0" w:afterAutospacing="0"/>
        <w:jc w:val="center"/>
        <w:rPr>
          <w:rFonts w:ascii="Times New Roman" w:hAnsi="Times New Roman"/>
          <w:snapToGrid w:val="0"/>
          <w:color w:val="0D0D0D" w:themeColor="text1" w:themeTint="F2"/>
          <w:sz w:val="36"/>
          <w:szCs w:val="36"/>
          <w14:textFill>
            <w14:solidFill>
              <w14:schemeClr w14:val="tx1">
                <w14:lumMod w14:val="95000"/>
                <w14:lumOff w14:val="5000"/>
              </w14:schemeClr>
            </w14:solidFill>
          </w14:textFill>
        </w:rPr>
        <w:sectPr>
          <w:pgSz w:w="11906" w:h="16838"/>
          <w:pgMar w:top="1701" w:right="1531" w:bottom="1701" w:left="1531" w:header="851" w:footer="851" w:gutter="0"/>
          <w:cols w:space="720" w:num="1"/>
          <w:docGrid w:linePitch="312" w:charSpace="0"/>
        </w:sectPr>
      </w:pPr>
    </w:p>
    <w:p w14:paraId="057D40CB">
      <w:pPr>
        <w:pStyle w:val="19"/>
        <w:spacing w:before="0" w:beforeAutospacing="0" w:after="0" w:afterAutospacing="0"/>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16" w:name="_Toc136522025"/>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三、区域环境质量现状、环境保护目标及评价标准</w:t>
      </w:r>
      <w:bookmarkEnd w:id="16"/>
    </w:p>
    <w:tbl>
      <w:tblPr>
        <w:tblStyle w:val="22"/>
        <w:tblW w:w="516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8594"/>
      </w:tblGrid>
      <w:tr w14:paraId="78C437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411" w:type="pct"/>
            <w:vAlign w:val="center"/>
          </w:tcPr>
          <w:p w14:paraId="312B5196">
            <w:pPr>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区域环境质量现状</w:t>
            </w:r>
          </w:p>
        </w:tc>
        <w:tc>
          <w:tcPr>
            <w:tcW w:w="4589" w:type="pct"/>
          </w:tcPr>
          <w:p w14:paraId="65E5B6EA">
            <w:pPr>
              <w:widowControl/>
              <w:adjustRightInd w:val="0"/>
              <w:snapToGrid w:val="0"/>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1.</w:t>
            </w:r>
            <w:r>
              <w:rPr>
                <w:b/>
                <w:bCs/>
                <w:color w:val="0D0D0D" w:themeColor="text1" w:themeTint="F2"/>
                <w:sz w:val="24"/>
                <w14:textFill>
                  <w14:solidFill>
                    <w14:schemeClr w14:val="tx1">
                      <w14:lumMod w14:val="95000"/>
                      <w14:lumOff w14:val="5000"/>
                    </w14:schemeClr>
                  </w14:solidFill>
                </w14:textFill>
              </w:rPr>
              <w:t>大气环境</w:t>
            </w:r>
            <w:r>
              <w:rPr>
                <w:rFonts w:hint="eastAsia"/>
                <w:b/>
                <w:bCs/>
                <w:color w:val="0D0D0D" w:themeColor="text1" w:themeTint="F2"/>
                <w:sz w:val="24"/>
                <w14:textFill>
                  <w14:solidFill>
                    <w14:schemeClr w14:val="tx1">
                      <w14:lumMod w14:val="95000"/>
                      <w14:lumOff w14:val="5000"/>
                    </w14:schemeClr>
                  </w14:solidFill>
                </w14:textFill>
              </w:rPr>
              <w:t>质量现状</w:t>
            </w:r>
          </w:p>
          <w:p w14:paraId="38A71D87">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（1）达标区判定</w:t>
            </w:r>
          </w:p>
          <w:p w14:paraId="7E249ACE">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项目所在地环境空气质量功能区为二类区</w:t>
            </w:r>
            <w:r>
              <w:rPr>
                <w:color w:val="0D0D0D" w:themeColor="text1" w:themeTint="F2"/>
                <w:sz w:val="24"/>
                <w14:textFill>
                  <w14:solidFill>
                    <w14:schemeClr w14:val="tx1">
                      <w14:lumMod w14:val="95000"/>
                      <w14:lumOff w14:val="5000"/>
                    </w14:schemeClr>
                  </w14:solidFill>
                </w14:textFill>
              </w:rPr>
              <w:t>，执行</w:t>
            </w:r>
            <w:r>
              <w:rPr>
                <w:rFonts w:hint="eastAsia"/>
                <w:color w:val="0D0D0D" w:themeColor="text1" w:themeTint="F2"/>
                <w:sz w:val="24"/>
                <w14:textFill>
                  <w14:solidFill>
                    <w14:schemeClr w14:val="tx1">
                      <w14:lumMod w14:val="95000"/>
                      <w14:lumOff w14:val="5000"/>
                    </w14:schemeClr>
                  </w14:solidFill>
                </w14:textFill>
              </w:rPr>
              <w:t>《环境空气质量标准》（GB3095-2026）过渡阶段浓度限值中的</w:t>
            </w:r>
            <w:r>
              <w:rPr>
                <w:color w:val="0D0D0D" w:themeColor="text1" w:themeTint="F2"/>
                <w:sz w:val="24"/>
                <w14:textFill>
                  <w14:solidFill>
                    <w14:schemeClr w14:val="tx1">
                      <w14:lumMod w14:val="95000"/>
                      <w14:lumOff w14:val="5000"/>
                    </w14:schemeClr>
                  </w14:solidFill>
                </w14:textFill>
              </w:rPr>
              <w:t>二级标准。</w:t>
            </w:r>
          </w:p>
          <w:p w14:paraId="5D53DE13">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w:t>
            </w:r>
            <w:r>
              <w:rPr>
                <w:color w:val="0D0D0D" w:themeColor="text1" w:themeTint="F2"/>
                <w:sz w:val="24"/>
                <w14:textFill>
                  <w14:solidFill>
                    <w14:schemeClr w14:val="tx1">
                      <w14:lumMod w14:val="95000"/>
                      <w14:lumOff w14:val="5000"/>
                    </w14:schemeClr>
                  </w14:solidFill>
                </w14:textFill>
              </w:rPr>
              <w:t>据《</w:t>
            </w:r>
            <w:r>
              <w:rPr>
                <w:rFonts w:hint="eastAsia"/>
                <w:color w:val="0D0D0D" w:themeColor="text1" w:themeTint="F2"/>
                <w:sz w:val="24"/>
                <w14:textFill>
                  <w14:solidFill>
                    <w14:schemeClr w14:val="tx1">
                      <w14:lumMod w14:val="95000"/>
                      <w14:lumOff w14:val="5000"/>
                    </w14:schemeClr>
                  </w14:solidFill>
                </w14:textFill>
              </w:rPr>
              <w:t>自治区生态环境厅关于通报2024年设区市及各县（市、区）环境空气质量的函</w:t>
            </w:r>
            <w:r>
              <w:rPr>
                <w:color w:val="0D0D0D" w:themeColor="text1" w:themeTint="F2"/>
                <w:sz w:val="24"/>
                <w14:textFill>
                  <w14:solidFill>
                    <w14:schemeClr w14:val="tx1">
                      <w14:lumMod w14:val="95000"/>
                      <w14:lumOff w14:val="5000"/>
                    </w14:schemeClr>
                  </w14:solidFill>
                </w14:textFill>
              </w:rPr>
              <w:t>》（桂环函〔202</w:t>
            </w:r>
            <w:r>
              <w:rPr>
                <w:rFonts w:hint="eastAsia"/>
                <w:color w:val="0D0D0D" w:themeColor="text1" w:themeTint="F2"/>
                <w:sz w:val="24"/>
                <w14:textFill>
                  <w14:solidFill>
                    <w14:schemeClr w14:val="tx1">
                      <w14:lumMod w14:val="95000"/>
                      <w14:lumOff w14:val="5000"/>
                    </w14:schemeClr>
                  </w14:solidFill>
                </w14:textFill>
              </w:rPr>
              <w:t>5</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66</w:t>
            </w:r>
            <w:r>
              <w:rPr>
                <w:color w:val="0D0D0D" w:themeColor="text1" w:themeTint="F2"/>
                <w:sz w:val="24"/>
                <w14:textFill>
                  <w14:solidFill>
                    <w14:schemeClr w14:val="tx1">
                      <w14:lumMod w14:val="95000"/>
                      <w14:lumOff w14:val="5000"/>
                    </w14:schemeClr>
                  </w14:solidFill>
                </w14:textFill>
              </w:rPr>
              <w:t>号），</w:t>
            </w:r>
            <w:r>
              <w:rPr>
                <w:rFonts w:hint="eastAsia"/>
                <w:color w:val="0D0D0D" w:themeColor="text1" w:themeTint="F2"/>
                <w:sz w:val="24"/>
                <w14:textFill>
                  <w14:solidFill>
                    <w14:schemeClr w14:val="tx1">
                      <w14:lumMod w14:val="95000"/>
                      <w14:lumOff w14:val="5000"/>
                    </w14:schemeClr>
                  </w14:solidFill>
                </w14:textFill>
              </w:rPr>
              <w:t>钦州市</w:t>
            </w:r>
            <w:r>
              <w:rPr>
                <w:color w:val="0D0D0D" w:themeColor="text1" w:themeTint="F2"/>
                <w:sz w:val="24"/>
                <w14:textFill>
                  <w14:solidFill>
                    <w14:schemeClr w14:val="tx1">
                      <w14:lumMod w14:val="95000"/>
                      <w14:lumOff w14:val="5000"/>
                    </w14:schemeClr>
                  </w14:solidFill>
                </w14:textFill>
              </w:rPr>
              <w:t>基本污染物环境空气质量情况</w:t>
            </w:r>
            <w:r>
              <w:rPr>
                <w:rFonts w:hint="eastAsia"/>
                <w:color w:val="0D0D0D" w:themeColor="text1" w:themeTint="F2"/>
                <w:sz w:val="24"/>
                <w14:textFill>
                  <w14:solidFill>
                    <w14:schemeClr w14:val="tx1">
                      <w14:lumMod w14:val="95000"/>
                      <w14:lumOff w14:val="5000"/>
                    </w14:schemeClr>
                  </w14:solidFill>
                </w14:textFill>
              </w:rPr>
              <w:t>详见</w:t>
            </w:r>
            <w:r>
              <w:rPr>
                <w:color w:val="0D0D0D" w:themeColor="text1" w:themeTint="F2"/>
                <w:sz w:val="24"/>
                <w14:textFill>
                  <w14:solidFill>
                    <w14:schemeClr w14:val="tx1">
                      <w14:lumMod w14:val="95000"/>
                      <w14:lumOff w14:val="5000"/>
                    </w14:schemeClr>
                  </w14:solidFill>
                </w14:textFill>
              </w:rPr>
              <w:t>表</w:t>
            </w:r>
            <w:r>
              <w:rPr>
                <w:rFonts w:hint="eastAsia"/>
                <w:color w:val="0D0D0D" w:themeColor="text1" w:themeTint="F2"/>
                <w:sz w:val="24"/>
                <w14:textFill>
                  <w14:solidFill>
                    <w14:schemeClr w14:val="tx1">
                      <w14:lumMod w14:val="95000"/>
                      <w14:lumOff w14:val="5000"/>
                    </w14:schemeClr>
                  </w14:solidFill>
                </w14:textFill>
              </w:rPr>
              <w:t>3</w:t>
            </w:r>
            <w:r>
              <w:rPr>
                <w:color w:val="0D0D0D" w:themeColor="text1" w:themeTint="F2"/>
                <w:sz w:val="24"/>
                <w14:textFill>
                  <w14:solidFill>
                    <w14:schemeClr w14:val="tx1">
                      <w14:lumMod w14:val="95000"/>
                      <w14:lumOff w14:val="5000"/>
                    </w14:schemeClr>
                  </w14:solidFill>
                </w14:textFill>
              </w:rPr>
              <w:t>-1。</w:t>
            </w:r>
          </w:p>
          <w:p w14:paraId="757B67E0">
            <w:pPr>
              <w:spacing w:after="0"/>
              <w:ind w:firstLine="422" w:firstLineChars="200"/>
              <w:jc w:val="center"/>
              <w:rPr>
                <w:b/>
                <w:bCs/>
                <w:color w:val="0D0D0D" w:themeColor="text1" w:themeTint="F2"/>
                <w:szCs w:val="21"/>
                <w14:textFill>
                  <w14:solidFill>
                    <w14:schemeClr w14:val="tx1">
                      <w14:lumMod w14:val="95000"/>
                      <w14:lumOff w14:val="5000"/>
                    </w14:schemeClr>
                  </w14:solidFill>
                </w14:textFill>
              </w:rPr>
            </w:pPr>
            <w:r>
              <w:rPr>
                <w:b/>
                <w:bCs/>
                <w:color w:val="0D0D0D" w:themeColor="text1" w:themeTint="F2"/>
                <w:szCs w:val="21"/>
                <w14:textFill>
                  <w14:solidFill>
                    <w14:schemeClr w14:val="tx1">
                      <w14:lumMod w14:val="95000"/>
                      <w14:lumOff w14:val="5000"/>
                    </w14:schemeClr>
                  </w14:solidFill>
                </w14:textFill>
              </w:rPr>
              <w:t xml:space="preserve">表3-1  </w:t>
            </w:r>
            <w:r>
              <w:rPr>
                <w:rFonts w:hint="eastAsia"/>
                <w:b/>
                <w:bCs/>
                <w:color w:val="0D0D0D" w:themeColor="text1" w:themeTint="F2"/>
                <w:szCs w:val="21"/>
                <w14:textFill>
                  <w14:solidFill>
                    <w14:schemeClr w14:val="tx1">
                      <w14:lumMod w14:val="95000"/>
                      <w14:lumOff w14:val="5000"/>
                    </w14:schemeClr>
                  </w14:solidFill>
                </w14:textFill>
              </w:rPr>
              <w:t>区域空气质量现状评价表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3149"/>
              <w:gridCol w:w="1192"/>
              <w:gridCol w:w="1192"/>
              <w:gridCol w:w="874"/>
              <w:gridCol w:w="1088"/>
            </w:tblGrid>
            <w:tr w14:paraId="6F58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vAlign w:val="center"/>
                </w:tcPr>
                <w:p w14:paraId="1A4CE89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82" w:type="pct"/>
                  <w:vAlign w:val="center"/>
                </w:tcPr>
                <w:p w14:paraId="13830DF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2C66245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7E0EB1F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2" w:type="pct"/>
                  <w:vAlign w:val="center"/>
                </w:tcPr>
                <w:p w14:paraId="78D9373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50" w:type="pct"/>
                  <w:vAlign w:val="center"/>
                </w:tcPr>
                <w:p w14:paraId="40289139">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33BF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vAlign w:val="center"/>
                </w:tcPr>
                <w:p w14:paraId="21E7EB0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82" w:type="pct"/>
                  <w:vAlign w:val="center"/>
                </w:tcPr>
                <w:p w14:paraId="593103B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4867C9C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50B5031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2" w:type="pct"/>
                  <w:vAlign w:val="center"/>
                </w:tcPr>
                <w:p w14:paraId="4B44E98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50" w:type="pct"/>
                  <w:vAlign w:val="center"/>
                </w:tcPr>
                <w:p w14:paraId="2DC03EF5">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70E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vAlign w:val="center"/>
                </w:tcPr>
                <w:p w14:paraId="6FB5F72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82" w:type="pct"/>
                  <w:vAlign w:val="center"/>
                </w:tcPr>
                <w:p w14:paraId="32D6D52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76BB1D8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03692D1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2" w:type="pct"/>
                  <w:vAlign w:val="center"/>
                </w:tcPr>
                <w:p w14:paraId="74F2E1C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50" w:type="pct"/>
                  <w:vAlign w:val="center"/>
                </w:tcPr>
                <w:p w14:paraId="24CC921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9045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vAlign w:val="center"/>
                </w:tcPr>
                <w:p w14:paraId="5EC9348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82" w:type="pct"/>
                  <w:vAlign w:val="center"/>
                </w:tcPr>
                <w:p w14:paraId="67F00BF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7F07A0B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62ACE60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2" w:type="pct"/>
                  <w:vAlign w:val="center"/>
                </w:tcPr>
                <w:p w14:paraId="1E0206F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50" w:type="pct"/>
                  <w:vAlign w:val="center"/>
                </w:tcPr>
                <w:p w14:paraId="4ED12850">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90AA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vAlign w:val="center"/>
                </w:tcPr>
                <w:p w14:paraId="46FBDE2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82" w:type="pct"/>
                  <w:vAlign w:val="center"/>
                </w:tcPr>
                <w:p w14:paraId="47854E7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601FE0B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41FD33E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2" w:type="pct"/>
                  <w:vAlign w:val="center"/>
                </w:tcPr>
                <w:p w14:paraId="29BE350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50" w:type="pct"/>
                  <w:vAlign w:val="center"/>
                </w:tcPr>
                <w:p w14:paraId="0105729D">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C087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vAlign w:val="center"/>
                </w:tcPr>
                <w:p w14:paraId="39391D0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82" w:type="pct"/>
                  <w:vAlign w:val="center"/>
                </w:tcPr>
                <w:p w14:paraId="5F1C278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5626566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17CD121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2" w:type="pct"/>
                  <w:vAlign w:val="center"/>
                </w:tcPr>
                <w:p w14:paraId="313B0AE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50" w:type="pct"/>
                  <w:vAlign w:val="center"/>
                </w:tcPr>
                <w:p w14:paraId="411E8CB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4115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vAlign w:val="center"/>
                </w:tcPr>
                <w:p w14:paraId="7B27847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882" w:type="pct"/>
                  <w:vAlign w:val="center"/>
                </w:tcPr>
                <w:p w14:paraId="3611E36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674EEC4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2" w:type="pct"/>
                  <w:vAlign w:val="center"/>
                </w:tcPr>
                <w:p w14:paraId="59CAEFD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22" w:type="pct"/>
                  <w:vAlign w:val="center"/>
                </w:tcPr>
                <w:p w14:paraId="595F6CE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650" w:type="pct"/>
                  <w:vAlign w:val="center"/>
                </w:tcPr>
                <w:p w14:paraId="3CE1F8C4">
                  <w:pPr>
                    <w:spacing w:after="0" w:line="240" w:lineRule="auto"/>
                    <w:jc w:val="center"/>
                    <w:rPr>
                      <w:color w:val="0D0D0D" w:themeColor="text1" w:themeTint="F2"/>
                      <w:szCs w:val="21"/>
                      <w14:textFill>
                        <w14:solidFill>
                          <w14:schemeClr w14:val="tx1">
                            <w14:lumMod w14:val="95000"/>
                            <w14:lumOff w14:val="5000"/>
                          </w14:schemeClr>
                        </w14:solidFill>
                      </w14:textFill>
                    </w:rPr>
                  </w:pPr>
                </w:p>
              </w:tc>
            </w:tr>
          </w:tbl>
          <w:p w14:paraId="67D1DF7E">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由上表可知，</w:t>
            </w:r>
            <w:r>
              <w:rPr>
                <w:color w:val="0D0D0D" w:themeColor="text1" w:themeTint="F2"/>
                <w:sz w:val="24"/>
                <w14:textFill>
                  <w14:solidFill>
                    <w14:schemeClr w14:val="tx1">
                      <w14:lumMod w14:val="95000"/>
                      <w14:lumOff w14:val="5000"/>
                    </w14:schemeClr>
                  </w14:solidFill>
                </w14:textFill>
              </w:rPr>
              <w:t>202</w:t>
            </w:r>
            <w:r>
              <w:rPr>
                <w:rFonts w:hint="eastAsia"/>
                <w:color w:val="0D0D0D" w:themeColor="text1" w:themeTint="F2"/>
                <w:sz w:val="24"/>
                <w14:textFill>
                  <w14:solidFill>
                    <w14:schemeClr w14:val="tx1">
                      <w14:lumMod w14:val="95000"/>
                      <w14:lumOff w14:val="5000"/>
                    </w14:schemeClr>
                  </w14:solidFill>
                </w14:textFill>
              </w:rPr>
              <w:t>4年钦州市大气基本污染物</w:t>
            </w:r>
            <w:r>
              <w:rPr>
                <w:color w:val="0D0D0D" w:themeColor="text1" w:themeTint="F2"/>
                <w:sz w:val="24"/>
                <w14:textFill>
                  <w14:solidFill>
                    <w14:schemeClr w14:val="tx1">
                      <w14:lumMod w14:val="95000"/>
                      <w14:lumOff w14:val="5000"/>
                    </w14:schemeClr>
                  </w14:solidFill>
                </w14:textFill>
              </w:rPr>
              <w:t>SO</w:t>
            </w:r>
            <w:r>
              <w:rPr>
                <w:color w:val="0D0D0D" w:themeColor="text1" w:themeTint="F2"/>
                <w:sz w:val="24"/>
                <w:vertAlign w:val="sub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NO</w:t>
            </w:r>
            <w:r>
              <w:rPr>
                <w:color w:val="0D0D0D" w:themeColor="text1" w:themeTint="F2"/>
                <w:sz w:val="24"/>
                <w:vertAlign w:val="sub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PM</w:t>
            </w:r>
            <w:r>
              <w:rPr>
                <w:color w:val="0D0D0D" w:themeColor="text1" w:themeTint="F2"/>
                <w:sz w:val="24"/>
                <w:vertAlign w:val="subscript"/>
                <w14:textFill>
                  <w14:solidFill>
                    <w14:schemeClr w14:val="tx1">
                      <w14:lumMod w14:val="95000"/>
                      <w14:lumOff w14:val="5000"/>
                    </w14:schemeClr>
                  </w14:solidFill>
                </w14:textFill>
              </w:rPr>
              <w:t>10</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PM</w:t>
            </w:r>
            <w:r>
              <w:rPr>
                <w:color w:val="0D0D0D" w:themeColor="text1" w:themeTint="F2"/>
                <w:sz w:val="24"/>
                <w:vertAlign w:val="subscript"/>
                <w14:textFill>
                  <w14:solidFill>
                    <w14:schemeClr w14:val="tx1">
                      <w14:lumMod w14:val="95000"/>
                      <w14:lumOff w14:val="5000"/>
                    </w14:schemeClr>
                  </w14:solidFill>
                </w14:textFill>
              </w:rPr>
              <w:t>2.5</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CO</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O</w:t>
            </w:r>
            <w:r>
              <w:rPr>
                <w:color w:val="0D0D0D" w:themeColor="text1" w:themeTint="F2"/>
                <w:sz w:val="24"/>
                <w:vertAlign w:val="subscript"/>
                <w14:textFill>
                  <w14:solidFill>
                    <w14:schemeClr w14:val="tx1">
                      <w14:lumMod w14:val="95000"/>
                      <w14:lumOff w14:val="5000"/>
                    </w14:schemeClr>
                  </w14:solidFill>
                </w14:textFill>
              </w:rPr>
              <w:t>3</w:t>
            </w:r>
            <w:r>
              <w:rPr>
                <w:rFonts w:hint="eastAsia"/>
                <w:color w:val="0D0D0D" w:themeColor="text1" w:themeTint="F2"/>
                <w:sz w:val="24"/>
                <w14:textFill>
                  <w14:solidFill>
                    <w14:schemeClr w14:val="tx1">
                      <w14:lumMod w14:val="95000"/>
                      <w14:lumOff w14:val="5000"/>
                    </w14:schemeClr>
                  </w14:solidFill>
                </w14:textFill>
              </w:rPr>
              <w:t>的年评价指标均满足《环境空气质量标准》（GB3095-2026）过渡阶段浓度限值中的</w:t>
            </w:r>
            <w:r>
              <w:rPr>
                <w:color w:val="0D0D0D" w:themeColor="text1" w:themeTint="F2"/>
                <w:sz w:val="24"/>
                <w14:textFill>
                  <w14:solidFill>
                    <w14:schemeClr w14:val="tx1">
                      <w14:lumMod w14:val="95000"/>
                      <w14:lumOff w14:val="5000"/>
                    </w14:schemeClr>
                  </w14:solidFill>
                </w14:textFill>
              </w:rPr>
              <w:t>二级标准</w:t>
            </w:r>
            <w:r>
              <w:rPr>
                <w:rFonts w:hint="eastAsia"/>
                <w:color w:val="0D0D0D" w:themeColor="text1" w:themeTint="F2"/>
                <w:sz w:val="24"/>
                <w14:textFill>
                  <w14:solidFill>
                    <w14:schemeClr w14:val="tx1">
                      <w14:lumMod w14:val="95000"/>
                      <w14:lumOff w14:val="5000"/>
                    </w14:schemeClr>
                  </w14:solidFill>
                </w14:textFill>
              </w:rPr>
              <w:t>。因此，项目所在区域</w:t>
            </w:r>
            <w:r>
              <w:rPr>
                <w:color w:val="0D0D0D" w:themeColor="text1" w:themeTint="F2"/>
                <w:sz w:val="24"/>
                <w14:textFill>
                  <w14:solidFill>
                    <w14:schemeClr w14:val="tx1">
                      <w14:lumMod w14:val="95000"/>
                      <w14:lumOff w14:val="5000"/>
                    </w14:schemeClr>
                  </w14:solidFill>
                </w14:textFill>
              </w:rPr>
              <w:t>属于达标区</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区域环境空气质量</w:t>
            </w:r>
            <w:r>
              <w:rPr>
                <w:rFonts w:hint="eastAsia"/>
                <w:color w:val="0D0D0D" w:themeColor="text1" w:themeTint="F2"/>
                <w:sz w:val="24"/>
                <w14:textFill>
                  <w14:solidFill>
                    <w14:schemeClr w14:val="tx1">
                      <w14:lumMod w14:val="95000"/>
                      <w14:lumOff w14:val="5000"/>
                    </w14:schemeClr>
                  </w14:solidFill>
                </w14:textFill>
              </w:rPr>
              <w:t>良好</w:t>
            </w:r>
            <w:r>
              <w:rPr>
                <w:color w:val="0D0D0D" w:themeColor="text1" w:themeTint="F2"/>
                <w:sz w:val="24"/>
                <w14:textFill>
                  <w14:solidFill>
                    <w14:schemeClr w14:val="tx1">
                      <w14:lumMod w14:val="95000"/>
                      <w14:lumOff w14:val="5000"/>
                    </w14:schemeClr>
                  </w14:solidFill>
                </w14:textFill>
              </w:rPr>
              <w:t>。</w:t>
            </w:r>
          </w:p>
          <w:p w14:paraId="7977D922">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（2）其他污染物现状调查</w:t>
            </w:r>
          </w:p>
          <w:p w14:paraId="05D1F0EE">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大气污染物特征因子为颗粒物、挥发性有机废气（本次评价以非甲烷总烃表征）、苯系物（本次评价以二甲苯表征）和异味（本次评价以臭气浓度表征）。根据《建设项目环境影响报告表编制技术指南》（污染影响类）（试行）中的区域大气环境质量现状要求，为了解项目区域大气特征污染物的环境质量现状，本次评价引用</w:t>
            </w:r>
            <w:bookmarkStart w:id="17" w:name="OLE_LINK18"/>
            <w:r>
              <w:rPr>
                <w:rFonts w:hint="eastAsia"/>
                <w:color w:val="0D0D0D" w:themeColor="text1" w:themeTint="F2"/>
                <w:sz w:val="24"/>
                <w14:textFill>
                  <w14:solidFill>
                    <w14:schemeClr w14:val="tx1">
                      <w14:lumMod w14:val="95000"/>
                      <w14:lumOff w14:val="5000"/>
                    </w14:schemeClr>
                  </w14:solidFill>
                </w14:textFill>
              </w:rPr>
              <w:t>《台湾见龙钦州高端聚苯乙烯新材料项目检测报告》</w:t>
            </w:r>
            <w:bookmarkEnd w:id="17"/>
            <w:r>
              <w:rPr>
                <w:rFonts w:hint="eastAsia"/>
                <w:color w:val="0D0D0D" w:themeColor="text1" w:themeTint="F2"/>
                <w:sz w:val="24"/>
                <w14:textFill>
                  <w14:solidFill>
                    <w14:schemeClr w14:val="tx1">
                      <w14:lumMod w14:val="95000"/>
                      <w14:lumOff w14:val="5000"/>
                    </w14:schemeClr>
                  </w14:solidFill>
                </w14:textFill>
              </w:rPr>
              <w:t>（广西恒沁检测科技有限公司，2025年2月）中的G2监测点现状</w:t>
            </w:r>
            <w:r>
              <w:rPr>
                <w:color w:val="0D0D0D" w:themeColor="text1" w:themeTint="F2"/>
                <w:sz w:val="24"/>
                <w14:textFill>
                  <w14:solidFill>
                    <w14:schemeClr w14:val="tx1">
                      <w14:lumMod w14:val="95000"/>
                      <w14:lumOff w14:val="5000"/>
                    </w14:schemeClr>
                  </w14:solidFill>
                </w14:textFill>
              </w:rPr>
              <w:t>监测数据</w:t>
            </w:r>
            <w:r>
              <w:rPr>
                <w:rFonts w:hint="eastAsia"/>
                <w:color w:val="0D0D0D" w:themeColor="text1" w:themeTint="F2"/>
                <w:sz w:val="24"/>
                <w14:textFill>
                  <w14:solidFill>
                    <w14:schemeClr w14:val="tx1">
                      <w14:lumMod w14:val="95000"/>
                      <w14:lumOff w14:val="5000"/>
                    </w14:schemeClr>
                  </w14:solidFill>
                </w14:textFill>
              </w:rPr>
              <w:t>进行分析说明</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引用项目</w:t>
            </w:r>
            <w:r>
              <w:rPr>
                <w:color w:val="0D0D0D" w:themeColor="text1" w:themeTint="F2"/>
                <w:sz w:val="24"/>
                <w14:textFill>
                  <w14:solidFill>
                    <w14:schemeClr w14:val="tx1">
                      <w14:lumMod w14:val="95000"/>
                      <w14:lumOff w14:val="5000"/>
                    </w14:schemeClr>
                  </w14:solidFill>
                </w14:textFill>
              </w:rPr>
              <w:t>监测时间为202</w:t>
            </w:r>
            <w:r>
              <w:rPr>
                <w:rFonts w:hint="eastAsia"/>
                <w:color w:val="0D0D0D" w:themeColor="text1" w:themeTint="F2"/>
                <w:sz w:val="24"/>
                <w14:textFill>
                  <w14:solidFill>
                    <w14:schemeClr w14:val="tx1">
                      <w14:lumMod w14:val="95000"/>
                      <w14:lumOff w14:val="5000"/>
                    </w14:schemeClr>
                  </w14:solidFill>
                </w14:textFill>
              </w:rPr>
              <w:t>5</w:t>
            </w:r>
            <w:r>
              <w:rPr>
                <w:color w:val="0D0D0D" w:themeColor="text1" w:themeTint="F2"/>
                <w:sz w:val="24"/>
                <w14:textFill>
                  <w14:solidFill>
                    <w14:schemeClr w14:val="tx1">
                      <w14:lumMod w14:val="95000"/>
                      <w14:lumOff w14:val="5000"/>
                    </w14:schemeClr>
                  </w14:solidFill>
                </w14:textFill>
              </w:rPr>
              <w:t>年</w:t>
            </w:r>
            <w:r>
              <w:rPr>
                <w:rFonts w:hint="eastAsia"/>
                <w:color w:val="0D0D0D" w:themeColor="text1" w:themeTint="F2"/>
                <w:sz w:val="24"/>
                <w14:textFill>
                  <w14:solidFill>
                    <w14:schemeClr w14:val="tx1">
                      <w14:lumMod w14:val="95000"/>
                      <w14:lumOff w14:val="5000"/>
                    </w14:schemeClr>
                  </w14:solidFill>
                </w14:textFill>
              </w:rPr>
              <w:t>2</w:t>
            </w:r>
            <w:r>
              <w:rPr>
                <w:color w:val="0D0D0D" w:themeColor="text1" w:themeTint="F2"/>
                <w:sz w:val="24"/>
                <w14:textFill>
                  <w14:solidFill>
                    <w14:schemeClr w14:val="tx1">
                      <w14:lumMod w14:val="95000"/>
                      <w14:lumOff w14:val="5000"/>
                    </w14:schemeClr>
                  </w14:solidFill>
                </w14:textFill>
              </w:rPr>
              <w:t>月</w:t>
            </w:r>
            <w:r>
              <w:rPr>
                <w:rFonts w:hint="eastAsia"/>
                <w:color w:val="0D0D0D" w:themeColor="text1" w:themeTint="F2"/>
                <w:sz w:val="24"/>
                <w14:textFill>
                  <w14:solidFill>
                    <w14:schemeClr w14:val="tx1">
                      <w14:lumMod w14:val="95000"/>
                      <w14:lumOff w14:val="5000"/>
                    </w14:schemeClr>
                  </w14:solidFill>
                </w14:textFill>
              </w:rPr>
              <w:t>17</w:t>
            </w:r>
            <w:r>
              <w:rPr>
                <w:color w:val="0D0D0D" w:themeColor="text1" w:themeTint="F2"/>
                <w:sz w:val="24"/>
                <w14:textFill>
                  <w14:solidFill>
                    <w14:schemeClr w14:val="tx1">
                      <w14:lumMod w14:val="95000"/>
                      <w14:lumOff w14:val="5000"/>
                    </w14:schemeClr>
                  </w14:solidFill>
                </w14:textFill>
              </w:rPr>
              <w:t>日</w:t>
            </w:r>
            <w:r>
              <w:rPr>
                <w:rFonts w:hint="eastAsia"/>
                <w:color w:val="0D0D0D" w:themeColor="text1" w:themeTint="F2"/>
                <w:sz w:val="24"/>
                <w14:textFill>
                  <w14:solidFill>
                    <w14:schemeClr w14:val="tx1">
                      <w14:lumMod w14:val="95000"/>
                      <w14:lumOff w14:val="5000"/>
                    </w14:schemeClr>
                  </w14:solidFill>
                </w14:textFill>
              </w:rPr>
              <w:t>-2025年2</w:t>
            </w:r>
            <w:r>
              <w:rPr>
                <w:color w:val="0D0D0D" w:themeColor="text1" w:themeTint="F2"/>
                <w:sz w:val="24"/>
                <w14:textFill>
                  <w14:solidFill>
                    <w14:schemeClr w14:val="tx1">
                      <w14:lumMod w14:val="95000"/>
                      <w14:lumOff w14:val="5000"/>
                    </w14:schemeClr>
                  </w14:solidFill>
                </w14:textFill>
              </w:rPr>
              <w:t>月</w:t>
            </w:r>
            <w:r>
              <w:rPr>
                <w:rFonts w:hint="eastAsia"/>
                <w:color w:val="0D0D0D" w:themeColor="text1" w:themeTint="F2"/>
                <w:sz w:val="24"/>
                <w14:textFill>
                  <w14:solidFill>
                    <w14:schemeClr w14:val="tx1">
                      <w14:lumMod w14:val="95000"/>
                      <w14:lumOff w14:val="5000"/>
                    </w14:schemeClr>
                  </w14:solidFill>
                </w14:textFill>
              </w:rPr>
              <w:t>23</w:t>
            </w:r>
            <w:r>
              <w:rPr>
                <w:color w:val="0D0D0D" w:themeColor="text1" w:themeTint="F2"/>
                <w:sz w:val="24"/>
                <w14:textFill>
                  <w14:solidFill>
                    <w14:schemeClr w14:val="tx1">
                      <w14:lumMod w14:val="95000"/>
                      <w14:lumOff w14:val="5000"/>
                    </w14:schemeClr>
                  </w14:solidFill>
                </w14:textFill>
              </w:rPr>
              <w:t>日，所引用的监测点位于本项目西</w:t>
            </w:r>
            <w:r>
              <w:rPr>
                <w:rFonts w:hint="eastAsia"/>
                <w:color w:val="0D0D0D" w:themeColor="text1" w:themeTint="F2"/>
                <w:sz w:val="24"/>
                <w14:textFill>
                  <w14:solidFill>
                    <w14:schemeClr w14:val="tx1">
                      <w14:lumMod w14:val="95000"/>
                      <w14:lumOff w14:val="5000"/>
                    </w14:schemeClr>
                  </w14:solidFill>
                </w14:textFill>
              </w:rPr>
              <w:t>北</w:t>
            </w:r>
            <w:r>
              <w:rPr>
                <w:color w:val="0D0D0D" w:themeColor="text1" w:themeTint="F2"/>
                <w:sz w:val="24"/>
                <w14:textFill>
                  <w14:solidFill>
                    <w14:schemeClr w14:val="tx1">
                      <w14:lumMod w14:val="95000"/>
                      <w14:lumOff w14:val="5000"/>
                    </w14:schemeClr>
                  </w14:solidFill>
                </w14:textFill>
              </w:rPr>
              <w:t>面</w:t>
            </w:r>
            <w:r>
              <w:rPr>
                <w:rFonts w:hint="eastAsia"/>
                <w:color w:val="0D0D0D" w:themeColor="text1" w:themeTint="F2"/>
                <w:sz w:val="24"/>
                <w14:textFill>
                  <w14:solidFill>
                    <w14:schemeClr w14:val="tx1">
                      <w14:lumMod w14:val="95000"/>
                      <w14:lumOff w14:val="5000"/>
                    </w14:schemeClr>
                  </w14:solidFill>
                </w14:textFill>
              </w:rPr>
              <w:t>3.60</w:t>
            </w:r>
            <w:r>
              <w:rPr>
                <w:color w:val="0D0D0D" w:themeColor="text1" w:themeTint="F2"/>
                <w:sz w:val="24"/>
                <w14:textFill>
                  <w14:solidFill>
                    <w14:schemeClr w14:val="tx1">
                      <w14:lumMod w14:val="95000"/>
                      <w14:lumOff w14:val="5000"/>
                    </w14:schemeClr>
                  </w14:solidFill>
                </w14:textFill>
              </w:rPr>
              <w:t>km处，</w:t>
            </w:r>
            <w:r>
              <w:rPr>
                <w:rFonts w:hint="eastAsia"/>
                <w:color w:val="0D0D0D" w:themeColor="text1" w:themeTint="F2"/>
                <w:sz w:val="24"/>
                <w14:textFill>
                  <w14:solidFill>
                    <w14:schemeClr w14:val="tx1">
                      <w14:lumMod w14:val="95000"/>
                      <w14:lumOff w14:val="5000"/>
                    </w14:schemeClr>
                  </w14:solidFill>
                </w14:textFill>
              </w:rPr>
              <w:t>不超过5km</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数据引用符合编制技术指南要求</w:t>
            </w:r>
            <w:r>
              <w:rPr>
                <w:color w:val="0D0D0D" w:themeColor="text1" w:themeTint="F2"/>
                <w:sz w:val="24"/>
                <w14:textFill>
                  <w14:solidFill>
                    <w14:schemeClr w14:val="tx1">
                      <w14:lumMod w14:val="95000"/>
                      <w14:lumOff w14:val="5000"/>
                    </w14:schemeClr>
                  </w14:solidFill>
                </w14:textFill>
              </w:rPr>
              <w:t>。</w:t>
            </w:r>
          </w:p>
          <w:p w14:paraId="62148C70">
            <w:pPr>
              <w:pStyle w:val="50"/>
              <w:spacing w:after="0" w:line="360" w:lineRule="auto"/>
              <w:ind w:firstLine="480"/>
              <w:jc w:val="both"/>
              <w:rPr>
                <w:rFonts w:ascii="Times New Roman" w:hAnsi="Times New Roman"/>
                <w:color w:val="0D0D0D" w:themeColor="text1" w:themeTint="F2"/>
                <w:szCs w:val="24"/>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Cs w:val="24"/>
                <w:lang w:eastAsia="zh-CN"/>
                <w14:textFill>
                  <w14:solidFill>
                    <w14:schemeClr w14:val="tx1">
                      <w14:lumMod w14:val="95000"/>
                      <w14:lumOff w14:val="5000"/>
                    </w14:schemeClr>
                  </w14:solidFill>
                </w14:textFill>
              </w:rPr>
              <w:t>项目引用监测点位信息详见表3</w:t>
            </w:r>
            <w:r>
              <w:rPr>
                <w:rFonts w:ascii="Times New Roman" w:hAnsi="Times New Roman"/>
                <w:color w:val="0D0D0D" w:themeColor="text1" w:themeTint="F2"/>
                <w:szCs w:val="24"/>
                <w:lang w:eastAsia="zh-CN"/>
                <w14:textFill>
                  <w14:solidFill>
                    <w14:schemeClr w14:val="tx1">
                      <w14:lumMod w14:val="95000"/>
                      <w14:lumOff w14:val="5000"/>
                    </w14:schemeClr>
                  </w14:solidFill>
                </w14:textFill>
              </w:rPr>
              <w:t>-2</w:t>
            </w:r>
            <w:r>
              <w:rPr>
                <w:rFonts w:hint="eastAsia" w:ascii="Times New Roman" w:hAnsi="Times New Roman"/>
                <w:color w:val="0D0D0D" w:themeColor="text1" w:themeTint="F2"/>
                <w:szCs w:val="24"/>
                <w:lang w:eastAsia="zh-CN"/>
                <w14:textFill>
                  <w14:solidFill>
                    <w14:schemeClr w14:val="tx1">
                      <w14:lumMod w14:val="95000"/>
                      <w14:lumOff w14:val="5000"/>
                    </w14:schemeClr>
                  </w14:solidFill>
                </w14:textFill>
              </w:rPr>
              <w:t>，监测及评价结果详见表3-3。</w:t>
            </w:r>
          </w:p>
          <w:p w14:paraId="495C8472">
            <w:pPr>
              <w:pStyle w:val="50"/>
              <w:spacing w:after="0" w:line="240" w:lineRule="auto"/>
              <w:ind w:firstLine="0" w:firstLineChars="0"/>
              <w:jc w:val="cente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表3</w:t>
            </w:r>
            <w: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 xml:space="preserve">-2  </w:t>
            </w: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引用点位基本信息表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818"/>
              <w:gridCol w:w="1237"/>
              <w:gridCol w:w="1859"/>
              <w:gridCol w:w="854"/>
              <w:gridCol w:w="1058"/>
            </w:tblGrid>
            <w:tr w14:paraId="75E89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2" w:type="pct"/>
                  <w:vAlign w:val="center"/>
                </w:tcPr>
                <w:p w14:paraId="7D51E87F">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1086" w:type="pct"/>
                  <w:vAlign w:val="center"/>
                </w:tcPr>
                <w:p w14:paraId="4A513D3B">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39" w:type="pct"/>
                  <w:vAlign w:val="center"/>
                </w:tcPr>
                <w:p w14:paraId="29A6EC42">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1111" w:type="pct"/>
                  <w:vAlign w:val="center"/>
                </w:tcPr>
                <w:p w14:paraId="03C26211">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510" w:type="pct"/>
                  <w:vAlign w:val="center"/>
                </w:tcPr>
                <w:p w14:paraId="5338E198">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632" w:type="pct"/>
                  <w:vAlign w:val="center"/>
                </w:tcPr>
                <w:p w14:paraId="48335FA2">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r w14:paraId="25887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2" w:type="pct"/>
                  <w:vAlign w:val="center"/>
                </w:tcPr>
                <w:p w14:paraId="7692295A">
                  <w:pPr>
                    <w:pStyle w:val="50"/>
                    <w:spacing w:after="0" w:line="240" w:lineRule="auto"/>
                    <w:ind w:firstLine="0" w:firstLineChars="0"/>
                    <w:jc w:val="both"/>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1086" w:type="pct"/>
                  <w:vAlign w:val="center"/>
                </w:tcPr>
                <w:p w14:paraId="60495E4D">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39" w:type="pct"/>
                  <w:vAlign w:val="center"/>
                </w:tcPr>
                <w:p w14:paraId="79B38C82">
                  <w:pPr>
                    <w:pStyle w:val="50"/>
                    <w:spacing w:after="0" w:line="240" w:lineRule="auto"/>
                    <w:ind w:firstLine="0" w:firstLineChars="0"/>
                    <w:jc w:val="both"/>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1111" w:type="pct"/>
                  <w:vAlign w:val="center"/>
                </w:tcPr>
                <w:p w14:paraId="78223D93">
                  <w:pPr>
                    <w:pStyle w:val="50"/>
                    <w:spacing w:after="0" w:line="240" w:lineRule="auto"/>
                    <w:ind w:firstLine="0" w:firstLineChars="0"/>
                    <w:jc w:val="both"/>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510" w:type="pct"/>
                  <w:vAlign w:val="center"/>
                </w:tcPr>
                <w:p w14:paraId="54A13566">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632" w:type="pct"/>
                  <w:vAlign w:val="center"/>
                </w:tcPr>
                <w:p w14:paraId="478A73C7">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bl>
          <w:p w14:paraId="0067BD80">
            <w:pPr>
              <w:pStyle w:val="50"/>
              <w:spacing w:after="0" w:line="240" w:lineRule="auto"/>
              <w:ind w:firstLine="0" w:firstLineChars="0"/>
              <w:jc w:val="cente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表3</w:t>
            </w:r>
            <w: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 xml:space="preserve">-3  </w:t>
            </w: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引用监测数据结果表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1386"/>
              <w:gridCol w:w="546"/>
              <w:gridCol w:w="1274"/>
              <w:gridCol w:w="1310"/>
              <w:gridCol w:w="1168"/>
              <w:gridCol w:w="931"/>
              <w:gridCol w:w="597"/>
            </w:tblGrid>
            <w:tr w14:paraId="2DCFA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Align w:val="center"/>
                </w:tcPr>
                <w:p w14:paraId="26DD8210">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828" w:type="pct"/>
                  <w:vAlign w:val="center"/>
                </w:tcPr>
                <w:p w14:paraId="1AD359E3">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26" w:type="pct"/>
                  <w:vAlign w:val="center"/>
                </w:tcPr>
                <w:p w14:paraId="6AD0E185">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61" w:type="pct"/>
                  <w:vAlign w:val="center"/>
                </w:tcPr>
                <w:p w14:paraId="4C244384">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vAlign w:val="center"/>
                </w:tcPr>
                <w:p w14:paraId="5768861A">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698" w:type="pct"/>
                  <w:vAlign w:val="center"/>
                </w:tcPr>
                <w:p w14:paraId="5FED675D">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556" w:type="pct"/>
                  <w:vAlign w:val="center"/>
                </w:tcPr>
                <w:p w14:paraId="31A34569">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57" w:type="pct"/>
                  <w:vAlign w:val="center"/>
                </w:tcPr>
                <w:p w14:paraId="5FAA92D4">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r w14:paraId="24EF2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Merge w:val="restart"/>
                  <w:vAlign w:val="center"/>
                </w:tcPr>
                <w:p w14:paraId="12207026">
                  <w:pPr>
                    <w:pStyle w:val="50"/>
                    <w:spacing w:after="0" w:line="240" w:lineRule="auto"/>
                    <w:ind w:firstLine="0" w:firstLineChars="0"/>
                    <w:jc w:val="both"/>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828" w:type="pct"/>
                  <w:vAlign w:val="center"/>
                </w:tcPr>
                <w:p w14:paraId="017B17FB">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26" w:type="pct"/>
                  <w:vAlign w:val="center"/>
                </w:tcPr>
                <w:p w14:paraId="6A53B82C">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61" w:type="pct"/>
                  <w:vAlign w:val="center"/>
                </w:tcPr>
                <w:p w14:paraId="28CD4E79">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vAlign w:val="center"/>
                </w:tcPr>
                <w:p w14:paraId="674838C5">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698" w:type="pct"/>
                  <w:vAlign w:val="center"/>
                </w:tcPr>
                <w:p w14:paraId="58B6BBFA">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556" w:type="pct"/>
                  <w:vAlign w:val="center"/>
                </w:tcPr>
                <w:p w14:paraId="75563A90">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57" w:type="pct"/>
                  <w:vAlign w:val="center"/>
                </w:tcPr>
                <w:p w14:paraId="081190DD">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r w14:paraId="2E100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Merge w:val="continue"/>
                  <w:vAlign w:val="center"/>
                </w:tcPr>
                <w:p w14:paraId="06A3F3DC">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828" w:type="pct"/>
                  <w:vAlign w:val="center"/>
                </w:tcPr>
                <w:p w14:paraId="5ACEE55C">
                  <w:pPr>
                    <w:pStyle w:val="50"/>
                    <w:spacing w:after="0" w:line="240" w:lineRule="auto"/>
                    <w:ind w:firstLine="0" w:firstLineChars="0"/>
                    <w:jc w:val="both"/>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26" w:type="pct"/>
                  <w:vAlign w:val="center"/>
                </w:tcPr>
                <w:p w14:paraId="4E41DB3B">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61" w:type="pct"/>
                  <w:vAlign w:val="center"/>
                </w:tcPr>
                <w:p w14:paraId="4F8433FC">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vAlign w:val="center"/>
                </w:tcPr>
                <w:p w14:paraId="1DCB2450">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698" w:type="pct"/>
                  <w:vAlign w:val="center"/>
                </w:tcPr>
                <w:p w14:paraId="153CDBC5">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556" w:type="pct"/>
                  <w:vAlign w:val="center"/>
                </w:tcPr>
                <w:p w14:paraId="5AC7CBB6">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57" w:type="pct"/>
                  <w:vAlign w:val="center"/>
                </w:tcPr>
                <w:p w14:paraId="3DDEF955">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r w14:paraId="7E27F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Merge w:val="continue"/>
                  <w:vAlign w:val="center"/>
                </w:tcPr>
                <w:p w14:paraId="370915C0">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828" w:type="pct"/>
                  <w:vAlign w:val="center"/>
                </w:tcPr>
                <w:p w14:paraId="729445C2">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26" w:type="pct"/>
                  <w:vAlign w:val="center"/>
                </w:tcPr>
                <w:p w14:paraId="3D45099B">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61" w:type="pct"/>
                  <w:vAlign w:val="center"/>
                </w:tcPr>
                <w:p w14:paraId="1C8E48F7">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vAlign w:val="center"/>
                </w:tcPr>
                <w:p w14:paraId="1991F46A">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698" w:type="pct"/>
                  <w:vAlign w:val="center"/>
                </w:tcPr>
                <w:p w14:paraId="0F5A4154">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556" w:type="pct"/>
                  <w:vAlign w:val="center"/>
                </w:tcPr>
                <w:p w14:paraId="1488FD8C">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57" w:type="pct"/>
                  <w:vAlign w:val="center"/>
                </w:tcPr>
                <w:p w14:paraId="6673A904">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r w14:paraId="64C15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Merge w:val="continue"/>
                  <w:vAlign w:val="center"/>
                </w:tcPr>
                <w:p w14:paraId="5D647B98">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828" w:type="pct"/>
                  <w:vAlign w:val="center"/>
                </w:tcPr>
                <w:p w14:paraId="72E65034">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26" w:type="pct"/>
                  <w:vAlign w:val="center"/>
                </w:tcPr>
                <w:p w14:paraId="089FE0DE">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61" w:type="pct"/>
                  <w:vAlign w:val="center"/>
                </w:tcPr>
                <w:p w14:paraId="78824F6E">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vAlign w:val="center"/>
                </w:tcPr>
                <w:p w14:paraId="3A2E244D">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698" w:type="pct"/>
                  <w:vAlign w:val="center"/>
                </w:tcPr>
                <w:p w14:paraId="173362D6">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556" w:type="pct"/>
                  <w:vAlign w:val="center"/>
                </w:tcPr>
                <w:p w14:paraId="29635C73">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357" w:type="pct"/>
                  <w:vAlign w:val="center"/>
                </w:tcPr>
                <w:p w14:paraId="63DE5DCC">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r w14:paraId="33857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vAlign w:val="center"/>
                </w:tcPr>
                <w:p w14:paraId="68A24030">
                  <w:pPr>
                    <w:pStyle w:val="50"/>
                    <w:spacing w:after="0" w:line="240" w:lineRule="auto"/>
                    <w:ind w:firstLine="0" w:firstLineChars="0"/>
                    <w:jc w:val="both"/>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r>
          </w:tbl>
          <w:p w14:paraId="21909050">
            <w:pPr>
              <w:pStyle w:val="50"/>
              <w:spacing w:after="0" w:line="360" w:lineRule="auto"/>
              <w:ind w:firstLine="480"/>
              <w:jc w:val="both"/>
              <w:rPr>
                <w:rFonts w:ascii="Times New Roman" w:hAnsi="Times New Roman"/>
                <w:color w:val="0D0D0D" w:themeColor="text1" w:themeTint="F2"/>
                <w:szCs w:val="24"/>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Cs w:val="24"/>
                <w:lang w:eastAsia="zh-CN"/>
                <w14:textFill>
                  <w14:solidFill>
                    <w14:schemeClr w14:val="tx1">
                      <w14:lumMod w14:val="95000"/>
                      <w14:lumOff w14:val="5000"/>
                    </w14:schemeClr>
                  </w14:solidFill>
                </w14:textFill>
              </w:rPr>
              <w:t>由上表可知，引用监测点位监测期间TSP满足《环境空气质量标准》（GB3095-2026）二级标准；非甲烷总烃</w:t>
            </w:r>
            <w:r>
              <w:rPr>
                <w:rFonts w:ascii="Times New Roman" w:hAnsi="Times New Roman"/>
                <w:color w:val="0D0D0D" w:themeColor="text1" w:themeTint="F2"/>
                <w:szCs w:val="24"/>
                <w:lang w:eastAsia="zh-CN"/>
                <w14:textFill>
                  <w14:solidFill>
                    <w14:schemeClr w14:val="tx1">
                      <w14:lumMod w14:val="95000"/>
                      <w14:lumOff w14:val="5000"/>
                    </w14:schemeClr>
                  </w14:solidFill>
                </w14:textFill>
              </w:rPr>
              <w:t>满足</w:t>
            </w:r>
            <w:r>
              <w:rPr>
                <w:rFonts w:hint="eastAsia" w:ascii="Times New Roman" w:hAnsi="Times New Roman"/>
                <w:color w:val="0D0D0D" w:themeColor="text1" w:themeTint="F2"/>
                <w:szCs w:val="24"/>
                <w:lang w:eastAsia="zh-CN"/>
                <w14:textFill>
                  <w14:solidFill>
                    <w14:schemeClr w14:val="tx1">
                      <w14:lumMod w14:val="95000"/>
                      <w14:lumOff w14:val="5000"/>
                    </w14:schemeClr>
                  </w14:solidFill>
                </w14:textFill>
              </w:rPr>
              <w:t>《大气污染物综合排放标准详解》一次性浓度值要求；二甲苯满足《环境影响评价技术导则  大气环境》（HJ2.2-2018）中附录D其他污染物空气质量浓度参考限值；臭气浓度无评价标准，留作背景值</w:t>
            </w:r>
            <w:r>
              <w:rPr>
                <w:rFonts w:ascii="Times New Roman" w:hAnsi="Times New Roman"/>
                <w:color w:val="0D0D0D" w:themeColor="text1" w:themeTint="F2"/>
                <w:szCs w:val="24"/>
                <w:lang w:eastAsia="zh-CN"/>
                <w14:textFill>
                  <w14:solidFill>
                    <w14:schemeClr w14:val="tx1">
                      <w14:lumMod w14:val="95000"/>
                      <w14:lumOff w14:val="5000"/>
                    </w14:schemeClr>
                  </w14:solidFill>
                </w14:textFill>
              </w:rPr>
              <w:t>。</w:t>
            </w:r>
          </w:p>
          <w:p w14:paraId="41FD0F00">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2.海</w:t>
            </w:r>
            <w:r>
              <w:rPr>
                <w:b/>
                <w:bCs/>
                <w:color w:val="0D0D0D" w:themeColor="text1" w:themeTint="F2"/>
                <w:sz w:val="24"/>
                <w14:textFill>
                  <w14:solidFill>
                    <w14:schemeClr w14:val="tx1">
                      <w14:lumMod w14:val="95000"/>
                      <w14:lumOff w14:val="5000"/>
                    </w14:schemeClr>
                  </w14:solidFill>
                </w14:textFill>
              </w:rPr>
              <w:t>水环境质量现状</w:t>
            </w:r>
          </w:p>
          <w:p w14:paraId="243546D9">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生活污水经三级化粪池预处理后使用吸污车清运至钦州市大榄坪污水处理厂进一步处理，最终排入钦州港大榄坪排污混合区（GX057DⅣ）深海排放。根据《广西壮族自治区近岸海域环境功能区划调整方案》（桂环发〔2023〕9号），钦州港大榄坪排污混合区（GX057DⅣ）主导功能为港口、工业、生活排污用海，属四类环境功能区，水质保护目标为海水水质标准第四类。周围设0.5公里水质过渡带，水质保护目标为海水水质标准第三类。</w:t>
            </w:r>
          </w:p>
          <w:p w14:paraId="2AEBB020">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为了解钦州港大榄坪排污混合区（GX057DⅣ）海域水环境质量现状，本次评价引用国家海洋环境监测中心的海水水质监测信息公开系统中GXN14010站点2025年7月的监测数据进行评价。</w:t>
            </w:r>
          </w:p>
          <w:p w14:paraId="2ED0856E">
            <w:pPr>
              <w:adjustRightInd w:val="0"/>
              <w:snapToGrid w:val="0"/>
              <w:spacing w:after="0"/>
              <w:ind w:firstLine="422" w:firstLineChars="20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表3</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4  引用海水质量监测结果</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5"/>
              <w:gridCol w:w="1433"/>
              <w:gridCol w:w="1523"/>
              <w:gridCol w:w="1787"/>
            </w:tblGrid>
            <w:tr w14:paraId="2A9FC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109BA39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3DDF3DB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384F138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4CAD2CE2">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18CC2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4F1CAFD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1A919BA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5F0C138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6D560A0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BC9C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6AE758B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4843CD3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6C244AF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475D927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5EF47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374FE27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0EAFC82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089F0AC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586CBF51">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6D26A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63739BF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65332FC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77BD492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33AC1ECE">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A109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7E4E9CC2">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28E0AD4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4E6508F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1515A2BB">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45EC3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6AD11F5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73AC792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3AB1266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391A6D9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bl>
          <w:p w14:paraId="11CB113C">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由上表可知，GXN14010站点各监测因子均可满足《海水水质标准》（GB3097-1997）第四类标准，钦州港大榄坪排污混合区（GX057DⅣ）海水环境质量良好。</w:t>
            </w:r>
          </w:p>
          <w:p w14:paraId="3660F4D4">
            <w:pPr>
              <w:adjustRightInd w:val="0"/>
              <w:snapToGrid w:val="0"/>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3.地表水环境质量现状</w:t>
            </w:r>
          </w:p>
          <w:p w14:paraId="409D2E2D">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周边主要地表水体为东面3.93km的鹿耳环江。根据《钦州市水利局关于印发&lt;钦州市水资源保护规划&gt;的通知》（钦市水政〔2025〕12号），鹿耳环江一级水功能区划为鹿耳环江犀牛脚保留区，水质目标为Ⅲ类。</w:t>
            </w:r>
          </w:p>
          <w:p w14:paraId="690140EC">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根据</w:t>
            </w:r>
            <w:r>
              <w:rPr>
                <w:rFonts w:hint="eastAsia"/>
                <w:color w:val="0D0D0D" w:themeColor="text1" w:themeTint="F2"/>
                <w:sz w:val="24"/>
                <w14:textFill>
                  <w14:solidFill>
                    <w14:schemeClr w14:val="tx1">
                      <w14:lumMod w14:val="95000"/>
                      <w14:lumOff w14:val="5000"/>
                    </w14:schemeClr>
                  </w14:solidFill>
                </w14:textFill>
              </w:rPr>
              <w:t>钦州市生态环境局网站发布的</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2023年钦州市环境质量状况年报</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2023年，钦州市主要河流水质继续保持良好及以上水平，其中钦江干流水质保持为优；大风江干流保持为良好；茅岭江干流水质有所下降，由优下降为良好。2023年，钦州市7个国控考核地表水断面水质优良比例为85.7%，其中Ⅱ类断面4个，占比57.1%；Ⅲ类断面2个，占比28.6%；Ⅳ类断面1个，占比14.3%。7个国控考核断面中，有6个断面达到“十四五”国家考核目标，达标率为85.7%，与去年持平。由此可见，项目区域地表水环境质量现状良好。</w:t>
            </w:r>
          </w:p>
          <w:p w14:paraId="70248FFF">
            <w:pPr>
              <w:snapToGrid w:val="0"/>
              <w:spacing w:after="0" w:line="360" w:lineRule="auto"/>
              <w:ind w:firstLine="482" w:firstLineChars="200"/>
              <w:textAlignment w:val="baseline"/>
              <w:rPr>
                <w:b/>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4.</w:t>
            </w:r>
            <w:r>
              <w:rPr>
                <w:b/>
                <w:color w:val="0D0D0D" w:themeColor="text1" w:themeTint="F2"/>
                <w:sz w:val="24"/>
                <w14:textFill>
                  <w14:solidFill>
                    <w14:schemeClr w14:val="tx1">
                      <w14:lumMod w14:val="95000"/>
                      <w14:lumOff w14:val="5000"/>
                    </w14:schemeClr>
                  </w14:solidFill>
                </w14:textFill>
              </w:rPr>
              <w:t>声环境质量现状</w:t>
            </w:r>
          </w:p>
          <w:p w14:paraId="45B529EA">
            <w:pPr>
              <w:adjustRightInd w:val="0"/>
              <w:snapToGrid w:val="0"/>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位于钦州市中国（广西）自由贸易试验区钦州港片区钦州港大榄坪力顺项目东侧、金鸡大街北侧、大榄坪三号路西侧区域，根据《钦州市城市声环境功能区划方案（2018-2023年）》（钦政办规〔2018〕7号）和《钦州港大榄坪物流加工区总体规划修编（2022-2035）环境影响报告书》（钦环函〔2023〕107号），项目所在区域属于3类声环境功能区，区域声环境</w:t>
            </w:r>
            <w:r>
              <w:rPr>
                <w:bCs/>
                <w:color w:val="0D0D0D" w:themeColor="text1" w:themeTint="F2"/>
                <w:sz w:val="24"/>
                <w14:textFill>
                  <w14:solidFill>
                    <w14:schemeClr w14:val="tx1">
                      <w14:lumMod w14:val="95000"/>
                      <w14:lumOff w14:val="5000"/>
                    </w14:schemeClr>
                  </w14:solidFill>
                </w14:textFill>
              </w:rPr>
              <w:t>执行</w:t>
            </w:r>
            <w:r>
              <w:rPr>
                <w:rFonts w:hint="eastAsia"/>
                <w:bCs/>
                <w:color w:val="0D0D0D" w:themeColor="text1" w:themeTint="F2"/>
                <w:sz w:val="24"/>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类声环境功能区要求</w:t>
            </w:r>
            <w:r>
              <w:rPr>
                <w:rFonts w:hint="eastAsia"/>
                <w:bCs/>
                <w:color w:val="0D0D0D" w:themeColor="text1" w:themeTint="F2"/>
                <w:sz w:val="24"/>
                <w14:textFill>
                  <w14:solidFill>
                    <w14:schemeClr w14:val="tx1">
                      <w14:lumMod w14:val="95000"/>
                      <w14:lumOff w14:val="5000"/>
                    </w14:schemeClr>
                  </w14:solidFill>
                </w14:textFill>
              </w:rPr>
              <w:t>。根据钦州港大榄坪物流加工区交通组织规划，厂区东面为大榄坪三号路，属于主干路，北面为淡水湾大道，属于次干路，因此，东面和北面35m范围内执行《声环境质量标准》（GB3096-2008）4a类标准。</w:t>
            </w:r>
          </w:p>
          <w:p w14:paraId="5215CEA6">
            <w:pPr>
              <w:adjustRightInd w:val="0"/>
              <w:snapToGrid w:val="0"/>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根据《建设项目环境影响报告表编制技术指南（污染影响类）（试行）》（环办环评〔2020〕33号），“厂界外周边50米范围内存在声环境保护目标的建设项目，应监测保护目标声环境质量现状并评价达标情况。各点位应监测昼夜间噪声，监测时间不少于1天，项目夜间不生产则仅监测昼间噪声。”项目50m范围内不存在声环境保护目标，因此，本次评价不开展声环境质量现状监测。</w:t>
            </w:r>
          </w:p>
          <w:p w14:paraId="29A58B93">
            <w:pPr>
              <w:adjustRightInd w:val="0"/>
              <w:snapToGrid w:val="0"/>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5.</w:t>
            </w:r>
            <w:r>
              <w:rPr>
                <w:b/>
                <w:bCs/>
                <w:color w:val="0D0D0D" w:themeColor="text1" w:themeTint="F2"/>
                <w:sz w:val="24"/>
                <w14:textFill>
                  <w14:solidFill>
                    <w14:schemeClr w14:val="tx1">
                      <w14:lumMod w14:val="95000"/>
                      <w14:lumOff w14:val="5000"/>
                    </w14:schemeClr>
                  </w14:solidFill>
                </w14:textFill>
              </w:rPr>
              <w:t>生态环境质量</w:t>
            </w:r>
          </w:p>
          <w:p w14:paraId="4EE85500">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项目位于</w:t>
            </w:r>
            <w:r>
              <w:rPr>
                <w:rFonts w:hint="eastAsia"/>
                <w:bCs/>
                <w:color w:val="0D0D0D" w:themeColor="text1" w:themeTint="F2"/>
                <w:sz w:val="24"/>
                <w14:textFill>
                  <w14:solidFill>
                    <w14:schemeClr w14:val="tx1">
                      <w14:lumMod w14:val="95000"/>
                      <w14:lumOff w14:val="5000"/>
                    </w14:schemeClr>
                  </w14:solidFill>
                </w14:textFill>
              </w:rPr>
              <w:t>钦州市中国（广西）自由贸易试验区钦州港片区钦州港大榄坪力顺项目东侧、金鸡大街北侧、大榄坪三号路西侧区域</w:t>
            </w:r>
            <w:r>
              <w:rPr>
                <w:rFonts w:hint="eastAsia"/>
                <w:color w:val="0D0D0D" w:themeColor="text1" w:themeTint="F2"/>
                <w:sz w:val="24"/>
                <w14:textFill>
                  <w14:solidFill>
                    <w14:schemeClr w14:val="tx1">
                      <w14:lumMod w14:val="95000"/>
                      <w14:lumOff w14:val="5000"/>
                    </w14:schemeClr>
                  </w14:solidFill>
                </w14:textFill>
              </w:rPr>
              <w:t>，选址位于工业园区内。经现场勘查，项目周边500m范围内，植被类型简单，以人工栽培的园区绿化植物为主，无原生或次生森林群落，未发现珍稀濒危保护植物。根据《钦州市林业局关于印发&lt;钦州市红树林资源保护规划（2022-2030年）&gt;的通知》（钦市林字〔2022〕44号），距离项目最近的红树林为西北面2.91km的金鼓江红树林区，距离项目最近的红树林保护区为西北面7.13km的广西矛尾海红树林自治区级自然保护区，项目评价范围不涉及红树林。因长期受人类工业活动影响，目前常见的动物主要为适应人类活动的小型物种，如鼠类、蛙类、常见鸟类及昆虫类等，未发现国家级或自治区级重点保护野生动物。</w:t>
            </w:r>
          </w:p>
          <w:p w14:paraId="4211CF98">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综上，项目评价范围内无风景名胜区、自然保护区、世界自然与文化遗产地、饮用水水源保护区等法定环境敏感区，生态环境质量总体一般，不属于生态敏感区。</w:t>
            </w:r>
          </w:p>
          <w:p w14:paraId="4055D7F4">
            <w:pPr>
              <w:pStyle w:val="9"/>
              <w:spacing w:before="0" w:after="0" w:line="360" w:lineRule="auto"/>
              <w:ind w:right="0" w:firstLine="482" w:firstLineChars="200"/>
              <w:rPr>
                <w:b/>
                <w:bCs/>
                <w:color w:val="0D0D0D" w:themeColor="text1" w:themeTint="F2"/>
                <w:sz w:val="24"/>
                <w:szCs w:val="24"/>
                <w14:textFill>
                  <w14:solidFill>
                    <w14:schemeClr w14:val="tx1">
                      <w14:lumMod w14:val="95000"/>
                      <w14:lumOff w14:val="5000"/>
                    </w14:schemeClr>
                  </w14:solidFill>
                </w14:textFill>
              </w:rPr>
            </w:pPr>
            <w:r>
              <w:rPr>
                <w:rFonts w:hint="eastAsia"/>
                <w:b/>
                <w:bCs/>
                <w:color w:val="0D0D0D" w:themeColor="text1" w:themeTint="F2"/>
                <w:sz w:val="24"/>
                <w:szCs w:val="24"/>
                <w14:textFill>
                  <w14:solidFill>
                    <w14:schemeClr w14:val="tx1">
                      <w14:lumMod w14:val="95000"/>
                      <w14:lumOff w14:val="5000"/>
                    </w14:schemeClr>
                  </w14:solidFill>
                </w14:textFill>
              </w:rPr>
              <w:t>6.</w:t>
            </w:r>
            <w:r>
              <w:rPr>
                <w:b/>
                <w:bCs/>
                <w:color w:val="0D0D0D" w:themeColor="text1" w:themeTint="F2"/>
                <w:sz w:val="24"/>
                <w:szCs w:val="24"/>
                <w14:textFill>
                  <w14:solidFill>
                    <w14:schemeClr w14:val="tx1">
                      <w14:lumMod w14:val="95000"/>
                      <w14:lumOff w14:val="5000"/>
                    </w14:schemeClr>
                  </w14:solidFill>
                </w14:textFill>
              </w:rPr>
              <w:t>地下水、土壤环境</w:t>
            </w:r>
          </w:p>
          <w:p w14:paraId="384A8E66">
            <w:pPr>
              <w:pStyle w:val="9"/>
              <w:spacing w:before="0" w:after="0" w:line="360" w:lineRule="auto"/>
              <w:ind w:right="0" w:firstLine="480" w:firstLineChars="200"/>
              <w:rPr>
                <w:bCs/>
                <w:color w:val="0D0D0D" w:themeColor="text1" w:themeTint="F2"/>
                <w:sz w:val="24"/>
                <w:szCs w:val="24"/>
                <w14:textFill>
                  <w14:solidFill>
                    <w14:schemeClr w14:val="tx1">
                      <w14:lumMod w14:val="95000"/>
                      <w14:lumOff w14:val="5000"/>
                    </w14:schemeClr>
                  </w14:solidFill>
                </w14:textFill>
              </w:rPr>
            </w:pPr>
            <w:r>
              <w:rPr>
                <w:rFonts w:hint="eastAsia"/>
                <w:bCs/>
                <w:color w:val="0D0D0D" w:themeColor="text1" w:themeTint="F2"/>
                <w:sz w:val="24"/>
                <w:szCs w:val="24"/>
                <w14:textFill>
                  <w14:solidFill>
                    <w14:schemeClr w14:val="tx1">
                      <w14:lumMod w14:val="95000"/>
                      <w14:lumOff w14:val="5000"/>
                    </w14:schemeClr>
                  </w14:solidFill>
                </w14:textFill>
              </w:rPr>
              <w:t>项目运营期大气污染物主要为颗粒物、非甲烷总烃、二甲苯和臭气浓度，不会通过大气沉降等方式对土壤和地下水环境造成影响。</w:t>
            </w:r>
            <w:r>
              <w:rPr>
                <w:rFonts w:hint="eastAsia"/>
                <w:bCs/>
                <w:color w:val="0D0D0D" w:themeColor="text1" w:themeTint="F2"/>
                <w:sz w:val="24"/>
                <w:szCs w:val="24"/>
                <w:u w:val="single"/>
                <w14:textFill>
                  <w14:solidFill>
                    <w14:schemeClr w14:val="tx1">
                      <w14:lumMod w14:val="95000"/>
                      <w14:lumOff w14:val="5000"/>
                    </w14:schemeClr>
                  </w14:solidFill>
                </w14:textFill>
              </w:rPr>
              <w:t>实行雨污分流，初期雨水经初期雨水池收集后用于厂区降尘等；</w:t>
            </w:r>
            <w:r>
              <w:rPr>
                <w:rFonts w:hint="eastAsia"/>
                <w:bCs/>
                <w:color w:val="0D0D0D" w:themeColor="text1" w:themeTint="F2"/>
                <w:sz w:val="24"/>
                <w:szCs w:val="24"/>
                <w14:textFill>
                  <w14:solidFill>
                    <w14:schemeClr w14:val="tx1">
                      <w14:lumMod w14:val="95000"/>
                      <w14:lumOff w14:val="5000"/>
                    </w14:schemeClr>
                  </w14:solidFill>
                </w14:textFill>
              </w:rPr>
              <w:t>无生产废水产生；</w:t>
            </w:r>
            <w:r>
              <w:rPr>
                <w:rFonts w:hint="eastAsia"/>
                <w:color w:val="0D0D0D" w:themeColor="text1" w:themeTint="F2"/>
                <w:sz w:val="24"/>
                <w14:textFill>
                  <w14:solidFill>
                    <w14:schemeClr w14:val="tx1">
                      <w14:lumMod w14:val="95000"/>
                      <w14:lumOff w14:val="5000"/>
                    </w14:schemeClr>
                  </w14:solidFill>
                </w14:textFill>
              </w:rPr>
              <w:t>生活污水经三级化粪池预处理后使用吸污车清运至钦州市大榄坪污水处理厂进一步处理，</w:t>
            </w:r>
            <w:r>
              <w:rPr>
                <w:rFonts w:hint="eastAsia"/>
                <w:color w:val="0D0D0D" w:themeColor="text1" w:themeTint="F2"/>
                <w:sz w:val="24"/>
                <w:u w:val="single"/>
                <w14:textFill>
                  <w14:solidFill>
                    <w14:schemeClr w14:val="tx1">
                      <w14:lumMod w14:val="95000"/>
                      <w14:lumOff w14:val="5000"/>
                    </w14:schemeClr>
                  </w14:solidFill>
                </w14:textFill>
              </w:rPr>
              <w:t>初期雨水池和</w:t>
            </w:r>
            <w:r>
              <w:rPr>
                <w:rFonts w:hint="eastAsia"/>
                <w:bCs/>
                <w:color w:val="0D0D0D" w:themeColor="text1" w:themeTint="F2"/>
                <w:sz w:val="24"/>
                <w:szCs w:val="24"/>
                <w:u w:val="single"/>
                <w14:textFill>
                  <w14:solidFill>
                    <w14:schemeClr w14:val="tx1">
                      <w14:lumMod w14:val="95000"/>
                      <w14:lumOff w14:val="5000"/>
                    </w14:schemeClr>
                  </w14:solidFill>
                </w14:textFill>
              </w:rPr>
              <w:t>三级化粪池采取水泥混凝土硬化等防渗措施</w:t>
            </w:r>
            <w:r>
              <w:rPr>
                <w:rFonts w:hint="eastAsia"/>
                <w:bCs/>
                <w:color w:val="0D0D0D" w:themeColor="text1" w:themeTint="F2"/>
                <w:sz w:val="24"/>
                <w:szCs w:val="24"/>
                <w14:textFill>
                  <w14:solidFill>
                    <w14:schemeClr w14:val="tx1">
                      <w14:lumMod w14:val="95000"/>
                      <w14:lumOff w14:val="5000"/>
                    </w14:schemeClr>
                  </w14:solidFill>
                </w14:textFill>
              </w:rPr>
              <w:t>。危险废物使用专用容器暂存于危废暂存间，危废暂存间按照《危险废物贮存污染控制标准》（GB18597-2023）建设和管理，采取水泥硬化和铺设2mm厚的高密度聚乙烯（HDPE）防渗层的防渗措施。在做好各项防渗措施和加强厂区环境管理的基础上，正常工况下，项目不存在地下水和土壤污染途径，不会对地下水和土壤环境产生影响。</w:t>
            </w:r>
          </w:p>
          <w:p w14:paraId="1F45A1F8">
            <w:pPr>
              <w:pStyle w:val="9"/>
              <w:spacing w:before="0" w:after="0" w:line="360" w:lineRule="auto"/>
              <w:ind w:right="0" w:firstLine="480" w:firstLineChars="200"/>
              <w:rPr>
                <w:bCs/>
                <w:color w:val="0D0D0D" w:themeColor="text1" w:themeTint="F2"/>
                <w:sz w:val="24"/>
                <w:szCs w:val="24"/>
                <w14:textFill>
                  <w14:solidFill>
                    <w14:schemeClr w14:val="tx1">
                      <w14:lumMod w14:val="95000"/>
                      <w14:lumOff w14:val="5000"/>
                    </w14:schemeClr>
                  </w14:solidFill>
                </w14:textFill>
              </w:rPr>
            </w:pPr>
            <w:r>
              <w:rPr>
                <w:rFonts w:hint="eastAsia"/>
                <w:bCs/>
                <w:color w:val="0D0D0D" w:themeColor="text1" w:themeTint="F2"/>
                <w:sz w:val="24"/>
                <w:szCs w:val="24"/>
                <w14:textFill>
                  <w14:solidFill>
                    <w14:schemeClr w14:val="tx1">
                      <w14:lumMod w14:val="95000"/>
                      <w14:lumOff w14:val="5000"/>
                    </w14:schemeClr>
                  </w14:solidFill>
                </w14:textFill>
              </w:rPr>
              <w:t>项目区域无地下水功能区划，参照《地下水质量标准》（GB/T14848-2017）中的地下水质量分类，区域地下水主要为工业用水，按Ⅲ类标准管理。项目厂界外500米范围内不存在地下水集中式饮用水水源和热水、矿泉水、温泉等特殊地下水资源，地下水环境为不敏感。</w:t>
            </w:r>
          </w:p>
          <w:p w14:paraId="4D636270">
            <w:pPr>
              <w:pStyle w:val="9"/>
              <w:spacing w:before="0" w:after="0" w:line="360" w:lineRule="auto"/>
              <w:ind w:right="0" w:firstLine="480" w:firstLineChars="200"/>
              <w:rPr>
                <w:bCs/>
                <w:color w:val="0D0D0D" w:themeColor="text1" w:themeTint="F2"/>
                <w:sz w:val="24"/>
                <w:szCs w:val="24"/>
                <w14:textFill>
                  <w14:solidFill>
                    <w14:schemeClr w14:val="tx1">
                      <w14:lumMod w14:val="95000"/>
                      <w14:lumOff w14:val="5000"/>
                    </w14:schemeClr>
                  </w14:solidFill>
                </w14:textFill>
              </w:rPr>
            </w:pPr>
            <w:r>
              <w:rPr>
                <w:rFonts w:hint="eastAsia"/>
                <w:bCs/>
                <w:color w:val="0D0D0D" w:themeColor="text1" w:themeTint="F2"/>
                <w:sz w:val="24"/>
                <w:szCs w:val="24"/>
                <w14:textFill>
                  <w14:solidFill>
                    <w14:schemeClr w14:val="tx1">
                      <w14:lumMod w14:val="95000"/>
                      <w14:lumOff w14:val="5000"/>
                    </w14:schemeClr>
                  </w14:solidFill>
                </w14:textFill>
              </w:rPr>
              <w:t>综上，项目不存在土壤和地下水环境污染途径，区域无地下水环境保护目标，根据《建设项目环境影响报告表编制技术指南（污染影响类）（试行）》（环办环评〔2020〕33号），本次评价不开展土壤和地下水环境质量现状调查</w:t>
            </w:r>
            <w:r>
              <w:rPr>
                <w:bCs/>
                <w:color w:val="0D0D0D" w:themeColor="text1" w:themeTint="F2"/>
                <w:sz w:val="24"/>
                <w:szCs w:val="24"/>
                <w14:textFill>
                  <w14:solidFill>
                    <w14:schemeClr w14:val="tx1">
                      <w14:lumMod w14:val="95000"/>
                      <w14:lumOff w14:val="5000"/>
                    </w14:schemeClr>
                  </w14:solidFill>
                </w14:textFill>
              </w:rPr>
              <w:t>。</w:t>
            </w:r>
          </w:p>
        </w:tc>
      </w:tr>
      <w:tr w14:paraId="460506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13" w:hRule="atLeast"/>
          <w:jc w:val="center"/>
        </w:trPr>
        <w:tc>
          <w:tcPr>
            <w:tcW w:w="411" w:type="pct"/>
            <w:vAlign w:val="center"/>
          </w:tcPr>
          <w:p w14:paraId="1A83E207">
            <w:pPr>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环境保护目标</w:t>
            </w:r>
          </w:p>
        </w:tc>
        <w:tc>
          <w:tcPr>
            <w:tcW w:w="4589" w:type="pct"/>
          </w:tcPr>
          <w:p w14:paraId="5082F5E4">
            <w:pPr>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1.大气环境</w:t>
            </w:r>
          </w:p>
          <w:p w14:paraId="4B201361">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经调查，</w:t>
            </w:r>
            <w:r>
              <w:rPr>
                <w:color w:val="0D0D0D" w:themeColor="text1" w:themeTint="F2"/>
                <w:sz w:val="24"/>
                <w14:textFill>
                  <w14:solidFill>
                    <w14:schemeClr w14:val="tx1">
                      <w14:lumMod w14:val="95000"/>
                      <w14:lumOff w14:val="5000"/>
                    </w14:schemeClr>
                  </w14:solidFill>
                </w14:textFill>
              </w:rPr>
              <w:t>项目厂界外500</w:t>
            </w:r>
            <w:r>
              <w:rPr>
                <w:rFonts w:hint="eastAsia"/>
                <w:color w:val="0D0D0D" w:themeColor="text1" w:themeTint="F2"/>
                <w:sz w:val="24"/>
                <w14:textFill>
                  <w14:solidFill>
                    <w14:schemeClr w14:val="tx1">
                      <w14:lumMod w14:val="95000"/>
                      <w14:lumOff w14:val="5000"/>
                    </w14:schemeClr>
                  </w14:solidFill>
                </w14:textFill>
              </w:rPr>
              <w:t>m</w:t>
            </w:r>
            <w:r>
              <w:rPr>
                <w:color w:val="0D0D0D" w:themeColor="text1" w:themeTint="F2"/>
                <w:sz w:val="24"/>
                <w14:textFill>
                  <w14:solidFill>
                    <w14:schemeClr w14:val="tx1">
                      <w14:lumMod w14:val="95000"/>
                      <w14:lumOff w14:val="5000"/>
                    </w14:schemeClr>
                  </w14:solidFill>
                </w14:textFill>
              </w:rPr>
              <w:t>范围内</w:t>
            </w:r>
            <w:r>
              <w:rPr>
                <w:rFonts w:hint="eastAsia"/>
                <w:color w:val="0D0D0D" w:themeColor="text1" w:themeTint="F2"/>
                <w:sz w:val="24"/>
                <w14:textFill>
                  <w14:solidFill>
                    <w14:schemeClr w14:val="tx1">
                      <w14:lumMod w14:val="95000"/>
                      <w14:lumOff w14:val="5000"/>
                    </w14:schemeClr>
                  </w14:solidFill>
                </w14:textFill>
              </w:rPr>
              <w:t>无大气环境保护目标。</w:t>
            </w:r>
          </w:p>
          <w:p w14:paraId="28944B21">
            <w:pPr>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2.</w:t>
            </w:r>
            <w:r>
              <w:rPr>
                <w:rFonts w:cs="宋体"/>
                <w:b/>
                <w:bCs/>
                <w:color w:val="0D0D0D" w:themeColor="text1" w:themeTint="F2"/>
                <w:kern w:val="0"/>
                <w:sz w:val="24"/>
                <w14:textFill>
                  <w14:solidFill>
                    <w14:schemeClr w14:val="tx1">
                      <w14:lumMod w14:val="95000"/>
                      <w14:lumOff w14:val="5000"/>
                    </w14:schemeClr>
                  </w14:solidFill>
                </w14:textFill>
              </w:rPr>
              <w:t>声环境</w:t>
            </w:r>
          </w:p>
          <w:p w14:paraId="5C12F120">
            <w:pPr>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经调查，项目厂界外50m范围内无声环境保护目标。</w:t>
            </w:r>
          </w:p>
          <w:p w14:paraId="5DB9450B">
            <w:pPr>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3.地下</w:t>
            </w:r>
            <w:r>
              <w:rPr>
                <w:rFonts w:cs="宋体"/>
                <w:b/>
                <w:bCs/>
                <w:color w:val="0D0D0D" w:themeColor="text1" w:themeTint="F2"/>
                <w:kern w:val="0"/>
                <w:sz w:val="24"/>
                <w14:textFill>
                  <w14:solidFill>
                    <w14:schemeClr w14:val="tx1">
                      <w14:lumMod w14:val="95000"/>
                      <w14:lumOff w14:val="5000"/>
                    </w14:schemeClr>
                  </w14:solidFill>
                </w14:textFill>
              </w:rPr>
              <w:t>水环境</w:t>
            </w:r>
          </w:p>
          <w:p w14:paraId="279AB0D5">
            <w:pPr>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经调查，</w:t>
            </w:r>
            <w:r>
              <w:rPr>
                <w:rFonts w:cs="宋体"/>
                <w:color w:val="0D0D0D" w:themeColor="text1" w:themeTint="F2"/>
                <w:kern w:val="0"/>
                <w:sz w:val="24"/>
                <w14:textFill>
                  <w14:solidFill>
                    <w14:schemeClr w14:val="tx1">
                      <w14:lumMod w14:val="95000"/>
                      <w14:lumOff w14:val="5000"/>
                    </w14:schemeClr>
                  </w14:solidFill>
                </w14:textFill>
              </w:rPr>
              <w:t>项目厂界外500</w:t>
            </w:r>
            <w:r>
              <w:rPr>
                <w:rFonts w:hint="eastAsia" w:cs="宋体"/>
                <w:color w:val="0D0D0D" w:themeColor="text1" w:themeTint="F2"/>
                <w:kern w:val="0"/>
                <w:sz w:val="24"/>
                <w14:textFill>
                  <w14:solidFill>
                    <w14:schemeClr w14:val="tx1">
                      <w14:lumMod w14:val="95000"/>
                      <w14:lumOff w14:val="5000"/>
                    </w14:schemeClr>
                  </w14:solidFill>
                </w14:textFill>
              </w:rPr>
              <w:t>m</w:t>
            </w:r>
            <w:r>
              <w:rPr>
                <w:rFonts w:cs="宋体"/>
                <w:color w:val="0D0D0D" w:themeColor="text1" w:themeTint="F2"/>
                <w:kern w:val="0"/>
                <w:sz w:val="24"/>
                <w14:textFill>
                  <w14:solidFill>
                    <w14:schemeClr w14:val="tx1">
                      <w14:lumMod w14:val="95000"/>
                      <w14:lumOff w14:val="5000"/>
                    </w14:schemeClr>
                  </w14:solidFill>
                </w14:textFill>
              </w:rPr>
              <w:t>范围内</w:t>
            </w:r>
            <w:r>
              <w:rPr>
                <w:rFonts w:hint="eastAsia" w:cs="宋体"/>
                <w:color w:val="0D0D0D" w:themeColor="text1" w:themeTint="F2"/>
                <w:kern w:val="0"/>
                <w:sz w:val="24"/>
                <w14:textFill>
                  <w14:solidFill>
                    <w14:schemeClr w14:val="tx1">
                      <w14:lumMod w14:val="95000"/>
                      <w14:lumOff w14:val="5000"/>
                    </w14:schemeClr>
                  </w14:solidFill>
                </w14:textFill>
              </w:rPr>
              <w:t>不存在</w:t>
            </w:r>
            <w:r>
              <w:rPr>
                <w:rFonts w:cs="宋体"/>
                <w:color w:val="0D0D0D" w:themeColor="text1" w:themeTint="F2"/>
                <w:kern w:val="0"/>
                <w:sz w:val="24"/>
                <w14:textFill>
                  <w14:solidFill>
                    <w14:schemeClr w14:val="tx1">
                      <w14:lumMod w14:val="95000"/>
                      <w14:lumOff w14:val="5000"/>
                    </w14:schemeClr>
                  </w14:solidFill>
                </w14:textFill>
              </w:rPr>
              <w:t>地下水集中式饮用水水源和热水、矿泉水、温泉等特殊地下水资源</w:t>
            </w:r>
            <w:r>
              <w:rPr>
                <w:rFonts w:hint="eastAsia" w:cs="宋体"/>
                <w:color w:val="0D0D0D" w:themeColor="text1" w:themeTint="F2"/>
                <w:kern w:val="0"/>
                <w:sz w:val="24"/>
                <w14:textFill>
                  <w14:solidFill>
                    <w14:schemeClr w14:val="tx1">
                      <w14:lumMod w14:val="95000"/>
                      <w14:lumOff w14:val="5000"/>
                    </w14:schemeClr>
                  </w14:solidFill>
                </w14:textFill>
              </w:rPr>
              <w:t>。</w:t>
            </w:r>
          </w:p>
          <w:p w14:paraId="747E9C30">
            <w:pPr>
              <w:adjustRightInd w:val="0"/>
              <w:snapToGrid w:val="0"/>
              <w:spacing w:after="0"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4.生态环境</w:t>
            </w:r>
          </w:p>
          <w:p w14:paraId="383AE236">
            <w:pPr>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根据《钦州市林业局关于印发&lt;钦州市红树林资源保护规划（2022-2030年）&gt;的通知》（钦市林字〔2022〕44号），距离项目最近的红树林保护区为西北面7.13km的广西矛尾海红树林自治区级自然保护区。</w:t>
            </w:r>
            <w:r>
              <w:rPr>
                <w:rFonts w:hint="eastAsia" w:cs="宋体"/>
                <w:color w:val="0D0D0D" w:themeColor="text1" w:themeTint="F2"/>
                <w:kern w:val="0"/>
                <w:sz w:val="24"/>
                <w14:textFill>
                  <w14:solidFill>
                    <w14:schemeClr w14:val="tx1">
                      <w14:lumMod w14:val="95000"/>
                      <w14:lumOff w14:val="5000"/>
                    </w14:schemeClr>
                  </w14:solidFill>
                </w14:textFill>
              </w:rPr>
              <w:t>项目</w:t>
            </w:r>
            <w:r>
              <w:rPr>
                <w:rFonts w:cs="宋体"/>
                <w:color w:val="0D0D0D" w:themeColor="text1" w:themeTint="F2"/>
                <w:kern w:val="0"/>
                <w:sz w:val="24"/>
                <w14:textFill>
                  <w14:solidFill>
                    <w14:schemeClr w14:val="tx1">
                      <w14:lumMod w14:val="95000"/>
                      <w14:lumOff w14:val="5000"/>
                    </w14:schemeClr>
                  </w14:solidFill>
                </w14:textFill>
              </w:rPr>
              <w:t>厂界外</w:t>
            </w:r>
            <w:r>
              <w:rPr>
                <w:rFonts w:hint="eastAsia" w:cs="宋体"/>
                <w:color w:val="0D0D0D" w:themeColor="text1" w:themeTint="F2"/>
                <w:kern w:val="0"/>
                <w:sz w:val="24"/>
                <w14:textFill>
                  <w14:solidFill>
                    <w14:schemeClr w14:val="tx1">
                      <w14:lumMod w14:val="95000"/>
                      <w14:lumOff w14:val="5000"/>
                    </w14:schemeClr>
                  </w14:solidFill>
                </w14:textFill>
              </w:rPr>
              <w:t>500m范围内不涉及自然保护区、世界文化和自然遗产、风景名胜区、重要湿地、原始天然林、珍稀濒危野生动植物天然集中分布区、重要水生生物的自然产卵场、索饵场、越冬场和洄游通道、天然渔场等生态环境保护目标</w:t>
            </w:r>
            <w:r>
              <w:rPr>
                <w:rFonts w:cs="宋体"/>
                <w:color w:val="0D0D0D" w:themeColor="text1" w:themeTint="F2"/>
                <w:kern w:val="0"/>
                <w:sz w:val="24"/>
                <w14:textFill>
                  <w14:solidFill>
                    <w14:schemeClr w14:val="tx1">
                      <w14:lumMod w14:val="95000"/>
                      <w14:lumOff w14:val="5000"/>
                    </w14:schemeClr>
                  </w14:solidFill>
                </w14:textFill>
              </w:rPr>
              <w:t>。</w:t>
            </w:r>
          </w:p>
        </w:tc>
      </w:tr>
      <w:tr w14:paraId="0370A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36" w:hRule="atLeast"/>
          <w:jc w:val="center"/>
        </w:trPr>
        <w:tc>
          <w:tcPr>
            <w:tcW w:w="411" w:type="pct"/>
            <w:tcMar>
              <w:left w:w="28" w:type="dxa"/>
              <w:right w:w="28" w:type="dxa"/>
            </w:tcMar>
            <w:vAlign w:val="center"/>
          </w:tcPr>
          <w:p w14:paraId="49D1E1F8">
            <w:pPr>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污染物排放控制标准</w:t>
            </w:r>
          </w:p>
        </w:tc>
        <w:tc>
          <w:tcPr>
            <w:tcW w:w="4589" w:type="pct"/>
          </w:tcPr>
          <w:p w14:paraId="13D6CC2D">
            <w:pPr>
              <w:adjustRightInd w:val="0"/>
              <w:snapToGrid w:val="0"/>
              <w:spacing w:after="0" w:line="360" w:lineRule="auto"/>
              <w:ind w:firstLine="482" w:firstLineChars="200"/>
              <w:rPr>
                <w:rFonts w:cs="宋体"/>
                <w:b/>
                <w:color w:val="0D0D0D" w:themeColor="text1" w:themeTint="F2"/>
                <w:kern w:val="0"/>
                <w:sz w:val="24"/>
                <w14:textFill>
                  <w14:solidFill>
                    <w14:schemeClr w14:val="tx1">
                      <w14:lumMod w14:val="95000"/>
                      <w14:lumOff w14:val="5000"/>
                    </w14:schemeClr>
                  </w14:solidFill>
                </w14:textFill>
              </w:rPr>
            </w:pPr>
            <w:r>
              <w:rPr>
                <w:rFonts w:hint="eastAsia" w:cs="宋体"/>
                <w:b/>
                <w:color w:val="0D0D0D" w:themeColor="text1" w:themeTint="F2"/>
                <w:kern w:val="0"/>
                <w:sz w:val="24"/>
                <w14:textFill>
                  <w14:solidFill>
                    <w14:schemeClr w14:val="tx1">
                      <w14:lumMod w14:val="95000"/>
                      <w14:lumOff w14:val="5000"/>
                    </w14:schemeClr>
                  </w14:solidFill>
                </w14:textFill>
              </w:rPr>
              <w:t>1.大气污染物</w:t>
            </w:r>
          </w:p>
          <w:p w14:paraId="32638F19">
            <w:pPr>
              <w:adjustRightInd w:val="0"/>
              <w:snapToGrid w:val="0"/>
              <w:spacing w:after="0"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bCs/>
                <w:color w:val="0D0D0D" w:themeColor="text1" w:themeTint="F2"/>
                <w:kern w:val="0"/>
                <w:sz w:val="24"/>
                <w14:textFill>
                  <w14:solidFill>
                    <w14:schemeClr w14:val="tx1">
                      <w14:lumMod w14:val="95000"/>
                      <w14:lumOff w14:val="5000"/>
                    </w14:schemeClr>
                  </w14:solidFill>
                </w14:textFill>
              </w:rPr>
              <w:t>项目施工期</w:t>
            </w:r>
            <w:r>
              <w:rPr>
                <w:rFonts w:hint="eastAsia" w:cs="宋体"/>
                <w:bCs/>
                <w:color w:val="0D0D0D" w:themeColor="text1" w:themeTint="F2"/>
                <w:kern w:val="0"/>
                <w:sz w:val="24"/>
                <w14:textFill>
                  <w14:solidFill>
                    <w14:schemeClr w14:val="tx1">
                      <w14:lumMod w14:val="95000"/>
                      <w14:lumOff w14:val="5000"/>
                    </w14:schemeClr>
                  </w14:solidFill>
                </w14:textFill>
              </w:rPr>
              <w:t>扬尘</w:t>
            </w:r>
            <w:r>
              <w:rPr>
                <w:rFonts w:cs="宋体"/>
                <w:bCs/>
                <w:color w:val="0D0D0D" w:themeColor="text1" w:themeTint="F2"/>
                <w:kern w:val="0"/>
                <w:sz w:val="24"/>
                <w14:textFill>
                  <w14:solidFill>
                    <w14:schemeClr w14:val="tx1">
                      <w14:lumMod w14:val="95000"/>
                      <w14:lumOff w14:val="5000"/>
                    </w14:schemeClr>
                  </w14:solidFill>
                </w14:textFill>
              </w:rPr>
              <w:t>执行《大气污染物综合排放标准》（GB16297-1996）表2无组织排放监控浓度限值</w:t>
            </w:r>
            <w:r>
              <w:rPr>
                <w:rFonts w:hint="eastAsia" w:cs="宋体"/>
                <w:bCs/>
                <w:color w:val="0D0D0D" w:themeColor="text1" w:themeTint="F2"/>
                <w:kern w:val="0"/>
                <w:sz w:val="24"/>
                <w14:textFill>
                  <w14:solidFill>
                    <w14:schemeClr w14:val="tx1">
                      <w14:lumMod w14:val="95000"/>
                      <w14:lumOff w14:val="5000"/>
                    </w14:schemeClr>
                  </w14:solidFill>
                </w14:textFill>
              </w:rPr>
              <w:t>。</w:t>
            </w:r>
          </w:p>
          <w:p w14:paraId="30758720">
            <w:pPr>
              <w:adjustRightInd w:val="0"/>
              <w:snapToGrid w:val="0"/>
              <w:spacing w:after="0"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hint="eastAsia" w:cs="宋体"/>
                <w:bCs/>
                <w:color w:val="0D0D0D" w:themeColor="text1" w:themeTint="F2"/>
                <w:kern w:val="0"/>
                <w:sz w:val="24"/>
                <w14:textFill>
                  <w14:solidFill>
                    <w14:schemeClr w14:val="tx1">
                      <w14:lumMod w14:val="95000"/>
                      <w14:lumOff w14:val="5000"/>
                    </w14:schemeClr>
                  </w14:solidFill>
                </w14:textFill>
              </w:rPr>
              <w:t>运营期颗粒物、二甲苯和非甲烷总烃有组织排放执行</w:t>
            </w:r>
            <w:r>
              <w:rPr>
                <w:rFonts w:cs="宋体"/>
                <w:bCs/>
                <w:color w:val="0D0D0D" w:themeColor="text1" w:themeTint="F2"/>
                <w:kern w:val="0"/>
                <w:sz w:val="24"/>
                <w14:textFill>
                  <w14:solidFill>
                    <w14:schemeClr w14:val="tx1">
                      <w14:lumMod w14:val="95000"/>
                      <w14:lumOff w14:val="5000"/>
                    </w14:schemeClr>
                  </w14:solidFill>
                </w14:textFill>
              </w:rPr>
              <w:t>《大气污染物综合排放标准》（GB16297-1996）表2</w:t>
            </w:r>
            <w:r>
              <w:rPr>
                <w:rFonts w:hint="eastAsia" w:cs="宋体"/>
                <w:bCs/>
                <w:color w:val="0D0D0D" w:themeColor="text1" w:themeTint="F2"/>
                <w:kern w:val="0"/>
                <w:sz w:val="24"/>
                <w14:textFill>
                  <w14:solidFill>
                    <w14:schemeClr w14:val="tx1">
                      <w14:lumMod w14:val="95000"/>
                      <w14:lumOff w14:val="5000"/>
                    </w14:schemeClr>
                  </w14:solidFill>
                </w14:textFill>
              </w:rPr>
              <w:t>二级标准</w:t>
            </w:r>
            <w:r>
              <w:rPr>
                <w:rFonts w:cs="宋体"/>
                <w:bCs/>
                <w:color w:val="0D0D0D" w:themeColor="text1" w:themeTint="F2"/>
                <w:kern w:val="0"/>
                <w:sz w:val="24"/>
                <w14:textFill>
                  <w14:solidFill>
                    <w14:schemeClr w14:val="tx1">
                      <w14:lumMod w14:val="95000"/>
                      <w14:lumOff w14:val="5000"/>
                    </w14:schemeClr>
                  </w14:solidFill>
                </w14:textFill>
              </w:rPr>
              <w:t>限值</w:t>
            </w:r>
            <w:r>
              <w:rPr>
                <w:rFonts w:hint="eastAsia" w:cs="宋体"/>
                <w:bCs/>
                <w:color w:val="0D0D0D" w:themeColor="text1" w:themeTint="F2"/>
                <w:kern w:val="0"/>
                <w:sz w:val="24"/>
                <w14:textFill>
                  <w14:solidFill>
                    <w14:schemeClr w14:val="tx1">
                      <w14:lumMod w14:val="95000"/>
                      <w14:lumOff w14:val="5000"/>
                    </w14:schemeClr>
                  </w14:solidFill>
                </w14:textFill>
              </w:rPr>
              <w:t>，无组织排放执行《大气污染物综合排放标准》（GB16297-1996）表2新污染源大气污染物无组织排放监控浓度限值；同时厂区内VOCs无组织排放监控点浓度执行《挥发性有机物无组织排放控制标准》（GB37822-2019）中表A.1监控点浓度，臭气浓度无组织排放执行《恶臭污染物排放标准》（GB14554-93）表1恶臭污染物厂界标准值二级新扩改建标准。排放标准限值详见表3-5～表3-7。</w:t>
            </w:r>
          </w:p>
          <w:p w14:paraId="27CDB6AF">
            <w:pPr>
              <w:adjustRightInd w:val="0"/>
              <w:snapToGrid w:val="0"/>
              <w:spacing w:after="0" w:line="240" w:lineRule="auto"/>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5</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《大气污染物综合排放标准》（摘录）</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7"/>
              <w:gridCol w:w="1275"/>
              <w:gridCol w:w="1416"/>
              <w:gridCol w:w="1526"/>
              <w:gridCol w:w="1023"/>
              <w:gridCol w:w="1721"/>
            </w:tblGrid>
            <w:tr w14:paraId="4F40C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41" w:type="pct"/>
                  <w:vMerge w:val="restart"/>
                  <w:vAlign w:val="center"/>
                </w:tcPr>
                <w:p w14:paraId="19E62C2C">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污染物</w:t>
                  </w:r>
                </w:p>
              </w:tc>
              <w:tc>
                <w:tcPr>
                  <w:tcW w:w="762" w:type="pct"/>
                  <w:vMerge w:val="restart"/>
                  <w:vAlign w:val="center"/>
                </w:tcPr>
                <w:p w14:paraId="2E394A3C">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最高允许</w:t>
                  </w:r>
                </w:p>
                <w:p w14:paraId="66E1A6C0">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排放浓度</w:t>
                  </w:r>
                </w:p>
                <w:p w14:paraId="79C71479">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w:t>
                  </w:r>
                  <w:r>
                    <w:rPr>
                      <w:color w:val="0D0D0D" w:themeColor="text1" w:themeTint="F2"/>
                      <w:kern w:val="0"/>
                      <w:position w:val="-24"/>
                      <w:szCs w:val="21"/>
                      <w14:textFill>
                        <w14:solidFill>
                          <w14:schemeClr w14:val="tx1">
                            <w14:lumMod w14:val="95000"/>
                            <w14:lumOff w14:val="5000"/>
                          </w14:schemeClr>
                        </w14:solidFill>
                      </w14:textFill>
                    </w:rPr>
                    <w:t>mg/m</w:t>
                  </w:r>
                  <w:r>
                    <w:rPr>
                      <w:color w:val="0D0D0D" w:themeColor="text1" w:themeTint="F2"/>
                      <w:kern w:val="0"/>
                      <w:position w:val="-24"/>
                      <w:szCs w:val="21"/>
                      <w:vertAlign w:val="superscript"/>
                      <w14:textFill>
                        <w14:solidFill>
                          <w14:schemeClr w14:val="tx1">
                            <w14:lumMod w14:val="95000"/>
                            <w14:lumOff w14:val="5000"/>
                          </w14:schemeClr>
                        </w14:solidFill>
                      </w14:textFill>
                    </w:rPr>
                    <w:t>3</w:t>
                  </w:r>
                  <w:r>
                    <w:rPr>
                      <w:rFonts w:hint="eastAsia"/>
                      <w:color w:val="0D0D0D" w:themeColor="text1" w:themeTint="F2"/>
                      <w:kern w:val="0"/>
                      <w:position w:val="-24"/>
                      <w:szCs w:val="21"/>
                      <w14:textFill>
                        <w14:solidFill>
                          <w14:schemeClr w14:val="tx1">
                            <w14:lumMod w14:val="95000"/>
                            <w14:lumOff w14:val="5000"/>
                          </w14:schemeClr>
                        </w14:solidFill>
                      </w14:textFill>
                    </w:rPr>
                    <w:t>）</w:t>
                  </w:r>
                </w:p>
              </w:tc>
              <w:tc>
                <w:tcPr>
                  <w:tcW w:w="846" w:type="pct"/>
                  <w:vMerge w:val="restart"/>
                  <w:vAlign w:val="center"/>
                </w:tcPr>
                <w:p w14:paraId="65696868">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排气筒高度</w:t>
                  </w:r>
                </w:p>
                <w:p w14:paraId="17D740C4">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w:t>
                  </w:r>
                  <w:r>
                    <w:rPr>
                      <w:color w:val="0D0D0D" w:themeColor="text1" w:themeTint="F2"/>
                      <w:kern w:val="0"/>
                      <w:position w:val="-24"/>
                      <w:szCs w:val="21"/>
                      <w14:textFill>
                        <w14:solidFill>
                          <w14:schemeClr w14:val="tx1">
                            <w14:lumMod w14:val="95000"/>
                            <w14:lumOff w14:val="5000"/>
                          </w14:schemeClr>
                        </w14:solidFill>
                      </w14:textFill>
                    </w:rPr>
                    <w:t>m</w:t>
                  </w:r>
                  <w:r>
                    <w:rPr>
                      <w:rFonts w:hint="eastAsia"/>
                      <w:color w:val="0D0D0D" w:themeColor="text1" w:themeTint="F2"/>
                      <w:kern w:val="0"/>
                      <w:position w:val="-24"/>
                      <w:szCs w:val="21"/>
                      <w14:textFill>
                        <w14:solidFill>
                          <w14:schemeClr w14:val="tx1">
                            <w14:lumMod w14:val="95000"/>
                            <w14:lumOff w14:val="5000"/>
                          </w14:schemeClr>
                        </w14:solidFill>
                      </w14:textFill>
                    </w:rPr>
                    <w:t>）</w:t>
                  </w:r>
                </w:p>
              </w:tc>
              <w:tc>
                <w:tcPr>
                  <w:tcW w:w="912" w:type="pct"/>
                  <w:vMerge w:val="restart"/>
                  <w:vAlign w:val="center"/>
                </w:tcPr>
                <w:p w14:paraId="37DC50A8">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二级</w:t>
                  </w:r>
                  <w:r>
                    <w:rPr>
                      <w:rFonts w:hint="eastAsia"/>
                      <w:color w:val="0D0D0D" w:themeColor="text1" w:themeTint="F2"/>
                      <w:kern w:val="0"/>
                      <w:position w:val="-24"/>
                      <w:szCs w:val="21"/>
                      <w14:textFill>
                        <w14:solidFill>
                          <w14:schemeClr w14:val="tx1">
                            <w14:lumMod w14:val="95000"/>
                            <w14:lumOff w14:val="5000"/>
                          </w14:schemeClr>
                        </w14:solidFill>
                      </w14:textFill>
                    </w:rPr>
                    <w:t>最高允许排放速率（kg/h）</w:t>
                  </w:r>
                </w:p>
              </w:tc>
              <w:tc>
                <w:tcPr>
                  <w:tcW w:w="1639" w:type="pct"/>
                  <w:gridSpan w:val="2"/>
                  <w:vAlign w:val="center"/>
                </w:tcPr>
                <w:p w14:paraId="1A0F1261">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无组织排放监控浓度限值</w:t>
                  </w:r>
                </w:p>
              </w:tc>
            </w:tr>
            <w:tr w14:paraId="4019A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41" w:type="pct"/>
                  <w:vMerge w:val="continue"/>
                  <w:vAlign w:val="center"/>
                </w:tcPr>
                <w:p w14:paraId="02705387">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p>
              </w:tc>
              <w:tc>
                <w:tcPr>
                  <w:tcW w:w="762" w:type="pct"/>
                  <w:vMerge w:val="continue"/>
                  <w:vAlign w:val="center"/>
                </w:tcPr>
                <w:p w14:paraId="2A4119CB">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p>
              </w:tc>
              <w:tc>
                <w:tcPr>
                  <w:tcW w:w="846" w:type="pct"/>
                  <w:vMerge w:val="continue"/>
                  <w:vAlign w:val="center"/>
                </w:tcPr>
                <w:p w14:paraId="1E87399F">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p>
              </w:tc>
              <w:tc>
                <w:tcPr>
                  <w:tcW w:w="912" w:type="pct"/>
                  <w:vMerge w:val="continue"/>
                  <w:vAlign w:val="center"/>
                </w:tcPr>
                <w:p w14:paraId="44BA4E12">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p>
              </w:tc>
              <w:tc>
                <w:tcPr>
                  <w:tcW w:w="611" w:type="pct"/>
                  <w:vAlign w:val="center"/>
                </w:tcPr>
                <w:p w14:paraId="3A51E30E">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监控点</w:t>
                  </w:r>
                </w:p>
              </w:tc>
              <w:tc>
                <w:tcPr>
                  <w:tcW w:w="1028" w:type="pct"/>
                  <w:vAlign w:val="center"/>
                </w:tcPr>
                <w:p w14:paraId="728053BE">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浓度</w:t>
                  </w:r>
                  <w:r>
                    <w:rPr>
                      <w:rFonts w:hint="eastAsia"/>
                      <w:color w:val="0D0D0D" w:themeColor="text1" w:themeTint="F2"/>
                      <w:kern w:val="0"/>
                      <w:position w:val="-24"/>
                      <w:szCs w:val="21"/>
                      <w14:textFill>
                        <w14:solidFill>
                          <w14:schemeClr w14:val="tx1">
                            <w14:lumMod w14:val="95000"/>
                            <w14:lumOff w14:val="5000"/>
                          </w14:schemeClr>
                        </w14:solidFill>
                      </w14:textFill>
                    </w:rPr>
                    <w:t>（</w:t>
                  </w:r>
                  <w:r>
                    <w:rPr>
                      <w:color w:val="0D0D0D" w:themeColor="text1" w:themeTint="F2"/>
                      <w:kern w:val="0"/>
                      <w:position w:val="-24"/>
                      <w:szCs w:val="21"/>
                      <w14:textFill>
                        <w14:solidFill>
                          <w14:schemeClr w14:val="tx1">
                            <w14:lumMod w14:val="95000"/>
                            <w14:lumOff w14:val="5000"/>
                          </w14:schemeClr>
                        </w14:solidFill>
                      </w14:textFill>
                    </w:rPr>
                    <w:t>mg/m</w:t>
                  </w:r>
                  <w:r>
                    <w:rPr>
                      <w:color w:val="0D0D0D" w:themeColor="text1" w:themeTint="F2"/>
                      <w:kern w:val="0"/>
                      <w:position w:val="-24"/>
                      <w:szCs w:val="21"/>
                      <w:vertAlign w:val="superscript"/>
                      <w14:textFill>
                        <w14:solidFill>
                          <w14:schemeClr w14:val="tx1">
                            <w14:lumMod w14:val="95000"/>
                            <w14:lumOff w14:val="5000"/>
                          </w14:schemeClr>
                        </w14:solidFill>
                      </w14:textFill>
                    </w:rPr>
                    <w:t>3</w:t>
                  </w:r>
                  <w:r>
                    <w:rPr>
                      <w:rFonts w:hint="eastAsia"/>
                      <w:color w:val="0D0D0D" w:themeColor="text1" w:themeTint="F2"/>
                      <w:kern w:val="0"/>
                      <w:position w:val="-24"/>
                      <w:szCs w:val="21"/>
                      <w14:textFill>
                        <w14:solidFill>
                          <w14:schemeClr w14:val="tx1">
                            <w14:lumMod w14:val="95000"/>
                            <w14:lumOff w14:val="5000"/>
                          </w14:schemeClr>
                        </w14:solidFill>
                      </w14:textFill>
                    </w:rPr>
                    <w:t>）</w:t>
                  </w:r>
                </w:p>
              </w:tc>
            </w:tr>
            <w:tr w14:paraId="1E9E7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1" w:type="pct"/>
                  <w:vAlign w:val="center"/>
                </w:tcPr>
                <w:p w14:paraId="32444178">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颗粒物</w:t>
                  </w:r>
                </w:p>
              </w:tc>
              <w:tc>
                <w:tcPr>
                  <w:tcW w:w="762" w:type="pct"/>
                  <w:vAlign w:val="center"/>
                </w:tcPr>
                <w:p w14:paraId="7F9078F3">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120</w:t>
                  </w:r>
                </w:p>
              </w:tc>
              <w:tc>
                <w:tcPr>
                  <w:tcW w:w="846" w:type="pct"/>
                  <w:vAlign w:val="center"/>
                </w:tcPr>
                <w:p w14:paraId="647CF2BE">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20</w:t>
                  </w:r>
                </w:p>
              </w:tc>
              <w:tc>
                <w:tcPr>
                  <w:tcW w:w="912" w:type="pct"/>
                  <w:vAlign w:val="center"/>
                </w:tcPr>
                <w:p w14:paraId="28795597">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5.9</w:t>
                  </w:r>
                </w:p>
              </w:tc>
              <w:tc>
                <w:tcPr>
                  <w:tcW w:w="611" w:type="pct"/>
                  <w:vMerge w:val="restart"/>
                  <w:vAlign w:val="center"/>
                </w:tcPr>
                <w:p w14:paraId="51D55147">
                  <w:pPr>
                    <w:tabs>
                      <w:tab w:val="left" w:pos="1021"/>
                    </w:tabs>
                    <w:spacing w:after="0" w:line="240" w:lineRule="auto"/>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周界外浓度最高点</w:t>
                  </w:r>
                </w:p>
              </w:tc>
              <w:tc>
                <w:tcPr>
                  <w:tcW w:w="1028" w:type="pct"/>
                  <w:vAlign w:val="center"/>
                </w:tcPr>
                <w:p w14:paraId="7F9BFF4F">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1.0</w:t>
                  </w:r>
                </w:p>
              </w:tc>
            </w:tr>
            <w:tr w14:paraId="27B54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1" w:type="pct"/>
                  <w:vAlign w:val="center"/>
                </w:tcPr>
                <w:p w14:paraId="40418A0B">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二甲苯</w:t>
                  </w:r>
                </w:p>
              </w:tc>
              <w:tc>
                <w:tcPr>
                  <w:tcW w:w="762" w:type="pct"/>
                  <w:vAlign w:val="center"/>
                </w:tcPr>
                <w:p w14:paraId="2D599878">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70</w:t>
                  </w:r>
                </w:p>
              </w:tc>
              <w:tc>
                <w:tcPr>
                  <w:tcW w:w="846" w:type="pct"/>
                  <w:vAlign w:val="center"/>
                </w:tcPr>
                <w:p w14:paraId="613B1094">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position w:val="-24"/>
                      <w:szCs w:val="21"/>
                      <w14:textFill>
                        <w14:solidFill>
                          <w14:schemeClr w14:val="tx1">
                            <w14:lumMod w14:val="95000"/>
                            <w14:lumOff w14:val="5000"/>
                          </w14:schemeClr>
                        </w14:solidFill>
                      </w14:textFill>
                    </w:rPr>
                    <w:t>20</w:t>
                  </w:r>
                </w:p>
              </w:tc>
              <w:tc>
                <w:tcPr>
                  <w:tcW w:w="912" w:type="pct"/>
                  <w:vAlign w:val="center"/>
                </w:tcPr>
                <w:p w14:paraId="31F7E791">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position w:val="-24"/>
                      <w:szCs w:val="21"/>
                      <w14:textFill>
                        <w14:solidFill>
                          <w14:schemeClr w14:val="tx1">
                            <w14:lumMod w14:val="95000"/>
                            <w14:lumOff w14:val="5000"/>
                          </w14:schemeClr>
                        </w14:solidFill>
                      </w14:textFill>
                    </w:rPr>
                    <w:t>1.7</w:t>
                  </w:r>
                </w:p>
              </w:tc>
              <w:tc>
                <w:tcPr>
                  <w:tcW w:w="611" w:type="pct"/>
                  <w:vMerge w:val="continue"/>
                  <w:vAlign w:val="center"/>
                </w:tcPr>
                <w:p w14:paraId="0E7B6B70">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p>
              </w:tc>
              <w:tc>
                <w:tcPr>
                  <w:tcW w:w="1028" w:type="pct"/>
                  <w:vAlign w:val="center"/>
                </w:tcPr>
                <w:p w14:paraId="2FD55F49">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1.2</w:t>
                  </w:r>
                </w:p>
              </w:tc>
            </w:tr>
            <w:tr w14:paraId="1254C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1" w:type="pct"/>
                  <w:vAlign w:val="center"/>
                </w:tcPr>
                <w:p w14:paraId="701DE2D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非甲烷总烃</w:t>
                  </w:r>
                </w:p>
              </w:tc>
              <w:tc>
                <w:tcPr>
                  <w:tcW w:w="762" w:type="pct"/>
                  <w:vAlign w:val="center"/>
                </w:tcPr>
                <w:p w14:paraId="45940E9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r>
                    <w:rPr>
                      <w:color w:val="0D0D0D" w:themeColor="text1" w:themeTint="F2"/>
                      <w:szCs w:val="21"/>
                      <w14:textFill>
                        <w14:solidFill>
                          <w14:schemeClr w14:val="tx1">
                            <w14:lumMod w14:val="95000"/>
                            <w14:lumOff w14:val="5000"/>
                          </w14:schemeClr>
                        </w14:solidFill>
                      </w14:textFill>
                    </w:rPr>
                    <w:t>20</w:t>
                  </w:r>
                </w:p>
              </w:tc>
              <w:tc>
                <w:tcPr>
                  <w:tcW w:w="846" w:type="pct"/>
                  <w:vAlign w:val="center"/>
                </w:tcPr>
                <w:p w14:paraId="5BFFE75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w:t>
                  </w:r>
                </w:p>
              </w:tc>
              <w:tc>
                <w:tcPr>
                  <w:tcW w:w="912" w:type="pct"/>
                  <w:vAlign w:val="center"/>
                </w:tcPr>
                <w:p w14:paraId="035B729E">
                  <w:pPr>
                    <w:spacing w:after="0" w:line="240" w:lineRule="auto"/>
                    <w:jc w:val="center"/>
                    <w:rPr>
                      <w:snapToGrid w:val="0"/>
                      <w:color w:val="0D0D0D" w:themeColor="text1" w:themeTint="F2"/>
                      <w:szCs w:val="21"/>
                      <w14:textFill>
                        <w14:solidFill>
                          <w14:schemeClr w14:val="tx1">
                            <w14:lumMod w14:val="95000"/>
                            <w14:lumOff w14:val="5000"/>
                          </w14:schemeClr>
                        </w14:solidFill>
                      </w14:textFill>
                    </w:rPr>
                  </w:pPr>
                  <w:r>
                    <w:rPr>
                      <w:rFonts w:hint="eastAsia"/>
                      <w:snapToGrid w:val="0"/>
                      <w:color w:val="0D0D0D" w:themeColor="text1" w:themeTint="F2"/>
                      <w:szCs w:val="21"/>
                      <w14:textFill>
                        <w14:solidFill>
                          <w14:schemeClr w14:val="tx1">
                            <w14:lumMod w14:val="95000"/>
                            <w14:lumOff w14:val="5000"/>
                          </w14:schemeClr>
                        </w14:solidFill>
                      </w14:textFill>
                    </w:rPr>
                    <w:t>17</w:t>
                  </w:r>
                </w:p>
              </w:tc>
              <w:tc>
                <w:tcPr>
                  <w:tcW w:w="611" w:type="pct"/>
                  <w:vMerge w:val="continue"/>
                  <w:vAlign w:val="center"/>
                </w:tcPr>
                <w:p w14:paraId="6648C1B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28" w:type="pct"/>
                  <w:vAlign w:val="center"/>
                </w:tcPr>
                <w:p w14:paraId="103D14D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kern w:val="0"/>
                      <w:position w:val="-24"/>
                      <w:szCs w:val="21"/>
                      <w14:textFill>
                        <w14:solidFill>
                          <w14:schemeClr w14:val="tx1">
                            <w14:lumMod w14:val="95000"/>
                            <w14:lumOff w14:val="5000"/>
                          </w14:schemeClr>
                        </w14:solidFill>
                      </w14:textFill>
                    </w:rPr>
                    <w:t>4.0</w:t>
                  </w:r>
                </w:p>
              </w:tc>
            </w:tr>
          </w:tbl>
          <w:p w14:paraId="5859F93D">
            <w:pPr>
              <w:adjustRightInd w:val="0"/>
              <w:snapToGrid w:val="0"/>
              <w:spacing w:after="0" w:line="240" w:lineRule="auto"/>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6</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《挥发性有机物无组织排放控制标准》（摘录）</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6"/>
              <w:gridCol w:w="701"/>
              <w:gridCol w:w="1165"/>
              <w:gridCol w:w="2785"/>
              <w:gridCol w:w="2321"/>
            </w:tblGrid>
            <w:tr w14:paraId="4F98B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pct"/>
                  <w:vAlign w:val="center"/>
                </w:tcPr>
                <w:p w14:paraId="0EBB6C8F">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污染物</w:t>
                  </w:r>
                </w:p>
              </w:tc>
              <w:tc>
                <w:tcPr>
                  <w:tcW w:w="419" w:type="pct"/>
                  <w:vAlign w:val="center"/>
                </w:tcPr>
                <w:p w14:paraId="474063CB">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排放</w:t>
                  </w:r>
                </w:p>
                <w:p w14:paraId="0C414548">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限值</w:t>
                  </w:r>
                </w:p>
              </w:tc>
              <w:tc>
                <w:tcPr>
                  <w:tcW w:w="696" w:type="pct"/>
                  <w:vAlign w:val="center"/>
                </w:tcPr>
                <w:p w14:paraId="3F0B892A">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特别排放限值</w:t>
                  </w:r>
                </w:p>
              </w:tc>
              <w:tc>
                <w:tcPr>
                  <w:tcW w:w="1664" w:type="pct"/>
                  <w:vAlign w:val="center"/>
                </w:tcPr>
                <w:p w14:paraId="3899D7F7">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限值含义</w:t>
                  </w:r>
                </w:p>
              </w:tc>
              <w:tc>
                <w:tcPr>
                  <w:tcW w:w="1387" w:type="pct"/>
                  <w:vAlign w:val="center"/>
                </w:tcPr>
                <w:p w14:paraId="00FEF20E">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无组织排放监控位置</w:t>
                  </w:r>
                </w:p>
              </w:tc>
            </w:tr>
            <w:tr w14:paraId="3C5C9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834" w:type="pct"/>
                  <w:vMerge w:val="restart"/>
                  <w:vAlign w:val="center"/>
                </w:tcPr>
                <w:p w14:paraId="30898505">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非甲烷总烃</w:t>
                  </w:r>
                </w:p>
              </w:tc>
              <w:tc>
                <w:tcPr>
                  <w:tcW w:w="419" w:type="pct"/>
                  <w:vAlign w:val="center"/>
                </w:tcPr>
                <w:p w14:paraId="26C0F047">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1</w:t>
                  </w:r>
                  <w:r>
                    <w:rPr>
                      <w:color w:val="0D0D0D" w:themeColor="text1" w:themeTint="F2"/>
                      <w:kern w:val="0"/>
                      <w:position w:val="-24"/>
                      <w:szCs w:val="21"/>
                      <w14:textFill>
                        <w14:solidFill>
                          <w14:schemeClr w14:val="tx1">
                            <w14:lumMod w14:val="95000"/>
                            <w14:lumOff w14:val="5000"/>
                          </w14:schemeClr>
                        </w14:solidFill>
                      </w14:textFill>
                    </w:rPr>
                    <w:t>0</w:t>
                  </w:r>
                </w:p>
              </w:tc>
              <w:tc>
                <w:tcPr>
                  <w:tcW w:w="696" w:type="pct"/>
                  <w:vAlign w:val="center"/>
                </w:tcPr>
                <w:p w14:paraId="52CE9701">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6</w:t>
                  </w:r>
                </w:p>
              </w:tc>
              <w:tc>
                <w:tcPr>
                  <w:tcW w:w="1664" w:type="pct"/>
                  <w:vAlign w:val="center"/>
                </w:tcPr>
                <w:p w14:paraId="5A83D894">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监控点处1</w:t>
                  </w:r>
                  <w:r>
                    <w:rPr>
                      <w:color w:val="0D0D0D" w:themeColor="text1" w:themeTint="F2"/>
                      <w:kern w:val="0"/>
                      <w:position w:val="-24"/>
                      <w:szCs w:val="21"/>
                      <w14:textFill>
                        <w14:solidFill>
                          <w14:schemeClr w14:val="tx1">
                            <w14:lumMod w14:val="95000"/>
                            <w14:lumOff w14:val="5000"/>
                          </w14:schemeClr>
                        </w14:solidFill>
                      </w14:textFill>
                    </w:rPr>
                    <w:t>h</w:t>
                  </w:r>
                  <w:r>
                    <w:rPr>
                      <w:rFonts w:hint="eastAsia"/>
                      <w:color w:val="0D0D0D" w:themeColor="text1" w:themeTint="F2"/>
                      <w:kern w:val="0"/>
                      <w:position w:val="-24"/>
                      <w:szCs w:val="21"/>
                      <w14:textFill>
                        <w14:solidFill>
                          <w14:schemeClr w14:val="tx1">
                            <w14:lumMod w14:val="95000"/>
                            <w14:lumOff w14:val="5000"/>
                          </w14:schemeClr>
                        </w14:solidFill>
                      </w14:textFill>
                    </w:rPr>
                    <w:t>平均浓度值</w:t>
                  </w:r>
                </w:p>
              </w:tc>
              <w:tc>
                <w:tcPr>
                  <w:tcW w:w="1387" w:type="pct"/>
                  <w:vMerge w:val="restart"/>
                  <w:vAlign w:val="center"/>
                </w:tcPr>
                <w:p w14:paraId="0F189018">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在厂房外设置监控点</w:t>
                  </w:r>
                </w:p>
              </w:tc>
            </w:tr>
            <w:tr w14:paraId="484C1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834" w:type="pct"/>
                  <w:vMerge w:val="continue"/>
                  <w:vAlign w:val="center"/>
                </w:tcPr>
                <w:p w14:paraId="466E2C85">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p>
              </w:tc>
              <w:tc>
                <w:tcPr>
                  <w:tcW w:w="419" w:type="pct"/>
                  <w:vAlign w:val="center"/>
                </w:tcPr>
                <w:p w14:paraId="0BAEBE3D">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3</w:t>
                  </w:r>
                  <w:r>
                    <w:rPr>
                      <w:color w:val="0D0D0D" w:themeColor="text1" w:themeTint="F2"/>
                      <w:kern w:val="0"/>
                      <w:position w:val="-24"/>
                      <w:szCs w:val="21"/>
                      <w14:textFill>
                        <w14:solidFill>
                          <w14:schemeClr w14:val="tx1">
                            <w14:lumMod w14:val="95000"/>
                            <w14:lumOff w14:val="5000"/>
                          </w14:schemeClr>
                        </w14:solidFill>
                      </w14:textFill>
                    </w:rPr>
                    <w:t>0</w:t>
                  </w:r>
                </w:p>
              </w:tc>
              <w:tc>
                <w:tcPr>
                  <w:tcW w:w="696" w:type="pct"/>
                  <w:vAlign w:val="center"/>
                </w:tcPr>
                <w:p w14:paraId="49C4EE6B">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2</w:t>
                  </w:r>
                  <w:r>
                    <w:rPr>
                      <w:color w:val="0D0D0D" w:themeColor="text1" w:themeTint="F2"/>
                      <w:kern w:val="0"/>
                      <w:position w:val="-24"/>
                      <w:szCs w:val="21"/>
                      <w14:textFill>
                        <w14:solidFill>
                          <w14:schemeClr w14:val="tx1">
                            <w14:lumMod w14:val="95000"/>
                            <w14:lumOff w14:val="5000"/>
                          </w14:schemeClr>
                        </w14:solidFill>
                      </w14:textFill>
                    </w:rPr>
                    <w:t>0</w:t>
                  </w:r>
                </w:p>
              </w:tc>
              <w:tc>
                <w:tcPr>
                  <w:tcW w:w="1664" w:type="pct"/>
                  <w:vAlign w:val="center"/>
                </w:tcPr>
                <w:p w14:paraId="22FB6AEB">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监控点处任意一次浓度值</w:t>
                  </w:r>
                </w:p>
              </w:tc>
              <w:tc>
                <w:tcPr>
                  <w:tcW w:w="1387" w:type="pct"/>
                  <w:vMerge w:val="continue"/>
                  <w:vAlign w:val="center"/>
                </w:tcPr>
                <w:p w14:paraId="2241905D">
                  <w:pPr>
                    <w:tabs>
                      <w:tab w:val="left" w:pos="1021"/>
                    </w:tabs>
                    <w:spacing w:after="0" w:line="240" w:lineRule="auto"/>
                    <w:jc w:val="center"/>
                    <w:rPr>
                      <w:color w:val="0D0D0D" w:themeColor="text1" w:themeTint="F2"/>
                      <w:kern w:val="0"/>
                      <w:position w:val="-24"/>
                      <w:szCs w:val="21"/>
                      <w14:textFill>
                        <w14:solidFill>
                          <w14:schemeClr w14:val="tx1">
                            <w14:lumMod w14:val="95000"/>
                            <w14:lumOff w14:val="5000"/>
                          </w14:schemeClr>
                        </w14:solidFill>
                      </w14:textFill>
                    </w:rPr>
                  </w:pPr>
                </w:p>
              </w:tc>
            </w:tr>
          </w:tbl>
          <w:p w14:paraId="29D6486E">
            <w:pPr>
              <w:adjustRightInd w:val="0"/>
              <w:snapToGrid w:val="0"/>
              <w:spacing w:after="0" w:line="240" w:lineRule="auto"/>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7</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《恶臭污染物排放标准》（摘录）</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1"/>
              <w:gridCol w:w="5747"/>
            </w:tblGrid>
            <w:tr w14:paraId="41B2F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6" w:type="pct"/>
                  <w:vAlign w:val="center"/>
                </w:tcPr>
                <w:p w14:paraId="1CA563F4">
                  <w:pPr>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污染物</w:t>
                  </w:r>
                </w:p>
              </w:tc>
              <w:tc>
                <w:tcPr>
                  <w:tcW w:w="3434" w:type="pct"/>
                  <w:vAlign w:val="center"/>
                </w:tcPr>
                <w:p w14:paraId="0FF83FC4">
                  <w:pPr>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厂界标准（二级标准）</w:t>
                  </w:r>
                </w:p>
              </w:tc>
            </w:tr>
            <w:tr w14:paraId="6779C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6" w:type="pct"/>
                  <w:vAlign w:val="center"/>
                </w:tcPr>
                <w:p w14:paraId="09CFC2A7">
                  <w:pPr>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臭气浓度</w:t>
                  </w:r>
                </w:p>
              </w:tc>
              <w:tc>
                <w:tcPr>
                  <w:tcW w:w="3434" w:type="pct"/>
                  <w:vAlign w:val="center"/>
                </w:tcPr>
                <w:p w14:paraId="026B3FC3">
                  <w:pPr>
                    <w:adjustRightInd w:val="0"/>
                    <w:snapToGrid w:val="0"/>
                    <w:spacing w:after="0" w:line="240" w:lineRule="auto"/>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20（无量纲）</w:t>
                  </w:r>
                </w:p>
              </w:tc>
            </w:tr>
          </w:tbl>
          <w:p w14:paraId="46BCEBFB">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2.废水</w:t>
            </w:r>
          </w:p>
          <w:p w14:paraId="58B5CEC1">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项目</w:t>
            </w:r>
            <w:r>
              <w:rPr>
                <w:rFonts w:hint="eastAsia"/>
                <w:color w:val="0D0D0D" w:themeColor="text1" w:themeTint="F2"/>
                <w:sz w:val="24"/>
                <w14:textFill>
                  <w14:solidFill>
                    <w14:schemeClr w14:val="tx1">
                      <w14:lumMod w14:val="95000"/>
                      <w14:lumOff w14:val="5000"/>
                    </w14:schemeClr>
                  </w14:solidFill>
                </w14:textFill>
              </w:rPr>
              <w:t>生活污水经三级化粪池预处理后使用吸污车清运至钦州市大榄坪污水处理厂进一步处理，外排废水须满足《污水综合排放标准》（GB8978-1996）三级标准和钦州市大榄坪污水处理厂纳管要求较严值，排放标准详见表3-8。</w:t>
            </w:r>
          </w:p>
          <w:p w14:paraId="51C9A265">
            <w:pPr>
              <w:adjustRightInd w:val="0"/>
              <w:snapToGrid w:val="0"/>
              <w:spacing w:after="0" w:line="240" w:lineRule="auto"/>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8</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废水排放执行标准</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103"/>
              <w:gridCol w:w="3297"/>
              <w:gridCol w:w="2201"/>
              <w:gridCol w:w="1103"/>
            </w:tblGrid>
            <w:tr w14:paraId="45F61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3F67E63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659" w:type="pct"/>
                  <w:vAlign w:val="center"/>
                </w:tcPr>
                <w:p w14:paraId="0FF6B60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污染物</w:t>
                  </w:r>
                </w:p>
              </w:tc>
              <w:tc>
                <w:tcPr>
                  <w:tcW w:w="1970" w:type="pct"/>
                  <w:vAlign w:val="center"/>
                </w:tcPr>
                <w:p w14:paraId="06B2D8C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《污水综合排放标准》三级标准</w:t>
                  </w:r>
                </w:p>
              </w:tc>
              <w:tc>
                <w:tcPr>
                  <w:tcW w:w="1315" w:type="pct"/>
                  <w:vAlign w:val="center"/>
                </w:tcPr>
                <w:p w14:paraId="163426A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污水处理厂纳管标准</w:t>
                  </w:r>
                </w:p>
              </w:tc>
              <w:tc>
                <w:tcPr>
                  <w:tcW w:w="659" w:type="pct"/>
                  <w:vAlign w:val="center"/>
                </w:tcPr>
                <w:p w14:paraId="69BAFFD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执行标准</w:t>
                  </w:r>
                </w:p>
              </w:tc>
            </w:tr>
            <w:tr w14:paraId="0C741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0BDE5BD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659" w:type="pct"/>
                  <w:vAlign w:val="center"/>
                </w:tcPr>
                <w:p w14:paraId="6C74EB7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pH</w:t>
                  </w:r>
                </w:p>
              </w:tc>
              <w:tc>
                <w:tcPr>
                  <w:tcW w:w="1970" w:type="pct"/>
                  <w:vAlign w:val="center"/>
                </w:tcPr>
                <w:p w14:paraId="5C7B0BB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6~9</w:t>
                  </w:r>
                </w:p>
              </w:tc>
              <w:tc>
                <w:tcPr>
                  <w:tcW w:w="1315" w:type="pct"/>
                  <w:vAlign w:val="center"/>
                </w:tcPr>
                <w:p w14:paraId="777CC47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6~9</w:t>
                  </w:r>
                </w:p>
              </w:tc>
              <w:tc>
                <w:tcPr>
                  <w:tcW w:w="659" w:type="pct"/>
                  <w:vAlign w:val="center"/>
                </w:tcPr>
                <w:p w14:paraId="08890AE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6~9</w:t>
                  </w:r>
                </w:p>
              </w:tc>
            </w:tr>
            <w:tr w14:paraId="13D43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5BA8892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659" w:type="pct"/>
                  <w:vAlign w:val="center"/>
                </w:tcPr>
                <w:p w14:paraId="6BA3B5C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SS</w:t>
                  </w:r>
                </w:p>
              </w:tc>
              <w:tc>
                <w:tcPr>
                  <w:tcW w:w="1970" w:type="pct"/>
                  <w:vAlign w:val="center"/>
                </w:tcPr>
                <w:p w14:paraId="0280734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400</w:t>
                  </w:r>
                </w:p>
              </w:tc>
              <w:tc>
                <w:tcPr>
                  <w:tcW w:w="1315" w:type="pct"/>
                  <w:vAlign w:val="center"/>
                </w:tcPr>
                <w:p w14:paraId="14D2125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c>
                <w:tcPr>
                  <w:tcW w:w="659" w:type="pct"/>
                  <w:vAlign w:val="center"/>
                </w:tcPr>
                <w:p w14:paraId="5A15DD3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r>
            <w:tr w14:paraId="51907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4E43DE2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659" w:type="pct"/>
                  <w:vAlign w:val="center"/>
                </w:tcPr>
                <w:p w14:paraId="1CAE54F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COD</w:t>
                  </w:r>
                </w:p>
              </w:tc>
              <w:tc>
                <w:tcPr>
                  <w:tcW w:w="1970" w:type="pct"/>
                  <w:vAlign w:val="center"/>
                </w:tcPr>
                <w:p w14:paraId="66FD3BB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500</w:t>
                  </w:r>
                </w:p>
              </w:tc>
              <w:tc>
                <w:tcPr>
                  <w:tcW w:w="1315" w:type="pct"/>
                  <w:vAlign w:val="center"/>
                </w:tcPr>
                <w:p w14:paraId="1BE82AE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450</w:t>
                  </w:r>
                </w:p>
              </w:tc>
              <w:tc>
                <w:tcPr>
                  <w:tcW w:w="659" w:type="pct"/>
                  <w:vAlign w:val="center"/>
                </w:tcPr>
                <w:p w14:paraId="34C3AB5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450</w:t>
                  </w:r>
                </w:p>
              </w:tc>
            </w:tr>
            <w:tr w14:paraId="05A60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2E602FB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659" w:type="pct"/>
                  <w:vAlign w:val="center"/>
                </w:tcPr>
                <w:p w14:paraId="3B127A1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BOD</w:t>
                  </w:r>
                  <w:r>
                    <w:rPr>
                      <w:rFonts w:hint="eastAsia"/>
                      <w:color w:val="0D0D0D" w:themeColor="text1" w:themeTint="F2"/>
                      <w:szCs w:val="21"/>
                      <w:vertAlign w:val="subscript"/>
                      <w14:textFill>
                        <w14:solidFill>
                          <w14:schemeClr w14:val="tx1">
                            <w14:lumMod w14:val="95000"/>
                            <w14:lumOff w14:val="5000"/>
                          </w14:schemeClr>
                        </w14:solidFill>
                      </w14:textFill>
                    </w:rPr>
                    <w:t>5</w:t>
                  </w:r>
                </w:p>
              </w:tc>
              <w:tc>
                <w:tcPr>
                  <w:tcW w:w="1970" w:type="pct"/>
                  <w:vAlign w:val="center"/>
                </w:tcPr>
                <w:p w14:paraId="4EE351B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c>
                <w:tcPr>
                  <w:tcW w:w="1315" w:type="pct"/>
                  <w:vAlign w:val="center"/>
                </w:tcPr>
                <w:p w14:paraId="01C2FFF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w:t>
                  </w:r>
                </w:p>
              </w:tc>
              <w:tc>
                <w:tcPr>
                  <w:tcW w:w="659" w:type="pct"/>
                  <w:vAlign w:val="center"/>
                </w:tcPr>
                <w:p w14:paraId="30E2BE2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w:t>
                  </w:r>
                </w:p>
              </w:tc>
            </w:tr>
            <w:tr w14:paraId="44294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4D9D62A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659" w:type="pct"/>
                  <w:vAlign w:val="center"/>
                </w:tcPr>
                <w:p w14:paraId="29DDCD6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NH</w:t>
                  </w:r>
                  <w:r>
                    <w:rPr>
                      <w:rFonts w:hint="eastAsia"/>
                      <w:color w:val="0D0D0D" w:themeColor="text1" w:themeTint="F2"/>
                      <w:szCs w:val="21"/>
                      <w:vertAlign w:val="sub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-N</w:t>
                  </w:r>
                </w:p>
              </w:tc>
              <w:tc>
                <w:tcPr>
                  <w:tcW w:w="1970" w:type="pct"/>
                  <w:vAlign w:val="center"/>
                </w:tcPr>
                <w:p w14:paraId="3D1E89A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1315" w:type="pct"/>
                  <w:vAlign w:val="center"/>
                </w:tcPr>
                <w:p w14:paraId="5793378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35</w:t>
                  </w:r>
                </w:p>
              </w:tc>
              <w:tc>
                <w:tcPr>
                  <w:tcW w:w="659" w:type="pct"/>
                  <w:vAlign w:val="center"/>
                </w:tcPr>
                <w:p w14:paraId="45C57BC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35</w:t>
                  </w:r>
                </w:p>
              </w:tc>
            </w:tr>
          </w:tbl>
          <w:p w14:paraId="7DE71D7A">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3.</w:t>
            </w:r>
            <w:r>
              <w:rPr>
                <w:b/>
                <w:bCs/>
                <w:color w:val="0D0D0D" w:themeColor="text1" w:themeTint="F2"/>
                <w:sz w:val="24"/>
                <w14:textFill>
                  <w14:solidFill>
                    <w14:schemeClr w14:val="tx1">
                      <w14:lumMod w14:val="95000"/>
                      <w14:lumOff w14:val="5000"/>
                    </w14:schemeClr>
                  </w14:solidFill>
                </w14:textFill>
              </w:rPr>
              <w:t>噪声</w:t>
            </w:r>
          </w:p>
          <w:p w14:paraId="2662BA26">
            <w:pPr>
              <w:adjustRightInd w:val="0"/>
              <w:snapToGrid w:val="0"/>
              <w:spacing w:after="0"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bCs/>
                <w:color w:val="0D0D0D" w:themeColor="text1" w:themeTint="F2"/>
                <w:kern w:val="0"/>
                <w:sz w:val="24"/>
                <w14:textFill>
                  <w14:solidFill>
                    <w14:schemeClr w14:val="tx1">
                      <w14:lumMod w14:val="95000"/>
                      <w14:lumOff w14:val="5000"/>
                    </w14:schemeClr>
                  </w14:solidFill>
                </w14:textFill>
              </w:rPr>
              <w:t>项目施工期噪声执行</w:t>
            </w:r>
            <w:r>
              <w:rPr>
                <w:rFonts w:hint="eastAsia" w:cs="宋体"/>
                <w:bCs/>
                <w:color w:val="0D0D0D" w:themeColor="text1" w:themeTint="F2"/>
                <w:kern w:val="0"/>
                <w:sz w:val="24"/>
                <w14:textFill>
                  <w14:solidFill>
                    <w14:schemeClr w14:val="tx1">
                      <w14:lumMod w14:val="95000"/>
                      <w14:lumOff w14:val="5000"/>
                    </w14:schemeClr>
                  </w14:solidFill>
                </w14:textFill>
              </w:rPr>
              <w:t>《建筑施工噪声排放标准》（GB12523-2025）</w:t>
            </w:r>
            <w:r>
              <w:rPr>
                <w:rFonts w:cs="宋体"/>
                <w:bCs/>
                <w:color w:val="0D0D0D" w:themeColor="text1" w:themeTint="F2"/>
                <w:kern w:val="0"/>
                <w:sz w:val="24"/>
                <w14:textFill>
                  <w14:solidFill>
                    <w14:schemeClr w14:val="tx1">
                      <w14:lumMod w14:val="95000"/>
                      <w14:lumOff w14:val="5000"/>
                    </w14:schemeClr>
                  </w14:solidFill>
                </w14:textFill>
              </w:rPr>
              <w:t>相关标准限值</w:t>
            </w:r>
            <w:r>
              <w:rPr>
                <w:rFonts w:hint="eastAsia" w:cs="宋体"/>
                <w:bCs/>
                <w:color w:val="0D0D0D" w:themeColor="text1" w:themeTint="F2"/>
                <w:kern w:val="0"/>
                <w:sz w:val="24"/>
                <w14:textFill>
                  <w14:solidFill>
                    <w14:schemeClr w14:val="tx1">
                      <w14:lumMod w14:val="95000"/>
                      <w14:lumOff w14:val="5000"/>
                    </w14:schemeClr>
                  </w14:solidFill>
                </w14:textFill>
              </w:rPr>
              <w:t>，详见表3</w:t>
            </w:r>
            <w:r>
              <w:rPr>
                <w:rFonts w:cs="宋体"/>
                <w:bCs/>
                <w:color w:val="0D0D0D" w:themeColor="text1" w:themeTint="F2"/>
                <w:kern w:val="0"/>
                <w:sz w:val="24"/>
                <w14:textFill>
                  <w14:solidFill>
                    <w14:schemeClr w14:val="tx1">
                      <w14:lumMod w14:val="95000"/>
                      <w14:lumOff w14:val="5000"/>
                    </w14:schemeClr>
                  </w14:solidFill>
                </w14:textFill>
              </w:rPr>
              <w:t>-</w:t>
            </w:r>
            <w:r>
              <w:rPr>
                <w:rFonts w:hint="eastAsia" w:cs="宋体"/>
                <w:bCs/>
                <w:color w:val="0D0D0D" w:themeColor="text1" w:themeTint="F2"/>
                <w:kern w:val="0"/>
                <w:sz w:val="24"/>
                <w14:textFill>
                  <w14:solidFill>
                    <w14:schemeClr w14:val="tx1">
                      <w14:lumMod w14:val="95000"/>
                      <w14:lumOff w14:val="5000"/>
                    </w14:schemeClr>
                  </w14:solidFill>
                </w14:textFill>
              </w:rPr>
              <w:t>9。</w:t>
            </w:r>
          </w:p>
          <w:p w14:paraId="348BFBC7">
            <w:pPr>
              <w:adjustRightInd w:val="0"/>
              <w:snapToGrid w:val="0"/>
              <w:spacing w:after="0" w:line="240" w:lineRule="auto"/>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9</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建筑施工噪声排放标准</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（摘录）</w:t>
            </w:r>
            <w:r>
              <w:rPr>
                <w:rFonts w:cs="宋体"/>
                <w:b/>
                <w:bCs/>
                <w:color w:val="0D0D0D" w:themeColor="text1" w:themeTint="F2"/>
                <w:kern w:val="0"/>
                <w:szCs w:val="21"/>
                <w14:textFill>
                  <w14:solidFill>
                    <w14:schemeClr w14:val="tx1">
                      <w14:lumMod w14:val="95000"/>
                      <w14:lumOff w14:val="5000"/>
                    </w14:schemeClr>
                  </w14:solidFill>
                </w14:textFill>
              </w:rPr>
              <w:t xml:space="preserve">  单位：dB</w:t>
            </w:r>
            <w:r>
              <w:rPr>
                <w:rFonts w:hint="eastAsia" w:cs="宋体"/>
                <w:b/>
                <w:bCs/>
                <w:color w:val="0D0D0D" w:themeColor="text1" w:themeTint="F2"/>
                <w:kern w:val="0"/>
                <w:szCs w:val="21"/>
                <w14:textFill>
                  <w14:solidFill>
                    <w14:schemeClr w14:val="tx1">
                      <w14:lumMod w14:val="95000"/>
                      <w14:lumOff w14:val="5000"/>
                    </w14:schemeClr>
                  </w14:solidFill>
                </w14:textFill>
              </w:rPr>
              <w:t>(</w:t>
            </w:r>
            <w:r>
              <w:rPr>
                <w:rFonts w:cs="宋体"/>
                <w:b/>
                <w:bCs/>
                <w:color w:val="0D0D0D" w:themeColor="text1" w:themeTint="F2"/>
                <w:kern w:val="0"/>
                <w:szCs w:val="21"/>
                <w14:textFill>
                  <w14:solidFill>
                    <w14:schemeClr w14:val="tx1">
                      <w14:lumMod w14:val="95000"/>
                      <w14:lumOff w14:val="5000"/>
                    </w14:schemeClr>
                  </w14:solidFill>
                </w14:textFill>
              </w:rPr>
              <w:t>A)</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4"/>
              <w:gridCol w:w="4184"/>
            </w:tblGrid>
            <w:tr w14:paraId="2C541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14:paraId="7946CF11">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昼间</w:t>
                  </w:r>
                </w:p>
              </w:tc>
              <w:tc>
                <w:tcPr>
                  <w:tcW w:w="2500" w:type="pct"/>
                  <w:vAlign w:val="center"/>
                </w:tcPr>
                <w:p w14:paraId="2C82ADD9">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夜间</w:t>
                  </w:r>
                </w:p>
              </w:tc>
            </w:tr>
            <w:tr w14:paraId="3AFA0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14:paraId="31CC827E">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70</w:t>
                  </w:r>
                </w:p>
              </w:tc>
              <w:tc>
                <w:tcPr>
                  <w:tcW w:w="2500" w:type="pct"/>
                  <w:vAlign w:val="center"/>
                </w:tcPr>
                <w:p w14:paraId="0DB6DAF1">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55</w:t>
                  </w:r>
                </w:p>
              </w:tc>
            </w:tr>
          </w:tbl>
          <w:p w14:paraId="25080D12">
            <w:pPr>
              <w:adjustRightInd w:val="0"/>
              <w:snapToGrid w:val="0"/>
              <w:spacing w:after="0"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bCs/>
                <w:color w:val="0D0D0D" w:themeColor="text1" w:themeTint="F2"/>
                <w:kern w:val="0"/>
                <w:sz w:val="24"/>
                <w14:textFill>
                  <w14:solidFill>
                    <w14:schemeClr w14:val="tx1">
                      <w14:lumMod w14:val="95000"/>
                      <w14:lumOff w14:val="5000"/>
                    </w14:schemeClr>
                  </w14:solidFill>
                </w14:textFill>
              </w:rPr>
              <w:t>运营期</w:t>
            </w:r>
            <w:r>
              <w:rPr>
                <w:rFonts w:hint="eastAsia" w:cs="宋体"/>
                <w:bCs/>
                <w:color w:val="0D0D0D" w:themeColor="text1" w:themeTint="F2"/>
                <w:kern w:val="0"/>
                <w:sz w:val="24"/>
                <w14:textFill>
                  <w14:solidFill>
                    <w14:schemeClr w14:val="tx1">
                      <w14:lumMod w14:val="95000"/>
                      <w14:lumOff w14:val="5000"/>
                    </w14:schemeClr>
                  </w14:solidFill>
                </w14:textFill>
              </w:rPr>
              <w:t>东侧厂界</w:t>
            </w:r>
            <w:bookmarkStart w:id="18" w:name="OLE_LINK21"/>
            <w:r>
              <w:rPr>
                <w:rFonts w:hint="eastAsia" w:cs="宋体"/>
                <w:bCs/>
                <w:color w:val="0D0D0D" w:themeColor="text1" w:themeTint="F2"/>
                <w:kern w:val="0"/>
                <w:sz w:val="24"/>
                <w14:textFill>
                  <w14:solidFill>
                    <w14:schemeClr w14:val="tx1">
                      <w14:lumMod w14:val="95000"/>
                      <w14:lumOff w14:val="5000"/>
                    </w14:schemeClr>
                  </w14:solidFill>
                </w14:textFill>
              </w:rPr>
              <w:t>大榄坪三号路和北侧厂界淡水湾大道35m范围内</w:t>
            </w:r>
            <w:bookmarkEnd w:id="18"/>
            <w:r>
              <w:rPr>
                <w:rFonts w:hint="eastAsia" w:cs="宋体"/>
                <w:bCs/>
                <w:color w:val="0D0D0D" w:themeColor="text1" w:themeTint="F2"/>
                <w:kern w:val="0"/>
                <w:sz w:val="24"/>
                <w14:textFill>
                  <w14:solidFill>
                    <w14:schemeClr w14:val="tx1">
                      <w14:lumMod w14:val="95000"/>
                      <w14:lumOff w14:val="5000"/>
                    </w14:schemeClr>
                  </w14:solidFill>
                </w14:textFill>
              </w:rPr>
              <w:t>执行</w:t>
            </w:r>
            <w:r>
              <w:rPr>
                <w:rFonts w:cs="宋体"/>
                <w:bCs/>
                <w:color w:val="0D0D0D" w:themeColor="text1" w:themeTint="F2"/>
                <w:kern w:val="0"/>
                <w:sz w:val="24"/>
                <w14:textFill>
                  <w14:solidFill>
                    <w14:schemeClr w14:val="tx1">
                      <w14:lumMod w14:val="95000"/>
                      <w14:lumOff w14:val="5000"/>
                    </w14:schemeClr>
                  </w14:solidFill>
                </w14:textFill>
              </w:rPr>
              <w:t>《工业企业厂界环境噪声排放标准》（GB12348-2008）</w:t>
            </w:r>
            <w:r>
              <w:rPr>
                <w:rFonts w:hint="eastAsia" w:cs="宋体"/>
                <w:bCs/>
                <w:color w:val="0D0D0D" w:themeColor="text1" w:themeTint="F2"/>
                <w:kern w:val="0"/>
                <w:sz w:val="24"/>
                <w14:textFill>
                  <w14:solidFill>
                    <w14:schemeClr w14:val="tx1">
                      <w14:lumMod w14:val="95000"/>
                      <w14:lumOff w14:val="5000"/>
                    </w14:schemeClr>
                  </w14:solidFill>
                </w14:textFill>
              </w:rPr>
              <w:t>4类标准，南侧厂界和西侧厂界</w:t>
            </w:r>
            <w:r>
              <w:rPr>
                <w:rFonts w:cs="宋体"/>
                <w:bCs/>
                <w:color w:val="0D0D0D" w:themeColor="text1" w:themeTint="F2"/>
                <w:kern w:val="0"/>
                <w:sz w:val="24"/>
                <w14:textFill>
                  <w14:solidFill>
                    <w14:schemeClr w14:val="tx1">
                      <w14:lumMod w14:val="95000"/>
                      <w14:lumOff w14:val="5000"/>
                    </w14:schemeClr>
                  </w14:solidFill>
                </w14:textFill>
              </w:rPr>
              <w:t>执行《工业企业厂界环境噪声排放标准》（GB12348-2008）</w:t>
            </w:r>
            <w:r>
              <w:rPr>
                <w:rFonts w:hint="eastAsia" w:cs="宋体"/>
                <w:bCs/>
                <w:color w:val="0D0D0D" w:themeColor="text1" w:themeTint="F2"/>
                <w:kern w:val="0"/>
                <w:sz w:val="24"/>
                <w14:textFill>
                  <w14:solidFill>
                    <w14:schemeClr w14:val="tx1">
                      <w14:lumMod w14:val="95000"/>
                      <w14:lumOff w14:val="5000"/>
                    </w14:schemeClr>
                  </w14:solidFill>
                </w14:textFill>
              </w:rPr>
              <w:t>3</w:t>
            </w:r>
            <w:r>
              <w:rPr>
                <w:rFonts w:cs="宋体"/>
                <w:bCs/>
                <w:color w:val="0D0D0D" w:themeColor="text1" w:themeTint="F2"/>
                <w:kern w:val="0"/>
                <w:sz w:val="24"/>
                <w14:textFill>
                  <w14:solidFill>
                    <w14:schemeClr w14:val="tx1">
                      <w14:lumMod w14:val="95000"/>
                      <w14:lumOff w14:val="5000"/>
                    </w14:schemeClr>
                  </w14:solidFill>
                </w14:textFill>
              </w:rPr>
              <w:t>类标准</w:t>
            </w:r>
            <w:r>
              <w:rPr>
                <w:rFonts w:hint="eastAsia" w:cs="宋体"/>
                <w:bCs/>
                <w:color w:val="0D0D0D" w:themeColor="text1" w:themeTint="F2"/>
                <w:kern w:val="0"/>
                <w:sz w:val="24"/>
                <w14:textFill>
                  <w14:solidFill>
                    <w14:schemeClr w14:val="tx1">
                      <w14:lumMod w14:val="95000"/>
                      <w14:lumOff w14:val="5000"/>
                    </w14:schemeClr>
                  </w14:solidFill>
                </w14:textFill>
              </w:rPr>
              <w:t>，详见表3</w:t>
            </w:r>
            <w:r>
              <w:rPr>
                <w:rFonts w:cs="宋体"/>
                <w:bCs/>
                <w:color w:val="0D0D0D" w:themeColor="text1" w:themeTint="F2"/>
                <w:kern w:val="0"/>
                <w:sz w:val="24"/>
                <w14:textFill>
                  <w14:solidFill>
                    <w14:schemeClr w14:val="tx1">
                      <w14:lumMod w14:val="95000"/>
                      <w14:lumOff w14:val="5000"/>
                    </w14:schemeClr>
                  </w14:solidFill>
                </w14:textFill>
              </w:rPr>
              <w:t>-</w:t>
            </w:r>
            <w:r>
              <w:rPr>
                <w:rFonts w:hint="eastAsia" w:cs="宋体"/>
                <w:bCs/>
                <w:color w:val="0D0D0D" w:themeColor="text1" w:themeTint="F2"/>
                <w:kern w:val="0"/>
                <w:sz w:val="24"/>
                <w14:textFill>
                  <w14:solidFill>
                    <w14:schemeClr w14:val="tx1">
                      <w14:lumMod w14:val="95000"/>
                      <w14:lumOff w14:val="5000"/>
                    </w14:schemeClr>
                  </w14:solidFill>
                </w14:textFill>
              </w:rPr>
              <w:t>10</w:t>
            </w:r>
            <w:r>
              <w:rPr>
                <w:rFonts w:cs="宋体"/>
                <w:bCs/>
                <w:color w:val="0D0D0D" w:themeColor="text1" w:themeTint="F2"/>
                <w:kern w:val="0"/>
                <w:sz w:val="24"/>
                <w14:textFill>
                  <w14:solidFill>
                    <w14:schemeClr w14:val="tx1">
                      <w14:lumMod w14:val="95000"/>
                      <w14:lumOff w14:val="5000"/>
                    </w14:schemeClr>
                  </w14:solidFill>
                </w14:textFill>
              </w:rPr>
              <w:t>。</w:t>
            </w:r>
          </w:p>
          <w:p w14:paraId="40EA277B">
            <w:pPr>
              <w:adjustRightInd w:val="0"/>
              <w:snapToGrid w:val="0"/>
              <w:spacing w:after="0" w:line="240" w:lineRule="auto"/>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10</w:t>
            </w:r>
            <w:r>
              <w:rPr>
                <w:rFonts w:cs="宋体"/>
                <w:b/>
                <w:bCs/>
                <w:color w:val="0D0D0D" w:themeColor="text1" w:themeTint="F2"/>
                <w:kern w:val="0"/>
                <w:szCs w:val="21"/>
                <w14:textFill>
                  <w14:solidFill>
                    <w14:schemeClr w14:val="tx1">
                      <w14:lumMod w14:val="95000"/>
                      <w14:lumOff w14:val="5000"/>
                    </w14:schemeClr>
                  </w14:solidFill>
                </w14:textFill>
              </w:rPr>
              <w:t xml:space="preserve">  《工业企业厂界环境噪声排放标准》</w:t>
            </w:r>
            <w:r>
              <w:rPr>
                <w:rFonts w:hint="eastAsia" w:cs="宋体"/>
                <w:b/>
                <w:bCs/>
                <w:color w:val="0D0D0D" w:themeColor="text1" w:themeTint="F2"/>
                <w:kern w:val="0"/>
                <w:szCs w:val="21"/>
                <w14:textFill>
                  <w14:solidFill>
                    <w14:schemeClr w14:val="tx1">
                      <w14:lumMod w14:val="95000"/>
                      <w14:lumOff w14:val="5000"/>
                    </w14:schemeClr>
                  </w14:solidFill>
                </w14:textFill>
              </w:rPr>
              <w:t>（摘录）</w:t>
            </w:r>
            <w:r>
              <w:rPr>
                <w:rFonts w:cs="宋体"/>
                <w:b/>
                <w:bCs/>
                <w:color w:val="0D0D0D" w:themeColor="text1" w:themeTint="F2"/>
                <w:kern w:val="0"/>
                <w:szCs w:val="21"/>
                <w14:textFill>
                  <w14:solidFill>
                    <w14:schemeClr w14:val="tx1">
                      <w14:lumMod w14:val="95000"/>
                      <w14:lumOff w14:val="5000"/>
                    </w14:schemeClr>
                  </w14:solidFill>
                </w14:textFill>
              </w:rPr>
              <w:t xml:space="preserve">  单位：dB</w:t>
            </w:r>
            <w:r>
              <w:rPr>
                <w:rFonts w:hint="eastAsia" w:cs="宋体"/>
                <w:b/>
                <w:bCs/>
                <w:color w:val="0D0D0D" w:themeColor="text1" w:themeTint="F2"/>
                <w:kern w:val="0"/>
                <w:szCs w:val="21"/>
                <w14:textFill>
                  <w14:solidFill>
                    <w14:schemeClr w14:val="tx1">
                      <w14:lumMod w14:val="95000"/>
                      <w14:lumOff w14:val="5000"/>
                    </w14:schemeClr>
                  </w14:solidFill>
                </w14:textFill>
              </w:rPr>
              <w:t>(</w:t>
            </w:r>
            <w:r>
              <w:rPr>
                <w:rFonts w:cs="宋体"/>
                <w:b/>
                <w:bCs/>
                <w:color w:val="0D0D0D" w:themeColor="text1" w:themeTint="F2"/>
                <w:kern w:val="0"/>
                <w:szCs w:val="21"/>
                <w14:textFill>
                  <w14:solidFill>
                    <w14:schemeClr w14:val="tx1">
                      <w14:lumMod w14:val="95000"/>
                      <w14:lumOff w14:val="5000"/>
                    </w14:schemeClr>
                  </w14:solidFill>
                </w14:textFill>
              </w:rPr>
              <w:t>A)</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0"/>
              <w:gridCol w:w="2790"/>
              <w:gridCol w:w="2788"/>
            </w:tblGrid>
            <w:tr w14:paraId="01770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vAlign w:val="center"/>
                </w:tcPr>
                <w:p w14:paraId="71F97F82">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类别</w:t>
                  </w:r>
                </w:p>
              </w:tc>
              <w:tc>
                <w:tcPr>
                  <w:tcW w:w="1667" w:type="pct"/>
                  <w:vAlign w:val="center"/>
                </w:tcPr>
                <w:p w14:paraId="0B9D98AA">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昼间</w:t>
                  </w:r>
                </w:p>
              </w:tc>
              <w:tc>
                <w:tcPr>
                  <w:tcW w:w="1666" w:type="pct"/>
                  <w:vAlign w:val="center"/>
                </w:tcPr>
                <w:p w14:paraId="37F65DBE">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夜间</w:t>
                  </w:r>
                </w:p>
              </w:tc>
            </w:tr>
            <w:tr w14:paraId="635D6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vAlign w:val="center"/>
                </w:tcPr>
                <w:p w14:paraId="4F49F7EB">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3</w:t>
                  </w:r>
                  <w:r>
                    <w:rPr>
                      <w:rFonts w:cs="宋体"/>
                      <w:bCs/>
                      <w:color w:val="0D0D0D" w:themeColor="text1" w:themeTint="F2"/>
                      <w:kern w:val="0"/>
                      <w:szCs w:val="21"/>
                      <w14:textFill>
                        <w14:solidFill>
                          <w14:schemeClr w14:val="tx1">
                            <w14:lumMod w14:val="95000"/>
                            <w14:lumOff w14:val="5000"/>
                          </w14:schemeClr>
                        </w14:solidFill>
                      </w14:textFill>
                    </w:rPr>
                    <w:t>类</w:t>
                  </w:r>
                </w:p>
              </w:tc>
              <w:tc>
                <w:tcPr>
                  <w:tcW w:w="1667" w:type="pct"/>
                  <w:vAlign w:val="center"/>
                </w:tcPr>
                <w:p w14:paraId="63B8C17F">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65</w:t>
                  </w:r>
                </w:p>
              </w:tc>
              <w:tc>
                <w:tcPr>
                  <w:tcW w:w="1666" w:type="pct"/>
                  <w:vAlign w:val="center"/>
                </w:tcPr>
                <w:p w14:paraId="41E4033F">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55</w:t>
                  </w:r>
                </w:p>
              </w:tc>
            </w:tr>
            <w:tr w14:paraId="335F8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vAlign w:val="center"/>
                </w:tcPr>
                <w:p w14:paraId="1149E4EF">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4类</w:t>
                  </w:r>
                </w:p>
              </w:tc>
              <w:tc>
                <w:tcPr>
                  <w:tcW w:w="1667" w:type="pct"/>
                  <w:vAlign w:val="center"/>
                </w:tcPr>
                <w:p w14:paraId="5AE0620A">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70</w:t>
                  </w:r>
                </w:p>
              </w:tc>
              <w:tc>
                <w:tcPr>
                  <w:tcW w:w="1666" w:type="pct"/>
                  <w:vAlign w:val="center"/>
                </w:tcPr>
                <w:p w14:paraId="6D1E02D4">
                  <w:pPr>
                    <w:adjustRightInd w:val="0"/>
                    <w:snapToGrid w:val="0"/>
                    <w:spacing w:after="0" w:line="240" w:lineRule="auto"/>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55</w:t>
                  </w:r>
                </w:p>
              </w:tc>
            </w:tr>
          </w:tbl>
          <w:p w14:paraId="71C2D789">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4.固体废物</w:t>
            </w:r>
          </w:p>
          <w:p w14:paraId="5AD39E66">
            <w:pPr>
              <w:adjustRightInd w:val="0"/>
              <w:snapToGrid w:val="0"/>
              <w:spacing w:after="0"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hint="eastAsia" w:cs="宋体"/>
                <w:bCs/>
                <w:color w:val="0D0D0D" w:themeColor="text1" w:themeTint="F2"/>
                <w:kern w:val="0"/>
                <w:sz w:val="24"/>
                <w14:textFill>
                  <w14:solidFill>
                    <w14:schemeClr w14:val="tx1">
                      <w14:lumMod w14:val="95000"/>
                      <w14:lumOff w14:val="5000"/>
                    </w14:schemeClr>
                  </w14:solidFill>
                </w14:textFill>
              </w:rPr>
              <w:t>根据《关于印发&lt;一般工业固体废物环境管理工作指南&gt;的通知》（环办固体函〔2026〕18号），项目一般固废</w:t>
            </w:r>
            <w:bookmarkStart w:id="19" w:name="OLE_LINK22"/>
            <w:r>
              <w:rPr>
                <w:rFonts w:hint="eastAsia" w:cs="宋体"/>
                <w:bCs/>
                <w:color w:val="0D0D0D" w:themeColor="text1" w:themeTint="F2"/>
                <w:kern w:val="0"/>
                <w:sz w:val="24"/>
                <w14:textFill>
                  <w14:solidFill>
                    <w14:schemeClr w14:val="tx1">
                      <w14:lumMod w14:val="95000"/>
                      <w14:lumOff w14:val="5000"/>
                    </w14:schemeClr>
                  </w14:solidFill>
                </w14:textFill>
              </w:rPr>
              <w:t>暂存、管理执行《一般工业固体废物贮存和填埋污染控制标准》（GB18599-2020）、《环境保护图形标志  固体废物贮存（处置）场》（</w:t>
            </w:r>
            <w:r>
              <w:rPr>
                <w:rFonts w:cs="宋体"/>
                <w:bCs/>
                <w:color w:val="0D0D0D" w:themeColor="text1" w:themeTint="F2"/>
                <w:kern w:val="0"/>
                <w:sz w:val="24"/>
                <w14:textFill>
                  <w14:solidFill>
                    <w14:schemeClr w14:val="tx1">
                      <w14:lumMod w14:val="95000"/>
                      <w14:lumOff w14:val="5000"/>
                    </w14:schemeClr>
                  </w14:solidFill>
                </w14:textFill>
              </w:rPr>
              <w:t>GB15562.2-1995</w:t>
            </w:r>
            <w:r>
              <w:rPr>
                <w:rFonts w:hint="eastAsia" w:cs="宋体"/>
                <w:bCs/>
                <w:color w:val="0D0D0D" w:themeColor="text1" w:themeTint="F2"/>
                <w:kern w:val="0"/>
                <w:sz w:val="24"/>
                <w14:textFill>
                  <w14:solidFill>
                    <w14:schemeClr w14:val="tx1">
                      <w14:lumMod w14:val="95000"/>
                      <w14:lumOff w14:val="5000"/>
                    </w14:schemeClr>
                  </w14:solidFill>
                </w14:textFill>
              </w:rPr>
              <w:t>）</w:t>
            </w:r>
            <w:bookmarkEnd w:id="19"/>
            <w:r>
              <w:rPr>
                <w:rFonts w:hint="eastAsia" w:cs="宋体"/>
                <w:bCs/>
                <w:color w:val="0D0D0D" w:themeColor="text1" w:themeTint="F2"/>
                <w:kern w:val="0"/>
                <w:sz w:val="24"/>
                <w14:textFill>
                  <w14:solidFill>
                    <w14:schemeClr w14:val="tx1">
                      <w14:lumMod w14:val="95000"/>
                      <w14:lumOff w14:val="5000"/>
                    </w14:schemeClr>
                  </w14:solidFill>
                </w14:textFill>
              </w:rPr>
              <w:t>及其修改单相关要求；危险废物厂内暂存执行《危险废物贮存污染控制标准》（GB18597-2023）相关要求；生活垃圾执行《中华人民共和国固体废物污染环境防治法》（2020修订版）相关要求</w:t>
            </w:r>
            <w:r>
              <w:rPr>
                <w:rFonts w:cs="宋体"/>
                <w:bCs/>
                <w:color w:val="0D0D0D" w:themeColor="text1" w:themeTint="F2"/>
                <w:kern w:val="0"/>
                <w:sz w:val="24"/>
                <w14:textFill>
                  <w14:solidFill>
                    <w14:schemeClr w14:val="tx1">
                      <w14:lumMod w14:val="95000"/>
                      <w14:lumOff w14:val="5000"/>
                    </w14:schemeClr>
                  </w14:solidFill>
                </w14:textFill>
              </w:rPr>
              <w:t>。</w:t>
            </w:r>
          </w:p>
        </w:tc>
      </w:tr>
      <w:tr w14:paraId="531FFE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1" w:hRule="atLeast"/>
          <w:jc w:val="center"/>
        </w:trPr>
        <w:tc>
          <w:tcPr>
            <w:tcW w:w="411" w:type="pct"/>
            <w:vAlign w:val="center"/>
          </w:tcPr>
          <w:p w14:paraId="1356DBCB">
            <w:pPr>
              <w:adjustRightInd w:val="0"/>
              <w:snapToGrid w:val="0"/>
              <w:spacing w:after="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总量控制指标</w:t>
            </w:r>
          </w:p>
        </w:tc>
        <w:tc>
          <w:tcPr>
            <w:tcW w:w="4589" w:type="pct"/>
            <w:vAlign w:val="center"/>
          </w:tcPr>
          <w:p w14:paraId="063AA9E1">
            <w:pPr>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根据《广西生态环境保护“十四五”规划》，“十四五”时期广西生态环境保护主要保护大气污染物指标为氮氧化物（NOx）、挥发性有机物（VOCs），水污染物指标为化学需氧量（COD）、氨氮（NH</w:t>
            </w:r>
            <w:r>
              <w:rPr>
                <w:rFonts w:hint="eastAsia" w:cs="宋体"/>
                <w:color w:val="0D0D0D" w:themeColor="text1" w:themeTint="F2"/>
                <w:kern w:val="0"/>
                <w:sz w:val="24"/>
                <w:vertAlign w:val="subscript"/>
                <w14:textFill>
                  <w14:solidFill>
                    <w14:schemeClr w14:val="tx1">
                      <w14:lumMod w14:val="95000"/>
                      <w14:lumOff w14:val="5000"/>
                    </w14:schemeClr>
                  </w14:solidFill>
                </w14:textFill>
              </w:rPr>
              <w:t>3</w:t>
            </w:r>
            <w:r>
              <w:rPr>
                <w:rFonts w:hint="eastAsia" w:cs="宋体"/>
                <w:color w:val="0D0D0D" w:themeColor="text1" w:themeTint="F2"/>
                <w:kern w:val="0"/>
                <w:sz w:val="24"/>
                <w14:textFill>
                  <w14:solidFill>
                    <w14:schemeClr w14:val="tx1">
                      <w14:lumMod w14:val="95000"/>
                      <w14:lumOff w14:val="5000"/>
                    </w14:schemeClr>
                  </w14:solidFill>
                </w14:textFill>
              </w:rPr>
              <w:t>-N）。</w:t>
            </w:r>
          </w:p>
          <w:p w14:paraId="1393D9E2">
            <w:pPr>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项目外排废水已纳入</w:t>
            </w:r>
            <w:r>
              <w:rPr>
                <w:rFonts w:hint="eastAsia"/>
                <w:color w:val="0D0D0D" w:themeColor="text1" w:themeTint="F2"/>
                <w:sz w:val="24"/>
                <w14:textFill>
                  <w14:solidFill>
                    <w14:schemeClr w14:val="tx1">
                      <w14:lumMod w14:val="95000"/>
                      <w14:lumOff w14:val="5000"/>
                    </w14:schemeClr>
                  </w14:solidFill>
                </w14:textFill>
              </w:rPr>
              <w:t>钦州市大榄坪污水处理厂</w:t>
            </w:r>
            <w:r>
              <w:rPr>
                <w:rFonts w:hint="eastAsia" w:cs="宋体"/>
                <w:color w:val="0D0D0D" w:themeColor="text1" w:themeTint="F2"/>
                <w:kern w:val="0"/>
                <w:sz w:val="24"/>
                <w14:textFill>
                  <w14:solidFill>
                    <w14:schemeClr w14:val="tx1">
                      <w14:lumMod w14:val="95000"/>
                      <w14:lumOff w14:val="5000"/>
                    </w14:schemeClr>
                  </w14:solidFill>
                </w14:textFill>
              </w:rPr>
              <w:t>总量控制指标中，因此，本项目不需单独申请化学需氧量和氨氮的总量控制指标。</w:t>
            </w:r>
          </w:p>
          <w:p w14:paraId="2A1A6EF9">
            <w:pPr>
              <w:adjustRightInd w:val="0"/>
              <w:snapToGrid w:val="0"/>
              <w:spacing w:after="0"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项目运营期废气污染物主要为颗粒物、非甲烷总烃、二甲苯和臭气浓度</w:t>
            </w:r>
            <w:r>
              <w:rPr>
                <w:rFonts w:hint="eastAsia" w:cs="宋体"/>
                <w:color w:val="0D0D0D" w:themeColor="text1" w:themeTint="F2"/>
                <w:kern w:val="0"/>
                <w:sz w:val="24"/>
                <w14:textFill>
                  <w14:solidFill>
                    <w14:schemeClr w14:val="tx1">
                      <w14:lumMod w14:val="95000"/>
                      <w14:lumOff w14:val="5000"/>
                    </w14:schemeClr>
                  </w14:solidFill>
                </w14:textFill>
              </w:rPr>
              <w:t>，纳入《广西生态环境保护“十四五”规划》总量控制的污染物为非甲烷总烃，根据下文核算结果，本次评价建议申请非甲烷总烃的总量控制指标为1.47t/a。</w:t>
            </w:r>
          </w:p>
        </w:tc>
      </w:tr>
    </w:tbl>
    <w:p w14:paraId="0D84AED6">
      <w:pPr>
        <w:pStyle w:val="19"/>
        <w:spacing w:before="0" w:beforeAutospacing="0" w:after="0" w:afterAutospacing="0"/>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r>
        <w:rPr>
          <w:rFonts w:ascii="Times New Roman" w:hAnsi="Times New Roman"/>
          <w:snapToGrid w:val="0"/>
          <w:color w:val="0D0D0D" w:themeColor="text1" w:themeTint="F2"/>
          <w:sz w:val="36"/>
          <w:szCs w:val="36"/>
          <w14:textFill>
            <w14:solidFill>
              <w14:schemeClr w14:val="tx1">
                <w14:lumMod w14:val="95000"/>
                <w14:lumOff w14:val="5000"/>
              </w14:schemeClr>
            </w14:solidFill>
          </w14:textFill>
        </w:rPr>
        <w:br w:type="page"/>
      </w:r>
      <w:bookmarkStart w:id="20" w:name="_Toc136522026"/>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四、主要环境影响和保护措施</w:t>
      </w:r>
      <w:bookmarkEnd w:id="20"/>
    </w:p>
    <w:tbl>
      <w:tblPr>
        <w:tblStyle w:val="22"/>
        <w:tblW w:w="524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9001"/>
      </w:tblGrid>
      <w:tr w14:paraId="156F64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5" w:hRule="atLeast"/>
          <w:jc w:val="center"/>
        </w:trPr>
        <w:tc>
          <w:tcPr>
            <w:tcW w:w="225" w:type="pct"/>
            <w:tcMar>
              <w:left w:w="28" w:type="dxa"/>
              <w:right w:w="28" w:type="dxa"/>
            </w:tcMar>
            <w:vAlign w:val="center"/>
          </w:tcPr>
          <w:p w14:paraId="3633F334">
            <w:pPr>
              <w:pStyle w:val="19"/>
              <w:adjustRightInd w:val="0"/>
              <w:snapToGrid w:val="0"/>
              <w:spacing w:before="0" w:beforeAutospacing="0" w:after="0" w:afterAutospacing="0"/>
              <w:jc w:val="center"/>
              <w:rPr>
                <w:rFonts w:ascii="Times New Roman" w:hAnsi="Times New Roman" w:cs="宋体"/>
                <w:color w:val="0D0D0D" w:themeColor="text1" w:themeTint="F2"/>
                <w:kern w:val="2"/>
                <w:szCs w:val="24"/>
                <w14:textFill>
                  <w14:solidFill>
                    <w14:schemeClr w14:val="tx1">
                      <w14:lumMod w14:val="95000"/>
                      <w14:lumOff w14:val="5000"/>
                    </w14:schemeClr>
                  </w14:solidFill>
                </w14:textFill>
              </w:rPr>
            </w:pPr>
            <w:r>
              <w:rPr>
                <w:rFonts w:hint="eastAsia" w:ascii="Times New Roman" w:hAnsi="Times New Roman" w:cs="宋体"/>
                <w:color w:val="0D0D0D" w:themeColor="text1" w:themeTint="F2"/>
                <w:kern w:val="2"/>
                <w:szCs w:val="24"/>
                <w14:textFill>
                  <w14:solidFill>
                    <w14:schemeClr w14:val="tx1">
                      <w14:lumMod w14:val="95000"/>
                      <w14:lumOff w14:val="5000"/>
                    </w14:schemeClr>
                  </w14:solidFill>
                </w14:textFill>
              </w:rPr>
              <w:t>施工期环境保护措施</w:t>
            </w:r>
          </w:p>
        </w:tc>
        <w:tc>
          <w:tcPr>
            <w:tcW w:w="4775" w:type="pct"/>
            <w:vAlign w:val="center"/>
          </w:tcPr>
          <w:p w14:paraId="3476E18B">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（一）</w:t>
            </w:r>
            <w:r>
              <w:rPr>
                <w:b/>
                <w:bCs/>
                <w:color w:val="0D0D0D" w:themeColor="text1" w:themeTint="F2"/>
                <w:sz w:val="24"/>
                <w14:textFill>
                  <w14:solidFill>
                    <w14:schemeClr w14:val="tx1">
                      <w14:lumMod w14:val="95000"/>
                      <w14:lumOff w14:val="5000"/>
                    </w14:schemeClr>
                  </w14:solidFill>
                </w14:textFill>
              </w:rPr>
              <w:t>废气</w:t>
            </w:r>
            <w:r>
              <w:rPr>
                <w:rFonts w:hint="eastAsia"/>
                <w:b/>
                <w:bCs/>
                <w:color w:val="0D0D0D" w:themeColor="text1" w:themeTint="F2"/>
                <w:sz w:val="24"/>
                <w14:textFill>
                  <w14:solidFill>
                    <w14:schemeClr w14:val="tx1">
                      <w14:lumMod w14:val="95000"/>
                      <w14:lumOff w14:val="5000"/>
                    </w14:schemeClr>
                  </w14:solidFill>
                </w14:textFill>
              </w:rPr>
              <w:t>防治</w:t>
            </w:r>
            <w:r>
              <w:rPr>
                <w:b/>
                <w:bCs/>
                <w:color w:val="0D0D0D" w:themeColor="text1" w:themeTint="F2"/>
                <w:sz w:val="24"/>
                <w14:textFill>
                  <w14:solidFill>
                    <w14:schemeClr w14:val="tx1">
                      <w14:lumMod w14:val="95000"/>
                      <w14:lumOff w14:val="5000"/>
                    </w14:schemeClr>
                  </w14:solidFill>
                </w14:textFill>
              </w:rPr>
              <w:t>措施</w:t>
            </w:r>
          </w:p>
          <w:p w14:paraId="4FB75E00">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1.施工扬尘防治措施</w:t>
            </w:r>
          </w:p>
          <w:p w14:paraId="489E01F0">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采取场地围挡、洒水抑尘、密闭车辆运输等措施。</w:t>
            </w:r>
          </w:p>
          <w:p w14:paraId="70BD2927">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2.运输扬尘防治措施</w:t>
            </w:r>
          </w:p>
          <w:p w14:paraId="23E0BC9F">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采取运输车辆限速慢行、加盖篷布、保持路面整洁、定时洒水等措施。</w:t>
            </w:r>
          </w:p>
          <w:p w14:paraId="7FB0F88C">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3.施工机械废气和运输车辆尾气防治措施</w:t>
            </w:r>
          </w:p>
          <w:p w14:paraId="433C1C6E">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使用污染物排放符合国家标准的运输车辆和施工机械设备，加强车辆和设备的保养，使其处于良好的工作状态，严禁使用报废车辆。</w:t>
            </w:r>
          </w:p>
          <w:p w14:paraId="741B6E51">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（二）</w:t>
            </w:r>
            <w:r>
              <w:rPr>
                <w:b/>
                <w:bCs/>
                <w:color w:val="0D0D0D" w:themeColor="text1" w:themeTint="F2"/>
                <w:sz w:val="24"/>
                <w14:textFill>
                  <w14:solidFill>
                    <w14:schemeClr w14:val="tx1">
                      <w14:lumMod w14:val="95000"/>
                      <w14:lumOff w14:val="5000"/>
                    </w14:schemeClr>
                  </w14:solidFill>
                </w14:textFill>
              </w:rPr>
              <w:t>废</w:t>
            </w:r>
            <w:r>
              <w:rPr>
                <w:rFonts w:hint="eastAsia"/>
                <w:b/>
                <w:bCs/>
                <w:color w:val="0D0D0D" w:themeColor="text1" w:themeTint="F2"/>
                <w:sz w:val="24"/>
                <w14:textFill>
                  <w14:solidFill>
                    <w14:schemeClr w14:val="tx1">
                      <w14:lumMod w14:val="95000"/>
                      <w14:lumOff w14:val="5000"/>
                    </w14:schemeClr>
                  </w14:solidFill>
                </w14:textFill>
              </w:rPr>
              <w:t>水防治</w:t>
            </w:r>
            <w:r>
              <w:rPr>
                <w:b/>
                <w:bCs/>
                <w:color w:val="0D0D0D" w:themeColor="text1" w:themeTint="F2"/>
                <w:sz w:val="24"/>
                <w14:textFill>
                  <w14:solidFill>
                    <w14:schemeClr w14:val="tx1">
                      <w14:lumMod w14:val="95000"/>
                      <w14:lumOff w14:val="5000"/>
                    </w14:schemeClr>
                  </w14:solidFill>
                </w14:textFill>
              </w:rPr>
              <w:t>措施</w:t>
            </w:r>
          </w:p>
          <w:p w14:paraId="5B6408C5">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1.生活污水防治措施</w:t>
            </w:r>
          </w:p>
          <w:p w14:paraId="27B14469">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依托现有三级</w:t>
            </w:r>
            <w:r>
              <w:rPr>
                <w:color w:val="0D0D0D" w:themeColor="text1" w:themeTint="F2"/>
                <w:sz w:val="24"/>
                <w14:textFill>
                  <w14:solidFill>
                    <w14:schemeClr w14:val="tx1">
                      <w14:lumMod w14:val="95000"/>
                      <w14:lumOff w14:val="5000"/>
                    </w14:schemeClr>
                  </w14:solidFill>
                </w14:textFill>
              </w:rPr>
              <w:t>化粪池处理后</w:t>
            </w:r>
            <w:r>
              <w:rPr>
                <w:rFonts w:hint="eastAsia"/>
                <w:color w:val="0D0D0D" w:themeColor="text1" w:themeTint="F2"/>
                <w:sz w:val="24"/>
                <w14:textFill>
                  <w14:solidFill>
                    <w14:schemeClr w14:val="tx1">
                      <w14:lumMod w14:val="95000"/>
                      <w14:lumOff w14:val="5000"/>
                    </w14:schemeClr>
                  </w14:solidFill>
                </w14:textFill>
              </w:rPr>
              <w:t>使用吸污车清运至钦州市大榄坪污水处理厂进一步处理。</w:t>
            </w:r>
          </w:p>
          <w:p w14:paraId="569A37A0">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（三）噪声防治</w:t>
            </w:r>
            <w:r>
              <w:rPr>
                <w:b/>
                <w:bCs/>
                <w:color w:val="0D0D0D" w:themeColor="text1" w:themeTint="F2"/>
                <w:sz w:val="24"/>
                <w14:textFill>
                  <w14:solidFill>
                    <w14:schemeClr w14:val="tx1">
                      <w14:lumMod w14:val="95000"/>
                      <w14:lumOff w14:val="5000"/>
                    </w14:schemeClr>
                  </w14:solidFill>
                </w14:textFill>
              </w:rPr>
              <w:t>措施</w:t>
            </w:r>
          </w:p>
          <w:p w14:paraId="7554D9E7">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严格遵守</w:t>
            </w:r>
            <w:r>
              <w:rPr>
                <w:rFonts w:hint="eastAsia"/>
                <w:color w:val="0D0D0D" w:themeColor="text1" w:themeTint="F2"/>
                <w:sz w:val="24"/>
                <w14:textFill>
                  <w14:solidFill>
                    <w14:schemeClr w14:val="tx1">
                      <w14:lumMod w14:val="95000"/>
                      <w14:lumOff w14:val="5000"/>
                    </w14:schemeClr>
                  </w14:solidFill>
                </w14:textFill>
              </w:rPr>
              <w:t>生态环境</w:t>
            </w:r>
            <w:r>
              <w:rPr>
                <w:color w:val="0D0D0D" w:themeColor="text1" w:themeTint="F2"/>
                <w:sz w:val="24"/>
                <w14:textFill>
                  <w14:solidFill>
                    <w14:schemeClr w14:val="tx1">
                      <w14:lumMod w14:val="95000"/>
                      <w14:lumOff w14:val="5000"/>
                    </w14:schemeClr>
                  </w14:solidFill>
                </w14:textFill>
              </w:rPr>
              <w:t>部门规定，合理安排施工时间，严禁在12:00～14:30和22:00～次日6:00期间施工；如因特殊情况确需在中午和夜间作业的，需得到生态环境部门的证明，同时必须公告附近居民。</w:t>
            </w:r>
          </w:p>
          <w:p w14:paraId="53385885">
            <w:pPr>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（四）固体废物防治</w:t>
            </w:r>
            <w:r>
              <w:rPr>
                <w:b/>
                <w:bCs/>
                <w:color w:val="0D0D0D" w:themeColor="text1" w:themeTint="F2"/>
                <w:sz w:val="24"/>
                <w14:textFill>
                  <w14:solidFill>
                    <w14:schemeClr w14:val="tx1">
                      <w14:lumMod w14:val="95000"/>
                      <w14:lumOff w14:val="5000"/>
                    </w14:schemeClr>
                  </w14:solidFill>
                </w14:textFill>
              </w:rPr>
              <w:t>措施</w:t>
            </w:r>
          </w:p>
          <w:p w14:paraId="33A8CBD8">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1.建筑垃圾防治措施</w:t>
            </w:r>
          </w:p>
          <w:p w14:paraId="6DA0FC07">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建筑垃圾中可回收利用的部分回收利用，不能回收利用的部分，按市政主管部门要求使用专门车辆清运至指定消纳场所集中处置，不得随意倾倒、堆置。</w:t>
            </w:r>
          </w:p>
          <w:p w14:paraId="53F17B39">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2.生活垃圾防治措施</w:t>
            </w:r>
          </w:p>
          <w:p w14:paraId="72111C16">
            <w:pPr>
              <w:adjustRightInd w:val="0"/>
              <w:snapToGrid w:val="0"/>
              <w:spacing w:after="0" w:line="360" w:lineRule="auto"/>
              <w:ind w:firstLine="48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施工人员生活垃圾集中分类收集后由环卫部门清运处置。</w:t>
            </w:r>
          </w:p>
        </w:tc>
      </w:tr>
      <w:tr w14:paraId="70B9E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2" w:hRule="atLeast"/>
          <w:jc w:val="center"/>
        </w:trPr>
        <w:tc>
          <w:tcPr>
            <w:tcW w:w="225" w:type="pct"/>
            <w:tcMar>
              <w:left w:w="28" w:type="dxa"/>
              <w:right w:w="28" w:type="dxa"/>
            </w:tcMar>
            <w:vAlign w:val="center"/>
          </w:tcPr>
          <w:p w14:paraId="6D7A6954">
            <w:pPr>
              <w:adjustRightInd w:val="0"/>
              <w:snapToGrid w:val="0"/>
              <w:spacing w:after="0"/>
              <w:jc w:val="center"/>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运营期环境影响和保护措施</w:t>
            </w:r>
          </w:p>
        </w:tc>
        <w:tc>
          <w:tcPr>
            <w:tcW w:w="4775" w:type="pct"/>
          </w:tcPr>
          <w:p w14:paraId="0C27B474">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（一）废气</w:t>
            </w:r>
          </w:p>
          <w:p w14:paraId="6A428035">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1.</w:t>
            </w:r>
            <w:r>
              <w:rPr>
                <w:rFonts w:cs="宋体"/>
                <w:b/>
                <w:color w:val="0D0D0D" w:themeColor="text1" w:themeTint="F2"/>
                <w:spacing w:val="-10"/>
                <w:sz w:val="24"/>
                <w14:textFill>
                  <w14:solidFill>
                    <w14:schemeClr w14:val="tx1">
                      <w14:lumMod w14:val="95000"/>
                      <w14:lumOff w14:val="5000"/>
                    </w14:schemeClr>
                  </w14:solidFill>
                </w14:textFill>
              </w:rPr>
              <w:t>大气污染物源强分析</w:t>
            </w:r>
          </w:p>
          <w:p w14:paraId="143D68B1">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（1）切割粉尘</w:t>
            </w:r>
          </w:p>
          <w:p w14:paraId="12E6164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项目利用半自动切割机、火焰切割机和等离子切割机等设备对钢材进行切割的过程中会产生切割粉尘，年运行时间为3600h。</w:t>
            </w:r>
          </w:p>
          <w:p w14:paraId="1FF29D8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①火焰切割粉尘</w:t>
            </w:r>
          </w:p>
          <w:p w14:paraId="3992332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半自动切割机和火焰切割机均属于火焰切割，根据《排放源统计调查产排污核算方法和系数手册》（生态环境部公告2021年第24号）中的《</w:t>
            </w:r>
            <w:r>
              <w:rPr>
                <w:rFonts w:cs="宋体"/>
                <w:bCs/>
                <w:color w:val="0D0D0D" w:themeColor="text1" w:themeTint="F2"/>
                <w:spacing w:val="-10"/>
                <w:sz w:val="24"/>
                <w14:textFill>
                  <w14:solidFill>
                    <w14:schemeClr w14:val="tx1">
                      <w14:lumMod w14:val="95000"/>
                      <w14:lumOff w14:val="5000"/>
                    </w14:schemeClr>
                  </w14:solidFill>
                </w14:textFill>
              </w:rPr>
              <w:t>33-37</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431-434</w:t>
            </w:r>
            <w:r>
              <w:rPr>
                <w:rFonts w:hint="eastAsia" w:cs="宋体"/>
                <w:bCs/>
                <w:color w:val="0D0D0D" w:themeColor="text1" w:themeTint="F2"/>
                <w:spacing w:val="-10"/>
                <w:sz w:val="24"/>
                <w14:textFill>
                  <w14:solidFill>
                    <w14:schemeClr w14:val="tx1">
                      <w14:lumMod w14:val="95000"/>
                      <w14:lumOff w14:val="5000"/>
                    </w14:schemeClr>
                  </w14:solidFill>
                </w14:textFill>
              </w:rPr>
              <w:t>机械行业系数手册》，氧/可燃气切割粉尘产污系数为1.50kg/t-原料。根据建设单位提供的资料，使用火焰切割的钢材约占总量的50%，项目钢材使用量为863.5t/a，则使用火焰切割的钢材量为431.75t/a，火焰切割粉尘产生量为0.65t/a。</w:t>
            </w:r>
          </w:p>
          <w:p w14:paraId="38C1940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②等离子切割粉尘</w:t>
            </w:r>
          </w:p>
          <w:p w14:paraId="7559564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根据《排放源统计调查产排污核算方法和系数手册》（生态环境部公告2021年第24号）中的《</w:t>
            </w:r>
            <w:r>
              <w:rPr>
                <w:rFonts w:cs="宋体"/>
                <w:bCs/>
                <w:color w:val="0D0D0D" w:themeColor="text1" w:themeTint="F2"/>
                <w:spacing w:val="-10"/>
                <w:sz w:val="24"/>
                <w14:textFill>
                  <w14:solidFill>
                    <w14:schemeClr w14:val="tx1">
                      <w14:lumMod w14:val="95000"/>
                      <w14:lumOff w14:val="5000"/>
                    </w14:schemeClr>
                  </w14:solidFill>
                </w14:textFill>
              </w:rPr>
              <w:t>33-37</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431-434</w:t>
            </w:r>
            <w:r>
              <w:rPr>
                <w:rFonts w:hint="eastAsia" w:cs="宋体"/>
                <w:bCs/>
                <w:color w:val="0D0D0D" w:themeColor="text1" w:themeTint="F2"/>
                <w:spacing w:val="-10"/>
                <w:sz w:val="24"/>
                <w14:textFill>
                  <w14:solidFill>
                    <w14:schemeClr w14:val="tx1">
                      <w14:lumMod w14:val="95000"/>
                      <w14:lumOff w14:val="5000"/>
                    </w14:schemeClr>
                  </w14:solidFill>
                </w14:textFill>
              </w:rPr>
              <w:t>机械行业系数手册》，等离子切割粉尘产污系数为1.10kg/t-原料。根据建设单位提供的资料，使用等离子切割的钢材约占总量的50%，项目钢材使用量为863.5t/a，则使用等离子切割的钢材量为431.75t/a，等离子切割粉尘产生量为0.47t/a。</w:t>
            </w:r>
          </w:p>
          <w:p w14:paraId="1C3D3280">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在切割设备旁均设置有移动式烟尘净化器对切割粉尘进行收集处理，切割粉尘经集气罩（移动式烟尘净化器自带）收集后通过移动式烟尘净化器处理后无组织排放。移动式烟尘净化器自带万向软臂集气罩，可通过调节与污染源产生点的距离加强废气的收集效率，参照《袋式除尘工程通用技术规范》（HJ2020-2012），顶吸式集气罩收集效率不低于90%，本次评价收集效率按</w:t>
            </w:r>
            <w:r>
              <w:rPr>
                <w:rFonts w:cs="宋体"/>
                <w:bCs/>
                <w:color w:val="0D0D0D" w:themeColor="text1" w:themeTint="F2"/>
                <w:spacing w:val="-10"/>
                <w:sz w:val="24"/>
                <w:u w:val="single"/>
                <w14:textFill>
                  <w14:solidFill>
                    <w14:schemeClr w14:val="tx1">
                      <w14:lumMod w14:val="95000"/>
                      <w14:lumOff w14:val="5000"/>
                    </w14:schemeClr>
                  </w14:solidFill>
                </w14:textFill>
              </w:rPr>
              <w:t>90%</w:t>
            </w:r>
            <w:r>
              <w:rPr>
                <w:rFonts w:hint="eastAsia" w:cs="宋体"/>
                <w:bCs/>
                <w:color w:val="0D0D0D" w:themeColor="text1" w:themeTint="F2"/>
                <w:spacing w:val="-10"/>
                <w:sz w:val="24"/>
                <w:u w:val="single"/>
                <w14:textFill>
                  <w14:solidFill>
                    <w14:schemeClr w14:val="tx1">
                      <w14:lumMod w14:val="95000"/>
                      <w14:lumOff w14:val="5000"/>
                    </w14:schemeClr>
                  </w14:solidFill>
                </w14:textFill>
              </w:rPr>
              <w:t>计。参照《排放源统计调查产排污核算方法和系数手册》（生态环境部公告2021年第24号）中的《</w:t>
            </w:r>
            <w:r>
              <w:rPr>
                <w:rFonts w:cs="宋体"/>
                <w:bCs/>
                <w:color w:val="0D0D0D" w:themeColor="text1" w:themeTint="F2"/>
                <w:spacing w:val="-10"/>
                <w:sz w:val="24"/>
                <w:u w:val="single"/>
                <w14:textFill>
                  <w14:solidFill>
                    <w14:schemeClr w14:val="tx1">
                      <w14:lumMod w14:val="95000"/>
                      <w14:lumOff w14:val="5000"/>
                    </w14:schemeClr>
                  </w14:solidFill>
                </w14:textFill>
              </w:rPr>
              <w:t>33-37</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431-434</w:t>
            </w:r>
            <w:r>
              <w:rPr>
                <w:rFonts w:hint="eastAsia" w:cs="宋体"/>
                <w:bCs/>
                <w:color w:val="0D0D0D" w:themeColor="text1" w:themeTint="F2"/>
                <w:spacing w:val="-10"/>
                <w:sz w:val="24"/>
                <w:u w:val="single"/>
                <w14:textFill>
                  <w14:solidFill>
                    <w14:schemeClr w14:val="tx1">
                      <w14:lumMod w14:val="95000"/>
                      <w14:lumOff w14:val="5000"/>
                    </w14:schemeClr>
                  </w14:solidFill>
                </w14:textFill>
              </w:rPr>
              <w:t>机械行业系数手册》，焊接烟尘其他（移动式烟尘净化器）的末端处理效率为95%，</w:t>
            </w:r>
            <w:r>
              <w:rPr>
                <w:rFonts w:cs="宋体"/>
                <w:bCs/>
                <w:color w:val="0D0D0D" w:themeColor="text1" w:themeTint="F2"/>
                <w:spacing w:val="-10"/>
                <w:sz w:val="24"/>
                <w:u w:val="single"/>
                <w14:textFill>
                  <w14:solidFill>
                    <w14:schemeClr w14:val="tx1">
                      <w14:lumMod w14:val="95000"/>
                      <w14:lumOff w14:val="5000"/>
                    </w14:schemeClr>
                  </w14:solidFill>
                </w14:textFill>
              </w:rPr>
              <w:t>本次评价</w:t>
            </w:r>
            <w:r>
              <w:rPr>
                <w:rFonts w:hint="eastAsia" w:cs="宋体"/>
                <w:bCs/>
                <w:color w:val="0D0D0D" w:themeColor="text1" w:themeTint="F2"/>
                <w:spacing w:val="-10"/>
                <w:sz w:val="24"/>
                <w:u w:val="single"/>
                <w14:textFill>
                  <w14:solidFill>
                    <w14:schemeClr w14:val="tx1">
                      <w14:lumMod w14:val="95000"/>
                      <w14:lumOff w14:val="5000"/>
                    </w14:schemeClr>
                  </w14:solidFill>
                </w14:textFill>
              </w:rPr>
              <w:t>去除效率</w:t>
            </w:r>
            <w:r>
              <w:rPr>
                <w:rFonts w:cs="宋体"/>
                <w:bCs/>
                <w:color w:val="0D0D0D" w:themeColor="text1" w:themeTint="F2"/>
                <w:spacing w:val="-10"/>
                <w:sz w:val="24"/>
                <w:u w:val="single"/>
                <w14:textFill>
                  <w14:solidFill>
                    <w14:schemeClr w14:val="tx1">
                      <w14:lumMod w14:val="95000"/>
                      <w14:lumOff w14:val="5000"/>
                    </w14:schemeClr>
                  </w14:solidFill>
                </w14:textFill>
              </w:rPr>
              <w:t>按</w:t>
            </w:r>
            <w:r>
              <w:rPr>
                <w:rFonts w:hint="eastAsia" w:cs="宋体"/>
                <w:bCs/>
                <w:color w:val="0D0D0D" w:themeColor="text1" w:themeTint="F2"/>
                <w:spacing w:val="-10"/>
                <w:sz w:val="24"/>
                <w:u w:val="single"/>
                <w14:textFill>
                  <w14:solidFill>
                    <w14:schemeClr w14:val="tx1">
                      <w14:lumMod w14:val="95000"/>
                      <w14:lumOff w14:val="5000"/>
                    </w14:schemeClr>
                  </w14:solidFill>
                </w14:textFill>
              </w:rPr>
              <w:t>95</w:t>
            </w:r>
            <w:r>
              <w:rPr>
                <w:rFonts w:cs="宋体"/>
                <w:bCs/>
                <w:color w:val="0D0D0D" w:themeColor="text1" w:themeTint="F2"/>
                <w:spacing w:val="-10"/>
                <w:sz w:val="24"/>
                <w:u w:val="single"/>
                <w14:textFill>
                  <w14:solidFill>
                    <w14:schemeClr w14:val="tx1">
                      <w14:lumMod w14:val="95000"/>
                      <w14:lumOff w14:val="5000"/>
                    </w14:schemeClr>
                  </w14:solidFill>
                </w14:textFill>
              </w:rPr>
              <w:t>%计</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p>
          <w:p w14:paraId="22538F01">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根据上文核算，切割粉尘产生量为1.12t/a，切割粉尘无组织排放量=产生量×（1-捕集效率）+产生量×捕集效率×（1-去除率）=1.12×（1-90%）+1.12×90%×（1-95%）=0.16t/a。</w:t>
            </w:r>
          </w:p>
          <w:p w14:paraId="7AA1D0BB">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切割粉尘产排情况详见表4-1。</w:t>
            </w:r>
          </w:p>
          <w:p w14:paraId="2CD19F0E">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  切割粉尘产排情况一览表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905"/>
              <w:gridCol w:w="1134"/>
              <w:gridCol w:w="1134"/>
              <w:gridCol w:w="1134"/>
              <w:gridCol w:w="1583"/>
              <w:gridCol w:w="1980"/>
            </w:tblGrid>
            <w:tr w14:paraId="21425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6" w:type="pct"/>
                  <w:vMerge w:val="restart"/>
                  <w:tcBorders>
                    <w:top w:val="single" w:color="auto" w:sz="4" w:space="0"/>
                    <w:left w:val="single" w:color="auto" w:sz="4" w:space="0"/>
                    <w:bottom w:val="single" w:color="auto" w:sz="4" w:space="0"/>
                    <w:right w:val="single" w:color="auto" w:sz="4" w:space="0"/>
                  </w:tcBorders>
                  <w:vAlign w:val="center"/>
                </w:tcPr>
                <w:p w14:paraId="00CF9F27">
                  <w:pPr>
                    <w:tabs>
                      <w:tab w:val="left" w:pos="0"/>
                      <w:tab w:val="left" w:pos="1820"/>
                    </w:tabs>
                    <w:spacing w:after="0" w:line="240" w:lineRule="auto"/>
                    <w:jc w:val="center"/>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污染物</w:t>
                  </w:r>
                </w:p>
              </w:tc>
              <w:tc>
                <w:tcPr>
                  <w:tcW w:w="516" w:type="pct"/>
                  <w:vMerge w:val="restart"/>
                  <w:tcBorders>
                    <w:top w:val="single" w:color="auto" w:sz="4" w:space="0"/>
                    <w:left w:val="single" w:color="auto" w:sz="4" w:space="0"/>
                    <w:bottom w:val="single" w:color="auto" w:sz="4" w:space="0"/>
                    <w:right w:val="single" w:color="auto" w:sz="4" w:space="0"/>
                  </w:tcBorders>
                  <w:vAlign w:val="center"/>
                </w:tcPr>
                <w:p w14:paraId="38193E16">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产生量</w:t>
                  </w:r>
                </w:p>
                <w:p w14:paraId="3B6F9E32">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c>
                <w:tcPr>
                  <w:tcW w:w="646" w:type="pct"/>
                  <w:vMerge w:val="restart"/>
                  <w:tcBorders>
                    <w:top w:val="single" w:color="auto" w:sz="4" w:space="0"/>
                    <w:left w:val="single" w:color="auto" w:sz="4" w:space="0"/>
                    <w:bottom w:val="single" w:color="auto" w:sz="4" w:space="0"/>
                    <w:right w:val="single" w:color="auto" w:sz="4" w:space="0"/>
                  </w:tcBorders>
                  <w:vAlign w:val="center"/>
                </w:tcPr>
                <w:p w14:paraId="4414BF0D">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产生速率</w:t>
                  </w:r>
                </w:p>
                <w:p w14:paraId="6AF23C39">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（kg/h）</w:t>
                  </w:r>
                </w:p>
              </w:tc>
              <w:tc>
                <w:tcPr>
                  <w:tcW w:w="646" w:type="pct"/>
                  <w:vMerge w:val="restart"/>
                  <w:tcBorders>
                    <w:top w:val="single" w:color="auto" w:sz="4" w:space="0"/>
                    <w:left w:val="single" w:color="auto" w:sz="4" w:space="0"/>
                    <w:right w:val="single" w:color="auto" w:sz="4" w:space="0"/>
                  </w:tcBorders>
                  <w:vAlign w:val="center"/>
                </w:tcPr>
                <w:p w14:paraId="69FD4320">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收集率</w:t>
                  </w:r>
                </w:p>
                <w:p w14:paraId="34051C89">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w:t>
                  </w:r>
                </w:p>
              </w:tc>
              <w:tc>
                <w:tcPr>
                  <w:tcW w:w="646" w:type="pct"/>
                  <w:vMerge w:val="restart"/>
                  <w:tcBorders>
                    <w:top w:val="single" w:color="auto" w:sz="4" w:space="0"/>
                    <w:left w:val="single" w:color="auto" w:sz="4" w:space="0"/>
                    <w:bottom w:val="single" w:color="auto" w:sz="4" w:space="0"/>
                    <w:right w:val="single" w:color="auto" w:sz="4" w:space="0"/>
                  </w:tcBorders>
                  <w:vAlign w:val="center"/>
                </w:tcPr>
                <w:p w14:paraId="43247B8D">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治理效率</w:t>
                  </w:r>
                </w:p>
                <w:p w14:paraId="69A4AA82">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w:t>
                  </w:r>
                </w:p>
              </w:tc>
              <w:tc>
                <w:tcPr>
                  <w:tcW w:w="2031" w:type="pct"/>
                  <w:gridSpan w:val="2"/>
                  <w:tcBorders>
                    <w:top w:val="single" w:color="auto" w:sz="4" w:space="0"/>
                    <w:left w:val="single" w:color="auto" w:sz="4" w:space="0"/>
                    <w:bottom w:val="single" w:color="auto" w:sz="4" w:space="0"/>
                    <w:right w:val="single" w:color="auto" w:sz="4" w:space="0"/>
                  </w:tcBorders>
                  <w:vAlign w:val="center"/>
                </w:tcPr>
                <w:p w14:paraId="6D2E38B5">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无组织</w:t>
                  </w:r>
                </w:p>
              </w:tc>
            </w:tr>
            <w:tr w14:paraId="1E5DF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6" w:type="pct"/>
                  <w:vMerge w:val="continue"/>
                  <w:tcBorders>
                    <w:top w:val="single" w:color="auto" w:sz="4" w:space="0"/>
                    <w:left w:val="single" w:color="auto" w:sz="4" w:space="0"/>
                    <w:bottom w:val="single" w:color="auto" w:sz="4" w:space="0"/>
                    <w:right w:val="single" w:color="auto" w:sz="4" w:space="0"/>
                  </w:tcBorders>
                  <w:vAlign w:val="center"/>
                </w:tcPr>
                <w:p w14:paraId="0A3AEF35">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516" w:type="pct"/>
                  <w:vMerge w:val="continue"/>
                  <w:tcBorders>
                    <w:top w:val="single" w:color="auto" w:sz="4" w:space="0"/>
                    <w:left w:val="single" w:color="auto" w:sz="4" w:space="0"/>
                    <w:bottom w:val="single" w:color="auto" w:sz="4" w:space="0"/>
                    <w:right w:val="single" w:color="auto" w:sz="4" w:space="0"/>
                  </w:tcBorders>
                  <w:vAlign w:val="center"/>
                </w:tcPr>
                <w:p w14:paraId="11F781D9">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5F3D2125">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646" w:type="pct"/>
                  <w:vMerge w:val="continue"/>
                  <w:tcBorders>
                    <w:left w:val="single" w:color="auto" w:sz="4" w:space="0"/>
                    <w:bottom w:val="single" w:color="auto" w:sz="4" w:space="0"/>
                    <w:right w:val="single" w:color="auto" w:sz="4" w:space="0"/>
                  </w:tcBorders>
                  <w:vAlign w:val="center"/>
                </w:tcPr>
                <w:p w14:paraId="472D74F0">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5EBF5A0">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902" w:type="pct"/>
                  <w:tcBorders>
                    <w:top w:val="single" w:color="auto" w:sz="4" w:space="0"/>
                    <w:left w:val="single" w:color="auto" w:sz="4" w:space="0"/>
                    <w:bottom w:val="single" w:color="auto" w:sz="4" w:space="0"/>
                    <w:right w:val="single" w:color="auto" w:sz="4" w:space="0"/>
                  </w:tcBorders>
                  <w:vAlign w:val="center"/>
                </w:tcPr>
                <w:p w14:paraId="383ADE2E">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排放量（t/a）</w:t>
                  </w:r>
                </w:p>
              </w:tc>
              <w:tc>
                <w:tcPr>
                  <w:tcW w:w="1130" w:type="pct"/>
                  <w:tcBorders>
                    <w:top w:val="single" w:color="auto" w:sz="4" w:space="0"/>
                    <w:left w:val="single" w:color="auto" w:sz="4" w:space="0"/>
                    <w:bottom w:val="single" w:color="auto" w:sz="4" w:space="0"/>
                    <w:right w:val="single" w:color="auto" w:sz="4" w:space="0"/>
                  </w:tcBorders>
                  <w:vAlign w:val="center"/>
                </w:tcPr>
                <w:p w14:paraId="456A697F">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排放速率（kg/h）</w:t>
                  </w:r>
                </w:p>
              </w:tc>
            </w:tr>
            <w:tr w14:paraId="1E3ED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6" w:type="pct"/>
                  <w:tcBorders>
                    <w:top w:val="single" w:color="auto" w:sz="4" w:space="0"/>
                    <w:left w:val="single" w:color="auto" w:sz="4" w:space="0"/>
                    <w:bottom w:val="single" w:color="auto" w:sz="4" w:space="0"/>
                    <w:right w:val="single" w:color="auto" w:sz="4" w:space="0"/>
                  </w:tcBorders>
                  <w:vAlign w:val="center"/>
                </w:tcPr>
                <w:p w14:paraId="16F3E55E">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颗粒物</w:t>
                  </w:r>
                </w:p>
              </w:tc>
              <w:tc>
                <w:tcPr>
                  <w:tcW w:w="516" w:type="pct"/>
                  <w:tcBorders>
                    <w:top w:val="single" w:color="auto" w:sz="4" w:space="0"/>
                    <w:left w:val="single" w:color="auto" w:sz="4" w:space="0"/>
                    <w:bottom w:val="single" w:color="auto" w:sz="4" w:space="0"/>
                    <w:right w:val="single" w:color="auto" w:sz="4" w:space="0"/>
                  </w:tcBorders>
                  <w:vAlign w:val="center"/>
                </w:tcPr>
                <w:p w14:paraId="25B307BD">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1.12</w:t>
                  </w:r>
                </w:p>
              </w:tc>
              <w:tc>
                <w:tcPr>
                  <w:tcW w:w="646" w:type="pct"/>
                  <w:tcBorders>
                    <w:top w:val="single" w:color="auto" w:sz="4" w:space="0"/>
                    <w:left w:val="single" w:color="auto" w:sz="4" w:space="0"/>
                    <w:bottom w:val="single" w:color="auto" w:sz="4" w:space="0"/>
                    <w:right w:val="single" w:color="auto" w:sz="4" w:space="0"/>
                  </w:tcBorders>
                  <w:vAlign w:val="center"/>
                </w:tcPr>
                <w:p w14:paraId="603CA72A">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0.311</w:t>
                  </w:r>
                </w:p>
              </w:tc>
              <w:tc>
                <w:tcPr>
                  <w:tcW w:w="646" w:type="pct"/>
                  <w:tcBorders>
                    <w:top w:val="single" w:color="auto" w:sz="4" w:space="0"/>
                    <w:left w:val="single" w:color="auto" w:sz="4" w:space="0"/>
                    <w:bottom w:val="single" w:color="auto" w:sz="4" w:space="0"/>
                    <w:right w:val="single" w:color="auto" w:sz="4" w:space="0"/>
                  </w:tcBorders>
                  <w:vAlign w:val="center"/>
                </w:tcPr>
                <w:p w14:paraId="11E5D75E">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90</w:t>
                  </w:r>
                </w:p>
              </w:tc>
              <w:tc>
                <w:tcPr>
                  <w:tcW w:w="646" w:type="pct"/>
                  <w:tcBorders>
                    <w:top w:val="single" w:color="auto" w:sz="4" w:space="0"/>
                    <w:left w:val="single" w:color="auto" w:sz="4" w:space="0"/>
                    <w:bottom w:val="single" w:color="auto" w:sz="4" w:space="0"/>
                    <w:right w:val="single" w:color="auto" w:sz="4" w:space="0"/>
                  </w:tcBorders>
                  <w:vAlign w:val="center"/>
                </w:tcPr>
                <w:p w14:paraId="3983F436">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95</w:t>
                  </w:r>
                </w:p>
              </w:tc>
              <w:tc>
                <w:tcPr>
                  <w:tcW w:w="902" w:type="pct"/>
                  <w:tcBorders>
                    <w:top w:val="single" w:color="auto" w:sz="4" w:space="0"/>
                    <w:left w:val="single" w:color="auto" w:sz="4" w:space="0"/>
                    <w:bottom w:val="single" w:color="auto" w:sz="4" w:space="0"/>
                    <w:right w:val="single" w:color="auto" w:sz="4" w:space="0"/>
                  </w:tcBorders>
                  <w:vAlign w:val="center"/>
                </w:tcPr>
                <w:p w14:paraId="163C84E6">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0.16</w:t>
                  </w:r>
                </w:p>
              </w:tc>
              <w:tc>
                <w:tcPr>
                  <w:tcW w:w="1130" w:type="pct"/>
                  <w:tcBorders>
                    <w:top w:val="single" w:color="auto" w:sz="4" w:space="0"/>
                    <w:left w:val="single" w:color="auto" w:sz="4" w:space="0"/>
                    <w:bottom w:val="single" w:color="auto" w:sz="4" w:space="0"/>
                    <w:right w:val="single" w:color="auto" w:sz="4" w:space="0"/>
                  </w:tcBorders>
                  <w:vAlign w:val="center"/>
                </w:tcPr>
                <w:p w14:paraId="2AC337C2">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0.044</w:t>
                  </w:r>
                </w:p>
              </w:tc>
            </w:tr>
          </w:tbl>
          <w:p w14:paraId="6CAD5212">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由上表可知，切割粉尘产生量为1.12t/a，产生速率为0.311kg/h，无组织排放量为0.16t/a，排放速率为0.044kg/h，除尘设备收集粉尘量为0.96t/a。</w:t>
            </w:r>
          </w:p>
          <w:p w14:paraId="503279AB">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（2）焊接烟尘</w:t>
            </w:r>
          </w:p>
          <w:p w14:paraId="3B727C2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项目焊接所用焊材为焊条和实芯焊丝，焊接过程中会产生焊接烟尘，年运行时间为3600h。</w:t>
            </w:r>
          </w:p>
          <w:p w14:paraId="32118E47">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根据《排放源统计调查产排污核算方法和系数手册》（生态环境部公告2021年第24号）中的《</w:t>
            </w:r>
            <w:r>
              <w:rPr>
                <w:rFonts w:cs="宋体"/>
                <w:bCs/>
                <w:color w:val="0D0D0D" w:themeColor="text1" w:themeTint="F2"/>
                <w:spacing w:val="-10"/>
                <w:sz w:val="24"/>
                <w14:textFill>
                  <w14:solidFill>
                    <w14:schemeClr w14:val="tx1">
                      <w14:lumMod w14:val="95000"/>
                      <w14:lumOff w14:val="5000"/>
                    </w14:schemeClr>
                  </w14:solidFill>
                </w14:textFill>
              </w:rPr>
              <w:t>33-37</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431-434</w:t>
            </w:r>
            <w:r>
              <w:rPr>
                <w:rFonts w:hint="eastAsia" w:cs="宋体"/>
                <w:bCs/>
                <w:color w:val="0D0D0D" w:themeColor="text1" w:themeTint="F2"/>
                <w:spacing w:val="-10"/>
                <w:sz w:val="24"/>
                <w14:textFill>
                  <w14:solidFill>
                    <w14:schemeClr w14:val="tx1">
                      <w14:lumMod w14:val="95000"/>
                      <w14:lumOff w14:val="5000"/>
                    </w14:schemeClr>
                  </w14:solidFill>
                </w14:textFill>
              </w:rPr>
              <w:t>机械行业系数手册》，焊条产污系数为20.2kg/t-原料，实芯焊丝产污系数为9.19kg/t-原料。项目焊条和实芯焊丝使用量均为3t/a，焊条产生的焊接烟尘为0.06t/a，实芯焊丝产生的焊接烟尘为0.03t/a，因此，焊接烟尘总产生量为0.09t/a。</w:t>
            </w:r>
          </w:p>
          <w:p w14:paraId="24A12A40">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在焊接设备旁设置移动式烟尘净化器对焊接烟尘进行收集处理，焊接烟尘经集气罩（移动式烟尘净化器自带）收集后通过移动式烟尘净化器处理后无组织排放。移动式烟尘净化器自带万向软臂集气罩，可通过调节与污染源产生点的距离加强废气的收集效率，参照《袋式除尘工程通用技术规范》（HJ2020-2012），顶吸式集气罩收集效率不低于90%，本次评价收集效率按</w:t>
            </w:r>
            <w:r>
              <w:rPr>
                <w:rFonts w:cs="宋体"/>
                <w:bCs/>
                <w:color w:val="0D0D0D" w:themeColor="text1" w:themeTint="F2"/>
                <w:spacing w:val="-10"/>
                <w:sz w:val="24"/>
                <w:u w:val="single"/>
                <w14:textFill>
                  <w14:solidFill>
                    <w14:schemeClr w14:val="tx1">
                      <w14:lumMod w14:val="95000"/>
                      <w14:lumOff w14:val="5000"/>
                    </w14:schemeClr>
                  </w14:solidFill>
                </w14:textFill>
              </w:rPr>
              <w:t>90%</w:t>
            </w:r>
            <w:r>
              <w:rPr>
                <w:rFonts w:hint="eastAsia" w:cs="宋体"/>
                <w:bCs/>
                <w:color w:val="0D0D0D" w:themeColor="text1" w:themeTint="F2"/>
                <w:spacing w:val="-10"/>
                <w:sz w:val="24"/>
                <w:u w:val="single"/>
                <w14:textFill>
                  <w14:solidFill>
                    <w14:schemeClr w14:val="tx1">
                      <w14:lumMod w14:val="95000"/>
                      <w14:lumOff w14:val="5000"/>
                    </w14:schemeClr>
                  </w14:solidFill>
                </w14:textFill>
              </w:rPr>
              <w:t>计。参照《排放源统计调查产排污核算方法和系数手册》（生态环境部公告2021年第24号）中的《</w:t>
            </w:r>
            <w:r>
              <w:rPr>
                <w:rFonts w:cs="宋体"/>
                <w:bCs/>
                <w:color w:val="0D0D0D" w:themeColor="text1" w:themeTint="F2"/>
                <w:spacing w:val="-10"/>
                <w:sz w:val="24"/>
                <w:u w:val="single"/>
                <w14:textFill>
                  <w14:solidFill>
                    <w14:schemeClr w14:val="tx1">
                      <w14:lumMod w14:val="95000"/>
                      <w14:lumOff w14:val="5000"/>
                    </w14:schemeClr>
                  </w14:solidFill>
                </w14:textFill>
              </w:rPr>
              <w:t>33-37</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431-434</w:t>
            </w:r>
            <w:r>
              <w:rPr>
                <w:rFonts w:hint="eastAsia" w:cs="宋体"/>
                <w:bCs/>
                <w:color w:val="0D0D0D" w:themeColor="text1" w:themeTint="F2"/>
                <w:spacing w:val="-10"/>
                <w:sz w:val="24"/>
                <w:u w:val="single"/>
                <w14:textFill>
                  <w14:solidFill>
                    <w14:schemeClr w14:val="tx1">
                      <w14:lumMod w14:val="95000"/>
                      <w14:lumOff w14:val="5000"/>
                    </w14:schemeClr>
                  </w14:solidFill>
                </w14:textFill>
              </w:rPr>
              <w:t>机械行业系数手册》，焊接烟尘其他（移动式烟尘净化器）的末端处理效率为95%，</w:t>
            </w:r>
            <w:r>
              <w:rPr>
                <w:rFonts w:cs="宋体"/>
                <w:bCs/>
                <w:color w:val="0D0D0D" w:themeColor="text1" w:themeTint="F2"/>
                <w:spacing w:val="-10"/>
                <w:sz w:val="24"/>
                <w:u w:val="single"/>
                <w14:textFill>
                  <w14:solidFill>
                    <w14:schemeClr w14:val="tx1">
                      <w14:lumMod w14:val="95000"/>
                      <w14:lumOff w14:val="5000"/>
                    </w14:schemeClr>
                  </w14:solidFill>
                </w14:textFill>
              </w:rPr>
              <w:t>本次评价</w:t>
            </w:r>
            <w:r>
              <w:rPr>
                <w:rFonts w:hint="eastAsia" w:cs="宋体"/>
                <w:bCs/>
                <w:color w:val="0D0D0D" w:themeColor="text1" w:themeTint="F2"/>
                <w:spacing w:val="-10"/>
                <w:sz w:val="24"/>
                <w:u w:val="single"/>
                <w14:textFill>
                  <w14:solidFill>
                    <w14:schemeClr w14:val="tx1">
                      <w14:lumMod w14:val="95000"/>
                      <w14:lumOff w14:val="5000"/>
                    </w14:schemeClr>
                  </w14:solidFill>
                </w14:textFill>
              </w:rPr>
              <w:t>去除效率</w:t>
            </w:r>
            <w:r>
              <w:rPr>
                <w:rFonts w:cs="宋体"/>
                <w:bCs/>
                <w:color w:val="0D0D0D" w:themeColor="text1" w:themeTint="F2"/>
                <w:spacing w:val="-10"/>
                <w:sz w:val="24"/>
                <w:u w:val="single"/>
                <w14:textFill>
                  <w14:solidFill>
                    <w14:schemeClr w14:val="tx1">
                      <w14:lumMod w14:val="95000"/>
                      <w14:lumOff w14:val="5000"/>
                    </w14:schemeClr>
                  </w14:solidFill>
                </w14:textFill>
              </w:rPr>
              <w:t>按</w:t>
            </w:r>
            <w:r>
              <w:rPr>
                <w:rFonts w:hint="eastAsia" w:cs="宋体"/>
                <w:bCs/>
                <w:color w:val="0D0D0D" w:themeColor="text1" w:themeTint="F2"/>
                <w:spacing w:val="-10"/>
                <w:sz w:val="24"/>
                <w:u w:val="single"/>
                <w14:textFill>
                  <w14:solidFill>
                    <w14:schemeClr w14:val="tx1">
                      <w14:lumMod w14:val="95000"/>
                      <w14:lumOff w14:val="5000"/>
                    </w14:schemeClr>
                  </w14:solidFill>
                </w14:textFill>
              </w:rPr>
              <w:t>95</w:t>
            </w:r>
            <w:r>
              <w:rPr>
                <w:rFonts w:cs="宋体"/>
                <w:bCs/>
                <w:color w:val="0D0D0D" w:themeColor="text1" w:themeTint="F2"/>
                <w:spacing w:val="-10"/>
                <w:sz w:val="24"/>
                <w:u w:val="single"/>
                <w14:textFill>
                  <w14:solidFill>
                    <w14:schemeClr w14:val="tx1">
                      <w14:lumMod w14:val="95000"/>
                      <w14:lumOff w14:val="5000"/>
                    </w14:schemeClr>
                  </w14:solidFill>
                </w14:textFill>
              </w:rPr>
              <w:t>%计</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p>
          <w:p w14:paraId="668C16C7">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焊接烟尘无组织排放量=产生量×（1-捕集效率）+产生量×捕集效率×（1-去除率）=0.09×（1-90%）+0.09×90%×（1-95%）=0.01t/a。</w:t>
            </w:r>
          </w:p>
          <w:p w14:paraId="2752BA1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焊接烟尘产排情况详见表4-2。</w:t>
            </w:r>
          </w:p>
          <w:p w14:paraId="2BB9F07B">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  焊接烟尘产排情况一览表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905"/>
              <w:gridCol w:w="1134"/>
              <w:gridCol w:w="1134"/>
              <w:gridCol w:w="1134"/>
              <w:gridCol w:w="1583"/>
              <w:gridCol w:w="1980"/>
            </w:tblGrid>
            <w:tr w14:paraId="6BF7F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6" w:type="pct"/>
                  <w:vMerge w:val="restart"/>
                  <w:tcBorders>
                    <w:top w:val="single" w:color="auto" w:sz="4" w:space="0"/>
                    <w:left w:val="single" w:color="auto" w:sz="4" w:space="0"/>
                    <w:bottom w:val="single" w:color="auto" w:sz="4" w:space="0"/>
                    <w:right w:val="single" w:color="auto" w:sz="4" w:space="0"/>
                  </w:tcBorders>
                  <w:vAlign w:val="center"/>
                </w:tcPr>
                <w:p w14:paraId="174B5648">
                  <w:pPr>
                    <w:tabs>
                      <w:tab w:val="left" w:pos="0"/>
                      <w:tab w:val="left" w:pos="1820"/>
                    </w:tabs>
                    <w:spacing w:after="0" w:line="240" w:lineRule="auto"/>
                    <w:jc w:val="center"/>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污染物</w:t>
                  </w:r>
                </w:p>
              </w:tc>
              <w:tc>
                <w:tcPr>
                  <w:tcW w:w="516" w:type="pct"/>
                  <w:vMerge w:val="restart"/>
                  <w:tcBorders>
                    <w:top w:val="single" w:color="auto" w:sz="4" w:space="0"/>
                    <w:left w:val="single" w:color="auto" w:sz="4" w:space="0"/>
                    <w:bottom w:val="single" w:color="auto" w:sz="4" w:space="0"/>
                    <w:right w:val="single" w:color="auto" w:sz="4" w:space="0"/>
                  </w:tcBorders>
                  <w:vAlign w:val="center"/>
                </w:tcPr>
                <w:p w14:paraId="4039D974">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产生量</w:t>
                  </w:r>
                </w:p>
                <w:p w14:paraId="0658140E">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c>
                <w:tcPr>
                  <w:tcW w:w="646" w:type="pct"/>
                  <w:vMerge w:val="restart"/>
                  <w:tcBorders>
                    <w:top w:val="single" w:color="auto" w:sz="4" w:space="0"/>
                    <w:left w:val="single" w:color="auto" w:sz="4" w:space="0"/>
                    <w:bottom w:val="single" w:color="auto" w:sz="4" w:space="0"/>
                    <w:right w:val="single" w:color="auto" w:sz="4" w:space="0"/>
                  </w:tcBorders>
                  <w:vAlign w:val="center"/>
                </w:tcPr>
                <w:p w14:paraId="7C06198D">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产生速率</w:t>
                  </w:r>
                </w:p>
                <w:p w14:paraId="110F2678">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（kg/h）</w:t>
                  </w:r>
                </w:p>
              </w:tc>
              <w:tc>
                <w:tcPr>
                  <w:tcW w:w="646" w:type="pct"/>
                  <w:vMerge w:val="restart"/>
                  <w:tcBorders>
                    <w:top w:val="single" w:color="auto" w:sz="4" w:space="0"/>
                    <w:left w:val="single" w:color="auto" w:sz="4" w:space="0"/>
                    <w:right w:val="single" w:color="auto" w:sz="4" w:space="0"/>
                  </w:tcBorders>
                  <w:vAlign w:val="center"/>
                </w:tcPr>
                <w:p w14:paraId="0D4380F8">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收集率</w:t>
                  </w:r>
                </w:p>
                <w:p w14:paraId="71B7667C">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w:t>
                  </w:r>
                </w:p>
              </w:tc>
              <w:tc>
                <w:tcPr>
                  <w:tcW w:w="646" w:type="pct"/>
                  <w:vMerge w:val="restart"/>
                  <w:tcBorders>
                    <w:top w:val="single" w:color="auto" w:sz="4" w:space="0"/>
                    <w:left w:val="single" w:color="auto" w:sz="4" w:space="0"/>
                    <w:bottom w:val="single" w:color="auto" w:sz="4" w:space="0"/>
                    <w:right w:val="single" w:color="auto" w:sz="4" w:space="0"/>
                  </w:tcBorders>
                  <w:vAlign w:val="center"/>
                </w:tcPr>
                <w:p w14:paraId="23E38C53">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治理效率</w:t>
                  </w:r>
                </w:p>
                <w:p w14:paraId="6B8B0791">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w:t>
                  </w:r>
                </w:p>
              </w:tc>
              <w:tc>
                <w:tcPr>
                  <w:tcW w:w="2031" w:type="pct"/>
                  <w:gridSpan w:val="2"/>
                  <w:tcBorders>
                    <w:top w:val="single" w:color="auto" w:sz="4" w:space="0"/>
                    <w:left w:val="single" w:color="auto" w:sz="4" w:space="0"/>
                    <w:bottom w:val="single" w:color="auto" w:sz="4" w:space="0"/>
                    <w:right w:val="single" w:color="auto" w:sz="4" w:space="0"/>
                  </w:tcBorders>
                  <w:vAlign w:val="center"/>
                </w:tcPr>
                <w:p w14:paraId="4FAE4773">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无组织</w:t>
                  </w:r>
                </w:p>
              </w:tc>
            </w:tr>
            <w:tr w14:paraId="06920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6" w:type="pct"/>
                  <w:vMerge w:val="continue"/>
                  <w:tcBorders>
                    <w:top w:val="single" w:color="auto" w:sz="4" w:space="0"/>
                    <w:left w:val="single" w:color="auto" w:sz="4" w:space="0"/>
                    <w:bottom w:val="single" w:color="auto" w:sz="4" w:space="0"/>
                    <w:right w:val="single" w:color="auto" w:sz="4" w:space="0"/>
                  </w:tcBorders>
                  <w:vAlign w:val="center"/>
                </w:tcPr>
                <w:p w14:paraId="22E6373D">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516" w:type="pct"/>
                  <w:vMerge w:val="continue"/>
                  <w:tcBorders>
                    <w:top w:val="single" w:color="auto" w:sz="4" w:space="0"/>
                    <w:left w:val="single" w:color="auto" w:sz="4" w:space="0"/>
                    <w:bottom w:val="single" w:color="auto" w:sz="4" w:space="0"/>
                    <w:right w:val="single" w:color="auto" w:sz="4" w:space="0"/>
                  </w:tcBorders>
                  <w:vAlign w:val="center"/>
                </w:tcPr>
                <w:p w14:paraId="74E1F566">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B904CE2">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646" w:type="pct"/>
                  <w:vMerge w:val="continue"/>
                  <w:tcBorders>
                    <w:left w:val="single" w:color="auto" w:sz="4" w:space="0"/>
                    <w:bottom w:val="single" w:color="auto" w:sz="4" w:space="0"/>
                    <w:right w:val="single" w:color="auto" w:sz="4" w:space="0"/>
                  </w:tcBorders>
                  <w:vAlign w:val="center"/>
                </w:tcPr>
                <w:p w14:paraId="09E23347">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5D5CE9C">
                  <w:pPr>
                    <w:widowControl/>
                    <w:spacing w:after="0" w:line="240" w:lineRule="auto"/>
                    <w:jc w:val="center"/>
                    <w:rPr>
                      <w:bCs/>
                      <w:color w:val="0D0D0D" w:themeColor="text1" w:themeTint="F2"/>
                      <w:kern w:val="0"/>
                      <w:szCs w:val="21"/>
                      <w14:textFill>
                        <w14:solidFill>
                          <w14:schemeClr w14:val="tx1">
                            <w14:lumMod w14:val="95000"/>
                            <w14:lumOff w14:val="5000"/>
                          </w14:schemeClr>
                        </w14:solidFill>
                      </w14:textFill>
                    </w:rPr>
                  </w:pPr>
                </w:p>
              </w:tc>
              <w:tc>
                <w:tcPr>
                  <w:tcW w:w="902" w:type="pct"/>
                  <w:tcBorders>
                    <w:top w:val="single" w:color="auto" w:sz="4" w:space="0"/>
                    <w:left w:val="single" w:color="auto" w:sz="4" w:space="0"/>
                    <w:bottom w:val="single" w:color="auto" w:sz="4" w:space="0"/>
                    <w:right w:val="single" w:color="auto" w:sz="4" w:space="0"/>
                  </w:tcBorders>
                  <w:vAlign w:val="center"/>
                </w:tcPr>
                <w:p w14:paraId="366409C5">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排放量（t/a）</w:t>
                  </w:r>
                </w:p>
              </w:tc>
              <w:tc>
                <w:tcPr>
                  <w:tcW w:w="1130" w:type="pct"/>
                  <w:tcBorders>
                    <w:top w:val="single" w:color="auto" w:sz="4" w:space="0"/>
                    <w:left w:val="single" w:color="auto" w:sz="4" w:space="0"/>
                    <w:bottom w:val="single" w:color="auto" w:sz="4" w:space="0"/>
                    <w:right w:val="single" w:color="auto" w:sz="4" w:space="0"/>
                  </w:tcBorders>
                  <w:vAlign w:val="center"/>
                </w:tcPr>
                <w:p w14:paraId="36D78EE7">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排放速率（kg/h）</w:t>
                  </w:r>
                </w:p>
              </w:tc>
            </w:tr>
            <w:tr w14:paraId="2EA1F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6" w:type="pct"/>
                  <w:tcBorders>
                    <w:top w:val="single" w:color="auto" w:sz="4" w:space="0"/>
                    <w:left w:val="single" w:color="auto" w:sz="4" w:space="0"/>
                    <w:bottom w:val="single" w:color="auto" w:sz="4" w:space="0"/>
                    <w:right w:val="single" w:color="auto" w:sz="4" w:space="0"/>
                  </w:tcBorders>
                  <w:vAlign w:val="center"/>
                </w:tcPr>
                <w:p w14:paraId="2A2CB3E9">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颗粒物</w:t>
                  </w:r>
                </w:p>
              </w:tc>
              <w:tc>
                <w:tcPr>
                  <w:tcW w:w="516" w:type="pct"/>
                  <w:tcBorders>
                    <w:top w:val="single" w:color="auto" w:sz="4" w:space="0"/>
                    <w:left w:val="single" w:color="auto" w:sz="4" w:space="0"/>
                    <w:bottom w:val="single" w:color="auto" w:sz="4" w:space="0"/>
                    <w:right w:val="single" w:color="auto" w:sz="4" w:space="0"/>
                  </w:tcBorders>
                  <w:vAlign w:val="center"/>
                </w:tcPr>
                <w:p w14:paraId="0FFEC771">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0.09</w:t>
                  </w:r>
                </w:p>
              </w:tc>
              <w:tc>
                <w:tcPr>
                  <w:tcW w:w="646" w:type="pct"/>
                  <w:tcBorders>
                    <w:top w:val="single" w:color="auto" w:sz="4" w:space="0"/>
                    <w:left w:val="single" w:color="auto" w:sz="4" w:space="0"/>
                    <w:bottom w:val="single" w:color="auto" w:sz="4" w:space="0"/>
                    <w:right w:val="single" w:color="auto" w:sz="4" w:space="0"/>
                  </w:tcBorders>
                  <w:vAlign w:val="center"/>
                </w:tcPr>
                <w:p w14:paraId="3C35ECB4">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0.025</w:t>
                  </w:r>
                </w:p>
              </w:tc>
              <w:tc>
                <w:tcPr>
                  <w:tcW w:w="646" w:type="pct"/>
                  <w:tcBorders>
                    <w:top w:val="single" w:color="auto" w:sz="4" w:space="0"/>
                    <w:left w:val="single" w:color="auto" w:sz="4" w:space="0"/>
                    <w:bottom w:val="single" w:color="auto" w:sz="4" w:space="0"/>
                    <w:right w:val="single" w:color="auto" w:sz="4" w:space="0"/>
                  </w:tcBorders>
                  <w:vAlign w:val="center"/>
                </w:tcPr>
                <w:p w14:paraId="7BC68722">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90</w:t>
                  </w:r>
                </w:p>
              </w:tc>
              <w:tc>
                <w:tcPr>
                  <w:tcW w:w="646" w:type="pct"/>
                  <w:tcBorders>
                    <w:top w:val="single" w:color="auto" w:sz="4" w:space="0"/>
                    <w:left w:val="single" w:color="auto" w:sz="4" w:space="0"/>
                    <w:bottom w:val="single" w:color="auto" w:sz="4" w:space="0"/>
                    <w:right w:val="single" w:color="auto" w:sz="4" w:space="0"/>
                  </w:tcBorders>
                  <w:vAlign w:val="center"/>
                </w:tcPr>
                <w:p w14:paraId="0A3B2A14">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95</w:t>
                  </w:r>
                </w:p>
              </w:tc>
              <w:tc>
                <w:tcPr>
                  <w:tcW w:w="902" w:type="pct"/>
                  <w:tcBorders>
                    <w:top w:val="single" w:color="auto" w:sz="4" w:space="0"/>
                    <w:left w:val="single" w:color="auto" w:sz="4" w:space="0"/>
                    <w:bottom w:val="single" w:color="auto" w:sz="4" w:space="0"/>
                    <w:right w:val="single" w:color="auto" w:sz="4" w:space="0"/>
                  </w:tcBorders>
                  <w:vAlign w:val="center"/>
                </w:tcPr>
                <w:p w14:paraId="1AC9E529">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0.01</w:t>
                  </w:r>
                </w:p>
              </w:tc>
              <w:tc>
                <w:tcPr>
                  <w:tcW w:w="1130" w:type="pct"/>
                  <w:tcBorders>
                    <w:top w:val="single" w:color="auto" w:sz="4" w:space="0"/>
                    <w:left w:val="single" w:color="auto" w:sz="4" w:space="0"/>
                    <w:bottom w:val="single" w:color="auto" w:sz="4" w:space="0"/>
                    <w:right w:val="single" w:color="auto" w:sz="4" w:space="0"/>
                  </w:tcBorders>
                  <w:vAlign w:val="center"/>
                </w:tcPr>
                <w:p w14:paraId="4E690998">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0.003</w:t>
                  </w:r>
                </w:p>
              </w:tc>
            </w:tr>
          </w:tbl>
          <w:p w14:paraId="15EC4923">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由上表可知，焊接烟尘产生量为0.09t/a，产生速率为0.025kg/h，无组织排放量为0.01t/a，排放速率为0.003kg/h，除尘设备收集粉尘量为0.08t/a。</w:t>
            </w:r>
          </w:p>
          <w:p w14:paraId="24BE9311">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（3）抛丸粉尘</w:t>
            </w:r>
          </w:p>
          <w:p w14:paraId="3E1CB45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项目轨道通过式抛丸清理机在工件抛丸除锈的过程中会产生抛丸粉尘，年运行时间为3600h。</w:t>
            </w:r>
          </w:p>
          <w:p w14:paraId="6E402EA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根据《排放源统计调查产排污核算方法和系数手册》（生态环境部公告2021年第24号）中的《</w:t>
            </w:r>
            <w:r>
              <w:rPr>
                <w:rFonts w:cs="宋体"/>
                <w:bCs/>
                <w:color w:val="0D0D0D" w:themeColor="text1" w:themeTint="F2"/>
                <w:spacing w:val="-10"/>
                <w:sz w:val="24"/>
                <w14:textFill>
                  <w14:solidFill>
                    <w14:schemeClr w14:val="tx1">
                      <w14:lumMod w14:val="95000"/>
                      <w14:lumOff w14:val="5000"/>
                    </w14:schemeClr>
                  </w14:solidFill>
                </w14:textFill>
              </w:rPr>
              <w:t>33-37</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431-434</w:t>
            </w:r>
            <w:r>
              <w:rPr>
                <w:rFonts w:hint="eastAsia" w:cs="宋体"/>
                <w:bCs/>
                <w:color w:val="0D0D0D" w:themeColor="text1" w:themeTint="F2"/>
                <w:spacing w:val="-10"/>
                <w:sz w:val="24"/>
                <w14:textFill>
                  <w14:solidFill>
                    <w14:schemeClr w14:val="tx1">
                      <w14:lumMod w14:val="95000"/>
                      <w14:lumOff w14:val="5000"/>
                    </w14:schemeClr>
                  </w14:solidFill>
                </w14:textFill>
              </w:rPr>
              <w:t>机械行业系数手册》，抛丸粉尘产污系数为2.19kg/t-原料。根据建设单位提供的资料，每台轨道通过式抛丸清理机抛丸量占钢材总量的50%，项目钢材使用量为863.5t/a，则单台轨道通过式抛丸清理机抛丸量为431.75t/a，抛丸粉尘产生量为0.95t/a，因此，抛丸粉尘总产生量为1.9t/a。</w:t>
            </w:r>
          </w:p>
          <w:p w14:paraId="2F4B62F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轨道通过式抛丸清理机内部整体密闭，工作台上方设置集气装置，废气经管道收集至各自配套的滤筒除尘器处理后通过20m排气筒排放（DA001和DA002），风机设计风量均为20000m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工件进出口处设置柔性围帘，收集效率一般可达90%以上，本次评价按90%计，因此，单台轨道通过式抛丸清理机抛丸粉尘有组织产生量为0.86t/a，无组织产生量为0.09t/a。根据《排放源统计调查产排污核算方法和系数手册》（生态环境部公告2021年第24号）中的《</w:t>
            </w:r>
            <w:r>
              <w:rPr>
                <w:rFonts w:cs="宋体"/>
                <w:bCs/>
                <w:color w:val="0D0D0D" w:themeColor="text1" w:themeTint="F2"/>
                <w:spacing w:val="-10"/>
                <w:sz w:val="24"/>
                <w14:textFill>
                  <w14:solidFill>
                    <w14:schemeClr w14:val="tx1">
                      <w14:lumMod w14:val="95000"/>
                      <w14:lumOff w14:val="5000"/>
                    </w14:schemeClr>
                  </w14:solidFill>
                </w14:textFill>
              </w:rPr>
              <w:t>33-37</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431-434</w:t>
            </w:r>
            <w:r>
              <w:rPr>
                <w:rFonts w:hint="eastAsia" w:cs="宋体"/>
                <w:bCs/>
                <w:color w:val="0D0D0D" w:themeColor="text1" w:themeTint="F2"/>
                <w:spacing w:val="-10"/>
                <w:sz w:val="24"/>
                <w14:textFill>
                  <w14:solidFill>
                    <w14:schemeClr w14:val="tx1">
                      <w14:lumMod w14:val="95000"/>
                      <w14:lumOff w14:val="5000"/>
                    </w14:schemeClr>
                  </w14:solidFill>
                </w14:textFill>
              </w:rPr>
              <w:t>机械行业系数手册》，滤筒除尘器处理效率按95%计。</w:t>
            </w:r>
          </w:p>
          <w:p w14:paraId="7A2149F7">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抛丸粉尘产排情况详见表4-3。</w:t>
            </w:r>
          </w:p>
          <w:p w14:paraId="6A1F8290">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表4-3  抛丸粉尘产排情况一览表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830"/>
              <w:gridCol w:w="893"/>
              <w:gridCol w:w="1116"/>
              <w:gridCol w:w="1032"/>
              <w:gridCol w:w="1032"/>
              <w:gridCol w:w="893"/>
              <w:gridCol w:w="1117"/>
              <w:gridCol w:w="1033"/>
            </w:tblGrid>
            <w:tr w14:paraId="36E07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2" w:type="pct"/>
                  <w:vAlign w:val="center"/>
                </w:tcPr>
                <w:p w14:paraId="55E0B5A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排放口</w:t>
                  </w:r>
                </w:p>
              </w:tc>
              <w:tc>
                <w:tcPr>
                  <w:tcW w:w="473" w:type="pct"/>
                  <w:vAlign w:val="center"/>
                </w:tcPr>
                <w:p w14:paraId="28A51A9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污染物</w:t>
                  </w:r>
                </w:p>
              </w:tc>
              <w:tc>
                <w:tcPr>
                  <w:tcW w:w="509" w:type="pct"/>
                  <w:vAlign w:val="center"/>
                </w:tcPr>
                <w:p w14:paraId="60F8D2D0">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产生量</w:t>
                  </w:r>
                </w:p>
                <w:p w14:paraId="44BC60D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c>
                <w:tcPr>
                  <w:tcW w:w="636" w:type="pct"/>
                  <w:vAlign w:val="center"/>
                </w:tcPr>
                <w:p w14:paraId="09DCB5F6">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产生速率</w:t>
                  </w:r>
                </w:p>
                <w:p w14:paraId="733D504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(kg/h)</w:t>
                  </w:r>
                </w:p>
              </w:tc>
              <w:tc>
                <w:tcPr>
                  <w:tcW w:w="588" w:type="pct"/>
                  <w:vAlign w:val="center"/>
                </w:tcPr>
                <w:p w14:paraId="123D3FD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产生浓度</w:t>
                  </w:r>
                </w:p>
                <w:p w14:paraId="52C797D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(mg/m</w:t>
                  </w:r>
                  <w:r>
                    <w:rPr>
                      <w:rFonts w:hint="eastAsia" w:cs="宋体"/>
                      <w:bCs/>
                      <w:color w:val="0D0D0D" w:themeColor="text1" w:themeTint="F2"/>
                      <w:spacing w:val="-10"/>
                      <w:szCs w:val="21"/>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88" w:type="pct"/>
                  <w:vAlign w:val="center"/>
                </w:tcPr>
                <w:p w14:paraId="4E18E06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排放形式</w:t>
                  </w:r>
                </w:p>
              </w:tc>
              <w:tc>
                <w:tcPr>
                  <w:tcW w:w="509" w:type="pct"/>
                  <w:vAlign w:val="center"/>
                </w:tcPr>
                <w:p w14:paraId="2B66C72F">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排放量</w:t>
                  </w:r>
                </w:p>
                <w:p w14:paraId="20F42D2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c>
                <w:tcPr>
                  <w:tcW w:w="636" w:type="pct"/>
                  <w:vAlign w:val="center"/>
                </w:tcPr>
                <w:p w14:paraId="52749A77">
                  <w:pPr>
                    <w:tabs>
                      <w:tab w:val="left" w:pos="0"/>
                      <w:tab w:val="left" w:pos="1820"/>
                    </w:tabs>
                    <w:spacing w:after="0" w:line="240" w:lineRule="auto"/>
                    <w:jc w:val="center"/>
                    <w:rPr>
                      <w:bCs/>
                      <w:color w:val="0D0D0D" w:themeColor="text1" w:themeTint="F2"/>
                      <w:kern w:val="0"/>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排放速率</w:t>
                  </w:r>
                </w:p>
                <w:p w14:paraId="5E569FA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(kg/h)</w:t>
                  </w:r>
                </w:p>
              </w:tc>
              <w:tc>
                <w:tcPr>
                  <w:tcW w:w="588" w:type="pct"/>
                  <w:vAlign w:val="center"/>
                </w:tcPr>
                <w:p w14:paraId="3C3763A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排放浓度</w:t>
                  </w:r>
                </w:p>
                <w:p w14:paraId="33F7721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(mg/m</w:t>
                  </w:r>
                  <w:r>
                    <w:rPr>
                      <w:rFonts w:hint="eastAsia" w:cs="宋体"/>
                      <w:bCs/>
                      <w:color w:val="0D0D0D" w:themeColor="text1" w:themeTint="F2"/>
                      <w:spacing w:val="-10"/>
                      <w:szCs w:val="21"/>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5EC20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2" w:type="pct"/>
                  <w:vAlign w:val="center"/>
                </w:tcPr>
                <w:p w14:paraId="5D2C106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DA001</w:t>
                  </w:r>
                </w:p>
              </w:tc>
              <w:tc>
                <w:tcPr>
                  <w:tcW w:w="473" w:type="pct"/>
                  <w:vAlign w:val="center"/>
                </w:tcPr>
                <w:p w14:paraId="7E7D537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颗粒物</w:t>
                  </w:r>
                </w:p>
              </w:tc>
              <w:tc>
                <w:tcPr>
                  <w:tcW w:w="509" w:type="pct"/>
                  <w:vAlign w:val="center"/>
                </w:tcPr>
                <w:p w14:paraId="28F7201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0.86</w:t>
                  </w:r>
                </w:p>
              </w:tc>
              <w:tc>
                <w:tcPr>
                  <w:tcW w:w="636" w:type="pct"/>
                  <w:vAlign w:val="center"/>
                </w:tcPr>
                <w:p w14:paraId="2B961C7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0.239</w:t>
                  </w:r>
                </w:p>
              </w:tc>
              <w:tc>
                <w:tcPr>
                  <w:tcW w:w="588" w:type="pct"/>
                  <w:vAlign w:val="center"/>
                </w:tcPr>
                <w:p w14:paraId="38CFF25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11.95</w:t>
                  </w:r>
                </w:p>
              </w:tc>
              <w:tc>
                <w:tcPr>
                  <w:tcW w:w="588" w:type="pct"/>
                  <w:vAlign w:val="center"/>
                </w:tcPr>
                <w:p w14:paraId="1C90513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有组织</w:t>
                  </w:r>
                </w:p>
              </w:tc>
              <w:tc>
                <w:tcPr>
                  <w:tcW w:w="509" w:type="pct"/>
                  <w:vAlign w:val="center"/>
                </w:tcPr>
                <w:p w14:paraId="6788768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0.04</w:t>
                  </w:r>
                </w:p>
              </w:tc>
              <w:tc>
                <w:tcPr>
                  <w:tcW w:w="636" w:type="pct"/>
                  <w:vAlign w:val="center"/>
                </w:tcPr>
                <w:p w14:paraId="793736A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0.011</w:t>
                  </w:r>
                </w:p>
              </w:tc>
              <w:tc>
                <w:tcPr>
                  <w:tcW w:w="588" w:type="pct"/>
                  <w:vAlign w:val="center"/>
                </w:tcPr>
                <w:p w14:paraId="5638DEA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0.55</w:t>
                  </w:r>
                </w:p>
              </w:tc>
            </w:tr>
            <w:tr w14:paraId="1A5A9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2" w:type="pct"/>
                  <w:vAlign w:val="center"/>
                </w:tcPr>
                <w:p w14:paraId="557E4C6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DA002</w:t>
                  </w:r>
                </w:p>
              </w:tc>
              <w:tc>
                <w:tcPr>
                  <w:tcW w:w="473" w:type="pct"/>
                  <w:vAlign w:val="center"/>
                </w:tcPr>
                <w:p w14:paraId="69460C1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颗粒物</w:t>
                  </w:r>
                </w:p>
              </w:tc>
              <w:tc>
                <w:tcPr>
                  <w:tcW w:w="509" w:type="pct"/>
                  <w:vAlign w:val="center"/>
                </w:tcPr>
                <w:p w14:paraId="3F49E3A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0.86</w:t>
                  </w:r>
                </w:p>
              </w:tc>
              <w:tc>
                <w:tcPr>
                  <w:tcW w:w="636" w:type="pct"/>
                  <w:vAlign w:val="center"/>
                </w:tcPr>
                <w:p w14:paraId="10AF8B1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0.239</w:t>
                  </w:r>
                </w:p>
              </w:tc>
              <w:tc>
                <w:tcPr>
                  <w:tcW w:w="588" w:type="pct"/>
                  <w:vAlign w:val="center"/>
                </w:tcPr>
                <w:p w14:paraId="39768EE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11.95</w:t>
                  </w:r>
                </w:p>
              </w:tc>
              <w:tc>
                <w:tcPr>
                  <w:tcW w:w="588" w:type="pct"/>
                  <w:vAlign w:val="center"/>
                </w:tcPr>
                <w:p w14:paraId="1455D0B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有组织</w:t>
                  </w:r>
                </w:p>
              </w:tc>
              <w:tc>
                <w:tcPr>
                  <w:tcW w:w="509" w:type="pct"/>
                  <w:vAlign w:val="center"/>
                </w:tcPr>
                <w:p w14:paraId="3B350CA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0.04</w:t>
                  </w:r>
                </w:p>
              </w:tc>
              <w:tc>
                <w:tcPr>
                  <w:tcW w:w="636" w:type="pct"/>
                  <w:vAlign w:val="center"/>
                </w:tcPr>
                <w:p w14:paraId="7D32DBB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0.011</w:t>
                  </w:r>
                </w:p>
              </w:tc>
              <w:tc>
                <w:tcPr>
                  <w:tcW w:w="588" w:type="pct"/>
                  <w:vAlign w:val="center"/>
                </w:tcPr>
                <w:p w14:paraId="23233FF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0.55</w:t>
                  </w:r>
                </w:p>
              </w:tc>
            </w:tr>
            <w:tr w14:paraId="60E4A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2" w:type="pct"/>
                  <w:vAlign w:val="center"/>
                </w:tcPr>
                <w:p w14:paraId="2179F3E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73" w:type="pct"/>
                  <w:vAlign w:val="center"/>
                </w:tcPr>
                <w:p w14:paraId="5E8EE5D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颗粒物</w:t>
                  </w:r>
                </w:p>
              </w:tc>
              <w:tc>
                <w:tcPr>
                  <w:tcW w:w="509" w:type="pct"/>
                  <w:vAlign w:val="center"/>
                </w:tcPr>
                <w:p w14:paraId="2B1566A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0.18</w:t>
                  </w:r>
                </w:p>
              </w:tc>
              <w:tc>
                <w:tcPr>
                  <w:tcW w:w="636" w:type="pct"/>
                  <w:vAlign w:val="center"/>
                </w:tcPr>
                <w:p w14:paraId="6F0F781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0.05</w:t>
                  </w:r>
                </w:p>
              </w:tc>
              <w:tc>
                <w:tcPr>
                  <w:tcW w:w="588" w:type="pct"/>
                  <w:vAlign w:val="center"/>
                </w:tcPr>
                <w:p w14:paraId="3F800F3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88" w:type="pct"/>
                  <w:vAlign w:val="center"/>
                </w:tcPr>
                <w:p w14:paraId="2ED53FD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无组织</w:t>
                  </w:r>
                </w:p>
              </w:tc>
              <w:tc>
                <w:tcPr>
                  <w:tcW w:w="509" w:type="pct"/>
                  <w:vAlign w:val="center"/>
                </w:tcPr>
                <w:p w14:paraId="45FF338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0.18</w:t>
                  </w:r>
                </w:p>
              </w:tc>
              <w:tc>
                <w:tcPr>
                  <w:tcW w:w="636" w:type="pct"/>
                  <w:vAlign w:val="center"/>
                </w:tcPr>
                <w:p w14:paraId="6A67ED9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0.05</w:t>
                  </w:r>
                </w:p>
              </w:tc>
              <w:tc>
                <w:tcPr>
                  <w:tcW w:w="588" w:type="pct"/>
                  <w:vAlign w:val="center"/>
                </w:tcPr>
                <w:p w14:paraId="3012EB9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32B11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gridSpan w:val="2"/>
                  <w:vAlign w:val="center"/>
                </w:tcPr>
                <w:p w14:paraId="3FE61F6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合计</w:t>
                  </w:r>
                </w:p>
              </w:tc>
              <w:tc>
                <w:tcPr>
                  <w:tcW w:w="509" w:type="pct"/>
                  <w:vAlign w:val="center"/>
                </w:tcPr>
                <w:p w14:paraId="7A4EABE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1.9</w:t>
                  </w:r>
                </w:p>
              </w:tc>
              <w:tc>
                <w:tcPr>
                  <w:tcW w:w="636" w:type="pct"/>
                  <w:vAlign w:val="center"/>
                </w:tcPr>
                <w:p w14:paraId="372654D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88" w:type="pct"/>
                  <w:vAlign w:val="center"/>
                </w:tcPr>
                <w:p w14:paraId="5491FA0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88" w:type="pct"/>
                  <w:vAlign w:val="center"/>
                </w:tcPr>
                <w:p w14:paraId="7F3289C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09" w:type="pct"/>
                  <w:vAlign w:val="center"/>
                </w:tcPr>
                <w:p w14:paraId="50DD8FC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0.26</w:t>
                  </w:r>
                </w:p>
              </w:tc>
              <w:tc>
                <w:tcPr>
                  <w:tcW w:w="636" w:type="pct"/>
                  <w:vAlign w:val="center"/>
                </w:tcPr>
                <w:p w14:paraId="5EE2C84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88" w:type="pct"/>
                  <w:vAlign w:val="center"/>
                </w:tcPr>
                <w:p w14:paraId="3D2AEC1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bl>
          <w:p w14:paraId="4E306B6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由上表可知，DA001排气筒抛丸粉尘有组织产生量为0.86t/a，产生速率为0.239kg/h，产生浓度为11.95mg/m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，有组织排放量为0.04t/a，排放速率为0.011kg/h，排放浓度为0.55mg/m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，除尘设备粉尘收集量为0.82t/a；DA002排气筒抛丸粉尘有组织产生量为0.86t/a，产生速率为0.239kg/h，产生浓度为11.95mg/m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，有组织排放量为0.04t/a，排放速率为0.011kg/h，排放浓度为0.55mg/m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，除尘设备粉尘收集量为0.82t/a；全厂抛丸粉尘无组织排放量为0.18t/a，排放速率为0.05kg/h。</w:t>
            </w:r>
          </w:p>
          <w:p w14:paraId="329670E5">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（4）喷漆废气</w:t>
            </w:r>
          </w:p>
          <w:p w14:paraId="5075C66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共设置2座喷漆房进行喷涂作业，年运行时间为3600h，喷涂作业过程中会产生喷漆废气，主要为漆雾、挥发性有机废气和异味。本次评价挥发性有机废气以非甲烷总烃进行表征，苯系物以二甲苯进行表征，异味以臭气浓度进行表征。从保守角度出发，喷涂作业的过程中（含调漆、喷涂、晾干等工作）挥发分按全部挥发计。</w:t>
            </w:r>
          </w:p>
          <w:p w14:paraId="514A172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根据前文涂料使用量和成分说明，各涂料固体分和挥发分含量详见表4-4。</w:t>
            </w:r>
          </w:p>
          <w:p w14:paraId="2266AE3A">
            <w:pPr>
              <w:adjustRightInd w:val="0"/>
              <w:snapToGrid w:val="0"/>
              <w:spacing w:after="0" w:line="240" w:lineRule="auto"/>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表4-4  涂料成分含量一览表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6"/>
              <w:gridCol w:w="895"/>
              <w:gridCol w:w="897"/>
              <w:gridCol w:w="746"/>
              <w:gridCol w:w="748"/>
              <w:gridCol w:w="748"/>
              <w:gridCol w:w="748"/>
              <w:gridCol w:w="895"/>
              <w:gridCol w:w="832"/>
            </w:tblGrid>
            <w:tr w14:paraId="6AF56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2" w:type="pct"/>
                  <w:gridSpan w:val="2"/>
                  <w:vMerge w:val="restart"/>
                  <w:vAlign w:val="center"/>
                </w:tcPr>
                <w:p w14:paraId="58369AF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名称</w:t>
                  </w:r>
                </w:p>
              </w:tc>
              <w:tc>
                <w:tcPr>
                  <w:tcW w:w="511" w:type="pct"/>
                  <w:vMerge w:val="restart"/>
                  <w:vAlign w:val="center"/>
                </w:tcPr>
                <w:p w14:paraId="41E4FDC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使用量</w:t>
                  </w:r>
                </w:p>
                <w:p w14:paraId="08E7BC2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c>
                <w:tcPr>
                  <w:tcW w:w="851" w:type="pct"/>
                  <w:gridSpan w:val="2"/>
                  <w:vAlign w:val="center"/>
                </w:tcPr>
                <w:p w14:paraId="3D29818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固体分</w:t>
                  </w:r>
                </w:p>
              </w:tc>
              <w:tc>
                <w:tcPr>
                  <w:tcW w:w="1837" w:type="pct"/>
                  <w:gridSpan w:val="4"/>
                  <w:vAlign w:val="center"/>
                </w:tcPr>
                <w:p w14:paraId="7C5BDB3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挥发分</w:t>
                  </w:r>
                </w:p>
              </w:tc>
            </w:tr>
            <w:tr w14:paraId="4B941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2" w:type="pct"/>
                  <w:gridSpan w:val="2"/>
                  <w:vMerge w:val="continue"/>
                  <w:vAlign w:val="center"/>
                </w:tcPr>
                <w:p w14:paraId="63F260D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1" w:type="pct"/>
                  <w:vMerge w:val="continue"/>
                  <w:vAlign w:val="center"/>
                </w:tcPr>
                <w:p w14:paraId="647A1C8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25" w:type="pct"/>
                  <w:vAlign w:val="center"/>
                </w:tcPr>
                <w:p w14:paraId="3BA4592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占比</w:t>
                  </w:r>
                </w:p>
                <w:p w14:paraId="2AFC1FC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w:t>
                  </w:r>
                </w:p>
              </w:tc>
              <w:tc>
                <w:tcPr>
                  <w:tcW w:w="426" w:type="pct"/>
                  <w:vAlign w:val="center"/>
                </w:tcPr>
                <w:p w14:paraId="255BF88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含量</w:t>
                  </w:r>
                </w:p>
                <w:p w14:paraId="54590CD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c>
                <w:tcPr>
                  <w:tcW w:w="426" w:type="pct"/>
                  <w:vAlign w:val="center"/>
                </w:tcPr>
                <w:p w14:paraId="774F1CE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占比</w:t>
                  </w:r>
                </w:p>
                <w:p w14:paraId="3114A09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w:t>
                  </w:r>
                </w:p>
              </w:tc>
              <w:tc>
                <w:tcPr>
                  <w:tcW w:w="426" w:type="pct"/>
                  <w:vAlign w:val="center"/>
                </w:tcPr>
                <w:p w14:paraId="7F6260A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含量</w:t>
                  </w:r>
                </w:p>
                <w:p w14:paraId="7C22DAA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c>
                <w:tcPr>
                  <w:tcW w:w="510" w:type="pct"/>
                  <w:vAlign w:val="center"/>
                </w:tcPr>
                <w:p w14:paraId="602B3FC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其中</w:t>
                  </w:r>
                </w:p>
                <w:p w14:paraId="763A08D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二甲苯</w:t>
                  </w:r>
                </w:p>
                <w:p w14:paraId="2B72C4C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占比</w:t>
                  </w:r>
                </w:p>
                <w:p w14:paraId="6CF3CCA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w:t>
                  </w:r>
                </w:p>
              </w:tc>
              <w:tc>
                <w:tcPr>
                  <w:tcW w:w="474" w:type="pct"/>
                  <w:vAlign w:val="center"/>
                </w:tcPr>
                <w:p w14:paraId="5FFEEBA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其中</w:t>
                  </w:r>
                </w:p>
                <w:p w14:paraId="51A3162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二甲苯</w:t>
                  </w:r>
                </w:p>
                <w:p w14:paraId="7895774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含量</w:t>
                  </w:r>
                </w:p>
                <w:p w14:paraId="190E104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kern w:val="0"/>
                      <w14:textFill>
                        <w14:solidFill>
                          <w14:schemeClr w14:val="tx1">
                            <w14:lumMod w14:val="95000"/>
                            <w14:lumOff w14:val="5000"/>
                          </w14:schemeClr>
                        </w14:solidFill>
                      </w14:textFill>
                    </w:rPr>
                    <w:t>(t/a)</w:t>
                  </w:r>
                </w:p>
              </w:tc>
            </w:tr>
            <w:tr w14:paraId="7EC69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0B9AF20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HT-1无机富锌涂料</w:t>
                  </w:r>
                </w:p>
              </w:tc>
              <w:tc>
                <w:tcPr>
                  <w:tcW w:w="510" w:type="pct"/>
                  <w:vAlign w:val="center"/>
                </w:tcPr>
                <w:p w14:paraId="52435DE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7D75D6E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0.28</w:t>
                  </w:r>
                </w:p>
              </w:tc>
              <w:tc>
                <w:tcPr>
                  <w:tcW w:w="425" w:type="pct"/>
                  <w:vAlign w:val="center"/>
                </w:tcPr>
                <w:p w14:paraId="2CC17AE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81</w:t>
                  </w:r>
                </w:p>
              </w:tc>
              <w:tc>
                <w:tcPr>
                  <w:tcW w:w="426" w:type="pct"/>
                  <w:vAlign w:val="center"/>
                </w:tcPr>
                <w:p w14:paraId="159427C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0.23</w:t>
                  </w:r>
                </w:p>
              </w:tc>
              <w:tc>
                <w:tcPr>
                  <w:tcW w:w="426" w:type="pct"/>
                  <w:vAlign w:val="center"/>
                </w:tcPr>
                <w:p w14:paraId="6FC640C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19</w:t>
                  </w:r>
                </w:p>
              </w:tc>
              <w:tc>
                <w:tcPr>
                  <w:tcW w:w="426" w:type="pct"/>
                  <w:vAlign w:val="center"/>
                </w:tcPr>
                <w:p w14:paraId="23AEE89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0.05</w:t>
                  </w:r>
                </w:p>
              </w:tc>
              <w:tc>
                <w:tcPr>
                  <w:tcW w:w="510" w:type="pct"/>
                  <w:vAlign w:val="center"/>
                </w:tcPr>
                <w:p w14:paraId="081D661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74" w:type="pct"/>
                  <w:vAlign w:val="center"/>
                </w:tcPr>
                <w:p w14:paraId="6AE2182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61BEE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231FDE8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18A8EBE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236E2D3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425" w:type="pct"/>
                  <w:vAlign w:val="center"/>
                </w:tcPr>
                <w:p w14:paraId="54C8A6D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33</w:t>
                  </w:r>
                </w:p>
              </w:tc>
              <w:tc>
                <w:tcPr>
                  <w:tcW w:w="426" w:type="pct"/>
                  <w:vAlign w:val="center"/>
                </w:tcPr>
                <w:p w14:paraId="30B456A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w:t>
                  </w:r>
                </w:p>
              </w:tc>
              <w:tc>
                <w:tcPr>
                  <w:tcW w:w="426" w:type="pct"/>
                  <w:vAlign w:val="center"/>
                </w:tcPr>
                <w:p w14:paraId="116C028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67</w:t>
                  </w:r>
                </w:p>
              </w:tc>
              <w:tc>
                <w:tcPr>
                  <w:tcW w:w="426" w:type="pct"/>
                  <w:vAlign w:val="center"/>
                </w:tcPr>
                <w:p w14:paraId="77A9DD0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0.02</w:t>
                  </w:r>
                </w:p>
              </w:tc>
              <w:tc>
                <w:tcPr>
                  <w:tcW w:w="510" w:type="pct"/>
                  <w:vAlign w:val="center"/>
                </w:tcPr>
                <w:p w14:paraId="4A91CD5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74" w:type="pct"/>
                  <w:vAlign w:val="center"/>
                </w:tcPr>
                <w:p w14:paraId="567F03B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307C6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74788DD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8701改性环氧树脂防腐蚀涂料</w:t>
                  </w:r>
                </w:p>
              </w:tc>
              <w:tc>
                <w:tcPr>
                  <w:tcW w:w="510" w:type="pct"/>
                  <w:vAlign w:val="center"/>
                </w:tcPr>
                <w:p w14:paraId="4FE629C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4BDC90E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0.71</w:t>
                  </w:r>
                </w:p>
              </w:tc>
              <w:tc>
                <w:tcPr>
                  <w:tcW w:w="425" w:type="pct"/>
                  <w:vAlign w:val="center"/>
                </w:tcPr>
                <w:p w14:paraId="67AED15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65</w:t>
                  </w:r>
                </w:p>
              </w:tc>
              <w:tc>
                <w:tcPr>
                  <w:tcW w:w="426" w:type="pct"/>
                  <w:vAlign w:val="center"/>
                </w:tcPr>
                <w:p w14:paraId="38A0F88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0.46</w:t>
                  </w:r>
                </w:p>
              </w:tc>
              <w:tc>
                <w:tcPr>
                  <w:tcW w:w="426" w:type="pct"/>
                  <w:vAlign w:val="center"/>
                </w:tcPr>
                <w:p w14:paraId="126A2BC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35</w:t>
                  </w:r>
                </w:p>
              </w:tc>
              <w:tc>
                <w:tcPr>
                  <w:tcW w:w="426" w:type="pct"/>
                  <w:vAlign w:val="center"/>
                </w:tcPr>
                <w:p w14:paraId="0E1F477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0.25</w:t>
                  </w:r>
                </w:p>
              </w:tc>
              <w:tc>
                <w:tcPr>
                  <w:tcW w:w="510" w:type="pct"/>
                  <w:vAlign w:val="center"/>
                </w:tcPr>
                <w:p w14:paraId="6106757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474" w:type="pct"/>
                  <w:vAlign w:val="center"/>
                </w:tcPr>
                <w:p w14:paraId="4FD4C45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0.18</w:t>
                  </w:r>
                </w:p>
              </w:tc>
            </w:tr>
            <w:tr w14:paraId="6B0F1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309BC63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6310B85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137E06C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0.07</w:t>
                  </w:r>
                </w:p>
              </w:tc>
              <w:tc>
                <w:tcPr>
                  <w:tcW w:w="425" w:type="pct"/>
                  <w:vAlign w:val="center"/>
                </w:tcPr>
                <w:p w14:paraId="64D6DA3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61</w:t>
                  </w:r>
                </w:p>
              </w:tc>
              <w:tc>
                <w:tcPr>
                  <w:tcW w:w="426" w:type="pct"/>
                  <w:vAlign w:val="center"/>
                </w:tcPr>
                <w:p w14:paraId="217DFBE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0.04</w:t>
                  </w:r>
                </w:p>
              </w:tc>
              <w:tc>
                <w:tcPr>
                  <w:tcW w:w="426" w:type="pct"/>
                  <w:vAlign w:val="center"/>
                </w:tcPr>
                <w:p w14:paraId="7935557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39</w:t>
                  </w:r>
                </w:p>
              </w:tc>
              <w:tc>
                <w:tcPr>
                  <w:tcW w:w="426" w:type="pct"/>
                  <w:vAlign w:val="center"/>
                </w:tcPr>
                <w:p w14:paraId="0E1C5E7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510" w:type="pct"/>
                  <w:vAlign w:val="center"/>
                </w:tcPr>
                <w:p w14:paraId="7160E9E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26</w:t>
                  </w:r>
                </w:p>
              </w:tc>
              <w:tc>
                <w:tcPr>
                  <w:tcW w:w="474" w:type="pct"/>
                  <w:vAlign w:val="center"/>
                </w:tcPr>
                <w:p w14:paraId="2DFA014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0.02</w:t>
                  </w:r>
                </w:p>
              </w:tc>
            </w:tr>
            <w:tr w14:paraId="3F45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3E3C8D5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EP-98无溶剂环氧防腐蚀涂料</w:t>
                  </w:r>
                </w:p>
              </w:tc>
              <w:tc>
                <w:tcPr>
                  <w:tcW w:w="510" w:type="pct"/>
                  <w:vAlign w:val="center"/>
                </w:tcPr>
                <w:p w14:paraId="3406612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73C8D66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1.02</w:t>
                  </w:r>
                </w:p>
              </w:tc>
              <w:tc>
                <w:tcPr>
                  <w:tcW w:w="425" w:type="pct"/>
                  <w:vAlign w:val="center"/>
                </w:tcPr>
                <w:p w14:paraId="7AD5F5B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87</w:t>
                  </w:r>
                </w:p>
              </w:tc>
              <w:tc>
                <w:tcPr>
                  <w:tcW w:w="426" w:type="pct"/>
                  <w:vAlign w:val="center"/>
                </w:tcPr>
                <w:p w14:paraId="7D409EF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0.89</w:t>
                  </w:r>
                </w:p>
              </w:tc>
              <w:tc>
                <w:tcPr>
                  <w:tcW w:w="426" w:type="pct"/>
                  <w:vAlign w:val="center"/>
                </w:tcPr>
                <w:p w14:paraId="33200F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13</w:t>
                  </w:r>
                </w:p>
              </w:tc>
              <w:tc>
                <w:tcPr>
                  <w:tcW w:w="426" w:type="pct"/>
                  <w:vAlign w:val="center"/>
                </w:tcPr>
                <w:p w14:paraId="6FF4EA4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0.13</w:t>
                  </w:r>
                </w:p>
              </w:tc>
              <w:tc>
                <w:tcPr>
                  <w:tcW w:w="510" w:type="pct"/>
                  <w:vAlign w:val="center"/>
                </w:tcPr>
                <w:p w14:paraId="21CC873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w:t>
                  </w:r>
                </w:p>
              </w:tc>
              <w:tc>
                <w:tcPr>
                  <w:tcW w:w="474" w:type="pct"/>
                  <w:vAlign w:val="center"/>
                </w:tcPr>
                <w:p w14:paraId="3E6B8E7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r>
            <w:tr w14:paraId="69D8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5A83EE3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1257A8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47DD7B8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w:t>
                  </w:r>
                </w:p>
              </w:tc>
              <w:tc>
                <w:tcPr>
                  <w:tcW w:w="425" w:type="pct"/>
                  <w:vAlign w:val="center"/>
                </w:tcPr>
                <w:p w14:paraId="16D8EEA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100</w:t>
                  </w:r>
                </w:p>
              </w:tc>
              <w:tc>
                <w:tcPr>
                  <w:tcW w:w="426" w:type="pct"/>
                  <w:vAlign w:val="center"/>
                </w:tcPr>
                <w:p w14:paraId="1B48DCE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w:t>
                  </w:r>
                </w:p>
              </w:tc>
              <w:tc>
                <w:tcPr>
                  <w:tcW w:w="426" w:type="pct"/>
                  <w:vAlign w:val="center"/>
                </w:tcPr>
                <w:p w14:paraId="555062E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26" w:type="pct"/>
                  <w:vAlign w:val="center"/>
                </w:tcPr>
                <w:p w14:paraId="07EE82C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510" w:type="pct"/>
                  <w:vAlign w:val="center"/>
                </w:tcPr>
                <w:p w14:paraId="641C87E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74" w:type="pct"/>
                  <w:vAlign w:val="center"/>
                </w:tcPr>
                <w:p w14:paraId="359680C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36C8C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2D21B00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EP-2000非碳系环氧导静电防腐蚀涂料</w:t>
                  </w:r>
                </w:p>
              </w:tc>
              <w:tc>
                <w:tcPr>
                  <w:tcW w:w="510" w:type="pct"/>
                  <w:vAlign w:val="center"/>
                </w:tcPr>
                <w:p w14:paraId="006B341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2BBB3D7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0.79</w:t>
                  </w:r>
                </w:p>
              </w:tc>
              <w:tc>
                <w:tcPr>
                  <w:tcW w:w="425" w:type="pct"/>
                  <w:vAlign w:val="center"/>
                </w:tcPr>
                <w:p w14:paraId="4932AF0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70</w:t>
                  </w:r>
                </w:p>
              </w:tc>
              <w:tc>
                <w:tcPr>
                  <w:tcW w:w="426" w:type="pct"/>
                  <w:vAlign w:val="center"/>
                </w:tcPr>
                <w:p w14:paraId="3871F4A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0.55</w:t>
                  </w:r>
                </w:p>
              </w:tc>
              <w:tc>
                <w:tcPr>
                  <w:tcW w:w="426" w:type="pct"/>
                  <w:vAlign w:val="center"/>
                </w:tcPr>
                <w:p w14:paraId="06C4718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30</w:t>
                  </w:r>
                </w:p>
              </w:tc>
              <w:tc>
                <w:tcPr>
                  <w:tcW w:w="426" w:type="pct"/>
                  <w:vAlign w:val="center"/>
                </w:tcPr>
                <w:p w14:paraId="394347D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0.24</w:t>
                  </w:r>
                </w:p>
              </w:tc>
              <w:tc>
                <w:tcPr>
                  <w:tcW w:w="510" w:type="pct"/>
                  <w:vAlign w:val="center"/>
                </w:tcPr>
                <w:p w14:paraId="6527E51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22</w:t>
                  </w:r>
                </w:p>
              </w:tc>
              <w:tc>
                <w:tcPr>
                  <w:tcW w:w="474" w:type="pct"/>
                  <w:vAlign w:val="center"/>
                </w:tcPr>
                <w:p w14:paraId="468D537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0.17</w:t>
                  </w:r>
                </w:p>
              </w:tc>
            </w:tr>
            <w:tr w14:paraId="51F8D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4F85C26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5980C17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3B8BB5D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0.08</w:t>
                  </w:r>
                </w:p>
              </w:tc>
              <w:tc>
                <w:tcPr>
                  <w:tcW w:w="425" w:type="pct"/>
                  <w:vAlign w:val="center"/>
                </w:tcPr>
                <w:p w14:paraId="79CC0CB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61</w:t>
                  </w:r>
                </w:p>
              </w:tc>
              <w:tc>
                <w:tcPr>
                  <w:tcW w:w="426" w:type="pct"/>
                  <w:vAlign w:val="center"/>
                </w:tcPr>
                <w:p w14:paraId="24109BE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0.05</w:t>
                  </w:r>
                </w:p>
              </w:tc>
              <w:tc>
                <w:tcPr>
                  <w:tcW w:w="426" w:type="pct"/>
                  <w:vAlign w:val="center"/>
                </w:tcPr>
                <w:p w14:paraId="2C38C0A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39</w:t>
                  </w:r>
                </w:p>
              </w:tc>
              <w:tc>
                <w:tcPr>
                  <w:tcW w:w="426" w:type="pct"/>
                  <w:vAlign w:val="center"/>
                </w:tcPr>
                <w:p w14:paraId="1843D68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510" w:type="pct"/>
                  <w:vAlign w:val="center"/>
                </w:tcPr>
                <w:p w14:paraId="7D89EFA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26</w:t>
                  </w:r>
                </w:p>
              </w:tc>
              <w:tc>
                <w:tcPr>
                  <w:tcW w:w="474" w:type="pct"/>
                  <w:vAlign w:val="center"/>
                </w:tcPr>
                <w:p w14:paraId="2FBBC81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0.02</w:t>
                  </w:r>
                </w:p>
              </w:tc>
            </w:tr>
            <w:tr w14:paraId="48D06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5162F79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EP-90环氧富锌底漆</w:t>
                  </w:r>
                </w:p>
              </w:tc>
              <w:tc>
                <w:tcPr>
                  <w:tcW w:w="510" w:type="pct"/>
                  <w:vAlign w:val="center"/>
                </w:tcPr>
                <w:p w14:paraId="5CC248A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246B24B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0.72</w:t>
                  </w:r>
                </w:p>
              </w:tc>
              <w:tc>
                <w:tcPr>
                  <w:tcW w:w="425" w:type="pct"/>
                  <w:vAlign w:val="center"/>
                </w:tcPr>
                <w:p w14:paraId="3D6C2A5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80</w:t>
                  </w:r>
                </w:p>
              </w:tc>
              <w:tc>
                <w:tcPr>
                  <w:tcW w:w="426" w:type="pct"/>
                  <w:vAlign w:val="center"/>
                </w:tcPr>
                <w:p w14:paraId="79A220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0.58</w:t>
                  </w:r>
                </w:p>
              </w:tc>
              <w:tc>
                <w:tcPr>
                  <w:tcW w:w="426" w:type="pct"/>
                  <w:vAlign w:val="center"/>
                </w:tcPr>
                <w:p w14:paraId="5BBB473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20</w:t>
                  </w:r>
                </w:p>
              </w:tc>
              <w:tc>
                <w:tcPr>
                  <w:tcW w:w="426" w:type="pct"/>
                  <w:vAlign w:val="center"/>
                </w:tcPr>
                <w:p w14:paraId="3AA88D8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0.14</w:t>
                  </w:r>
                </w:p>
              </w:tc>
              <w:tc>
                <w:tcPr>
                  <w:tcW w:w="510" w:type="pct"/>
                  <w:vAlign w:val="center"/>
                </w:tcPr>
                <w:p w14:paraId="6F497D5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16</w:t>
                  </w:r>
                </w:p>
              </w:tc>
              <w:tc>
                <w:tcPr>
                  <w:tcW w:w="474" w:type="pct"/>
                  <w:vAlign w:val="center"/>
                </w:tcPr>
                <w:p w14:paraId="715AF0A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0.12</w:t>
                  </w:r>
                </w:p>
              </w:tc>
            </w:tr>
            <w:tr w14:paraId="14ACD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7E264CA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1E57D00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29D568D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0.07</w:t>
                  </w:r>
                </w:p>
              </w:tc>
              <w:tc>
                <w:tcPr>
                  <w:tcW w:w="425" w:type="pct"/>
                  <w:vAlign w:val="center"/>
                </w:tcPr>
                <w:p w14:paraId="7B243CC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56</w:t>
                  </w:r>
                </w:p>
              </w:tc>
              <w:tc>
                <w:tcPr>
                  <w:tcW w:w="426" w:type="pct"/>
                  <w:vAlign w:val="center"/>
                </w:tcPr>
                <w:p w14:paraId="383C600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0.04</w:t>
                  </w:r>
                </w:p>
              </w:tc>
              <w:tc>
                <w:tcPr>
                  <w:tcW w:w="426" w:type="pct"/>
                  <w:vAlign w:val="center"/>
                </w:tcPr>
                <w:p w14:paraId="7F3BEBB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44</w:t>
                  </w:r>
                </w:p>
              </w:tc>
              <w:tc>
                <w:tcPr>
                  <w:tcW w:w="426" w:type="pct"/>
                  <w:vAlign w:val="center"/>
                </w:tcPr>
                <w:p w14:paraId="38CFA8A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510" w:type="pct"/>
                  <w:vAlign w:val="center"/>
                </w:tcPr>
                <w:p w14:paraId="1185ACD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33</w:t>
                  </w:r>
                </w:p>
              </w:tc>
              <w:tc>
                <w:tcPr>
                  <w:tcW w:w="474" w:type="pct"/>
                  <w:vAlign w:val="center"/>
                </w:tcPr>
                <w:p w14:paraId="50457BD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0.02</w:t>
                  </w:r>
                </w:p>
              </w:tc>
            </w:tr>
            <w:tr w14:paraId="45467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454CF4B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EP-86环氧云铁防腐蚀涂料</w:t>
                  </w:r>
                </w:p>
              </w:tc>
              <w:tc>
                <w:tcPr>
                  <w:tcW w:w="510" w:type="pct"/>
                  <w:vAlign w:val="center"/>
                </w:tcPr>
                <w:p w14:paraId="3455C51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5977A3D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1.48</w:t>
                  </w:r>
                </w:p>
              </w:tc>
              <w:tc>
                <w:tcPr>
                  <w:tcW w:w="425" w:type="pct"/>
                  <w:vAlign w:val="center"/>
                </w:tcPr>
                <w:p w14:paraId="5DD4E1F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65</w:t>
                  </w:r>
                </w:p>
              </w:tc>
              <w:tc>
                <w:tcPr>
                  <w:tcW w:w="426" w:type="pct"/>
                  <w:vAlign w:val="center"/>
                </w:tcPr>
                <w:p w14:paraId="4AEEAF4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0.96</w:t>
                  </w:r>
                </w:p>
              </w:tc>
              <w:tc>
                <w:tcPr>
                  <w:tcW w:w="426" w:type="pct"/>
                  <w:vAlign w:val="center"/>
                </w:tcPr>
                <w:p w14:paraId="41C7271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35</w:t>
                  </w:r>
                </w:p>
              </w:tc>
              <w:tc>
                <w:tcPr>
                  <w:tcW w:w="426" w:type="pct"/>
                  <w:vAlign w:val="center"/>
                </w:tcPr>
                <w:p w14:paraId="103441B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0.52</w:t>
                  </w:r>
                </w:p>
              </w:tc>
              <w:tc>
                <w:tcPr>
                  <w:tcW w:w="510" w:type="pct"/>
                  <w:vAlign w:val="center"/>
                </w:tcPr>
                <w:p w14:paraId="3FCA4D4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474" w:type="pct"/>
                  <w:vAlign w:val="center"/>
                </w:tcPr>
                <w:p w14:paraId="4F031B9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0.37</w:t>
                  </w:r>
                </w:p>
              </w:tc>
            </w:tr>
            <w:tr w14:paraId="3E6E2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3ACFBAE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4E42766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66C52DA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0.15</w:t>
                  </w:r>
                </w:p>
              </w:tc>
              <w:tc>
                <w:tcPr>
                  <w:tcW w:w="425" w:type="pct"/>
                  <w:vAlign w:val="center"/>
                </w:tcPr>
                <w:p w14:paraId="357435A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58</w:t>
                  </w:r>
                </w:p>
              </w:tc>
              <w:tc>
                <w:tcPr>
                  <w:tcW w:w="426" w:type="pct"/>
                  <w:vAlign w:val="center"/>
                </w:tcPr>
                <w:p w14:paraId="463B426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0.09</w:t>
                  </w:r>
                </w:p>
              </w:tc>
              <w:tc>
                <w:tcPr>
                  <w:tcW w:w="426" w:type="pct"/>
                  <w:vAlign w:val="center"/>
                </w:tcPr>
                <w:p w14:paraId="6A6F311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42</w:t>
                  </w:r>
                </w:p>
              </w:tc>
              <w:tc>
                <w:tcPr>
                  <w:tcW w:w="426" w:type="pct"/>
                  <w:vAlign w:val="center"/>
                </w:tcPr>
                <w:p w14:paraId="46BC6BF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0.06</w:t>
                  </w:r>
                </w:p>
              </w:tc>
              <w:tc>
                <w:tcPr>
                  <w:tcW w:w="510" w:type="pct"/>
                  <w:vAlign w:val="center"/>
                </w:tcPr>
                <w:p w14:paraId="4585FC2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24</w:t>
                  </w:r>
                </w:p>
              </w:tc>
              <w:tc>
                <w:tcPr>
                  <w:tcW w:w="474" w:type="pct"/>
                  <w:vAlign w:val="center"/>
                </w:tcPr>
                <w:p w14:paraId="40274AD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0.04</w:t>
                  </w:r>
                </w:p>
              </w:tc>
            </w:tr>
            <w:tr w14:paraId="2C47C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23F271C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DC脂肪族丙烯酸聚氨酯防腐蚀涂料</w:t>
                  </w:r>
                </w:p>
              </w:tc>
              <w:tc>
                <w:tcPr>
                  <w:tcW w:w="510" w:type="pct"/>
                  <w:vAlign w:val="center"/>
                </w:tcPr>
                <w:p w14:paraId="2702945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2900986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0.3</w:t>
                  </w:r>
                </w:p>
              </w:tc>
              <w:tc>
                <w:tcPr>
                  <w:tcW w:w="425" w:type="pct"/>
                  <w:vAlign w:val="center"/>
                </w:tcPr>
                <w:p w14:paraId="16E485D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57</w:t>
                  </w:r>
                </w:p>
              </w:tc>
              <w:tc>
                <w:tcPr>
                  <w:tcW w:w="426" w:type="pct"/>
                  <w:vAlign w:val="center"/>
                </w:tcPr>
                <w:p w14:paraId="57F010D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0.17</w:t>
                  </w:r>
                </w:p>
              </w:tc>
              <w:tc>
                <w:tcPr>
                  <w:tcW w:w="426" w:type="pct"/>
                  <w:vAlign w:val="center"/>
                </w:tcPr>
                <w:p w14:paraId="2FC3636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43</w:t>
                  </w:r>
                </w:p>
              </w:tc>
              <w:tc>
                <w:tcPr>
                  <w:tcW w:w="426" w:type="pct"/>
                  <w:vAlign w:val="center"/>
                </w:tcPr>
                <w:p w14:paraId="75C9F31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0.13</w:t>
                  </w:r>
                </w:p>
              </w:tc>
              <w:tc>
                <w:tcPr>
                  <w:tcW w:w="510" w:type="pct"/>
                  <w:vAlign w:val="center"/>
                </w:tcPr>
                <w:p w14:paraId="5F8060F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17</w:t>
                  </w:r>
                </w:p>
              </w:tc>
              <w:tc>
                <w:tcPr>
                  <w:tcW w:w="474" w:type="pct"/>
                  <w:vAlign w:val="center"/>
                </w:tcPr>
                <w:p w14:paraId="5B1413C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0.05</w:t>
                  </w:r>
                </w:p>
              </w:tc>
            </w:tr>
            <w:tr w14:paraId="452C5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57BAE24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378713F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541676C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425" w:type="pct"/>
                  <w:vAlign w:val="center"/>
                </w:tcPr>
                <w:p w14:paraId="7CD6732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78</w:t>
                  </w:r>
                </w:p>
              </w:tc>
              <w:tc>
                <w:tcPr>
                  <w:tcW w:w="426" w:type="pct"/>
                  <w:vAlign w:val="center"/>
                </w:tcPr>
                <w:p w14:paraId="4A0D4D8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0.02</w:t>
                  </w:r>
                </w:p>
              </w:tc>
              <w:tc>
                <w:tcPr>
                  <w:tcW w:w="426" w:type="pct"/>
                  <w:vAlign w:val="center"/>
                </w:tcPr>
                <w:p w14:paraId="7B6324B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22</w:t>
                  </w:r>
                </w:p>
              </w:tc>
              <w:tc>
                <w:tcPr>
                  <w:tcW w:w="426" w:type="pct"/>
                  <w:vAlign w:val="center"/>
                </w:tcPr>
                <w:p w14:paraId="2583FB3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w:t>
                  </w:r>
                </w:p>
              </w:tc>
              <w:tc>
                <w:tcPr>
                  <w:tcW w:w="510" w:type="pct"/>
                  <w:vAlign w:val="center"/>
                </w:tcPr>
                <w:p w14:paraId="534A11B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22</w:t>
                  </w:r>
                </w:p>
              </w:tc>
              <w:tc>
                <w:tcPr>
                  <w:tcW w:w="474" w:type="pct"/>
                  <w:vAlign w:val="center"/>
                </w:tcPr>
                <w:p w14:paraId="5B96D9B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w:t>
                  </w:r>
                </w:p>
              </w:tc>
            </w:tr>
            <w:tr w14:paraId="3DBA6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504612C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SF-01氟碳防腐蚀涂料</w:t>
                  </w:r>
                </w:p>
              </w:tc>
              <w:tc>
                <w:tcPr>
                  <w:tcW w:w="510" w:type="pct"/>
                  <w:vAlign w:val="center"/>
                </w:tcPr>
                <w:p w14:paraId="2B4BD16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16AC7C1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0.27</w:t>
                  </w:r>
                </w:p>
              </w:tc>
              <w:tc>
                <w:tcPr>
                  <w:tcW w:w="425" w:type="pct"/>
                  <w:vAlign w:val="center"/>
                </w:tcPr>
                <w:p w14:paraId="7220350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65</w:t>
                  </w:r>
                </w:p>
              </w:tc>
              <w:tc>
                <w:tcPr>
                  <w:tcW w:w="426" w:type="pct"/>
                  <w:vAlign w:val="center"/>
                </w:tcPr>
                <w:p w14:paraId="589EFE6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0.18</w:t>
                  </w:r>
                </w:p>
              </w:tc>
              <w:tc>
                <w:tcPr>
                  <w:tcW w:w="426" w:type="pct"/>
                  <w:vAlign w:val="center"/>
                </w:tcPr>
                <w:p w14:paraId="6692530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35</w:t>
                  </w:r>
                </w:p>
              </w:tc>
              <w:tc>
                <w:tcPr>
                  <w:tcW w:w="426" w:type="pct"/>
                  <w:vAlign w:val="center"/>
                </w:tcPr>
                <w:p w14:paraId="168790A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0.09</w:t>
                  </w:r>
                </w:p>
              </w:tc>
              <w:tc>
                <w:tcPr>
                  <w:tcW w:w="510" w:type="pct"/>
                  <w:vAlign w:val="center"/>
                </w:tcPr>
                <w:p w14:paraId="69C4319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474" w:type="pct"/>
                  <w:vAlign w:val="center"/>
                </w:tcPr>
                <w:p w14:paraId="26AFB4D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0.07</w:t>
                  </w:r>
                </w:p>
              </w:tc>
            </w:tr>
            <w:tr w14:paraId="42723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33F0EC5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3CA7298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73F035A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425" w:type="pct"/>
                  <w:vAlign w:val="center"/>
                </w:tcPr>
                <w:p w14:paraId="6146D77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67</w:t>
                  </w:r>
                </w:p>
              </w:tc>
              <w:tc>
                <w:tcPr>
                  <w:tcW w:w="426" w:type="pct"/>
                  <w:vAlign w:val="center"/>
                </w:tcPr>
                <w:p w14:paraId="75C549B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0.02</w:t>
                  </w:r>
                </w:p>
              </w:tc>
              <w:tc>
                <w:tcPr>
                  <w:tcW w:w="426" w:type="pct"/>
                  <w:vAlign w:val="center"/>
                </w:tcPr>
                <w:p w14:paraId="2CAB09D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33</w:t>
                  </w:r>
                </w:p>
              </w:tc>
              <w:tc>
                <w:tcPr>
                  <w:tcW w:w="426" w:type="pct"/>
                  <w:vAlign w:val="center"/>
                </w:tcPr>
                <w:p w14:paraId="38A554D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w:t>
                  </w:r>
                </w:p>
              </w:tc>
              <w:tc>
                <w:tcPr>
                  <w:tcW w:w="510" w:type="pct"/>
                  <w:vAlign w:val="center"/>
                </w:tcPr>
                <w:p w14:paraId="39B4D73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33</w:t>
                  </w:r>
                </w:p>
              </w:tc>
              <w:tc>
                <w:tcPr>
                  <w:tcW w:w="474" w:type="pct"/>
                  <w:vAlign w:val="center"/>
                </w:tcPr>
                <w:p w14:paraId="69B0E5F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w:t>
                  </w:r>
                </w:p>
              </w:tc>
            </w:tr>
            <w:tr w14:paraId="324BD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restart"/>
                  <w:vAlign w:val="center"/>
                </w:tcPr>
                <w:p w14:paraId="32F419F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WE-2水性环氧防腐蚀涂料</w:t>
                  </w:r>
                </w:p>
              </w:tc>
              <w:tc>
                <w:tcPr>
                  <w:tcW w:w="510" w:type="pct"/>
                  <w:vAlign w:val="center"/>
                </w:tcPr>
                <w:p w14:paraId="5993D9A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511" w:type="pct"/>
                  <w:vAlign w:val="center"/>
                </w:tcPr>
                <w:p w14:paraId="1812218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1.45</w:t>
                  </w:r>
                </w:p>
              </w:tc>
              <w:tc>
                <w:tcPr>
                  <w:tcW w:w="425" w:type="pct"/>
                  <w:vAlign w:val="center"/>
                </w:tcPr>
                <w:p w14:paraId="0A9E136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83</w:t>
                  </w:r>
                </w:p>
              </w:tc>
              <w:tc>
                <w:tcPr>
                  <w:tcW w:w="426" w:type="pct"/>
                  <w:vAlign w:val="center"/>
                </w:tcPr>
                <w:p w14:paraId="6D5B804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c>
                <w:tcPr>
                  <w:tcW w:w="426" w:type="pct"/>
                  <w:vAlign w:val="center"/>
                </w:tcPr>
                <w:p w14:paraId="6A551B8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17</w:t>
                  </w:r>
                </w:p>
              </w:tc>
              <w:tc>
                <w:tcPr>
                  <w:tcW w:w="426" w:type="pct"/>
                  <w:vAlign w:val="center"/>
                </w:tcPr>
                <w:p w14:paraId="5E0DEE1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0.25</w:t>
                  </w:r>
                </w:p>
              </w:tc>
              <w:tc>
                <w:tcPr>
                  <w:tcW w:w="510" w:type="pct"/>
                  <w:vAlign w:val="center"/>
                </w:tcPr>
                <w:p w14:paraId="5773152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74" w:type="pct"/>
                  <w:vAlign w:val="center"/>
                </w:tcPr>
                <w:p w14:paraId="7500947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11027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2" w:type="pct"/>
                  <w:vMerge w:val="continue"/>
                  <w:vAlign w:val="center"/>
                </w:tcPr>
                <w:p w14:paraId="230DB26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5F81708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511" w:type="pct"/>
                  <w:vAlign w:val="center"/>
                </w:tcPr>
                <w:p w14:paraId="03C5FE5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0.14</w:t>
                  </w:r>
                </w:p>
              </w:tc>
              <w:tc>
                <w:tcPr>
                  <w:tcW w:w="425" w:type="pct"/>
                  <w:vAlign w:val="center"/>
                </w:tcPr>
                <w:p w14:paraId="5DBA7A7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75</w:t>
                  </w:r>
                </w:p>
              </w:tc>
              <w:tc>
                <w:tcPr>
                  <w:tcW w:w="426" w:type="pct"/>
                  <w:vAlign w:val="center"/>
                </w:tcPr>
                <w:p w14:paraId="55F9DA1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0.11</w:t>
                  </w:r>
                </w:p>
              </w:tc>
              <w:tc>
                <w:tcPr>
                  <w:tcW w:w="426" w:type="pct"/>
                  <w:vAlign w:val="center"/>
                </w:tcPr>
                <w:p w14:paraId="6D2F6AA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426" w:type="pct"/>
                  <w:vAlign w:val="center"/>
                </w:tcPr>
                <w:p w14:paraId="4F1C915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510" w:type="pct"/>
                  <w:vAlign w:val="center"/>
                </w:tcPr>
                <w:p w14:paraId="16019C3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74" w:type="pct"/>
                  <w:vAlign w:val="center"/>
                </w:tcPr>
                <w:p w14:paraId="56D3A8E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0E686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2" w:type="pct"/>
                  <w:gridSpan w:val="2"/>
                  <w:vAlign w:val="center"/>
                </w:tcPr>
                <w:p w14:paraId="2666D28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DX-1环氧涂料稀释剂</w:t>
                  </w:r>
                </w:p>
              </w:tc>
              <w:tc>
                <w:tcPr>
                  <w:tcW w:w="511" w:type="pct"/>
                  <w:vAlign w:val="center"/>
                </w:tcPr>
                <w:p w14:paraId="51A6DA8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0.52</w:t>
                  </w:r>
                </w:p>
              </w:tc>
              <w:tc>
                <w:tcPr>
                  <w:tcW w:w="425" w:type="pct"/>
                  <w:vAlign w:val="center"/>
                </w:tcPr>
                <w:p w14:paraId="091B7A2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26" w:type="pct"/>
                  <w:vAlign w:val="center"/>
                </w:tcPr>
                <w:p w14:paraId="7E2A6B6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26" w:type="pct"/>
                  <w:vAlign w:val="center"/>
                </w:tcPr>
                <w:p w14:paraId="3C675FE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100</w:t>
                  </w:r>
                </w:p>
              </w:tc>
              <w:tc>
                <w:tcPr>
                  <w:tcW w:w="426" w:type="pct"/>
                  <w:vAlign w:val="center"/>
                </w:tcPr>
                <w:p w14:paraId="64D7FDB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0.52</w:t>
                  </w:r>
                </w:p>
              </w:tc>
              <w:tc>
                <w:tcPr>
                  <w:tcW w:w="510" w:type="pct"/>
                  <w:vAlign w:val="center"/>
                </w:tcPr>
                <w:p w14:paraId="4D2CF73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58</w:t>
                  </w:r>
                </w:p>
              </w:tc>
              <w:tc>
                <w:tcPr>
                  <w:tcW w:w="474" w:type="pct"/>
                  <w:vAlign w:val="center"/>
                </w:tcPr>
                <w:p w14:paraId="51142F5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0.3</w:t>
                  </w:r>
                </w:p>
              </w:tc>
            </w:tr>
            <w:tr w14:paraId="0D527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2" w:type="pct"/>
                  <w:gridSpan w:val="2"/>
                  <w:vAlign w:val="center"/>
                </w:tcPr>
                <w:p w14:paraId="5756905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DX-2丙烯酸聚氨酯涂料稀释剂</w:t>
                  </w:r>
                </w:p>
              </w:tc>
              <w:tc>
                <w:tcPr>
                  <w:tcW w:w="511" w:type="pct"/>
                  <w:vAlign w:val="center"/>
                </w:tcPr>
                <w:p w14:paraId="2EEBCF4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425" w:type="pct"/>
                  <w:vAlign w:val="center"/>
                </w:tcPr>
                <w:p w14:paraId="277B3AF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26" w:type="pct"/>
                  <w:vAlign w:val="center"/>
                </w:tcPr>
                <w:p w14:paraId="3D93139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26" w:type="pct"/>
                  <w:vAlign w:val="center"/>
                </w:tcPr>
                <w:p w14:paraId="4E626DB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100</w:t>
                  </w:r>
                </w:p>
              </w:tc>
              <w:tc>
                <w:tcPr>
                  <w:tcW w:w="426" w:type="pct"/>
                  <w:vAlign w:val="center"/>
                </w:tcPr>
                <w:p w14:paraId="3118606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510" w:type="pct"/>
                  <w:vAlign w:val="center"/>
                </w:tcPr>
                <w:p w14:paraId="0F37DFA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100</w:t>
                  </w:r>
                </w:p>
              </w:tc>
              <w:tc>
                <w:tcPr>
                  <w:tcW w:w="474" w:type="pct"/>
                  <w:vAlign w:val="center"/>
                </w:tcPr>
                <w:p w14:paraId="6D8B1FD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r>
            <w:tr w14:paraId="5ED01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2" w:type="pct"/>
                  <w:gridSpan w:val="2"/>
                  <w:vAlign w:val="center"/>
                </w:tcPr>
                <w:p w14:paraId="2F75278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X-3无机富锌底漆稀释剂</w:t>
                  </w:r>
                </w:p>
              </w:tc>
              <w:tc>
                <w:tcPr>
                  <w:tcW w:w="511" w:type="pct"/>
                  <w:vAlign w:val="center"/>
                </w:tcPr>
                <w:p w14:paraId="3C791B9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425" w:type="pct"/>
                  <w:vAlign w:val="center"/>
                </w:tcPr>
                <w:p w14:paraId="0D242B4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26" w:type="pct"/>
                  <w:vAlign w:val="center"/>
                </w:tcPr>
                <w:p w14:paraId="3F9CF7D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26" w:type="pct"/>
                  <w:vAlign w:val="center"/>
                </w:tcPr>
                <w:p w14:paraId="03DCE40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100</w:t>
                  </w:r>
                </w:p>
              </w:tc>
              <w:tc>
                <w:tcPr>
                  <w:tcW w:w="426" w:type="pct"/>
                  <w:vAlign w:val="center"/>
                </w:tcPr>
                <w:p w14:paraId="4C2489C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510" w:type="pct"/>
                  <w:vAlign w:val="center"/>
                </w:tcPr>
                <w:p w14:paraId="30C5873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c>
                <w:tcPr>
                  <w:tcW w:w="474" w:type="pct"/>
                  <w:vAlign w:val="center"/>
                </w:tcPr>
                <w:p w14:paraId="24E0CAC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0A1F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2" w:type="pct"/>
                  <w:gridSpan w:val="2"/>
                  <w:vAlign w:val="center"/>
                </w:tcPr>
                <w:p w14:paraId="70CBE8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合计</w:t>
                  </w:r>
                </w:p>
              </w:tc>
              <w:tc>
                <w:tcPr>
                  <w:tcW w:w="511" w:type="pct"/>
                  <w:vAlign w:val="center"/>
                </w:tcPr>
                <w:p w14:paraId="5998DB7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8.3</w:t>
                  </w:r>
                </w:p>
              </w:tc>
              <w:tc>
                <w:tcPr>
                  <w:tcW w:w="425" w:type="pct"/>
                  <w:vAlign w:val="center"/>
                </w:tcPr>
                <w:p w14:paraId="5827B7A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26" w:type="pct"/>
                  <w:vAlign w:val="center"/>
                </w:tcPr>
                <w:p w14:paraId="06BD32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5.7</w:t>
                  </w:r>
                </w:p>
              </w:tc>
              <w:tc>
                <w:tcPr>
                  <w:tcW w:w="426" w:type="pct"/>
                  <w:vAlign w:val="center"/>
                </w:tcPr>
                <w:p w14:paraId="233C832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26" w:type="pct"/>
                  <w:vAlign w:val="center"/>
                </w:tcPr>
                <w:p w14:paraId="6380763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2.6</w:t>
                  </w:r>
                </w:p>
              </w:tc>
              <w:tc>
                <w:tcPr>
                  <w:tcW w:w="510" w:type="pct"/>
                  <w:vAlign w:val="center"/>
                </w:tcPr>
                <w:p w14:paraId="5242F56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74" w:type="pct"/>
                  <w:vAlign w:val="center"/>
                </w:tcPr>
                <w:p w14:paraId="6DCDC58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1.44</w:t>
                  </w:r>
                </w:p>
              </w:tc>
            </w:tr>
          </w:tbl>
          <w:p w14:paraId="678B02E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①漆雾</w:t>
            </w:r>
          </w:p>
          <w:p w14:paraId="5AFB7C4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高压无气喷涂机上漆率为70%，即固体分中70%附着于工件表面，形成涂层，20%附着于工作台形成漆渣，10%形成漆雾，喷涂工序固体分去向详见表4-5。</w:t>
            </w:r>
          </w:p>
          <w:p w14:paraId="7CDCD077">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表4-5  固体分去向一览表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4"/>
              <w:gridCol w:w="1815"/>
              <w:gridCol w:w="1518"/>
              <w:gridCol w:w="1815"/>
              <w:gridCol w:w="1813"/>
            </w:tblGrid>
            <w:tr w14:paraId="3A658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pct"/>
                  <w:vAlign w:val="center"/>
                </w:tcPr>
                <w:p w14:paraId="3E36696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油漆使用量</w:t>
                  </w:r>
                </w:p>
                <w:p w14:paraId="48767E2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（t/a）</w:t>
                  </w:r>
                </w:p>
              </w:tc>
              <w:tc>
                <w:tcPr>
                  <w:tcW w:w="1034" w:type="pct"/>
                  <w:vAlign w:val="center"/>
                </w:tcPr>
                <w:p w14:paraId="04D2103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固体分含量</w:t>
                  </w:r>
                </w:p>
                <w:p w14:paraId="09C5898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（t/a）</w:t>
                  </w:r>
                </w:p>
              </w:tc>
              <w:tc>
                <w:tcPr>
                  <w:tcW w:w="865" w:type="pct"/>
                  <w:vAlign w:val="center"/>
                </w:tcPr>
                <w:p w14:paraId="7A395DD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工件附着</w:t>
                  </w:r>
                </w:p>
                <w:p w14:paraId="05D33AD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（t/a）</w:t>
                  </w:r>
                </w:p>
              </w:tc>
              <w:tc>
                <w:tcPr>
                  <w:tcW w:w="1034" w:type="pct"/>
                  <w:vAlign w:val="center"/>
                </w:tcPr>
                <w:p w14:paraId="1383E85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漆渣产生量</w:t>
                  </w:r>
                </w:p>
                <w:p w14:paraId="46756D4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（t/a）</w:t>
                  </w:r>
                </w:p>
              </w:tc>
              <w:tc>
                <w:tcPr>
                  <w:tcW w:w="1034" w:type="pct"/>
                  <w:vAlign w:val="center"/>
                </w:tcPr>
                <w:p w14:paraId="21EF346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漆雾产生量</w:t>
                  </w:r>
                </w:p>
                <w:p w14:paraId="70BA694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（t/a）</w:t>
                  </w:r>
                </w:p>
              </w:tc>
            </w:tr>
            <w:tr w14:paraId="649F9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34" w:type="pct"/>
                  <w:vAlign w:val="center"/>
                </w:tcPr>
                <w:p w14:paraId="63FB223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7.72</w:t>
                  </w:r>
                </w:p>
              </w:tc>
              <w:tc>
                <w:tcPr>
                  <w:tcW w:w="1034" w:type="pct"/>
                  <w:vAlign w:val="center"/>
                </w:tcPr>
                <w:p w14:paraId="345B802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5.7</w:t>
                  </w:r>
                </w:p>
              </w:tc>
              <w:tc>
                <w:tcPr>
                  <w:tcW w:w="865" w:type="pct"/>
                  <w:vAlign w:val="center"/>
                </w:tcPr>
                <w:p w14:paraId="3551180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3.99</w:t>
                  </w:r>
                </w:p>
              </w:tc>
              <w:tc>
                <w:tcPr>
                  <w:tcW w:w="1034" w:type="pct"/>
                  <w:vAlign w:val="center"/>
                </w:tcPr>
                <w:p w14:paraId="0313FB5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1.14</w:t>
                  </w:r>
                </w:p>
              </w:tc>
              <w:tc>
                <w:tcPr>
                  <w:tcW w:w="1034" w:type="pct"/>
                  <w:vAlign w:val="center"/>
                </w:tcPr>
                <w:p w14:paraId="309F26C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0.57</w:t>
                  </w:r>
                </w:p>
              </w:tc>
            </w:tr>
          </w:tbl>
          <w:p w14:paraId="5902C62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bookmarkStart w:id="21" w:name="OLE_LINK30"/>
            <w:r>
              <w:rPr>
                <w:rFonts w:hint="eastAsia" w:cs="宋体"/>
                <w:bCs/>
                <w:color w:val="0D0D0D" w:themeColor="text1" w:themeTint="F2"/>
                <w:spacing w:val="-10"/>
                <w:sz w:val="24"/>
                <w14:textFill>
                  <w14:solidFill>
                    <w14:schemeClr w14:val="tx1">
                      <w14:lumMod w14:val="95000"/>
                      <w14:lumOff w14:val="5000"/>
                    </w14:schemeClr>
                  </w14:solidFill>
                </w14:textFill>
              </w:rPr>
              <w:t>由上表可知，漆雾产生量为0.57t/a，产生速率为0.158kg/h。喷漆工序均在密闭式喷漆房中进行</w:t>
            </w:r>
            <w:bookmarkEnd w:id="21"/>
            <w:r>
              <w:rPr>
                <w:rFonts w:hint="eastAsia" w:cs="宋体"/>
                <w:bCs/>
                <w:color w:val="0D0D0D" w:themeColor="text1" w:themeTint="F2"/>
                <w:spacing w:val="-10"/>
                <w:sz w:val="24"/>
                <w14:textFill>
                  <w14:solidFill>
                    <w14:schemeClr w14:val="tx1">
                      <w14:lumMod w14:val="95000"/>
                      <w14:lumOff w14:val="5000"/>
                    </w14:schemeClr>
                  </w14:solidFill>
                </w14:textFill>
              </w:rPr>
              <w:t>，喷漆房采用全域负压收集，废气经管道统一收集至“水帘柜+过滤棉+1＃二级活性炭吸附装置”处理后，通过20m排气筒（DA003）排放。</w:t>
            </w:r>
          </w:p>
          <w:p w14:paraId="5A788BE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风量核算：</w:t>
            </w:r>
          </w:p>
          <w:p w14:paraId="5D9CE10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根据《环境工程技术手册：废气处理工程技术手册》（王纯、张殿印主编，化学工业出版社，2013年1月第1版），密闭车间换气量计算如下：</w:t>
            </w:r>
          </w:p>
          <w:p w14:paraId="6672CDBF">
            <w:pPr>
              <w:adjustRightInd w:val="0"/>
              <w:snapToGrid w:val="0"/>
              <w:spacing w:after="0"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L=nV</w:t>
            </w:r>
          </w:p>
          <w:p w14:paraId="5D4BF54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其中：</w:t>
            </w:r>
          </w:p>
          <w:p w14:paraId="460E4771">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L——全面通风量，m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w:t>
            </w:r>
          </w:p>
          <w:p w14:paraId="2CD783E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n——换气次数，参照《广东省表面涂装（汽车制造业）挥发性有机废气治理技术指南》（粤环〔2015〕4号），按60次/h计；</w:t>
            </w:r>
          </w:p>
          <w:p w14:paraId="62ED1F0B">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V——密闭空间体积，单座喷漆房设计规格为10m×3.5m×3.5m，体积为122.5m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3DCCE42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经计算，单座喷漆房通风量为7350m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/h，2座喷漆房所需风量为14700m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/h，根据《吸附法工业有机废气治理工程技术规范》（HJ2026-2013），设计风量宜按照最大废气排放量的120%进行设计，因此，喷漆房设计总风量取整为20000m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/h，可满足换气要求。</w:t>
            </w:r>
          </w:p>
          <w:p w14:paraId="1708B65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主要污染物总量减排核算技术指南（2022年修订）》（环办综合函〔2022〕350号），废气收集方式为密闭负压时，废气收集率为90%。项目喷漆废气经密闭负压收集至废气治理系统处理，本次评价废气收集率按90%计。参照《污染源源强核算技术指南  汽车制造》（HJ1097-2020）附录F，水帘柜漆雾去除率按85%计，过滤棉漆雾去除率按80计%，水帘柜+过滤棉组合工艺对漆雾的理论综合去除率为</w:t>
            </w:r>
            <w:r>
              <w:rPr>
                <w:rFonts w:cs="宋体"/>
                <w:bCs/>
                <w:color w:val="0D0D0D" w:themeColor="text1" w:themeTint="F2"/>
                <w:spacing w:val="-10"/>
                <w:sz w:val="24"/>
                <w:u w:val="single"/>
                <w14:textFill>
                  <w14:solidFill>
                    <w14:schemeClr w14:val="tx1">
                      <w14:lumMod w14:val="95000"/>
                      <w14:lumOff w14:val="5000"/>
                    </w14:schemeClr>
                  </w14:solidFill>
                </w14:textFill>
              </w:rPr>
              <w:t>1-</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1-8</w:t>
            </w:r>
            <w:r>
              <w:rPr>
                <w:rFonts w:hint="eastAsia" w:cs="宋体"/>
                <w:bCs/>
                <w:color w:val="0D0D0D" w:themeColor="text1" w:themeTint="F2"/>
                <w:spacing w:val="-10"/>
                <w:sz w:val="24"/>
                <w:u w:val="single"/>
                <w14:textFill>
                  <w14:solidFill>
                    <w14:schemeClr w14:val="tx1">
                      <w14:lumMod w14:val="95000"/>
                      <w14:lumOff w14:val="5000"/>
                    </w14:schemeClr>
                  </w14:solidFill>
                </w14:textFill>
              </w:rPr>
              <w:t>5</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1-</w:t>
            </w:r>
            <w:r>
              <w:rPr>
                <w:rFonts w:hint="eastAsia" w:cs="宋体"/>
                <w:bCs/>
                <w:color w:val="0D0D0D" w:themeColor="text1" w:themeTint="F2"/>
                <w:spacing w:val="-10"/>
                <w:sz w:val="24"/>
                <w:u w:val="single"/>
                <w14:textFill>
                  <w14:solidFill>
                    <w14:schemeClr w14:val="tx1">
                      <w14:lumMod w14:val="95000"/>
                      <w14:lumOff w14:val="5000"/>
                    </w14:schemeClr>
                  </w14:solidFill>
                </w14:textFill>
              </w:rPr>
              <w:t>8</w:t>
            </w:r>
            <w:r>
              <w:rPr>
                <w:rFonts w:cs="宋体"/>
                <w:bCs/>
                <w:color w:val="0D0D0D" w:themeColor="text1" w:themeTint="F2"/>
                <w:spacing w:val="-10"/>
                <w:sz w:val="24"/>
                <w:u w:val="single"/>
                <w14:textFill>
                  <w14:solidFill>
                    <w14:schemeClr w14:val="tx1">
                      <w14:lumMod w14:val="95000"/>
                      <w14:lumOff w14:val="5000"/>
                    </w14:schemeClr>
                  </w14:solidFill>
                </w14:textFill>
              </w:rPr>
              <w:t>0%</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=9</w:t>
            </w:r>
            <w:r>
              <w:rPr>
                <w:rFonts w:hint="eastAsia" w:cs="宋体"/>
                <w:bCs/>
                <w:color w:val="0D0D0D" w:themeColor="text1" w:themeTint="F2"/>
                <w:spacing w:val="-10"/>
                <w:sz w:val="24"/>
                <w:u w:val="single"/>
                <w14:textFill>
                  <w14:solidFill>
                    <w14:schemeClr w14:val="tx1">
                      <w14:lumMod w14:val="95000"/>
                      <w14:lumOff w14:val="5000"/>
                    </w14:schemeClr>
                  </w14:solidFill>
                </w14:textFill>
              </w:rPr>
              <w:t>7</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，考虑设备运行效率、维护等因素，本次评价保守取值95%</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4381963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综上，漆雾有组织产生量为0.51t/a，产生速率为0.142kg/h，产生浓度为7.1mg/m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，有组织排放量为0.03t/a，排放速率为0.008kg/h，排放浓度为0.48mg/m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。漆雾无组织排放量为0.06t/a，排放速率为0.017kg/h。</w:t>
            </w:r>
          </w:p>
          <w:p w14:paraId="5D6DA42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②挥发性有机废气</w:t>
            </w:r>
          </w:p>
          <w:p w14:paraId="523F985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根据前文分析，非甲烷总烃产生量为2.02t/a，产生速率为0.561kg/h，二甲苯产生量为1.11t/a，产生速率为0.308kg/h。</w:t>
            </w:r>
          </w:p>
          <w:p w14:paraId="0618B5C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主要污染物总量减排核算技术指南（2022年修订）》（环办综合函〔2022〕350号），废气收集方式为密闭负压时，废气收集率为90%。项目喷漆废气经密闭负压收集至废气治理系统处理，本次评价收集率按90%计。根据《排放源统计调查产排污核算方法和系数手册》（生态环境部公告2021年第24号）中的《</w:t>
            </w:r>
            <w:r>
              <w:rPr>
                <w:rFonts w:cs="宋体"/>
                <w:bCs/>
                <w:color w:val="0D0D0D" w:themeColor="text1" w:themeTint="F2"/>
                <w:spacing w:val="-10"/>
                <w:sz w:val="24"/>
                <w:u w:val="single"/>
                <w14:textFill>
                  <w14:solidFill>
                    <w14:schemeClr w14:val="tx1">
                      <w14:lumMod w14:val="95000"/>
                      <w14:lumOff w14:val="5000"/>
                    </w14:schemeClr>
                  </w14:solidFill>
                </w14:textFill>
              </w:rPr>
              <w:t>33-37</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431-434</w:t>
            </w:r>
            <w:r>
              <w:rPr>
                <w:rFonts w:hint="eastAsia" w:cs="宋体"/>
                <w:bCs/>
                <w:color w:val="0D0D0D" w:themeColor="text1" w:themeTint="F2"/>
                <w:spacing w:val="-10"/>
                <w:sz w:val="24"/>
                <w:u w:val="single"/>
                <w14:textFill>
                  <w14:solidFill>
                    <w14:schemeClr w14:val="tx1">
                      <w14:lumMod w14:val="95000"/>
                      <w14:lumOff w14:val="5000"/>
                    </w14:schemeClr>
                  </w14:solidFill>
                </w14:textFill>
              </w:rPr>
              <w:t>机械行业系数手册》，吸附法去除率为18%，项目采用二级活性炭吸附工艺，对有机废气的理论综合去除率为</w:t>
            </w:r>
            <w:r>
              <w:rPr>
                <w:rFonts w:cs="宋体"/>
                <w:bCs/>
                <w:color w:val="0D0D0D" w:themeColor="text1" w:themeTint="F2"/>
                <w:spacing w:val="-10"/>
                <w:sz w:val="24"/>
                <w:u w:val="single"/>
                <w14:textFill>
                  <w14:solidFill>
                    <w14:schemeClr w14:val="tx1">
                      <w14:lumMod w14:val="95000"/>
                      <w14:lumOff w14:val="5000"/>
                    </w14:schemeClr>
                  </w14:solidFill>
                </w14:textFill>
              </w:rPr>
              <w:t>1-</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1-</w:t>
            </w:r>
            <w:r>
              <w:rPr>
                <w:rFonts w:hint="eastAsia" w:cs="宋体"/>
                <w:bCs/>
                <w:color w:val="0D0D0D" w:themeColor="text1" w:themeTint="F2"/>
                <w:spacing w:val="-10"/>
                <w:sz w:val="24"/>
                <w:u w:val="single"/>
                <w14:textFill>
                  <w14:solidFill>
                    <w14:schemeClr w14:val="tx1">
                      <w14:lumMod w14:val="95000"/>
                      <w14:lumOff w14:val="5000"/>
                    </w14:schemeClr>
                  </w14:solidFill>
                </w14:textFill>
              </w:rPr>
              <w:t>18</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1-</w:t>
            </w:r>
            <w:r>
              <w:rPr>
                <w:rFonts w:hint="eastAsia" w:cs="宋体"/>
                <w:bCs/>
                <w:color w:val="0D0D0D" w:themeColor="text1" w:themeTint="F2"/>
                <w:spacing w:val="-10"/>
                <w:sz w:val="24"/>
                <w:u w:val="single"/>
                <w14:textFill>
                  <w14:solidFill>
                    <w14:schemeClr w14:val="tx1">
                      <w14:lumMod w14:val="95000"/>
                      <w14:lumOff w14:val="5000"/>
                    </w14:schemeClr>
                  </w14:solidFill>
                </w14:textFill>
              </w:rPr>
              <w:t>18</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32.8</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，考虑设备运行效率、维护等因素，本次评价保守取值30%</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4DF8944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综上，非甲烷总烃有组织产生量为1.82t/a，产生速率为0.506kg/h，产生浓度为25.3mg/m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；有组织排放量为1.27t/a，排放速率为0.353kg/h，排放浓度为17.65mg/m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，吸附的非甲烷总烃为0.55t/a。非甲烷总烃无组织排放量为0.2t/a，排放速率为0.056kg/h。二甲苯有组织产生量为1t/a，产生速率为0.278kg/h，产生浓度为13.9mg/m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；有组织排放量为0.7t/a，排放速率为0.194kg/h，排放浓度为9.7mg/m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，吸附的二甲苯为0.3t/a。二甲苯无组织排放量为0.11t/a，排放速率为0.031kg/h。</w:t>
            </w:r>
          </w:p>
          <w:p w14:paraId="545D787B">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项目喷涂废气产排情况详见表4-6。</w:t>
            </w:r>
          </w:p>
          <w:p w14:paraId="20E3D6DC">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表4-6  喷涂废气产排情况一览表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829"/>
              <w:gridCol w:w="428"/>
              <w:gridCol w:w="753"/>
              <w:gridCol w:w="707"/>
              <w:gridCol w:w="1102"/>
              <w:gridCol w:w="428"/>
              <w:gridCol w:w="1231"/>
              <w:gridCol w:w="851"/>
              <w:gridCol w:w="1102"/>
              <w:gridCol w:w="916"/>
            </w:tblGrid>
            <w:tr w14:paraId="37FEB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Align w:val="center"/>
                </w:tcPr>
                <w:p w14:paraId="5FB67708">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产排污环节</w:t>
                  </w:r>
                </w:p>
              </w:tc>
              <w:tc>
                <w:tcPr>
                  <w:tcW w:w="472" w:type="pct"/>
                  <w:vAlign w:val="center"/>
                </w:tcPr>
                <w:p w14:paraId="7601683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排气筒编号</w:t>
                  </w:r>
                </w:p>
              </w:tc>
              <w:tc>
                <w:tcPr>
                  <w:tcW w:w="244" w:type="pct"/>
                  <w:vAlign w:val="center"/>
                </w:tcPr>
                <w:p w14:paraId="2F06E41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污染物</w:t>
                  </w:r>
                </w:p>
              </w:tc>
              <w:tc>
                <w:tcPr>
                  <w:tcW w:w="429" w:type="pct"/>
                  <w:vAlign w:val="center"/>
                </w:tcPr>
                <w:p w14:paraId="3667FF9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产生量</w:t>
                  </w:r>
                </w:p>
                <w:p w14:paraId="4EC4620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w:t>
                  </w:r>
                  <w:r>
                    <w:rPr>
                      <w:rFonts w:cs="宋体"/>
                      <w:bCs/>
                      <w:color w:val="0D0D0D" w:themeColor="text1" w:themeTint="F2"/>
                      <w:spacing w:val="-10"/>
                      <w:szCs w:val="21"/>
                      <w14:textFill>
                        <w14:solidFill>
                          <w14:schemeClr w14:val="tx1">
                            <w14:lumMod w14:val="95000"/>
                            <w14:lumOff w14:val="5000"/>
                          </w14:schemeClr>
                        </w14:solidFill>
                      </w14:textFill>
                    </w:rPr>
                    <w:t>/a</w:t>
                  </w: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03" w:type="pct"/>
                  <w:vAlign w:val="center"/>
                </w:tcPr>
                <w:p w14:paraId="5EF06B4C">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产生</w:t>
                  </w:r>
                </w:p>
                <w:p w14:paraId="48511F8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速率</w:t>
                  </w:r>
                </w:p>
                <w:p w14:paraId="6B33142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(kg/h)</w:t>
                  </w:r>
                </w:p>
              </w:tc>
              <w:tc>
                <w:tcPr>
                  <w:tcW w:w="628" w:type="pct"/>
                  <w:vAlign w:val="center"/>
                </w:tcPr>
                <w:p w14:paraId="2198BFB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产生</w:t>
                  </w:r>
                </w:p>
                <w:p w14:paraId="7BFE7A4E">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浓度</w:t>
                  </w:r>
                </w:p>
                <w:p w14:paraId="6CA70B7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(m</w:t>
                  </w:r>
                  <w:r>
                    <w:rPr>
                      <w:rFonts w:cs="宋体"/>
                      <w:bCs/>
                      <w:color w:val="0D0D0D" w:themeColor="text1" w:themeTint="F2"/>
                      <w:spacing w:val="-10"/>
                      <w:szCs w:val="21"/>
                      <w14:textFill>
                        <w14:solidFill>
                          <w14:schemeClr w14:val="tx1">
                            <w14:lumMod w14:val="95000"/>
                            <w14:lumOff w14:val="5000"/>
                          </w14:schemeClr>
                        </w14:solidFill>
                      </w14:textFill>
                    </w:rPr>
                    <w:t>g/m</w:t>
                  </w:r>
                  <w:r>
                    <w:rPr>
                      <w:rFonts w:cs="宋体"/>
                      <w:bCs/>
                      <w:color w:val="0D0D0D" w:themeColor="text1" w:themeTint="F2"/>
                      <w:spacing w:val="-10"/>
                      <w:szCs w:val="21"/>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Align w:val="center"/>
                </w:tcPr>
                <w:p w14:paraId="5F6F4A9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排放形式</w:t>
                  </w:r>
                </w:p>
              </w:tc>
              <w:tc>
                <w:tcPr>
                  <w:tcW w:w="701" w:type="pct"/>
                  <w:vAlign w:val="center"/>
                </w:tcPr>
                <w:p w14:paraId="4B8C6608">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治理</w:t>
                  </w:r>
                </w:p>
                <w:p w14:paraId="6433141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措施</w:t>
                  </w:r>
                </w:p>
              </w:tc>
              <w:tc>
                <w:tcPr>
                  <w:tcW w:w="485" w:type="pct"/>
                  <w:vAlign w:val="center"/>
                </w:tcPr>
                <w:p w14:paraId="16960E9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排放量</w:t>
                  </w:r>
                </w:p>
                <w:p w14:paraId="15B9BF9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w:t>
                  </w:r>
                  <w:r>
                    <w:rPr>
                      <w:rFonts w:cs="宋体"/>
                      <w:bCs/>
                      <w:color w:val="0D0D0D" w:themeColor="text1" w:themeTint="F2"/>
                      <w:spacing w:val="-10"/>
                      <w:szCs w:val="21"/>
                      <w14:textFill>
                        <w14:solidFill>
                          <w14:schemeClr w14:val="tx1">
                            <w14:lumMod w14:val="95000"/>
                            <w14:lumOff w14:val="5000"/>
                          </w14:schemeClr>
                        </w14:solidFill>
                      </w14:textFill>
                    </w:rPr>
                    <w:t>/a</w:t>
                  </w: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628" w:type="pct"/>
                  <w:vAlign w:val="center"/>
                </w:tcPr>
                <w:p w14:paraId="11F7174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排放</w:t>
                  </w:r>
                </w:p>
                <w:p w14:paraId="4F451DC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速率</w:t>
                  </w:r>
                </w:p>
                <w:p w14:paraId="2994B928">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(kg/h)</w:t>
                  </w:r>
                </w:p>
              </w:tc>
              <w:tc>
                <w:tcPr>
                  <w:tcW w:w="521" w:type="pct"/>
                  <w:vAlign w:val="center"/>
                </w:tcPr>
                <w:p w14:paraId="4990072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排放</w:t>
                  </w:r>
                </w:p>
                <w:p w14:paraId="356F31EB">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浓度</w:t>
                  </w:r>
                </w:p>
                <w:p w14:paraId="05DADA8B">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(m</w:t>
                  </w:r>
                  <w:r>
                    <w:rPr>
                      <w:rFonts w:cs="宋体"/>
                      <w:bCs/>
                      <w:color w:val="0D0D0D" w:themeColor="text1" w:themeTint="F2"/>
                      <w:spacing w:val="-10"/>
                      <w:szCs w:val="21"/>
                      <w14:textFill>
                        <w14:solidFill>
                          <w14:schemeClr w14:val="tx1">
                            <w14:lumMod w14:val="95000"/>
                            <w14:lumOff w14:val="5000"/>
                          </w14:schemeClr>
                        </w14:solidFill>
                      </w14:textFill>
                    </w:rPr>
                    <w:t>g/m</w:t>
                  </w:r>
                  <w:r>
                    <w:rPr>
                      <w:rFonts w:cs="宋体"/>
                      <w:bCs/>
                      <w:color w:val="0D0D0D" w:themeColor="text1" w:themeTint="F2"/>
                      <w:spacing w:val="-10"/>
                      <w:szCs w:val="21"/>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5AC58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restart"/>
                  <w:vAlign w:val="center"/>
                </w:tcPr>
                <w:p w14:paraId="418A9EA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喷漆</w:t>
                  </w:r>
                </w:p>
              </w:tc>
              <w:tc>
                <w:tcPr>
                  <w:tcW w:w="472" w:type="pct"/>
                  <w:vMerge w:val="restart"/>
                  <w:vAlign w:val="center"/>
                </w:tcPr>
                <w:p w14:paraId="7DF468B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w:t>
                  </w:r>
                  <w:r>
                    <w:rPr>
                      <w:rFonts w:cs="宋体"/>
                      <w:bCs/>
                      <w:color w:val="0D0D0D" w:themeColor="text1" w:themeTint="F2"/>
                      <w:spacing w:val="-10"/>
                      <w:szCs w:val="21"/>
                      <w14:textFill>
                        <w14:solidFill>
                          <w14:schemeClr w14:val="tx1">
                            <w14:lumMod w14:val="95000"/>
                            <w14:lumOff w14:val="5000"/>
                          </w14:schemeClr>
                        </w14:solidFill>
                      </w14:textFill>
                    </w:rPr>
                    <w:t>A00</w:t>
                  </w:r>
                  <w:r>
                    <w:rPr>
                      <w:rFonts w:hint="eastAsia" w:cs="宋体"/>
                      <w:bCs/>
                      <w:color w:val="0D0D0D" w:themeColor="text1" w:themeTint="F2"/>
                      <w:spacing w:val="-10"/>
                      <w:szCs w:val="21"/>
                      <w14:textFill>
                        <w14:solidFill>
                          <w14:schemeClr w14:val="tx1">
                            <w14:lumMod w14:val="95000"/>
                            <w14:lumOff w14:val="5000"/>
                          </w14:schemeClr>
                        </w14:solidFill>
                      </w14:textFill>
                    </w:rPr>
                    <w:t>3</w:t>
                  </w:r>
                </w:p>
              </w:tc>
              <w:tc>
                <w:tcPr>
                  <w:tcW w:w="244" w:type="pct"/>
                  <w:vAlign w:val="center"/>
                </w:tcPr>
                <w:p w14:paraId="246239B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非甲烷总烃</w:t>
                  </w:r>
                </w:p>
              </w:tc>
              <w:tc>
                <w:tcPr>
                  <w:tcW w:w="429" w:type="pct"/>
                  <w:vAlign w:val="center"/>
                </w:tcPr>
                <w:p w14:paraId="674C86BB">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1.82</w:t>
                  </w:r>
                </w:p>
              </w:tc>
              <w:tc>
                <w:tcPr>
                  <w:tcW w:w="403" w:type="pct"/>
                  <w:vAlign w:val="center"/>
                </w:tcPr>
                <w:p w14:paraId="7DD993B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0.506</w:t>
                  </w:r>
                </w:p>
              </w:tc>
              <w:tc>
                <w:tcPr>
                  <w:tcW w:w="628" w:type="pct"/>
                  <w:vAlign w:val="center"/>
                </w:tcPr>
                <w:p w14:paraId="1F03CC6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25.3</w:t>
                  </w:r>
                </w:p>
              </w:tc>
              <w:tc>
                <w:tcPr>
                  <w:tcW w:w="244" w:type="pct"/>
                  <w:vMerge w:val="restart"/>
                  <w:vAlign w:val="center"/>
                </w:tcPr>
                <w:p w14:paraId="6FC4B8C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有组织</w:t>
                  </w:r>
                </w:p>
              </w:tc>
              <w:tc>
                <w:tcPr>
                  <w:tcW w:w="701" w:type="pct"/>
                  <w:vMerge w:val="restart"/>
                  <w:vAlign w:val="center"/>
                </w:tcPr>
                <w:p w14:paraId="68F1505B">
                  <w:pPr>
                    <w:adjustRightInd w:val="0"/>
                    <w:spacing w:after="0"/>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水帘柜+过滤棉+1＃二级活性炭吸附装置+20m排气筒（DA003）</w:t>
                  </w:r>
                </w:p>
              </w:tc>
              <w:tc>
                <w:tcPr>
                  <w:tcW w:w="485" w:type="pct"/>
                  <w:vAlign w:val="center"/>
                </w:tcPr>
                <w:p w14:paraId="0CA4976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1.27</w:t>
                  </w:r>
                </w:p>
              </w:tc>
              <w:tc>
                <w:tcPr>
                  <w:tcW w:w="628" w:type="pct"/>
                  <w:vAlign w:val="center"/>
                </w:tcPr>
                <w:p w14:paraId="2150932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0.353</w:t>
                  </w:r>
                </w:p>
              </w:tc>
              <w:tc>
                <w:tcPr>
                  <w:tcW w:w="521" w:type="pct"/>
                  <w:vAlign w:val="center"/>
                </w:tcPr>
                <w:p w14:paraId="2B28E42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17.65</w:t>
                  </w:r>
                </w:p>
              </w:tc>
            </w:tr>
            <w:tr w14:paraId="5F755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6711A82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continue"/>
                  <w:vAlign w:val="center"/>
                </w:tcPr>
                <w:p w14:paraId="2B6BE4D6">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244" w:type="pct"/>
                  <w:vAlign w:val="center"/>
                </w:tcPr>
                <w:p w14:paraId="6536C05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二甲苯</w:t>
                  </w:r>
                </w:p>
              </w:tc>
              <w:tc>
                <w:tcPr>
                  <w:tcW w:w="429" w:type="pct"/>
                  <w:vAlign w:val="center"/>
                </w:tcPr>
                <w:p w14:paraId="007D478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403" w:type="pct"/>
                  <w:vAlign w:val="center"/>
                </w:tcPr>
                <w:p w14:paraId="612D1CC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0.278</w:t>
                  </w:r>
                </w:p>
              </w:tc>
              <w:tc>
                <w:tcPr>
                  <w:tcW w:w="628" w:type="pct"/>
                  <w:vAlign w:val="center"/>
                </w:tcPr>
                <w:p w14:paraId="1AB5838B">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13.9</w:t>
                  </w:r>
                </w:p>
              </w:tc>
              <w:tc>
                <w:tcPr>
                  <w:tcW w:w="244" w:type="pct"/>
                  <w:vMerge w:val="continue"/>
                  <w:vAlign w:val="center"/>
                </w:tcPr>
                <w:p w14:paraId="40841F7F">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701" w:type="pct"/>
                  <w:vMerge w:val="continue"/>
                  <w:vAlign w:val="center"/>
                </w:tcPr>
                <w:p w14:paraId="27B9273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85" w:type="pct"/>
                  <w:vAlign w:val="center"/>
                </w:tcPr>
                <w:p w14:paraId="0522989E">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0.7</w:t>
                  </w:r>
                </w:p>
              </w:tc>
              <w:tc>
                <w:tcPr>
                  <w:tcW w:w="628" w:type="pct"/>
                  <w:vAlign w:val="center"/>
                </w:tcPr>
                <w:p w14:paraId="1B458FE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0.194</w:t>
                  </w:r>
                </w:p>
              </w:tc>
              <w:tc>
                <w:tcPr>
                  <w:tcW w:w="521" w:type="pct"/>
                  <w:vAlign w:val="center"/>
                </w:tcPr>
                <w:p w14:paraId="56ADAA9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9.7</w:t>
                  </w:r>
                </w:p>
              </w:tc>
            </w:tr>
            <w:tr w14:paraId="2F472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32D29FA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continue"/>
                  <w:vAlign w:val="center"/>
                </w:tcPr>
                <w:p w14:paraId="5543494B">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244" w:type="pct"/>
                  <w:vAlign w:val="center"/>
                </w:tcPr>
                <w:p w14:paraId="115F9F9C">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颗粒物</w:t>
                  </w:r>
                </w:p>
              </w:tc>
              <w:tc>
                <w:tcPr>
                  <w:tcW w:w="429" w:type="pct"/>
                  <w:vAlign w:val="center"/>
                </w:tcPr>
                <w:p w14:paraId="1C7AE39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2.02</w:t>
                  </w:r>
                </w:p>
              </w:tc>
              <w:tc>
                <w:tcPr>
                  <w:tcW w:w="403" w:type="pct"/>
                  <w:vAlign w:val="center"/>
                </w:tcPr>
                <w:p w14:paraId="3179C90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0.142</w:t>
                  </w:r>
                </w:p>
              </w:tc>
              <w:tc>
                <w:tcPr>
                  <w:tcW w:w="628" w:type="pct"/>
                  <w:vAlign w:val="center"/>
                </w:tcPr>
                <w:p w14:paraId="2821319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7.1</w:t>
                  </w:r>
                </w:p>
              </w:tc>
              <w:tc>
                <w:tcPr>
                  <w:tcW w:w="244" w:type="pct"/>
                  <w:vMerge w:val="continue"/>
                  <w:vAlign w:val="center"/>
                </w:tcPr>
                <w:p w14:paraId="1C77210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701" w:type="pct"/>
                  <w:vMerge w:val="continue"/>
                  <w:vAlign w:val="center"/>
                </w:tcPr>
                <w:p w14:paraId="2139E5F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85" w:type="pct"/>
                  <w:vAlign w:val="center"/>
                </w:tcPr>
                <w:p w14:paraId="45386DA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628" w:type="pct"/>
                  <w:vAlign w:val="center"/>
                </w:tcPr>
                <w:p w14:paraId="20D38499">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0.008</w:t>
                  </w:r>
                </w:p>
              </w:tc>
              <w:tc>
                <w:tcPr>
                  <w:tcW w:w="521" w:type="pct"/>
                  <w:vAlign w:val="center"/>
                </w:tcPr>
                <w:p w14:paraId="6D92AEC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0.48</w:t>
                  </w:r>
                </w:p>
              </w:tc>
            </w:tr>
            <w:tr w14:paraId="450D7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57808939">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restart"/>
                  <w:vAlign w:val="center"/>
                </w:tcPr>
                <w:p w14:paraId="791D324F">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Align w:val="center"/>
                </w:tcPr>
                <w:p w14:paraId="70200266">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非甲烷总烃</w:t>
                  </w:r>
                </w:p>
              </w:tc>
              <w:tc>
                <w:tcPr>
                  <w:tcW w:w="429" w:type="pct"/>
                  <w:vAlign w:val="center"/>
                </w:tcPr>
                <w:p w14:paraId="1708ED1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w:t>
                  </w:r>
                </w:p>
              </w:tc>
              <w:tc>
                <w:tcPr>
                  <w:tcW w:w="403" w:type="pct"/>
                  <w:vAlign w:val="center"/>
                </w:tcPr>
                <w:p w14:paraId="4C7BF30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0.056</w:t>
                  </w:r>
                </w:p>
              </w:tc>
              <w:tc>
                <w:tcPr>
                  <w:tcW w:w="628" w:type="pct"/>
                  <w:vAlign w:val="center"/>
                </w:tcPr>
                <w:p w14:paraId="4A2645EE">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Merge w:val="restart"/>
                  <w:vAlign w:val="center"/>
                </w:tcPr>
                <w:p w14:paraId="395589C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无组织</w:t>
                  </w:r>
                </w:p>
              </w:tc>
              <w:tc>
                <w:tcPr>
                  <w:tcW w:w="701" w:type="pct"/>
                  <w:vAlign w:val="center"/>
                </w:tcPr>
                <w:p w14:paraId="2192D09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85" w:type="pct"/>
                  <w:vAlign w:val="center"/>
                </w:tcPr>
                <w:p w14:paraId="1857EC2C">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w:t>
                  </w:r>
                </w:p>
              </w:tc>
              <w:tc>
                <w:tcPr>
                  <w:tcW w:w="628" w:type="pct"/>
                  <w:vAlign w:val="center"/>
                </w:tcPr>
                <w:p w14:paraId="000C0EE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0.056</w:t>
                  </w:r>
                </w:p>
              </w:tc>
              <w:tc>
                <w:tcPr>
                  <w:tcW w:w="521" w:type="pct"/>
                  <w:vAlign w:val="center"/>
                </w:tcPr>
                <w:p w14:paraId="69A39EBC">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3DC57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3102A29E">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continue"/>
                  <w:vAlign w:val="center"/>
                </w:tcPr>
                <w:p w14:paraId="4D25520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244" w:type="pct"/>
                  <w:vAlign w:val="center"/>
                </w:tcPr>
                <w:p w14:paraId="2BC8AD16">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二甲苯</w:t>
                  </w:r>
                </w:p>
              </w:tc>
              <w:tc>
                <w:tcPr>
                  <w:tcW w:w="429" w:type="pct"/>
                  <w:vAlign w:val="center"/>
                </w:tcPr>
                <w:p w14:paraId="4CA4F6F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0.11</w:t>
                  </w:r>
                </w:p>
              </w:tc>
              <w:tc>
                <w:tcPr>
                  <w:tcW w:w="403" w:type="pct"/>
                  <w:vAlign w:val="center"/>
                </w:tcPr>
                <w:p w14:paraId="6FA330A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0.031</w:t>
                  </w:r>
                </w:p>
              </w:tc>
              <w:tc>
                <w:tcPr>
                  <w:tcW w:w="628" w:type="pct"/>
                  <w:vAlign w:val="center"/>
                </w:tcPr>
                <w:p w14:paraId="628D749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Merge w:val="continue"/>
                  <w:vAlign w:val="center"/>
                </w:tcPr>
                <w:p w14:paraId="67BEB878">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701" w:type="pct"/>
                  <w:vAlign w:val="center"/>
                </w:tcPr>
                <w:p w14:paraId="1AB7B7D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85" w:type="pct"/>
                  <w:vAlign w:val="center"/>
                </w:tcPr>
                <w:p w14:paraId="1514DB06">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0.11</w:t>
                  </w:r>
                </w:p>
              </w:tc>
              <w:tc>
                <w:tcPr>
                  <w:tcW w:w="628" w:type="pct"/>
                  <w:vAlign w:val="center"/>
                </w:tcPr>
                <w:p w14:paraId="5C232AD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0.031</w:t>
                  </w:r>
                </w:p>
              </w:tc>
              <w:tc>
                <w:tcPr>
                  <w:tcW w:w="521" w:type="pct"/>
                  <w:vAlign w:val="center"/>
                </w:tcPr>
                <w:p w14:paraId="4C2EE2F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5C4C1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5CBD5CC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continue"/>
                  <w:vAlign w:val="center"/>
                </w:tcPr>
                <w:p w14:paraId="679C7D8E">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244" w:type="pct"/>
                  <w:vAlign w:val="center"/>
                </w:tcPr>
                <w:p w14:paraId="79898CD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颗粒物</w:t>
                  </w:r>
                </w:p>
              </w:tc>
              <w:tc>
                <w:tcPr>
                  <w:tcW w:w="429" w:type="pct"/>
                  <w:vAlign w:val="center"/>
                </w:tcPr>
                <w:p w14:paraId="2CEC452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0.06</w:t>
                  </w:r>
                </w:p>
              </w:tc>
              <w:tc>
                <w:tcPr>
                  <w:tcW w:w="403" w:type="pct"/>
                  <w:vAlign w:val="center"/>
                </w:tcPr>
                <w:p w14:paraId="7F24F21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0.017</w:t>
                  </w:r>
                </w:p>
              </w:tc>
              <w:tc>
                <w:tcPr>
                  <w:tcW w:w="628" w:type="pct"/>
                  <w:vAlign w:val="center"/>
                </w:tcPr>
                <w:p w14:paraId="4768DDF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Merge w:val="continue"/>
                  <w:vAlign w:val="center"/>
                </w:tcPr>
                <w:p w14:paraId="1D17EC6D">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701" w:type="pct"/>
                  <w:vAlign w:val="center"/>
                </w:tcPr>
                <w:p w14:paraId="39D5E51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85" w:type="pct"/>
                  <w:vAlign w:val="center"/>
                </w:tcPr>
                <w:p w14:paraId="5DC1A45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0.06</w:t>
                  </w:r>
                </w:p>
              </w:tc>
              <w:tc>
                <w:tcPr>
                  <w:tcW w:w="628" w:type="pct"/>
                  <w:vAlign w:val="center"/>
                </w:tcPr>
                <w:p w14:paraId="68CAEF1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0.017</w:t>
                  </w:r>
                </w:p>
              </w:tc>
              <w:tc>
                <w:tcPr>
                  <w:tcW w:w="521" w:type="pct"/>
                  <w:vAlign w:val="center"/>
                </w:tcPr>
                <w:p w14:paraId="4C43B38D">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44019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6D78F4A4">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restart"/>
                  <w:vAlign w:val="center"/>
                </w:tcPr>
                <w:p w14:paraId="544E390E">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合计</w:t>
                  </w:r>
                </w:p>
              </w:tc>
              <w:tc>
                <w:tcPr>
                  <w:tcW w:w="244" w:type="pct"/>
                  <w:vAlign w:val="center"/>
                </w:tcPr>
                <w:p w14:paraId="57EFA32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非甲烷总烃</w:t>
                  </w:r>
                </w:p>
              </w:tc>
              <w:tc>
                <w:tcPr>
                  <w:tcW w:w="429" w:type="pct"/>
                  <w:vAlign w:val="center"/>
                </w:tcPr>
                <w:p w14:paraId="1F52090C">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2.02</w:t>
                  </w:r>
                </w:p>
              </w:tc>
              <w:tc>
                <w:tcPr>
                  <w:tcW w:w="403" w:type="pct"/>
                  <w:vAlign w:val="center"/>
                </w:tcPr>
                <w:p w14:paraId="2931E5F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628" w:type="pct"/>
                  <w:vAlign w:val="center"/>
                </w:tcPr>
                <w:p w14:paraId="7A4F9E4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Align w:val="center"/>
                </w:tcPr>
                <w:p w14:paraId="5B76EA9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701" w:type="pct"/>
                  <w:vAlign w:val="center"/>
                </w:tcPr>
                <w:p w14:paraId="7C11BD79">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85" w:type="pct"/>
                  <w:vAlign w:val="center"/>
                </w:tcPr>
                <w:p w14:paraId="4F9ED46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1.47</w:t>
                  </w:r>
                </w:p>
              </w:tc>
              <w:tc>
                <w:tcPr>
                  <w:tcW w:w="628" w:type="pct"/>
                  <w:vAlign w:val="center"/>
                </w:tcPr>
                <w:p w14:paraId="1B4645D0">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21" w:type="pct"/>
                  <w:vAlign w:val="center"/>
                </w:tcPr>
                <w:p w14:paraId="71F0F55B">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09732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0C35C50A">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continue"/>
                  <w:vAlign w:val="center"/>
                </w:tcPr>
                <w:p w14:paraId="05D4DA1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244" w:type="pct"/>
                  <w:vAlign w:val="center"/>
                </w:tcPr>
                <w:p w14:paraId="51BE71F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二甲苯</w:t>
                  </w:r>
                </w:p>
              </w:tc>
              <w:tc>
                <w:tcPr>
                  <w:tcW w:w="429" w:type="pct"/>
                  <w:vAlign w:val="center"/>
                </w:tcPr>
                <w:p w14:paraId="122664D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1.11</w:t>
                  </w:r>
                </w:p>
              </w:tc>
              <w:tc>
                <w:tcPr>
                  <w:tcW w:w="403" w:type="pct"/>
                  <w:vAlign w:val="center"/>
                </w:tcPr>
                <w:p w14:paraId="65F6BB8E">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628" w:type="pct"/>
                  <w:vAlign w:val="center"/>
                </w:tcPr>
                <w:p w14:paraId="45862CAC">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Align w:val="center"/>
                </w:tcPr>
                <w:p w14:paraId="476CA68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701" w:type="pct"/>
                  <w:vAlign w:val="center"/>
                </w:tcPr>
                <w:p w14:paraId="2E3CDC3D">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85" w:type="pct"/>
                  <w:vAlign w:val="center"/>
                </w:tcPr>
                <w:p w14:paraId="6FD9D22B">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0.81</w:t>
                  </w:r>
                </w:p>
              </w:tc>
              <w:tc>
                <w:tcPr>
                  <w:tcW w:w="628" w:type="pct"/>
                  <w:vAlign w:val="center"/>
                </w:tcPr>
                <w:p w14:paraId="1260BCCD">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21" w:type="pct"/>
                  <w:vAlign w:val="center"/>
                </w:tcPr>
                <w:p w14:paraId="2437BDA5">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r w14:paraId="3BFF4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2296D15C">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72" w:type="pct"/>
                  <w:vMerge w:val="continue"/>
                  <w:vAlign w:val="center"/>
                </w:tcPr>
                <w:p w14:paraId="0EEA7AC3">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244" w:type="pct"/>
                  <w:vAlign w:val="center"/>
                </w:tcPr>
                <w:p w14:paraId="54743121">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颗粒物</w:t>
                  </w:r>
                </w:p>
              </w:tc>
              <w:tc>
                <w:tcPr>
                  <w:tcW w:w="429" w:type="pct"/>
                  <w:vAlign w:val="center"/>
                </w:tcPr>
                <w:p w14:paraId="088D91DD">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2.08</w:t>
                  </w:r>
                </w:p>
              </w:tc>
              <w:tc>
                <w:tcPr>
                  <w:tcW w:w="403" w:type="pct"/>
                  <w:vAlign w:val="center"/>
                </w:tcPr>
                <w:p w14:paraId="3A217AB7">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628" w:type="pct"/>
                  <w:vAlign w:val="center"/>
                </w:tcPr>
                <w:p w14:paraId="316D977F">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244" w:type="pct"/>
                  <w:vAlign w:val="center"/>
                </w:tcPr>
                <w:p w14:paraId="5459B4E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701" w:type="pct"/>
                  <w:vAlign w:val="center"/>
                </w:tcPr>
                <w:p w14:paraId="107D2276">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85" w:type="pct"/>
                  <w:vAlign w:val="center"/>
                </w:tcPr>
                <w:p w14:paraId="2B9FD2F9">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0.09</w:t>
                  </w:r>
                </w:p>
              </w:tc>
              <w:tc>
                <w:tcPr>
                  <w:tcW w:w="628" w:type="pct"/>
                  <w:vAlign w:val="center"/>
                </w:tcPr>
                <w:p w14:paraId="2D6D6696">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521" w:type="pct"/>
                  <w:vAlign w:val="center"/>
                </w:tcPr>
                <w:p w14:paraId="590550F2">
                  <w:pPr>
                    <w:adjustRightInd w:val="0"/>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r>
          </w:tbl>
          <w:p w14:paraId="4B428BF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③异味</w:t>
            </w:r>
          </w:p>
          <w:p w14:paraId="5300E03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喷涂作业过程中会产生异味，主要来源于涂料中挥发性有机物的挥发，本次评价以臭气浓度表征。喷漆工序废气产生量相对较小，且在密闭喷漆房内进行，经负压收集处理后高空排放，经大气扩散稀释，对大气环境影响较小。因此，本次评价对该异味环境影响仅进行定性分析。</w:t>
            </w:r>
          </w:p>
          <w:p w14:paraId="63A69B7C">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（5）危废暂存间废气</w:t>
            </w:r>
          </w:p>
          <w:p w14:paraId="09A7C76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危废暂存间暂存废油漆桶等危废的过程中，沾染的油漆和稀释剂会挥发出少量有机废气，主要污染物为非甲烷总烃、二甲苯和臭气浓度，危废暂存间废气密闭负压收集至2＃二级活性炭吸附装置处理后通过20m排气筒（DA004）排放。</w:t>
            </w:r>
          </w:p>
          <w:p w14:paraId="04998EB7">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根据《主要污染物总量减排核算技术指南（2022年修订）》（环办综合函〔2022〕350号），废气收集方式为密闭负压时，废气收集率为90%</w:t>
            </w:r>
            <w:r>
              <w:rPr>
                <w:rFonts w:hint="eastAsia" w:cs="宋体"/>
                <w:bCs/>
                <w:color w:val="0D0D0D" w:themeColor="text1" w:themeTint="F2"/>
                <w:spacing w:val="-10"/>
                <w:sz w:val="24"/>
                <w14:textFill>
                  <w14:solidFill>
                    <w14:schemeClr w14:val="tx1">
                      <w14:lumMod w14:val="95000"/>
                      <w14:lumOff w14:val="5000"/>
                    </w14:schemeClr>
                  </w14:solidFill>
                </w14:textFill>
              </w:rPr>
              <w:t>。项目喷漆废气经密闭负压收集至废气治理系统处理，本次评价收集率按90%计。根据《排放源统计调查产排污核算方法和系数手册》（生态环境部公告2021年第24号）中的《</w:t>
            </w:r>
            <w:r>
              <w:rPr>
                <w:rFonts w:cs="宋体"/>
                <w:bCs/>
                <w:color w:val="0D0D0D" w:themeColor="text1" w:themeTint="F2"/>
                <w:spacing w:val="-10"/>
                <w:sz w:val="24"/>
                <w14:textFill>
                  <w14:solidFill>
                    <w14:schemeClr w14:val="tx1">
                      <w14:lumMod w14:val="95000"/>
                      <w14:lumOff w14:val="5000"/>
                    </w14:schemeClr>
                  </w14:solidFill>
                </w14:textFill>
              </w:rPr>
              <w:t>33-37</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431-434</w:t>
            </w:r>
            <w:r>
              <w:rPr>
                <w:rFonts w:hint="eastAsia" w:cs="宋体"/>
                <w:bCs/>
                <w:color w:val="0D0D0D" w:themeColor="text1" w:themeTint="F2"/>
                <w:spacing w:val="-10"/>
                <w:sz w:val="24"/>
                <w14:textFill>
                  <w14:solidFill>
                    <w14:schemeClr w14:val="tx1">
                      <w14:lumMod w14:val="95000"/>
                      <w14:lumOff w14:val="5000"/>
                    </w14:schemeClr>
                  </w14:solidFill>
                </w14:textFill>
              </w:rPr>
              <w:t>机械行业系数手册》，吸附法去除率为18%，项目采用二级活性炭吸附工艺，对有机废气的理论综合去除率为</w:t>
            </w:r>
            <w:r>
              <w:rPr>
                <w:rFonts w:cs="宋体"/>
                <w:bCs/>
                <w:color w:val="0D0D0D" w:themeColor="text1" w:themeTint="F2"/>
                <w:spacing w:val="-10"/>
                <w:sz w:val="24"/>
                <w14:textFill>
                  <w14:solidFill>
                    <w14:schemeClr w14:val="tx1">
                      <w14:lumMod w14:val="95000"/>
                      <w14:lumOff w14:val="5000"/>
                    </w14:schemeClr>
                  </w14:solidFill>
                </w14:textFill>
              </w:rPr>
              <w:t>1-</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1-</w:t>
            </w:r>
            <w:r>
              <w:rPr>
                <w:rFonts w:hint="eastAsia" w:cs="宋体"/>
                <w:bCs/>
                <w:color w:val="0D0D0D" w:themeColor="text1" w:themeTint="F2"/>
                <w:spacing w:val="-10"/>
                <w:sz w:val="24"/>
                <w14:textFill>
                  <w14:solidFill>
                    <w14:schemeClr w14:val="tx1">
                      <w14:lumMod w14:val="95000"/>
                      <w14:lumOff w14:val="5000"/>
                    </w14:schemeClr>
                  </w14:solidFill>
                </w14:textFill>
              </w:rPr>
              <w:t>18</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1-</w:t>
            </w:r>
            <w:r>
              <w:rPr>
                <w:rFonts w:hint="eastAsia" w:cs="宋体"/>
                <w:bCs/>
                <w:color w:val="0D0D0D" w:themeColor="text1" w:themeTint="F2"/>
                <w:spacing w:val="-10"/>
                <w:sz w:val="24"/>
                <w14:textFill>
                  <w14:solidFill>
                    <w14:schemeClr w14:val="tx1">
                      <w14:lumMod w14:val="95000"/>
                      <w14:lumOff w14:val="5000"/>
                    </w14:schemeClr>
                  </w14:solidFill>
                </w14:textFill>
              </w:rPr>
              <w:t>18</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32.8</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，考虑设备运行效率、维护等因素，本次评价保守取值30%。</w:t>
            </w:r>
          </w:p>
          <w:p w14:paraId="1204C33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因危废暂存间废气产生量极少，对DA004排气筒排放速率/排放浓度无显著影响，故本次评价不再对该部分废气进行定量核算。</w:t>
            </w:r>
          </w:p>
          <w:p w14:paraId="5BC212C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风量核算：</w:t>
            </w:r>
          </w:p>
          <w:p w14:paraId="3F5781E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根据《环境工程技术手册：废气处理工程技术手册》（王纯、张殿印主编，化学工业出版社，2013年1月第1版），密闭车间换气量计算如下：</w:t>
            </w:r>
          </w:p>
          <w:p w14:paraId="1B1EA547">
            <w:pPr>
              <w:adjustRightInd w:val="0"/>
              <w:snapToGrid w:val="0"/>
              <w:spacing w:after="0"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L=nV</w:t>
            </w:r>
          </w:p>
          <w:p w14:paraId="01B7570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其中：</w:t>
            </w:r>
          </w:p>
          <w:p w14:paraId="71929742">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L——全面通风量，m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w:t>
            </w:r>
          </w:p>
          <w:p w14:paraId="1FC1B88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n——换气次数，参照《广东省表面涂装（汽车制造业）挥发性有机废气治理技术指南》（粤环〔2015〕4号），按60次/h计；</w:t>
            </w:r>
          </w:p>
          <w:p w14:paraId="65D05BF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V——密闭空间体积，单座危废暂存间设计体积为135m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056525E5">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经计算，单座危废暂存间通风量为8100m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/h，2座危废暂存间所需风量为16200m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/h，根据《吸附法工业有机废气治理工程技术规范》（HJ2026-2013），设计风量宜按照最大废气排放量的120%进行设计，因此，危废暂存间设计总风量取整为20000m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/h，可满足换气要求。</w:t>
            </w:r>
          </w:p>
          <w:p w14:paraId="146B6BC8">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2.废气污染防治措施及其可行性分析</w:t>
            </w:r>
          </w:p>
          <w:p w14:paraId="781283DC">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（1）移动式烟尘净化器</w:t>
            </w:r>
          </w:p>
          <w:p w14:paraId="7954995F">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移动式烟尘净化器：内部高压风机在吸气臂置口处形成负压区域，烟尘在负压的作用下由吸气臂进入烟尘净化器设备主体，进风口处阻火器可阻留火花，烟尘气体进入烟尘净化器设备主体净化室，高效过滤芯将微小烟雾粉尘颗粒过滤在烟尘净化器设备净化室内，洁净空气经出风口排出。</w:t>
            </w:r>
          </w:p>
          <w:p w14:paraId="305AFF8B">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参照《排污许可证申请与核发技术规范  总则》（HJ942-2018），移动式烟尘净化器属于可行性技术。</w:t>
            </w:r>
          </w:p>
          <w:p w14:paraId="2E0A4280">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（2）滤筒除尘器</w:t>
            </w:r>
          </w:p>
          <w:p w14:paraId="5AA5FB85">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滤筒除尘器是一种集风机、过滤系统、清灰系统和集尘装置于一体的粉尘治理设备，广泛应用于焊接、打磨、切割、抛光等工位的局部粉尘收集。</w:t>
            </w:r>
          </w:p>
          <w:p w14:paraId="2CAF010C">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工作原理为：设备启动后，内置风机产生负压，通过吸尘罩将粉尘气体吸入设备内部，含尘气体进入过滤室后通过高效滤筒，滤筒通常采用聚酯纤维、覆膜材料或阻燃材质。粉尘被拦截在滤筒外表面，洁净空气透过滤材进入净气室，经过过滤的空气由风机排出，可直接从室内循环或通过管道排至室外，当滤筒表面积尘增多、阻力上升时，脉冲电磁阀瞬间释放压缩空气，对滤筒进行反吹清灰，使粉尘脱落至集尘抽屉或灰桶。</w:t>
            </w:r>
          </w:p>
          <w:p w14:paraId="50C7FA22">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参照《排污许可证申请与核发技术规范  汽车制造业》（</w:t>
            </w:r>
            <w:r>
              <w:rPr>
                <w:rFonts w:cs="宋体"/>
                <w:bCs/>
                <w:color w:val="0D0D0D" w:themeColor="text1" w:themeTint="F2"/>
                <w:spacing w:val="-10"/>
                <w:sz w:val="24"/>
                <w14:textFill>
                  <w14:solidFill>
                    <w14:schemeClr w14:val="tx1">
                      <w14:lumMod w14:val="95000"/>
                      <w14:lumOff w14:val="5000"/>
                    </w14:schemeClr>
                  </w14:solidFill>
                </w14:textFill>
              </w:rPr>
              <w:t>HJ971-2018</w:t>
            </w:r>
            <w:r>
              <w:rPr>
                <w:rFonts w:hint="eastAsia" w:cs="宋体"/>
                <w:bCs/>
                <w:color w:val="0D0D0D" w:themeColor="text1" w:themeTint="F2"/>
                <w:spacing w:val="-10"/>
                <w:sz w:val="24"/>
                <w14:textFill>
                  <w14:solidFill>
                    <w14:schemeClr w14:val="tx1">
                      <w14:lumMod w14:val="95000"/>
                      <w14:lumOff w14:val="5000"/>
                    </w14:schemeClr>
                  </w14:solidFill>
                </w14:textFill>
              </w:rPr>
              <w:t>），滤筒除尘器属于可行性技术。</w:t>
            </w:r>
          </w:p>
          <w:p w14:paraId="22D3BCDA">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（3）水帘柜</w:t>
            </w:r>
          </w:p>
          <w:p w14:paraId="248C3B10">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水帘柜是一种基于水幕过滤技术的环保喷漆设备，采用上送风下抽风方式，喷漆时，未被吸附的漆雾在风机负压作用下进入柜体，漆雾与水帘板表面水膜接触，通过惯性碰撞和吸附作用被捕获，利用负气压力原理在齿板与弧板间因负压形成强大气流，使这里的水产生旋涡对吸入的漆雾进行冲洗，漆雾于水中形成漆渣，沉降的漆渣通过过滤网或刮渣装置定期清理。</w:t>
            </w:r>
          </w:p>
          <w:p w14:paraId="32C2A4B0">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（4）过滤棉</w:t>
            </w:r>
          </w:p>
          <w:p w14:paraId="7034BF8A">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水帘柜配套设有过滤棉过滤。过滤棉在去除喷涂产生的漆雾颗粒（尤其是较大颗粒）方面是高效、经济且广泛应用的技术，作为预处理步骤是可行的。过滤棉具有复杂的三维网状结构和高孔隙率，当含漆雾的空气通过时，较大的漆雾颗粒通过直接拦截（颗粒撞到纤维上）、惯性撞击（颗粒因惯性脱离气流撞上纤维）和扩散（微小颗粒布朗运动接触纤维）等机制被纤维捕获并黏附。</w:t>
            </w:r>
          </w:p>
          <w:p w14:paraId="32A4F58A">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（5）二级活性炭吸附</w:t>
            </w:r>
          </w:p>
          <w:p w14:paraId="7D6C71E4">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二级活性炭吸附装置采用蜂窝活性炭，工作原理为：活性炭通过发达的孔隙结构（微孔、中孔、大孔）和巨大的比表面积（500~3000m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/g），利用范德华力吸附污染物分子。污染物（VOCs）与活性炭表面接触时，因分子间的引力被捕获于孔隙中，吸附量受污染物浓度、温度、活性炭孔径分布等因素影响。</w:t>
            </w:r>
          </w:p>
          <w:p w14:paraId="445A31F6">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蜂窝活性炭是近年来兴起的一种新型高效活性炭结构，采用优良煤质活性炭为原材料，经蜂模具压制，高温活化烧制而成，具有比表面积大，通孔阻力小，微孔发达，高吸附容量和吸附速率，使用寿命长等特点，通过速率较颗粒状活性炭大大提高，在废气污染治理中普遍应用。</w:t>
            </w:r>
          </w:p>
          <w:p w14:paraId="533B8734">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蜂窝活性炭相关技术参数详见表4-7。</w:t>
            </w:r>
          </w:p>
          <w:p w14:paraId="2DBEB1C1">
            <w:pPr>
              <w:adjustRightIn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表4-7  蜂窝活性炭参数一览表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6"/>
              <w:gridCol w:w="1334"/>
              <w:gridCol w:w="3635"/>
            </w:tblGrid>
            <w:tr w14:paraId="418CB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07B6071E">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w:t>
                  </w:r>
                </w:p>
              </w:tc>
              <w:tc>
                <w:tcPr>
                  <w:tcW w:w="760" w:type="pct"/>
                  <w:tcBorders>
                    <w:tl2br w:val="nil"/>
                    <w:tr2bl w:val="nil"/>
                  </w:tcBorders>
                  <w:vAlign w:val="center"/>
                </w:tcPr>
                <w:p w14:paraId="6D3BC0BE">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单位</w:t>
                  </w:r>
                </w:p>
              </w:tc>
              <w:tc>
                <w:tcPr>
                  <w:tcW w:w="2071" w:type="pct"/>
                  <w:tcBorders>
                    <w:tl2br w:val="nil"/>
                    <w:tr2bl w:val="nil"/>
                  </w:tcBorders>
                  <w:vAlign w:val="center"/>
                </w:tcPr>
                <w:p w14:paraId="285E37BB">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性能指标</w:t>
                  </w:r>
                </w:p>
              </w:tc>
            </w:tr>
            <w:tr w14:paraId="6CAD2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4ED7E778">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外形尺寸</w:t>
                  </w:r>
                </w:p>
              </w:tc>
              <w:tc>
                <w:tcPr>
                  <w:tcW w:w="760" w:type="pct"/>
                  <w:tcBorders>
                    <w:tl2br w:val="nil"/>
                    <w:tr2bl w:val="nil"/>
                  </w:tcBorders>
                  <w:vAlign w:val="center"/>
                </w:tcPr>
                <w:p w14:paraId="4BD7CF91">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mm</w:t>
                  </w:r>
                </w:p>
              </w:tc>
              <w:tc>
                <w:tcPr>
                  <w:tcW w:w="2071" w:type="pct"/>
                  <w:tcBorders>
                    <w:tl2br w:val="nil"/>
                    <w:tr2bl w:val="nil"/>
                  </w:tcBorders>
                  <w:vAlign w:val="center"/>
                </w:tcPr>
                <w:p w14:paraId="3142D9E0">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100×100×100</w:t>
                  </w:r>
                </w:p>
              </w:tc>
            </w:tr>
            <w:tr w14:paraId="48D67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496EFEBA">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孔数</w:t>
                  </w:r>
                </w:p>
              </w:tc>
              <w:tc>
                <w:tcPr>
                  <w:tcW w:w="760" w:type="pct"/>
                  <w:tcBorders>
                    <w:tl2br w:val="nil"/>
                    <w:tr2bl w:val="nil"/>
                  </w:tcBorders>
                  <w:vAlign w:val="center"/>
                </w:tcPr>
                <w:p w14:paraId="422F0302">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个/cm</w:t>
                  </w:r>
                  <w:r>
                    <w:rPr>
                      <w:rFonts w:hint="eastAsia" w:cs="宋体"/>
                      <w:color w:val="0D0D0D" w:themeColor="text1" w:themeTint="F2"/>
                      <w:kern w:val="0"/>
                      <w:szCs w:val="21"/>
                      <w:vertAlign w:val="superscript"/>
                      <w14:textFill>
                        <w14:solidFill>
                          <w14:schemeClr w14:val="tx1">
                            <w14:lumMod w14:val="95000"/>
                            <w14:lumOff w14:val="5000"/>
                          </w14:schemeClr>
                        </w14:solidFill>
                      </w14:textFill>
                    </w:rPr>
                    <w:t>2</w:t>
                  </w:r>
                </w:p>
              </w:tc>
              <w:tc>
                <w:tcPr>
                  <w:tcW w:w="2071" w:type="pct"/>
                  <w:tcBorders>
                    <w:tl2br w:val="nil"/>
                    <w:tr2bl w:val="nil"/>
                  </w:tcBorders>
                  <w:vAlign w:val="center"/>
                </w:tcPr>
                <w:p w14:paraId="20932A9C">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16</w:t>
                  </w:r>
                </w:p>
              </w:tc>
            </w:tr>
            <w:tr w14:paraId="43605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667C4A62">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孔壁厚</w:t>
                  </w:r>
                </w:p>
              </w:tc>
              <w:tc>
                <w:tcPr>
                  <w:tcW w:w="760" w:type="pct"/>
                  <w:tcBorders>
                    <w:tl2br w:val="nil"/>
                    <w:tr2bl w:val="nil"/>
                  </w:tcBorders>
                  <w:vAlign w:val="center"/>
                </w:tcPr>
                <w:p w14:paraId="493E7422">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mm</w:t>
                  </w:r>
                </w:p>
              </w:tc>
              <w:tc>
                <w:tcPr>
                  <w:tcW w:w="2071" w:type="pct"/>
                  <w:tcBorders>
                    <w:tl2br w:val="nil"/>
                    <w:tr2bl w:val="nil"/>
                  </w:tcBorders>
                  <w:vAlign w:val="center"/>
                </w:tcPr>
                <w:p w14:paraId="7BFA10B8">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0.5</w:t>
                  </w:r>
                </w:p>
              </w:tc>
            </w:tr>
            <w:tr w14:paraId="309FB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610CF467">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压碎强度</w:t>
                  </w:r>
                </w:p>
              </w:tc>
              <w:tc>
                <w:tcPr>
                  <w:tcW w:w="760" w:type="pct"/>
                  <w:tcBorders>
                    <w:tl2br w:val="nil"/>
                    <w:tr2bl w:val="nil"/>
                  </w:tcBorders>
                  <w:vAlign w:val="center"/>
                </w:tcPr>
                <w:p w14:paraId="4908F3A0">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Mpa</w:t>
                  </w:r>
                </w:p>
              </w:tc>
              <w:tc>
                <w:tcPr>
                  <w:tcW w:w="2071" w:type="pct"/>
                  <w:tcBorders>
                    <w:tl2br w:val="nil"/>
                    <w:tr2bl w:val="nil"/>
                  </w:tcBorders>
                  <w:vAlign w:val="center"/>
                </w:tcPr>
                <w:p w14:paraId="777723A7">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正面：7.0，侧面：0.3</w:t>
                  </w:r>
                </w:p>
              </w:tc>
            </w:tr>
            <w:tr w14:paraId="4E440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7A720F45">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体积密度</w:t>
                  </w:r>
                </w:p>
              </w:tc>
              <w:tc>
                <w:tcPr>
                  <w:tcW w:w="760" w:type="pct"/>
                  <w:tcBorders>
                    <w:tl2br w:val="nil"/>
                    <w:tr2bl w:val="nil"/>
                  </w:tcBorders>
                  <w:vAlign w:val="center"/>
                </w:tcPr>
                <w:p w14:paraId="04C0D1B1">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g/cm</w:t>
                  </w:r>
                  <w:r>
                    <w:rPr>
                      <w:rFonts w:hint="eastAsia" w:cs="宋体"/>
                      <w:color w:val="0D0D0D" w:themeColor="text1" w:themeTint="F2"/>
                      <w:kern w:val="0"/>
                      <w:szCs w:val="21"/>
                      <w:vertAlign w:val="superscript"/>
                      <w14:textFill>
                        <w14:solidFill>
                          <w14:schemeClr w14:val="tx1">
                            <w14:lumMod w14:val="95000"/>
                            <w14:lumOff w14:val="5000"/>
                          </w14:schemeClr>
                        </w14:solidFill>
                      </w14:textFill>
                    </w:rPr>
                    <w:t>3</w:t>
                  </w:r>
                </w:p>
              </w:tc>
              <w:tc>
                <w:tcPr>
                  <w:tcW w:w="2071" w:type="pct"/>
                  <w:tcBorders>
                    <w:tl2br w:val="nil"/>
                    <w:tr2bl w:val="nil"/>
                  </w:tcBorders>
                  <w:vAlign w:val="center"/>
                </w:tcPr>
                <w:p w14:paraId="74391E15">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0.4~0.5</w:t>
                  </w:r>
                </w:p>
              </w:tc>
            </w:tr>
            <w:tr w14:paraId="09434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21E5EEF4">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比表面积</w:t>
                  </w:r>
                </w:p>
              </w:tc>
              <w:tc>
                <w:tcPr>
                  <w:tcW w:w="760" w:type="pct"/>
                  <w:tcBorders>
                    <w:tl2br w:val="nil"/>
                    <w:tr2bl w:val="nil"/>
                  </w:tcBorders>
                  <w:vAlign w:val="center"/>
                </w:tcPr>
                <w:p w14:paraId="0D0CDDB6">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m</w:t>
                  </w:r>
                  <w:r>
                    <w:rPr>
                      <w:rFonts w:hint="eastAsia" w:cs="宋体"/>
                      <w:color w:val="0D0D0D" w:themeColor="text1" w:themeTint="F2"/>
                      <w:kern w:val="0"/>
                      <w:szCs w:val="21"/>
                      <w:vertAlign w:val="superscript"/>
                      <w14:textFill>
                        <w14:solidFill>
                          <w14:schemeClr w14:val="tx1">
                            <w14:lumMod w14:val="95000"/>
                            <w14:lumOff w14:val="5000"/>
                          </w14:schemeClr>
                        </w14:solidFill>
                      </w14:textFill>
                    </w:rPr>
                    <w:t>2</w:t>
                  </w:r>
                  <w:r>
                    <w:rPr>
                      <w:rFonts w:hint="eastAsia" w:cs="宋体"/>
                      <w:color w:val="0D0D0D" w:themeColor="text1" w:themeTint="F2"/>
                      <w:kern w:val="0"/>
                      <w:szCs w:val="21"/>
                      <w14:textFill>
                        <w14:solidFill>
                          <w14:schemeClr w14:val="tx1">
                            <w14:lumMod w14:val="95000"/>
                            <w14:lumOff w14:val="5000"/>
                          </w14:schemeClr>
                        </w14:solidFill>
                      </w14:textFill>
                    </w:rPr>
                    <w:t>/g</w:t>
                  </w:r>
                </w:p>
              </w:tc>
              <w:tc>
                <w:tcPr>
                  <w:tcW w:w="2071" w:type="pct"/>
                  <w:tcBorders>
                    <w:tl2br w:val="nil"/>
                    <w:tr2bl w:val="nil"/>
                  </w:tcBorders>
                  <w:vAlign w:val="center"/>
                </w:tcPr>
                <w:p w14:paraId="41A24524">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≥750</w:t>
                  </w:r>
                </w:p>
              </w:tc>
            </w:tr>
            <w:tr w14:paraId="4265D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76271E7F">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着火点</w:t>
                  </w:r>
                </w:p>
              </w:tc>
              <w:tc>
                <w:tcPr>
                  <w:tcW w:w="760" w:type="pct"/>
                  <w:tcBorders>
                    <w:tl2br w:val="nil"/>
                    <w:tr2bl w:val="nil"/>
                  </w:tcBorders>
                  <w:vAlign w:val="center"/>
                </w:tcPr>
                <w:p w14:paraId="55C9EF76">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w:t>
                  </w:r>
                </w:p>
              </w:tc>
              <w:tc>
                <w:tcPr>
                  <w:tcW w:w="2071" w:type="pct"/>
                  <w:tcBorders>
                    <w:tl2br w:val="nil"/>
                    <w:tr2bl w:val="nil"/>
                  </w:tcBorders>
                  <w:vAlign w:val="center"/>
                </w:tcPr>
                <w:p w14:paraId="3EF46F7D">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550</w:t>
                  </w:r>
                </w:p>
              </w:tc>
            </w:tr>
            <w:tr w14:paraId="0C68C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590D621F">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碘值</w:t>
                  </w:r>
                </w:p>
              </w:tc>
              <w:tc>
                <w:tcPr>
                  <w:tcW w:w="760" w:type="pct"/>
                  <w:tcBorders>
                    <w:tl2br w:val="nil"/>
                    <w:tr2bl w:val="nil"/>
                  </w:tcBorders>
                  <w:vAlign w:val="center"/>
                </w:tcPr>
                <w:p w14:paraId="717A23AA">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cs="宋体"/>
                      <w:color w:val="0D0D0D" w:themeColor="text1" w:themeTint="F2"/>
                      <w:kern w:val="0"/>
                      <w:szCs w:val="21"/>
                      <w14:textFill>
                        <w14:solidFill>
                          <w14:schemeClr w14:val="tx1">
                            <w14:lumMod w14:val="95000"/>
                            <w14:lumOff w14:val="5000"/>
                          </w14:schemeClr>
                        </w14:solidFill>
                      </w14:textFill>
                    </w:rPr>
                    <w:t>mg/g</w:t>
                  </w:r>
                </w:p>
              </w:tc>
              <w:tc>
                <w:tcPr>
                  <w:tcW w:w="2071" w:type="pct"/>
                  <w:tcBorders>
                    <w:tl2br w:val="nil"/>
                    <w:tr2bl w:val="nil"/>
                  </w:tcBorders>
                  <w:vAlign w:val="center"/>
                </w:tcPr>
                <w:p w14:paraId="75B719E1">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≥650</w:t>
                  </w:r>
                </w:p>
              </w:tc>
            </w:tr>
            <w:tr w14:paraId="0C019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2AA515A5">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单级活性炭箱外形尺寸</w:t>
                  </w:r>
                </w:p>
              </w:tc>
              <w:tc>
                <w:tcPr>
                  <w:tcW w:w="760" w:type="pct"/>
                  <w:tcBorders>
                    <w:tl2br w:val="nil"/>
                    <w:tr2bl w:val="nil"/>
                  </w:tcBorders>
                  <w:vAlign w:val="center"/>
                </w:tcPr>
                <w:p w14:paraId="1A3C2BB7">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m</w:t>
                  </w:r>
                </w:p>
              </w:tc>
              <w:tc>
                <w:tcPr>
                  <w:tcW w:w="2071" w:type="pct"/>
                  <w:tcBorders>
                    <w:tl2br w:val="nil"/>
                    <w:tr2bl w:val="nil"/>
                  </w:tcBorders>
                  <w:vAlign w:val="center"/>
                </w:tcPr>
                <w:p w14:paraId="1165DDFB">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2.5*2*1.3</w:t>
                  </w:r>
                </w:p>
              </w:tc>
            </w:tr>
            <w:tr w14:paraId="45AFD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345C9AF9">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处理风量</w:t>
                  </w:r>
                </w:p>
              </w:tc>
              <w:tc>
                <w:tcPr>
                  <w:tcW w:w="760" w:type="pct"/>
                  <w:tcBorders>
                    <w:tl2br w:val="nil"/>
                    <w:tr2bl w:val="nil"/>
                  </w:tcBorders>
                  <w:vAlign w:val="center"/>
                </w:tcPr>
                <w:p w14:paraId="5FB21254">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m</w:t>
                  </w:r>
                  <w:r>
                    <w:rPr>
                      <w:rFonts w:hint="eastAsia" w:cs="宋体"/>
                      <w:color w:val="0D0D0D" w:themeColor="text1" w:themeTint="F2"/>
                      <w:kern w:val="0"/>
                      <w:szCs w:val="21"/>
                      <w:vertAlign w:val="superscript"/>
                      <w14:textFill>
                        <w14:solidFill>
                          <w14:schemeClr w14:val="tx1">
                            <w14:lumMod w14:val="95000"/>
                            <w14:lumOff w14:val="5000"/>
                          </w14:schemeClr>
                        </w14:solidFill>
                      </w14:textFill>
                    </w:rPr>
                    <w:t>3</w:t>
                  </w:r>
                  <w:r>
                    <w:rPr>
                      <w:rFonts w:hint="eastAsia" w:cs="宋体"/>
                      <w:color w:val="0D0D0D" w:themeColor="text1" w:themeTint="F2"/>
                      <w:kern w:val="0"/>
                      <w:szCs w:val="21"/>
                      <w14:textFill>
                        <w14:solidFill>
                          <w14:schemeClr w14:val="tx1">
                            <w14:lumMod w14:val="95000"/>
                            <w14:lumOff w14:val="5000"/>
                          </w14:schemeClr>
                        </w14:solidFill>
                      </w14:textFill>
                    </w:rPr>
                    <w:t>/h</w:t>
                  </w:r>
                </w:p>
              </w:tc>
              <w:tc>
                <w:tcPr>
                  <w:tcW w:w="2071" w:type="pct"/>
                  <w:tcBorders>
                    <w:tl2br w:val="nil"/>
                    <w:tr2bl w:val="nil"/>
                  </w:tcBorders>
                  <w:vAlign w:val="center"/>
                </w:tcPr>
                <w:p w14:paraId="4D76127B">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20000</w:t>
                  </w:r>
                </w:p>
              </w:tc>
            </w:tr>
            <w:tr w14:paraId="0CE9B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9" w:type="pct"/>
                  <w:tcBorders>
                    <w:tl2br w:val="nil"/>
                    <w:tr2bl w:val="nil"/>
                  </w:tcBorders>
                  <w:vAlign w:val="center"/>
                </w:tcPr>
                <w:p w14:paraId="06C17E1F">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过滤风速</w:t>
                  </w:r>
                </w:p>
              </w:tc>
              <w:tc>
                <w:tcPr>
                  <w:tcW w:w="760" w:type="pct"/>
                  <w:tcBorders>
                    <w:tl2br w:val="nil"/>
                    <w:tr2bl w:val="nil"/>
                  </w:tcBorders>
                  <w:vAlign w:val="center"/>
                </w:tcPr>
                <w:p w14:paraId="481018AB">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m/s</w:t>
                  </w:r>
                </w:p>
              </w:tc>
              <w:tc>
                <w:tcPr>
                  <w:tcW w:w="2071" w:type="pct"/>
                  <w:tcBorders>
                    <w:tl2br w:val="nil"/>
                    <w:tr2bl w:val="nil"/>
                  </w:tcBorders>
                  <w:vAlign w:val="center"/>
                </w:tcPr>
                <w:p w14:paraId="2C8F34CF">
                  <w:pPr>
                    <w:autoSpaceDE w:val="0"/>
                    <w:autoSpaceDN w:val="0"/>
                    <w:adjustRightInd w:val="0"/>
                    <w:spacing w:after="0" w:line="240" w:lineRule="auto"/>
                    <w:jc w:val="center"/>
                    <w:outlineLvl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1.11</w:t>
                  </w:r>
                </w:p>
              </w:tc>
            </w:tr>
          </w:tbl>
          <w:p w14:paraId="7D231CDD">
            <w:pPr>
              <w:adjustRightIn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由上表可知，项目二级活性炭吸附装置过滤风速=处理风量/（吸附箱横截面积×3600）=20000/（2.5×2×3600）=1.11m/s，比表面积≥750</w:t>
            </w:r>
            <w:r>
              <w:rPr>
                <w:rFonts w:hint="eastAsia" w:cs="宋体"/>
                <w:color w:val="0D0D0D" w:themeColor="text1" w:themeTint="F2"/>
                <w:kern w:val="0"/>
                <w:sz w:val="24"/>
                <w:u w:val="single"/>
                <w14:textFill>
                  <w14:solidFill>
                    <w14:schemeClr w14:val="tx1">
                      <w14:lumMod w14:val="95000"/>
                      <w14:lumOff w14:val="5000"/>
                    </w14:schemeClr>
                  </w14:solidFill>
                </w14:textFill>
              </w:rPr>
              <w:t>m</w:t>
            </w:r>
            <w:r>
              <w:rPr>
                <w:rFonts w:hint="eastAsia" w:cs="宋体"/>
                <w:color w:val="0D0D0D" w:themeColor="text1" w:themeTint="F2"/>
                <w:kern w:val="0"/>
                <w:sz w:val="24"/>
                <w:u w:val="single"/>
                <w:vertAlign w:val="superscript"/>
                <w14:textFill>
                  <w14:solidFill>
                    <w14:schemeClr w14:val="tx1">
                      <w14:lumMod w14:val="95000"/>
                      <w14:lumOff w14:val="5000"/>
                    </w14:schemeClr>
                  </w14:solidFill>
                </w14:textFill>
              </w:rPr>
              <w:t>2</w:t>
            </w:r>
            <w:r>
              <w:rPr>
                <w:rFonts w:hint="eastAsia" w:cs="宋体"/>
                <w:color w:val="0D0D0D" w:themeColor="text1" w:themeTint="F2"/>
                <w:kern w:val="0"/>
                <w:sz w:val="24"/>
                <w:u w:val="single"/>
                <w14:textFill>
                  <w14:solidFill>
                    <w14:schemeClr w14:val="tx1">
                      <w14:lumMod w14:val="95000"/>
                      <w14:lumOff w14:val="5000"/>
                    </w14:schemeClr>
                  </w14:solidFill>
                </w14:textFill>
              </w:rPr>
              <w:t>/g</w:t>
            </w:r>
            <w:r>
              <w:rPr>
                <w:rFonts w:hint="eastAsia" w:cs="宋体"/>
                <w:bCs/>
                <w:color w:val="0D0D0D" w:themeColor="text1" w:themeTint="F2"/>
                <w:spacing w:val="-10"/>
                <w:sz w:val="24"/>
                <w:u w:val="single"/>
                <w14:textFill>
                  <w14:solidFill>
                    <w14:schemeClr w14:val="tx1">
                      <w14:lumMod w14:val="95000"/>
                      <w14:lumOff w14:val="5000"/>
                    </w14:schemeClr>
                  </w14:solidFill>
                </w14:textFill>
              </w:rPr>
              <w:t>，符合《吸附法工业有机废气治理工程技术规范》（HJ2026-2013）中蜂窝活性炭设计规范过滤风速≤1.2m/s，比表面积≥750</w:t>
            </w:r>
            <w:r>
              <w:rPr>
                <w:rFonts w:hint="eastAsia" w:cs="宋体"/>
                <w:color w:val="0D0D0D" w:themeColor="text1" w:themeTint="F2"/>
                <w:kern w:val="0"/>
                <w:sz w:val="24"/>
                <w:u w:val="single"/>
                <w14:textFill>
                  <w14:solidFill>
                    <w14:schemeClr w14:val="tx1">
                      <w14:lumMod w14:val="95000"/>
                      <w14:lumOff w14:val="5000"/>
                    </w14:schemeClr>
                  </w14:solidFill>
                </w14:textFill>
              </w:rPr>
              <w:t>m</w:t>
            </w:r>
            <w:r>
              <w:rPr>
                <w:rFonts w:hint="eastAsia" w:cs="宋体"/>
                <w:color w:val="0D0D0D" w:themeColor="text1" w:themeTint="F2"/>
                <w:kern w:val="0"/>
                <w:sz w:val="24"/>
                <w:u w:val="single"/>
                <w:vertAlign w:val="superscript"/>
                <w14:textFill>
                  <w14:solidFill>
                    <w14:schemeClr w14:val="tx1">
                      <w14:lumMod w14:val="95000"/>
                      <w14:lumOff w14:val="5000"/>
                    </w14:schemeClr>
                  </w14:solidFill>
                </w14:textFill>
              </w:rPr>
              <w:t>2</w:t>
            </w:r>
            <w:r>
              <w:rPr>
                <w:rFonts w:hint="eastAsia" w:cs="宋体"/>
                <w:color w:val="0D0D0D" w:themeColor="text1" w:themeTint="F2"/>
                <w:kern w:val="0"/>
                <w:sz w:val="24"/>
                <w:u w:val="single"/>
                <w14:textFill>
                  <w14:solidFill>
                    <w14:schemeClr w14:val="tx1">
                      <w14:lumMod w14:val="95000"/>
                      <w14:lumOff w14:val="5000"/>
                    </w14:schemeClr>
                  </w14:solidFill>
                </w14:textFill>
              </w:rPr>
              <w:t>/g</w:t>
            </w:r>
            <w:r>
              <w:rPr>
                <w:rFonts w:hint="eastAsia" w:cs="宋体"/>
                <w:bCs/>
                <w:color w:val="0D0D0D" w:themeColor="text1" w:themeTint="F2"/>
                <w:spacing w:val="-10"/>
                <w:sz w:val="24"/>
                <w:u w:val="single"/>
                <w14:textFill>
                  <w14:solidFill>
                    <w14:schemeClr w14:val="tx1">
                      <w14:lumMod w14:val="95000"/>
                      <w14:lumOff w14:val="5000"/>
                    </w14:schemeClr>
                  </w14:solidFill>
                </w14:textFill>
              </w:rPr>
              <w:t>的要求。</w:t>
            </w:r>
          </w:p>
          <w:p w14:paraId="2F65E008">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参照《排污许可证申请与核发技术规范  总则》（HJ942-2018）和《排污许可证申请与核发技术规范  汽车制造业》（</w:t>
            </w:r>
            <w:r>
              <w:rPr>
                <w:rFonts w:cs="宋体"/>
                <w:bCs/>
                <w:color w:val="0D0D0D" w:themeColor="text1" w:themeTint="F2"/>
                <w:spacing w:val="-10"/>
                <w:sz w:val="24"/>
                <w:u w:val="single"/>
                <w14:textFill>
                  <w14:solidFill>
                    <w14:schemeClr w14:val="tx1">
                      <w14:lumMod w14:val="95000"/>
                      <w14:lumOff w14:val="5000"/>
                    </w14:schemeClr>
                  </w14:solidFill>
                </w14:textFill>
              </w:rPr>
              <w:t>HJ971-2018</w:t>
            </w:r>
            <w:r>
              <w:rPr>
                <w:rFonts w:hint="eastAsia" w:cs="宋体"/>
                <w:bCs/>
                <w:color w:val="0D0D0D" w:themeColor="text1" w:themeTint="F2"/>
                <w:spacing w:val="-10"/>
                <w:sz w:val="24"/>
                <w:u w:val="single"/>
                <w14:textFill>
                  <w14:solidFill>
                    <w14:schemeClr w14:val="tx1">
                      <w14:lumMod w14:val="95000"/>
                      <w14:lumOff w14:val="5000"/>
                    </w14:schemeClr>
                  </w14:solidFill>
                </w14:textFill>
              </w:rPr>
              <w:t>），水帘柜+过滤棉+二级活性炭吸附装置属于可行性技术</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63F60AB4">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（6）排气筒设置合理性分析</w:t>
            </w:r>
          </w:p>
          <w:p w14:paraId="71058BEE">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大气污染物综合排放标准》（GB16297-1996），新污染源的排气筒一般不应低于15m，若某新污染源的排气筒必须低于15m时，其排放速率标准严格50%执行；排气筒高度除须遵守标准要求的排放速率标准值外，还应高出周围200m半径范围的建筑5米以上，不能达到该要求的排气筒应按其高度对应的表列排放速率标准值严格50%执行。</w:t>
            </w:r>
          </w:p>
          <w:p w14:paraId="7CD622EB">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DA001~DA004排气筒设置高度均为20m，周边200m范围内最高建筑物为项目生产车间，高度为15m，排气筒高度满足高出周围200m半径范围的建筑5米以上的要求。根据上文分析可知，DA001和DA002颗粒物有组织排放速率均为0.239kg/h，排放浓度均为6.83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；DA003非甲烷总烃有组织排放速率为0.353kg/h，排放浓度为17.65mg/m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；二甲苯有组织排放速率为0.194kg/h，排放浓度为9.7mg/m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；颗粒物有组织排放速率为0.008kg/h，排放浓度为0.48mg/m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，均可满足《大气污染物综合排放标准》（GB16297-1996）表2二级标准（非甲烷总烃排放速率限值为17kg/h，排放浓度限值为120mg/m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；二甲苯排放速率限值为1.7kg/h，排放浓度限值为70mg/m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；颗粒物有组织排放速率限值为5.9kg/h，排放浓度限值为120mg/m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3E067C25">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DA001、DA002和DA003排气筒均排放颗粒物，根据《大气污染物综合排放标准》（GB16297-1996），DA001和DA002距离为0.5m，DA001和DA003距离为30.5m，DA002和DA003距离为30m，距离均小于40m，即间距不超过排气筒高度之和，因此，满足等效排气筒的合并条件，需核算等效参数。</w:t>
            </w:r>
          </w:p>
          <w:p w14:paraId="19D56B24">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等效排气筒污染物排放速率按下式进行计算：</w:t>
            </w:r>
          </w:p>
          <w:p w14:paraId="2B7BF36F">
            <w:pPr>
              <w:adjustRightInd w:val="0"/>
              <w:spacing w:after="0" w:line="360" w:lineRule="auto"/>
              <w:rPr>
                <w:rFonts w:cs="宋体"/>
                <w:bCs/>
                <w:color w:val="0D0D0D" w:themeColor="text1" w:themeTint="F2"/>
                <w:spacing w:val="-10"/>
                <w:sz w:val="24"/>
                <w14:textFill>
                  <w14:solidFill>
                    <w14:schemeClr w14:val="tx1">
                      <w14:lumMod w14:val="95000"/>
                      <w14:lumOff w14:val="5000"/>
                    </w14:schemeClr>
                  </w14:solidFill>
                </w14:textFill>
              </w:rPr>
            </w:pPr>
            <m:oMathPara>
              <m:oMath>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sSub>
                  <m:sSub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bPr>
                  <m:e>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b>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1</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b>
                </m:sSub>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m:t>
                </m:r>
                <m:sSub>
                  <m:sSub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bPr>
                  <m:e>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b>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2</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b>
                </m:sSub>
              </m:oMath>
            </m:oMathPara>
          </w:p>
          <w:p w14:paraId="4D36BB5F">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式中：</w:t>
            </w:r>
          </w:p>
          <w:p w14:paraId="47BF0161">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Q——等效排气筒某污染物排放速率；</w:t>
            </w:r>
          </w:p>
          <w:p w14:paraId="05A4C63A">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Q</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1</w:t>
            </w:r>
            <w:r>
              <w:rPr>
                <w:rFonts w:hint="eastAsia" w:cs="宋体"/>
                <w:bCs/>
                <w:color w:val="0D0D0D" w:themeColor="text1" w:themeTint="F2"/>
                <w:spacing w:val="-10"/>
                <w:sz w:val="24"/>
                <w14:textFill>
                  <w14:solidFill>
                    <w14:schemeClr w14:val="tx1">
                      <w14:lumMod w14:val="95000"/>
                      <w14:lumOff w14:val="5000"/>
                    </w14:schemeClr>
                  </w14:solidFill>
                </w14:textFill>
              </w:rPr>
              <w:t>，Q</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——排气筒1和排气筒2的某污染物排放速率。</w:t>
            </w:r>
          </w:p>
          <w:p w14:paraId="1D554656">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等效排气筒高度按下式进行计算：</w:t>
            </w:r>
          </w:p>
          <w:p w14:paraId="6B780B9C">
            <w:pPr>
              <w:adjustRightInd w:val="0"/>
              <w:spacing w:after="0" w:line="360" w:lineRule="auto"/>
              <w:rPr>
                <w:rFonts w:cs="宋体"/>
                <w:bCs/>
                <w:color w:val="0D0D0D" w:themeColor="text1" w:themeTint="F2"/>
                <w:spacing w:val="-10"/>
                <w:sz w:val="24"/>
                <w14:textFill>
                  <w14:solidFill>
                    <w14:schemeClr w14:val="tx1">
                      <w14:lumMod w14:val="95000"/>
                      <w14:lumOff w14:val="5000"/>
                    </w14:schemeClr>
                  </w14:solidFill>
                </w14:textFill>
              </w:rPr>
            </w:pPr>
            <m:oMathPara>
              <m:oMath>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h=</m:t>
                </m:r>
                <m:rad>
                  <m:radPr>
                    <m:degHide m:val="1"/>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radPr>
                  <m:deg>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deg>
                  <m:e>
                    <m:f>
                      <m:f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fPr>
                      <m:num>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1</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num>
                      <m:den>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2</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den>
                    </m:f>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m:t>
                    </m:r>
                    <m:sSup>
                      <m:sSup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pPr>
                      <m:e>
                        <m:sSub>
                          <m:sSub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bPr>
                          <m:e>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h</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b>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1</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b>
                        </m:sSub>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p>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2</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p>
                    </m:sSup>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m:t>
                    </m:r>
                    <m:sSup>
                      <m:sSup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pPr>
                      <m:e>
                        <m:sSub>
                          <m:sSub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bPr>
                          <m:e>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h</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b>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2</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b>
                        </m:sSub>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p>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2</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p>
                    </m:sSup>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rad>
              </m:oMath>
            </m:oMathPara>
          </w:p>
          <w:p w14:paraId="77624C9D">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式中：</w:t>
            </w:r>
          </w:p>
          <w:p w14:paraId="11222770">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h——等效排气筒高度；</w:t>
            </w:r>
          </w:p>
          <w:p w14:paraId="664FA5AA">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h</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1</w:t>
            </w:r>
            <w:r>
              <w:rPr>
                <w:rFonts w:hint="eastAsia" w:cs="宋体"/>
                <w:bCs/>
                <w:color w:val="0D0D0D" w:themeColor="text1" w:themeTint="F2"/>
                <w:spacing w:val="-10"/>
                <w:sz w:val="24"/>
                <w14:textFill>
                  <w14:solidFill>
                    <w14:schemeClr w14:val="tx1">
                      <w14:lumMod w14:val="95000"/>
                      <w14:lumOff w14:val="5000"/>
                    </w14:schemeClr>
                  </w14:solidFill>
                </w14:textFill>
              </w:rPr>
              <w:t>，h</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——排气筒1和排气筒2的高度。</w:t>
            </w:r>
          </w:p>
          <w:p w14:paraId="18934A85">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等效排气筒的位置按下式进行计算：</w:t>
            </w:r>
          </w:p>
          <w:p w14:paraId="659E8909">
            <w:pPr>
              <w:adjustRightInd w:val="0"/>
              <w:spacing w:after="0" w:line="360" w:lineRule="auto"/>
              <w:rPr>
                <w:rFonts w:cs="宋体"/>
                <w:bCs/>
                <w:color w:val="0D0D0D" w:themeColor="text1" w:themeTint="F2"/>
                <w:spacing w:val="-10"/>
                <w:sz w:val="24"/>
                <w14:textFill>
                  <w14:solidFill>
                    <w14:schemeClr w14:val="tx1">
                      <w14:lumMod w14:val="95000"/>
                      <w14:lumOff w14:val="5000"/>
                    </w14:schemeClr>
                  </w14:solidFill>
                </w14:textFill>
              </w:rPr>
            </w:pPr>
            <m:oMathPara>
              <m:oMath>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x=</m:t>
                </m:r>
                <m:f>
                  <m:f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fPr>
                  <m:num>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α</m:t>
                    </m:r>
                    <m:d>
                      <m:d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dPr>
                      <m:e>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sSub>
                          <m:sSub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bPr>
                          <m:e>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b>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1</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b>
                        </m:sSub>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d>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num>
                  <m:den>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den>
                </m:f>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=α</m:t>
                </m:r>
                <m:f>
                  <m:f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fPr>
                  <m:num>
                    <m:sSub>
                      <m:sSubP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SubPr>
                      <m:e>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e>
                      <m:sub>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2</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sub>
                    </m:sSub>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num>
                  <m:den>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Q</m:t>
                    </m:r>
                    <m:ctrlPr>
                      <w:rPr>
                        <w:rFonts w:ascii="Cambria Math" w:hAnsi="Cambria Math" w:cs="宋体"/>
                        <w:bCs/>
                        <w:i/>
                        <w:color w:val="0D0D0D" w:themeColor="text1" w:themeTint="F2"/>
                        <w:spacing w:val="-10"/>
                        <w:sz w:val="24"/>
                        <w14:textFill>
                          <w14:solidFill>
                            <w14:schemeClr w14:val="tx1">
                              <w14:lumMod w14:val="95000"/>
                              <w14:lumOff w14:val="5000"/>
                            </w14:schemeClr>
                          </w14:solidFill>
                        </w14:textFill>
                      </w:rPr>
                    </m:ctrlPr>
                  </m:den>
                </m:f>
              </m:oMath>
            </m:oMathPara>
          </w:p>
          <w:p w14:paraId="0DFC0B5E">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式中：</w:t>
            </w:r>
          </w:p>
          <w:p w14:paraId="194CDA9C">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x——等效排气筒距离排气筒1的距离；</w:t>
            </w:r>
          </w:p>
          <w:p w14:paraId="346B54C2">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m:oMath>
              <m:r>
                <m:rPr/>
                <w:rPr>
                  <w:rFonts w:ascii="Cambria Math" w:hAnsi="Cambria Math" w:cs="宋体"/>
                  <w:color w:val="0D0D0D" w:themeColor="text1" w:themeTint="F2"/>
                  <w:spacing w:val="-10"/>
                  <w:sz w:val="24"/>
                  <w14:textFill>
                    <w14:solidFill>
                      <w14:schemeClr w14:val="tx1">
                        <w14:lumMod w14:val="95000"/>
                        <w14:lumOff w14:val="5000"/>
                      </w14:schemeClr>
                    </w14:solidFill>
                  </w14:textFill>
                </w:rPr>
                <m:t>α</m:t>
              </m:r>
            </m:oMath>
            <w:r>
              <w:rPr>
                <w:rFonts w:hint="eastAsia" w:cs="宋体"/>
                <w:bCs/>
                <w:color w:val="0D0D0D" w:themeColor="text1" w:themeTint="F2"/>
                <w:spacing w:val="-10"/>
                <w:sz w:val="24"/>
                <w14:textFill>
                  <w14:solidFill>
                    <w14:schemeClr w14:val="tx1">
                      <w14:lumMod w14:val="95000"/>
                      <w14:lumOff w14:val="5000"/>
                    </w14:schemeClr>
                  </w14:solidFill>
                </w14:textFill>
              </w:rPr>
              <w:t>——排气筒1至排气筒2的距离；</w:t>
            </w:r>
          </w:p>
          <w:p w14:paraId="149F7843">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Q，Q</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1</w:t>
            </w:r>
            <w:r>
              <w:rPr>
                <w:rFonts w:hint="eastAsia" w:cs="宋体"/>
                <w:bCs/>
                <w:color w:val="0D0D0D" w:themeColor="text1" w:themeTint="F2"/>
                <w:spacing w:val="-10"/>
                <w:sz w:val="24"/>
                <w14:textFill>
                  <w14:solidFill>
                    <w14:schemeClr w14:val="tx1">
                      <w14:lumMod w14:val="95000"/>
                      <w14:lumOff w14:val="5000"/>
                    </w14:schemeClr>
                  </w14:solidFill>
                </w14:textFill>
              </w:rPr>
              <w:t>，Q</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——同上。</w:t>
            </w:r>
          </w:p>
          <w:p w14:paraId="44D55764">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文分析可知，DA001和DA002颗粒物排放速率均为0.239kg/h，因此，DA001和DA002等效排气筒（本次评价按DA005计）排放速率为0.478kg/h。DA001和DA002高度均为20m，因此，DA005高度为20m。DA005和DA001的距离为0.25m。DA003颗粒物排放速率为0.142kg/h，因此，DA003和DA005等效排气筒排放速率为0.62kg/h。等效排气筒排放速率仍可满足《大气污染物综合排放标准》（GB16297-1996）表2二级标准。</w:t>
            </w:r>
          </w:p>
          <w:p w14:paraId="478661E2">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DA001~DA004排气筒设计出口流速均可满足常规设计流速10～15m/s要求，且排气筒严格按照《固定源废气监测技术规范》（HJ/T397-2007）要求设置采样孔和采样平台。</w:t>
            </w:r>
          </w:p>
          <w:p w14:paraId="0965EAAE">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综上，DA001~DA004排气筒设置合理可行。</w:t>
            </w:r>
          </w:p>
          <w:p w14:paraId="25E8C4F1">
            <w:pPr>
              <w:adjustRightInd w:val="0"/>
              <w:spacing w:after="0" w:line="360" w:lineRule="auto"/>
              <w:ind w:firstLine="442"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3.废气排放口基本情况</w:t>
            </w:r>
          </w:p>
          <w:p w14:paraId="6DD82013">
            <w:pPr>
              <w:adjustRightIn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项目排放口基本情况详见表4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8。</w:t>
            </w:r>
          </w:p>
          <w:p w14:paraId="17536088">
            <w:pPr>
              <w:adjustRightIn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w:t>
            </w:r>
            <w:r>
              <w:rPr>
                <w:rFonts w:cs="宋体"/>
                <w:b/>
                <w:color w:val="0D0D0D" w:themeColor="text1" w:themeTint="F2"/>
                <w:spacing w:val="-10"/>
                <w:szCs w:val="21"/>
                <w14:textFill>
                  <w14:solidFill>
                    <w14:schemeClr w14:val="tx1">
                      <w14:lumMod w14:val="95000"/>
                      <w14:lumOff w14:val="5000"/>
                    </w14:schemeClr>
                  </w14:solidFill>
                </w14:textFill>
              </w:rPr>
              <w:t>-</w:t>
            </w:r>
            <w:r>
              <w:rPr>
                <w:rFonts w:hint="eastAsia" w:cs="宋体"/>
                <w:b/>
                <w:color w:val="0D0D0D" w:themeColor="text1" w:themeTint="F2"/>
                <w:spacing w:val="-10"/>
                <w:szCs w:val="21"/>
                <w14:textFill>
                  <w14:solidFill>
                    <w14:schemeClr w14:val="tx1">
                      <w14:lumMod w14:val="95000"/>
                      <w14:lumOff w14:val="5000"/>
                    </w14:schemeClr>
                  </w14:solidFill>
                </w14:textFill>
              </w:rPr>
              <w:t>8</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废气排放口情况汇总表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451"/>
              <w:gridCol w:w="600"/>
              <w:gridCol w:w="1085"/>
              <w:gridCol w:w="883"/>
              <w:gridCol w:w="713"/>
              <w:gridCol w:w="600"/>
              <w:gridCol w:w="1337"/>
              <w:gridCol w:w="570"/>
              <w:gridCol w:w="793"/>
              <w:gridCol w:w="570"/>
              <w:gridCol w:w="611"/>
            </w:tblGrid>
            <w:tr w14:paraId="42EC3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20" w:type="pct"/>
                  <w:vMerge w:val="restart"/>
                  <w:vAlign w:val="center"/>
                </w:tcPr>
                <w:p w14:paraId="74AAFCF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排放方式</w:t>
                  </w:r>
                </w:p>
              </w:tc>
              <w:tc>
                <w:tcPr>
                  <w:tcW w:w="257" w:type="pct"/>
                  <w:vMerge w:val="restart"/>
                  <w:vAlign w:val="center"/>
                </w:tcPr>
                <w:p w14:paraId="5EB7C5CE">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w:t>
                  </w:r>
                </w:p>
                <w:p w14:paraId="4B2C58A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号</w:t>
                  </w:r>
                </w:p>
              </w:tc>
              <w:tc>
                <w:tcPr>
                  <w:tcW w:w="342" w:type="pct"/>
                  <w:vMerge w:val="restart"/>
                  <w:vAlign w:val="center"/>
                </w:tcPr>
                <w:p w14:paraId="7F5229A7">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产排污环节</w:t>
                  </w:r>
                </w:p>
              </w:tc>
              <w:tc>
                <w:tcPr>
                  <w:tcW w:w="618" w:type="pct"/>
                  <w:vMerge w:val="restart"/>
                  <w:vAlign w:val="center"/>
                </w:tcPr>
                <w:p w14:paraId="0E14D8D8">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污染物</w:t>
                  </w:r>
                </w:p>
              </w:tc>
              <w:tc>
                <w:tcPr>
                  <w:tcW w:w="3463" w:type="pct"/>
                  <w:gridSpan w:val="8"/>
                  <w:vAlign w:val="center"/>
                </w:tcPr>
                <w:p w14:paraId="50CF7C9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排放口</w:t>
                  </w:r>
                </w:p>
              </w:tc>
            </w:tr>
            <w:tr w14:paraId="20045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20" w:type="pct"/>
                  <w:vMerge w:val="continue"/>
                  <w:vAlign w:val="center"/>
                </w:tcPr>
                <w:p w14:paraId="7A37E557">
                  <w:pPr>
                    <w:spacing w:after="0"/>
                    <w:jc w:val="center"/>
                    <w:rPr>
                      <w:color w:val="0D0D0D" w:themeColor="text1" w:themeTint="F2"/>
                      <w:szCs w:val="21"/>
                      <w14:textFill>
                        <w14:solidFill>
                          <w14:schemeClr w14:val="tx1">
                            <w14:lumMod w14:val="95000"/>
                            <w14:lumOff w14:val="5000"/>
                          </w14:schemeClr>
                        </w14:solidFill>
                      </w14:textFill>
                    </w:rPr>
                  </w:pPr>
                </w:p>
              </w:tc>
              <w:tc>
                <w:tcPr>
                  <w:tcW w:w="257" w:type="pct"/>
                  <w:vMerge w:val="continue"/>
                  <w:vAlign w:val="center"/>
                </w:tcPr>
                <w:p w14:paraId="4D66393C">
                  <w:pPr>
                    <w:spacing w:after="0"/>
                    <w:jc w:val="center"/>
                    <w:rPr>
                      <w:color w:val="0D0D0D" w:themeColor="text1" w:themeTint="F2"/>
                      <w:szCs w:val="21"/>
                      <w14:textFill>
                        <w14:solidFill>
                          <w14:schemeClr w14:val="tx1">
                            <w14:lumMod w14:val="95000"/>
                            <w14:lumOff w14:val="5000"/>
                          </w14:schemeClr>
                        </w14:solidFill>
                      </w14:textFill>
                    </w:rPr>
                  </w:pPr>
                </w:p>
              </w:tc>
              <w:tc>
                <w:tcPr>
                  <w:tcW w:w="342" w:type="pct"/>
                  <w:vMerge w:val="continue"/>
                  <w:vAlign w:val="center"/>
                </w:tcPr>
                <w:p w14:paraId="65AE8BBC">
                  <w:pPr>
                    <w:spacing w:after="0"/>
                    <w:jc w:val="center"/>
                    <w:rPr>
                      <w:color w:val="0D0D0D" w:themeColor="text1" w:themeTint="F2"/>
                      <w:szCs w:val="21"/>
                      <w14:textFill>
                        <w14:solidFill>
                          <w14:schemeClr w14:val="tx1">
                            <w14:lumMod w14:val="95000"/>
                            <w14:lumOff w14:val="5000"/>
                          </w14:schemeClr>
                        </w14:solidFill>
                      </w14:textFill>
                    </w:rPr>
                  </w:pPr>
                </w:p>
              </w:tc>
              <w:tc>
                <w:tcPr>
                  <w:tcW w:w="618" w:type="pct"/>
                  <w:vMerge w:val="continue"/>
                  <w:vAlign w:val="center"/>
                </w:tcPr>
                <w:p w14:paraId="74339C70">
                  <w:pPr>
                    <w:spacing w:after="0"/>
                    <w:jc w:val="center"/>
                    <w:rPr>
                      <w:color w:val="0D0D0D" w:themeColor="text1" w:themeTint="F2"/>
                      <w:szCs w:val="21"/>
                      <w14:textFill>
                        <w14:solidFill>
                          <w14:schemeClr w14:val="tx1">
                            <w14:lumMod w14:val="95000"/>
                            <w14:lumOff w14:val="5000"/>
                          </w14:schemeClr>
                        </w14:solidFill>
                      </w14:textFill>
                    </w:rPr>
                  </w:pPr>
                </w:p>
              </w:tc>
              <w:tc>
                <w:tcPr>
                  <w:tcW w:w="503" w:type="pct"/>
                  <w:vAlign w:val="center"/>
                </w:tcPr>
                <w:p w14:paraId="7B05592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编号</w:t>
                  </w:r>
                </w:p>
              </w:tc>
              <w:tc>
                <w:tcPr>
                  <w:tcW w:w="406" w:type="pct"/>
                  <w:vAlign w:val="center"/>
                </w:tcPr>
                <w:p w14:paraId="173A906E">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名称</w:t>
                  </w:r>
                </w:p>
              </w:tc>
              <w:tc>
                <w:tcPr>
                  <w:tcW w:w="342" w:type="pct"/>
                  <w:vAlign w:val="center"/>
                </w:tcPr>
                <w:p w14:paraId="3CC37C4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类型</w:t>
                  </w:r>
                </w:p>
              </w:tc>
              <w:tc>
                <w:tcPr>
                  <w:tcW w:w="762" w:type="pct"/>
                  <w:vAlign w:val="center"/>
                </w:tcPr>
                <w:p w14:paraId="328402C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地理坐标</w:t>
                  </w:r>
                </w:p>
                <w:p w14:paraId="0D6BEC68">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325" w:type="pct"/>
                  <w:vAlign w:val="center"/>
                </w:tcPr>
                <w:p w14:paraId="00591047">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高度</w:t>
                  </w:r>
                </w:p>
                <w:p w14:paraId="73D213A2">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(m)</w:t>
                  </w:r>
                </w:p>
              </w:tc>
              <w:tc>
                <w:tcPr>
                  <w:tcW w:w="452" w:type="pct"/>
                  <w:vAlign w:val="center"/>
                </w:tcPr>
                <w:p w14:paraId="5D48359F">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烟气流速</w:t>
                  </w:r>
                </w:p>
                <w:p w14:paraId="363E0215">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(m/s)</w:t>
                  </w:r>
                </w:p>
              </w:tc>
              <w:tc>
                <w:tcPr>
                  <w:tcW w:w="325" w:type="pct"/>
                  <w:vAlign w:val="center"/>
                </w:tcPr>
                <w:p w14:paraId="03E2B9FF">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出口</w:t>
                  </w:r>
                </w:p>
                <w:p w14:paraId="2C06215D">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内径</w:t>
                  </w:r>
                </w:p>
                <w:p w14:paraId="023AA955">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(m)</w:t>
                  </w:r>
                </w:p>
              </w:tc>
              <w:tc>
                <w:tcPr>
                  <w:tcW w:w="348" w:type="pct"/>
                  <w:vAlign w:val="center"/>
                </w:tcPr>
                <w:p w14:paraId="1F7ECC5E">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排气</w:t>
                  </w:r>
                </w:p>
                <w:p w14:paraId="5E72E540">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温度</w:t>
                  </w:r>
                </w:p>
                <w:p w14:paraId="78D1B471">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58773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20" w:type="pct"/>
                  <w:vMerge w:val="restart"/>
                  <w:vAlign w:val="center"/>
                </w:tcPr>
                <w:p w14:paraId="62A42338">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有</w:t>
                  </w:r>
                </w:p>
                <w:p w14:paraId="4DE7FF9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组</w:t>
                  </w:r>
                </w:p>
                <w:p w14:paraId="58456BC5">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织</w:t>
                  </w:r>
                </w:p>
              </w:tc>
              <w:tc>
                <w:tcPr>
                  <w:tcW w:w="257" w:type="pct"/>
                  <w:vAlign w:val="center"/>
                </w:tcPr>
                <w:p w14:paraId="7A444093">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342" w:type="pct"/>
                  <w:vAlign w:val="center"/>
                </w:tcPr>
                <w:p w14:paraId="276E49B4">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抛丸</w:t>
                  </w:r>
                </w:p>
              </w:tc>
              <w:tc>
                <w:tcPr>
                  <w:tcW w:w="618" w:type="pct"/>
                  <w:vAlign w:val="center"/>
                </w:tcPr>
                <w:p w14:paraId="4D0E536F">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颗粒物</w:t>
                  </w:r>
                </w:p>
              </w:tc>
              <w:tc>
                <w:tcPr>
                  <w:tcW w:w="503" w:type="pct"/>
                  <w:vAlign w:val="center"/>
                </w:tcPr>
                <w:p w14:paraId="39A3A962">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DA001</w:t>
                  </w:r>
                </w:p>
              </w:tc>
              <w:tc>
                <w:tcPr>
                  <w:tcW w:w="406" w:type="pct"/>
                  <w:vAlign w:val="center"/>
                </w:tcPr>
                <w:p w14:paraId="56A5E932">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1＃抛丸排气筒</w:t>
                  </w:r>
                </w:p>
              </w:tc>
              <w:tc>
                <w:tcPr>
                  <w:tcW w:w="342" w:type="pct"/>
                  <w:vMerge w:val="restart"/>
                  <w:vAlign w:val="center"/>
                </w:tcPr>
                <w:p w14:paraId="35EFFFC7">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一般排放口</w:t>
                  </w:r>
                </w:p>
              </w:tc>
              <w:tc>
                <w:tcPr>
                  <w:tcW w:w="762" w:type="pct"/>
                  <w:vAlign w:val="center"/>
                </w:tcPr>
                <w:p w14:paraId="53343C40">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108.655044</w:t>
                  </w:r>
                  <w:r>
                    <w:rPr>
                      <w:rFonts w:hint="eastAsia"/>
                      <w:color w:val="0D0D0D" w:themeColor="text1" w:themeTint="F2"/>
                      <w:szCs w:val="21"/>
                      <w14:textFill>
                        <w14:solidFill>
                          <w14:schemeClr w14:val="tx1">
                            <w14:lumMod w14:val="95000"/>
                            <w14:lumOff w14:val="5000"/>
                          </w14:schemeClr>
                        </w14:solidFill>
                      </w14:textFill>
                    </w:rPr>
                    <w:t>,</w:t>
                  </w:r>
                </w:p>
                <w:p w14:paraId="15F83D9E">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21.709817</w:t>
                  </w:r>
                </w:p>
              </w:tc>
              <w:tc>
                <w:tcPr>
                  <w:tcW w:w="325" w:type="pct"/>
                  <w:vAlign w:val="center"/>
                </w:tcPr>
                <w:p w14:paraId="6F608C1F">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w:t>
                  </w:r>
                </w:p>
              </w:tc>
              <w:tc>
                <w:tcPr>
                  <w:tcW w:w="452" w:type="pct"/>
                  <w:vAlign w:val="center"/>
                </w:tcPr>
                <w:p w14:paraId="65EC642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14.44</w:t>
                  </w:r>
                </w:p>
              </w:tc>
              <w:tc>
                <w:tcPr>
                  <w:tcW w:w="325" w:type="pct"/>
                  <w:vAlign w:val="center"/>
                </w:tcPr>
                <w:p w14:paraId="38CB9678">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0.7</w:t>
                  </w:r>
                </w:p>
              </w:tc>
              <w:tc>
                <w:tcPr>
                  <w:tcW w:w="348" w:type="pct"/>
                  <w:vAlign w:val="center"/>
                </w:tcPr>
                <w:p w14:paraId="7558530E">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r>
            <w:tr w14:paraId="774C0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20" w:type="pct"/>
                  <w:vMerge w:val="continue"/>
                  <w:vAlign w:val="center"/>
                </w:tcPr>
                <w:p w14:paraId="7137F0A5">
                  <w:pPr>
                    <w:spacing w:after="0"/>
                    <w:jc w:val="center"/>
                    <w:rPr>
                      <w:color w:val="0D0D0D" w:themeColor="text1" w:themeTint="F2"/>
                      <w:szCs w:val="21"/>
                      <w14:textFill>
                        <w14:solidFill>
                          <w14:schemeClr w14:val="tx1">
                            <w14:lumMod w14:val="95000"/>
                            <w14:lumOff w14:val="5000"/>
                          </w14:schemeClr>
                        </w14:solidFill>
                      </w14:textFill>
                    </w:rPr>
                  </w:pPr>
                </w:p>
              </w:tc>
              <w:tc>
                <w:tcPr>
                  <w:tcW w:w="257" w:type="pct"/>
                  <w:vAlign w:val="center"/>
                </w:tcPr>
                <w:p w14:paraId="0A17E3A1">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342" w:type="pct"/>
                  <w:vAlign w:val="center"/>
                </w:tcPr>
                <w:p w14:paraId="51844A5D">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抛丸</w:t>
                  </w:r>
                </w:p>
              </w:tc>
              <w:tc>
                <w:tcPr>
                  <w:tcW w:w="618" w:type="pct"/>
                  <w:vAlign w:val="center"/>
                </w:tcPr>
                <w:p w14:paraId="5B25B870">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颗粒物</w:t>
                  </w:r>
                </w:p>
              </w:tc>
              <w:tc>
                <w:tcPr>
                  <w:tcW w:w="503" w:type="pct"/>
                  <w:vAlign w:val="center"/>
                </w:tcPr>
                <w:p w14:paraId="512174AE">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DA002</w:t>
                  </w:r>
                </w:p>
              </w:tc>
              <w:tc>
                <w:tcPr>
                  <w:tcW w:w="406" w:type="pct"/>
                  <w:vAlign w:val="center"/>
                </w:tcPr>
                <w:p w14:paraId="0B8628CE">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1＃抛丸排气筒</w:t>
                  </w:r>
                </w:p>
              </w:tc>
              <w:tc>
                <w:tcPr>
                  <w:tcW w:w="342" w:type="pct"/>
                  <w:vMerge w:val="continue"/>
                  <w:vAlign w:val="center"/>
                </w:tcPr>
                <w:p w14:paraId="34D82866">
                  <w:pPr>
                    <w:spacing w:after="0"/>
                    <w:jc w:val="center"/>
                    <w:rPr>
                      <w:color w:val="0D0D0D" w:themeColor="text1" w:themeTint="F2"/>
                      <w:szCs w:val="21"/>
                      <w14:textFill>
                        <w14:solidFill>
                          <w14:schemeClr w14:val="tx1">
                            <w14:lumMod w14:val="95000"/>
                            <w14:lumOff w14:val="5000"/>
                          </w14:schemeClr>
                        </w14:solidFill>
                      </w14:textFill>
                    </w:rPr>
                  </w:pPr>
                </w:p>
              </w:tc>
              <w:tc>
                <w:tcPr>
                  <w:tcW w:w="762" w:type="pct"/>
                  <w:vAlign w:val="center"/>
                </w:tcPr>
                <w:p w14:paraId="6392A86B">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108.655048</w:t>
                  </w:r>
                  <w:r>
                    <w:rPr>
                      <w:rFonts w:hint="eastAsia"/>
                      <w:color w:val="0D0D0D" w:themeColor="text1" w:themeTint="F2"/>
                      <w:szCs w:val="21"/>
                      <w14:textFill>
                        <w14:solidFill>
                          <w14:schemeClr w14:val="tx1">
                            <w14:lumMod w14:val="95000"/>
                            <w14:lumOff w14:val="5000"/>
                          </w14:schemeClr>
                        </w14:solidFill>
                      </w14:textFill>
                    </w:rPr>
                    <w:t>,</w:t>
                  </w:r>
                </w:p>
                <w:p w14:paraId="0C540922">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21.709839</w:t>
                  </w:r>
                </w:p>
              </w:tc>
              <w:tc>
                <w:tcPr>
                  <w:tcW w:w="325" w:type="pct"/>
                  <w:vAlign w:val="center"/>
                </w:tcPr>
                <w:p w14:paraId="0EEF254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w:t>
                  </w:r>
                </w:p>
              </w:tc>
              <w:tc>
                <w:tcPr>
                  <w:tcW w:w="452" w:type="pct"/>
                  <w:vAlign w:val="center"/>
                </w:tcPr>
                <w:p w14:paraId="07762363">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14.44</w:t>
                  </w:r>
                </w:p>
              </w:tc>
              <w:tc>
                <w:tcPr>
                  <w:tcW w:w="325" w:type="pct"/>
                  <w:vAlign w:val="center"/>
                </w:tcPr>
                <w:p w14:paraId="5A38337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0.7</w:t>
                  </w:r>
                </w:p>
              </w:tc>
              <w:tc>
                <w:tcPr>
                  <w:tcW w:w="348" w:type="pct"/>
                  <w:vAlign w:val="center"/>
                </w:tcPr>
                <w:p w14:paraId="391BB71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r>
            <w:tr w14:paraId="54159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20" w:type="pct"/>
                  <w:vMerge w:val="continue"/>
                  <w:vAlign w:val="center"/>
                </w:tcPr>
                <w:p w14:paraId="3A2F92BB">
                  <w:pPr>
                    <w:spacing w:after="0"/>
                    <w:jc w:val="center"/>
                    <w:rPr>
                      <w:color w:val="0D0D0D" w:themeColor="text1" w:themeTint="F2"/>
                      <w:szCs w:val="21"/>
                      <w14:textFill>
                        <w14:solidFill>
                          <w14:schemeClr w14:val="tx1">
                            <w14:lumMod w14:val="95000"/>
                            <w14:lumOff w14:val="5000"/>
                          </w14:schemeClr>
                        </w14:solidFill>
                      </w14:textFill>
                    </w:rPr>
                  </w:pPr>
                </w:p>
              </w:tc>
              <w:tc>
                <w:tcPr>
                  <w:tcW w:w="257" w:type="pct"/>
                  <w:vAlign w:val="center"/>
                </w:tcPr>
                <w:p w14:paraId="4E1CD731">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342" w:type="pct"/>
                  <w:vAlign w:val="center"/>
                </w:tcPr>
                <w:p w14:paraId="437842AD">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w:t>
                  </w:r>
                </w:p>
              </w:tc>
              <w:tc>
                <w:tcPr>
                  <w:tcW w:w="618" w:type="pct"/>
                  <w:vAlign w:val="center"/>
                </w:tcPr>
                <w:p w14:paraId="77A2B272">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颗粒物、非甲烷总烃、二甲苯</w:t>
                  </w:r>
                </w:p>
              </w:tc>
              <w:tc>
                <w:tcPr>
                  <w:tcW w:w="503" w:type="pct"/>
                  <w:vAlign w:val="center"/>
                </w:tcPr>
                <w:p w14:paraId="37A4CA2F">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DA003</w:t>
                  </w:r>
                </w:p>
              </w:tc>
              <w:tc>
                <w:tcPr>
                  <w:tcW w:w="406" w:type="pct"/>
                  <w:vAlign w:val="center"/>
                </w:tcPr>
                <w:p w14:paraId="47ED2FD6">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喷漆排气筒</w:t>
                  </w:r>
                </w:p>
              </w:tc>
              <w:tc>
                <w:tcPr>
                  <w:tcW w:w="342" w:type="pct"/>
                  <w:vMerge w:val="continue"/>
                  <w:vAlign w:val="center"/>
                </w:tcPr>
                <w:p w14:paraId="7150F882">
                  <w:pPr>
                    <w:spacing w:after="0"/>
                    <w:jc w:val="center"/>
                    <w:rPr>
                      <w:color w:val="0D0D0D" w:themeColor="text1" w:themeTint="F2"/>
                      <w:szCs w:val="21"/>
                      <w14:textFill>
                        <w14:solidFill>
                          <w14:schemeClr w14:val="tx1">
                            <w14:lumMod w14:val="95000"/>
                            <w14:lumOff w14:val="5000"/>
                          </w14:schemeClr>
                        </w14:solidFill>
                      </w14:textFill>
                    </w:rPr>
                  </w:pPr>
                </w:p>
              </w:tc>
              <w:tc>
                <w:tcPr>
                  <w:tcW w:w="762" w:type="pct"/>
                  <w:vAlign w:val="center"/>
                </w:tcPr>
                <w:p w14:paraId="4A5A9647">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108.655084</w:t>
                  </w:r>
                  <w:r>
                    <w:rPr>
                      <w:rFonts w:hint="eastAsia"/>
                      <w:color w:val="0D0D0D" w:themeColor="text1" w:themeTint="F2"/>
                      <w:szCs w:val="21"/>
                      <w14:textFill>
                        <w14:solidFill>
                          <w14:schemeClr w14:val="tx1">
                            <w14:lumMod w14:val="95000"/>
                            <w14:lumOff w14:val="5000"/>
                          </w14:schemeClr>
                        </w14:solidFill>
                      </w14:textFill>
                    </w:rPr>
                    <w:t>,</w:t>
                  </w:r>
                </w:p>
                <w:p w14:paraId="1043EFCC">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21.710083</w:t>
                  </w:r>
                </w:p>
              </w:tc>
              <w:tc>
                <w:tcPr>
                  <w:tcW w:w="325" w:type="pct"/>
                  <w:vAlign w:val="center"/>
                </w:tcPr>
                <w:p w14:paraId="19531BF6">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w:t>
                  </w:r>
                </w:p>
              </w:tc>
              <w:tc>
                <w:tcPr>
                  <w:tcW w:w="452" w:type="pct"/>
                  <w:vAlign w:val="center"/>
                </w:tcPr>
                <w:p w14:paraId="24645E5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14.44</w:t>
                  </w:r>
                </w:p>
              </w:tc>
              <w:tc>
                <w:tcPr>
                  <w:tcW w:w="325" w:type="pct"/>
                  <w:vAlign w:val="center"/>
                </w:tcPr>
                <w:p w14:paraId="398435B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0.7</w:t>
                  </w:r>
                </w:p>
              </w:tc>
              <w:tc>
                <w:tcPr>
                  <w:tcW w:w="348" w:type="pct"/>
                  <w:vAlign w:val="center"/>
                </w:tcPr>
                <w:p w14:paraId="200DFFA8">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r>
            <w:tr w14:paraId="75A73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20" w:type="pct"/>
                  <w:vMerge w:val="continue"/>
                  <w:vAlign w:val="center"/>
                </w:tcPr>
                <w:p w14:paraId="5B45A2A9">
                  <w:pPr>
                    <w:spacing w:after="0"/>
                    <w:jc w:val="center"/>
                    <w:rPr>
                      <w:color w:val="0D0D0D" w:themeColor="text1" w:themeTint="F2"/>
                      <w:szCs w:val="21"/>
                      <w14:textFill>
                        <w14:solidFill>
                          <w14:schemeClr w14:val="tx1">
                            <w14:lumMod w14:val="95000"/>
                            <w14:lumOff w14:val="5000"/>
                          </w14:schemeClr>
                        </w14:solidFill>
                      </w14:textFill>
                    </w:rPr>
                  </w:pPr>
                </w:p>
              </w:tc>
              <w:tc>
                <w:tcPr>
                  <w:tcW w:w="257" w:type="pct"/>
                  <w:vAlign w:val="center"/>
                </w:tcPr>
                <w:p w14:paraId="197E15D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342" w:type="pct"/>
                  <w:vAlign w:val="center"/>
                </w:tcPr>
                <w:p w14:paraId="1518E141">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危废暂存间</w:t>
                  </w:r>
                </w:p>
              </w:tc>
              <w:tc>
                <w:tcPr>
                  <w:tcW w:w="618" w:type="pct"/>
                  <w:vAlign w:val="center"/>
                </w:tcPr>
                <w:p w14:paraId="76862FA9">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非甲烷总烃、二甲苯</w:t>
                  </w:r>
                </w:p>
              </w:tc>
              <w:tc>
                <w:tcPr>
                  <w:tcW w:w="503" w:type="pct"/>
                  <w:vAlign w:val="center"/>
                </w:tcPr>
                <w:p w14:paraId="14DF5750">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DA004</w:t>
                  </w:r>
                </w:p>
              </w:tc>
              <w:tc>
                <w:tcPr>
                  <w:tcW w:w="406" w:type="pct"/>
                  <w:vAlign w:val="center"/>
                </w:tcPr>
                <w:p w14:paraId="572567B6">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危废暂存间排气筒</w:t>
                  </w:r>
                </w:p>
              </w:tc>
              <w:tc>
                <w:tcPr>
                  <w:tcW w:w="342" w:type="pct"/>
                  <w:vMerge w:val="continue"/>
                  <w:vAlign w:val="center"/>
                </w:tcPr>
                <w:p w14:paraId="51088E2D">
                  <w:pPr>
                    <w:spacing w:after="0"/>
                    <w:jc w:val="center"/>
                    <w:rPr>
                      <w:color w:val="0D0D0D" w:themeColor="text1" w:themeTint="F2"/>
                      <w:szCs w:val="21"/>
                      <w14:textFill>
                        <w14:solidFill>
                          <w14:schemeClr w14:val="tx1">
                            <w14:lumMod w14:val="95000"/>
                            <w14:lumOff w14:val="5000"/>
                          </w14:schemeClr>
                        </w14:solidFill>
                      </w14:textFill>
                    </w:rPr>
                  </w:pPr>
                </w:p>
              </w:tc>
              <w:tc>
                <w:tcPr>
                  <w:tcW w:w="762" w:type="pct"/>
                  <w:vAlign w:val="center"/>
                </w:tcPr>
                <w:p w14:paraId="5043451D">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108.655165</w:t>
                  </w:r>
                  <w:r>
                    <w:rPr>
                      <w:rFonts w:hint="eastAsia"/>
                      <w:color w:val="0D0D0D" w:themeColor="text1" w:themeTint="F2"/>
                      <w:szCs w:val="21"/>
                      <w14:textFill>
                        <w14:solidFill>
                          <w14:schemeClr w14:val="tx1">
                            <w14:lumMod w14:val="95000"/>
                            <w14:lumOff w14:val="5000"/>
                          </w14:schemeClr>
                        </w14:solidFill>
                      </w14:textFill>
                    </w:rPr>
                    <w:t>,</w:t>
                  </w:r>
                </w:p>
                <w:p w14:paraId="3FBF5189">
                  <w:pPr>
                    <w:spacing w:after="0"/>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21.710574</w:t>
                  </w:r>
                </w:p>
              </w:tc>
              <w:tc>
                <w:tcPr>
                  <w:tcW w:w="325" w:type="pct"/>
                  <w:vAlign w:val="center"/>
                </w:tcPr>
                <w:p w14:paraId="29A7D31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w:t>
                  </w:r>
                </w:p>
              </w:tc>
              <w:tc>
                <w:tcPr>
                  <w:tcW w:w="452" w:type="pct"/>
                  <w:vAlign w:val="center"/>
                </w:tcPr>
                <w:p w14:paraId="265A8096">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14.44</w:t>
                  </w:r>
                </w:p>
              </w:tc>
              <w:tc>
                <w:tcPr>
                  <w:tcW w:w="325" w:type="pct"/>
                  <w:vAlign w:val="center"/>
                </w:tcPr>
                <w:p w14:paraId="7903C2C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0.7</w:t>
                  </w:r>
                </w:p>
              </w:tc>
              <w:tc>
                <w:tcPr>
                  <w:tcW w:w="348" w:type="pct"/>
                  <w:vAlign w:val="center"/>
                </w:tcPr>
                <w:p w14:paraId="2054F0D1">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r>
          </w:tbl>
          <w:p w14:paraId="2B7079D1">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4.非正常工况</w:t>
            </w:r>
          </w:p>
          <w:p w14:paraId="14FDFEE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非正常排放是指生产过程中开停车、设备检修、工艺设备运转异常等非正常工况下的污染物排放，以及污染物排放控制措施达不到应有效率等情况下的排放。</w:t>
            </w:r>
          </w:p>
          <w:p w14:paraId="6F288B5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项目废气非正常工况排放主要考虑滤筒除尘器、“水帘柜+过滤棉+二级活性炭吸附装置”出现故障，废气处理效率降低至0，但废气收集系统可以正常运行，废气直接通过排气筒排放的情况。</w:t>
            </w:r>
          </w:p>
          <w:p w14:paraId="01760430">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项目非正常</w:t>
            </w:r>
            <w:r>
              <w:rPr>
                <w:rFonts w:hint="eastAsia" w:cs="宋体"/>
                <w:bCs/>
                <w:color w:val="0D0D0D" w:themeColor="text1" w:themeTint="F2"/>
                <w:spacing w:val="-10"/>
                <w:sz w:val="24"/>
                <w14:textFill>
                  <w14:solidFill>
                    <w14:schemeClr w14:val="tx1">
                      <w14:lumMod w14:val="95000"/>
                      <w14:lumOff w14:val="5000"/>
                    </w14:schemeClr>
                  </w14:solidFill>
                </w14:textFill>
              </w:rPr>
              <w:t>工况源强</w:t>
            </w:r>
            <w:r>
              <w:rPr>
                <w:rFonts w:cs="宋体"/>
                <w:bCs/>
                <w:color w:val="0D0D0D" w:themeColor="text1" w:themeTint="F2"/>
                <w:spacing w:val="-10"/>
                <w:sz w:val="24"/>
                <w14:textFill>
                  <w14:solidFill>
                    <w14:schemeClr w14:val="tx1">
                      <w14:lumMod w14:val="95000"/>
                      <w14:lumOff w14:val="5000"/>
                    </w14:schemeClr>
                  </w14:solidFill>
                </w14:textFill>
              </w:rPr>
              <w:t>详见表</w:t>
            </w:r>
            <w:r>
              <w:rPr>
                <w:rFonts w:hint="eastAsia" w:cs="宋体"/>
                <w:bCs/>
                <w:color w:val="0D0D0D" w:themeColor="text1" w:themeTint="F2"/>
                <w:spacing w:val="-10"/>
                <w:sz w:val="24"/>
                <w14:textFill>
                  <w14:solidFill>
                    <w14:schemeClr w14:val="tx1">
                      <w14:lumMod w14:val="95000"/>
                      <w14:lumOff w14:val="5000"/>
                    </w14:schemeClr>
                  </w14:solidFill>
                </w14:textFill>
              </w:rPr>
              <w:t>4-9。</w:t>
            </w:r>
          </w:p>
          <w:p w14:paraId="278B63DB">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表4-9</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非正常工况一览表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2088"/>
              <w:gridCol w:w="623"/>
              <w:gridCol w:w="1437"/>
              <w:gridCol w:w="1239"/>
              <w:gridCol w:w="698"/>
              <w:gridCol w:w="676"/>
              <w:gridCol w:w="1187"/>
            </w:tblGrid>
            <w:tr w14:paraId="491C5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Align w:val="center"/>
                </w:tcPr>
                <w:p w14:paraId="298287CD">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污染源</w:t>
                  </w:r>
                </w:p>
              </w:tc>
              <w:tc>
                <w:tcPr>
                  <w:tcW w:w="1190" w:type="pct"/>
                  <w:vAlign w:val="center"/>
                </w:tcPr>
                <w:p w14:paraId="0FA08E24">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原因</w:t>
                  </w:r>
                </w:p>
              </w:tc>
              <w:tc>
                <w:tcPr>
                  <w:tcW w:w="355" w:type="pct"/>
                  <w:vAlign w:val="center"/>
                </w:tcPr>
                <w:p w14:paraId="1D79C1ED">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污染物</w:t>
                  </w:r>
                </w:p>
              </w:tc>
              <w:tc>
                <w:tcPr>
                  <w:tcW w:w="819" w:type="pct"/>
                  <w:vAlign w:val="center"/>
                </w:tcPr>
                <w:p w14:paraId="63115DD3">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排放浓度（m</w:t>
                  </w:r>
                  <w:r>
                    <w:rPr>
                      <w:color w:val="0D0D0D" w:themeColor="text1" w:themeTint="F2"/>
                      <w:szCs w:val="21"/>
                      <w14:textFill>
                        <w14:solidFill>
                          <w14:schemeClr w14:val="tx1">
                            <w14:lumMod w14:val="95000"/>
                            <w14:lumOff w14:val="5000"/>
                          </w14:schemeClr>
                        </w14:solidFill>
                      </w14:textFill>
                    </w:rPr>
                    <w:t>g/m</w:t>
                  </w:r>
                  <w:r>
                    <w:rPr>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w:t>
                  </w:r>
                </w:p>
              </w:tc>
              <w:tc>
                <w:tcPr>
                  <w:tcW w:w="706" w:type="pct"/>
                  <w:vAlign w:val="center"/>
                </w:tcPr>
                <w:p w14:paraId="2C495D1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排放速率（k</w:t>
                  </w:r>
                  <w:r>
                    <w:rPr>
                      <w:color w:val="0D0D0D" w:themeColor="text1" w:themeTint="F2"/>
                      <w:szCs w:val="21"/>
                      <w14:textFill>
                        <w14:solidFill>
                          <w14:schemeClr w14:val="tx1">
                            <w14:lumMod w14:val="95000"/>
                            <w14:lumOff w14:val="5000"/>
                          </w14:schemeClr>
                        </w14:solidFill>
                      </w14:textFill>
                    </w:rPr>
                    <w:t>g/h</w:t>
                  </w:r>
                  <w:r>
                    <w:rPr>
                      <w:rFonts w:hint="eastAsia"/>
                      <w:color w:val="0D0D0D" w:themeColor="text1" w:themeTint="F2"/>
                      <w:szCs w:val="21"/>
                      <w14:textFill>
                        <w14:solidFill>
                          <w14:schemeClr w14:val="tx1">
                            <w14:lumMod w14:val="95000"/>
                            <w14:lumOff w14:val="5000"/>
                          </w14:schemeClr>
                        </w14:solidFill>
                      </w14:textFill>
                    </w:rPr>
                    <w:t>）</w:t>
                  </w:r>
                </w:p>
              </w:tc>
              <w:tc>
                <w:tcPr>
                  <w:tcW w:w="398" w:type="pct"/>
                  <w:vAlign w:val="center"/>
                </w:tcPr>
                <w:p w14:paraId="158590C1">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单次持续时间/</w:t>
                  </w:r>
                  <w:r>
                    <w:rPr>
                      <w:color w:val="0D0D0D" w:themeColor="text1" w:themeTint="F2"/>
                      <w:szCs w:val="21"/>
                      <w14:textFill>
                        <w14:solidFill>
                          <w14:schemeClr w14:val="tx1">
                            <w14:lumMod w14:val="95000"/>
                            <w14:lumOff w14:val="5000"/>
                          </w14:schemeClr>
                        </w14:solidFill>
                      </w14:textFill>
                    </w:rPr>
                    <w:t>h</w:t>
                  </w:r>
                </w:p>
              </w:tc>
              <w:tc>
                <w:tcPr>
                  <w:tcW w:w="385" w:type="pct"/>
                  <w:vAlign w:val="center"/>
                </w:tcPr>
                <w:p w14:paraId="400EFB94">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年发生频次/次</w:t>
                  </w:r>
                </w:p>
              </w:tc>
              <w:tc>
                <w:tcPr>
                  <w:tcW w:w="677" w:type="pct"/>
                  <w:vAlign w:val="center"/>
                </w:tcPr>
                <w:p w14:paraId="19D630D6">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应对措施</w:t>
                  </w:r>
                </w:p>
              </w:tc>
            </w:tr>
            <w:tr w14:paraId="4AB79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Align w:val="center"/>
                </w:tcPr>
                <w:p w14:paraId="5ECD01FE">
                  <w:pPr>
                    <w:spacing w:after="0"/>
                    <w:jc w:val="center"/>
                    <w:rPr>
                      <w:color w:val="0D0D0D" w:themeColor="text1" w:themeTint="F2"/>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DA001</w:t>
                  </w:r>
                </w:p>
              </w:tc>
              <w:tc>
                <w:tcPr>
                  <w:tcW w:w="1190" w:type="pct"/>
                  <w:vAlign w:val="center"/>
                </w:tcPr>
                <w:p w14:paraId="79D24503">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滤筒除尘器失效，处置效率为0</w:t>
                  </w:r>
                  <w:r>
                    <w:rPr>
                      <w:color w:val="0D0D0D" w:themeColor="text1" w:themeTint="F2"/>
                      <w:szCs w:val="21"/>
                      <w14:textFill>
                        <w14:solidFill>
                          <w14:schemeClr w14:val="tx1">
                            <w14:lumMod w14:val="95000"/>
                            <w14:lumOff w14:val="5000"/>
                          </w14:schemeClr>
                        </w14:solidFill>
                      </w14:textFill>
                    </w:rPr>
                    <w:t>%</w:t>
                  </w:r>
                </w:p>
              </w:tc>
              <w:tc>
                <w:tcPr>
                  <w:tcW w:w="355" w:type="pct"/>
                  <w:vAlign w:val="center"/>
                </w:tcPr>
                <w:p w14:paraId="12AE78D5">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颗粒物</w:t>
                  </w:r>
                </w:p>
              </w:tc>
              <w:tc>
                <w:tcPr>
                  <w:tcW w:w="819" w:type="pct"/>
                  <w:vAlign w:val="center"/>
                </w:tcPr>
                <w:p w14:paraId="4A5E36D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11.95</w:t>
                  </w:r>
                </w:p>
              </w:tc>
              <w:tc>
                <w:tcPr>
                  <w:tcW w:w="706" w:type="pct"/>
                  <w:vAlign w:val="center"/>
                </w:tcPr>
                <w:p w14:paraId="1B6B413C">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0.239</w:t>
                  </w:r>
                </w:p>
              </w:tc>
              <w:tc>
                <w:tcPr>
                  <w:tcW w:w="398" w:type="pct"/>
                  <w:vMerge w:val="restart"/>
                  <w:vAlign w:val="center"/>
                </w:tcPr>
                <w:p w14:paraId="7CB24DD2">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385" w:type="pct"/>
                  <w:vMerge w:val="restart"/>
                  <w:vAlign w:val="center"/>
                </w:tcPr>
                <w:p w14:paraId="5F6065E0">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1次</w:t>
                  </w:r>
                </w:p>
              </w:tc>
              <w:tc>
                <w:tcPr>
                  <w:tcW w:w="677" w:type="pct"/>
                  <w:vMerge w:val="restart"/>
                  <w:vAlign w:val="center"/>
                </w:tcPr>
                <w:p w14:paraId="1031347E">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停止生产，对环保设备</w:t>
                  </w:r>
                  <w:r>
                    <w:rPr>
                      <w:color w:val="0D0D0D" w:themeColor="text1" w:themeTint="F2"/>
                      <w:szCs w:val="21"/>
                      <w14:textFill>
                        <w14:solidFill>
                          <w14:schemeClr w14:val="tx1">
                            <w14:lumMod w14:val="95000"/>
                            <w14:lumOff w14:val="5000"/>
                          </w14:schemeClr>
                        </w14:solidFill>
                      </w14:textFill>
                    </w:rPr>
                    <w:t>进行检修</w:t>
                  </w:r>
                </w:p>
              </w:tc>
            </w:tr>
            <w:tr w14:paraId="4D34B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Align w:val="center"/>
                </w:tcPr>
                <w:p w14:paraId="7F5F53A1">
                  <w:pPr>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DA002</w:t>
                  </w:r>
                </w:p>
              </w:tc>
              <w:tc>
                <w:tcPr>
                  <w:tcW w:w="1190" w:type="pct"/>
                  <w:vAlign w:val="center"/>
                </w:tcPr>
                <w:p w14:paraId="07184260">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滤筒除尘器失效，处置效率为0</w:t>
                  </w:r>
                  <w:r>
                    <w:rPr>
                      <w:color w:val="0D0D0D" w:themeColor="text1" w:themeTint="F2"/>
                      <w:szCs w:val="21"/>
                      <w14:textFill>
                        <w14:solidFill>
                          <w14:schemeClr w14:val="tx1">
                            <w14:lumMod w14:val="95000"/>
                            <w14:lumOff w14:val="5000"/>
                          </w14:schemeClr>
                        </w14:solidFill>
                      </w14:textFill>
                    </w:rPr>
                    <w:t>%</w:t>
                  </w:r>
                </w:p>
              </w:tc>
              <w:tc>
                <w:tcPr>
                  <w:tcW w:w="355" w:type="pct"/>
                  <w:vAlign w:val="center"/>
                </w:tcPr>
                <w:p w14:paraId="48B70C28">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颗粒物</w:t>
                  </w:r>
                </w:p>
              </w:tc>
              <w:tc>
                <w:tcPr>
                  <w:tcW w:w="819" w:type="pct"/>
                  <w:vAlign w:val="center"/>
                </w:tcPr>
                <w:p w14:paraId="315A259C">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11.95</w:t>
                  </w:r>
                </w:p>
              </w:tc>
              <w:tc>
                <w:tcPr>
                  <w:tcW w:w="706" w:type="pct"/>
                  <w:vAlign w:val="center"/>
                </w:tcPr>
                <w:p w14:paraId="6A61ABA9">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0.239</w:t>
                  </w:r>
                </w:p>
              </w:tc>
              <w:tc>
                <w:tcPr>
                  <w:tcW w:w="398" w:type="pct"/>
                  <w:vMerge w:val="continue"/>
                  <w:vAlign w:val="center"/>
                </w:tcPr>
                <w:p w14:paraId="40035201">
                  <w:pPr>
                    <w:spacing w:after="0"/>
                    <w:jc w:val="center"/>
                    <w:rPr>
                      <w:color w:val="0D0D0D" w:themeColor="text1" w:themeTint="F2"/>
                      <w:szCs w:val="21"/>
                      <w14:textFill>
                        <w14:solidFill>
                          <w14:schemeClr w14:val="tx1">
                            <w14:lumMod w14:val="95000"/>
                            <w14:lumOff w14:val="5000"/>
                          </w14:schemeClr>
                        </w14:solidFill>
                      </w14:textFill>
                    </w:rPr>
                  </w:pPr>
                </w:p>
              </w:tc>
              <w:tc>
                <w:tcPr>
                  <w:tcW w:w="385" w:type="pct"/>
                  <w:vMerge w:val="continue"/>
                  <w:vAlign w:val="center"/>
                </w:tcPr>
                <w:p w14:paraId="5A6DC182">
                  <w:pPr>
                    <w:spacing w:after="0"/>
                    <w:jc w:val="center"/>
                    <w:rPr>
                      <w:color w:val="0D0D0D" w:themeColor="text1" w:themeTint="F2"/>
                      <w:szCs w:val="21"/>
                      <w14:textFill>
                        <w14:solidFill>
                          <w14:schemeClr w14:val="tx1">
                            <w14:lumMod w14:val="95000"/>
                            <w14:lumOff w14:val="5000"/>
                          </w14:schemeClr>
                        </w14:solidFill>
                      </w14:textFill>
                    </w:rPr>
                  </w:pPr>
                </w:p>
              </w:tc>
              <w:tc>
                <w:tcPr>
                  <w:tcW w:w="677" w:type="pct"/>
                  <w:vMerge w:val="continue"/>
                  <w:vAlign w:val="center"/>
                </w:tcPr>
                <w:p w14:paraId="3FA58D91">
                  <w:pPr>
                    <w:spacing w:after="0"/>
                    <w:jc w:val="center"/>
                    <w:rPr>
                      <w:color w:val="0D0D0D" w:themeColor="text1" w:themeTint="F2"/>
                      <w:szCs w:val="21"/>
                      <w14:textFill>
                        <w14:solidFill>
                          <w14:schemeClr w14:val="tx1">
                            <w14:lumMod w14:val="95000"/>
                            <w14:lumOff w14:val="5000"/>
                          </w14:schemeClr>
                        </w14:solidFill>
                      </w14:textFill>
                    </w:rPr>
                  </w:pPr>
                </w:p>
              </w:tc>
            </w:tr>
            <w:tr w14:paraId="03215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restart"/>
                  <w:vAlign w:val="center"/>
                </w:tcPr>
                <w:p w14:paraId="7A927717">
                  <w:pPr>
                    <w:spacing w:after="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DA003</w:t>
                  </w:r>
                </w:p>
              </w:tc>
              <w:tc>
                <w:tcPr>
                  <w:tcW w:w="1190" w:type="pct"/>
                  <w:vMerge w:val="restart"/>
                  <w:vAlign w:val="center"/>
                </w:tcPr>
                <w:p w14:paraId="5FEFB859">
                  <w:pPr>
                    <w:spacing w:after="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水帘柜+过滤棉+1＃二级活性炭吸附装置失效，处置效率为0</w:t>
                  </w:r>
                  <w:r>
                    <w:rPr>
                      <w:color w:val="0D0D0D" w:themeColor="text1" w:themeTint="F2"/>
                      <w:szCs w:val="21"/>
                      <w14:textFill>
                        <w14:solidFill>
                          <w14:schemeClr w14:val="tx1">
                            <w14:lumMod w14:val="95000"/>
                            <w14:lumOff w14:val="5000"/>
                          </w14:schemeClr>
                        </w14:solidFill>
                      </w14:textFill>
                    </w:rPr>
                    <w:t>%</w:t>
                  </w:r>
                </w:p>
              </w:tc>
              <w:tc>
                <w:tcPr>
                  <w:tcW w:w="355" w:type="pct"/>
                  <w:vAlign w:val="center"/>
                </w:tcPr>
                <w:p w14:paraId="0A800614">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非甲烷总烃</w:t>
                  </w:r>
                </w:p>
              </w:tc>
              <w:tc>
                <w:tcPr>
                  <w:tcW w:w="819" w:type="pct"/>
                  <w:vAlign w:val="center"/>
                </w:tcPr>
                <w:p w14:paraId="6C75D546">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25.3</w:t>
                  </w:r>
                </w:p>
              </w:tc>
              <w:tc>
                <w:tcPr>
                  <w:tcW w:w="706" w:type="pct"/>
                  <w:vAlign w:val="center"/>
                </w:tcPr>
                <w:p w14:paraId="7F83DE7B">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0.506</w:t>
                  </w:r>
                </w:p>
              </w:tc>
              <w:tc>
                <w:tcPr>
                  <w:tcW w:w="398" w:type="pct"/>
                  <w:vMerge w:val="continue"/>
                  <w:vAlign w:val="center"/>
                </w:tcPr>
                <w:p w14:paraId="00FAFEDC">
                  <w:pPr>
                    <w:spacing w:after="0"/>
                    <w:jc w:val="center"/>
                    <w:rPr>
                      <w:color w:val="0D0D0D" w:themeColor="text1" w:themeTint="F2"/>
                      <w:szCs w:val="21"/>
                      <w14:textFill>
                        <w14:solidFill>
                          <w14:schemeClr w14:val="tx1">
                            <w14:lumMod w14:val="95000"/>
                            <w14:lumOff w14:val="5000"/>
                          </w14:schemeClr>
                        </w14:solidFill>
                      </w14:textFill>
                    </w:rPr>
                  </w:pPr>
                </w:p>
              </w:tc>
              <w:tc>
                <w:tcPr>
                  <w:tcW w:w="385" w:type="pct"/>
                  <w:vMerge w:val="continue"/>
                  <w:vAlign w:val="center"/>
                </w:tcPr>
                <w:p w14:paraId="3810003C">
                  <w:pPr>
                    <w:spacing w:after="0"/>
                    <w:jc w:val="center"/>
                    <w:rPr>
                      <w:color w:val="0D0D0D" w:themeColor="text1" w:themeTint="F2"/>
                      <w:szCs w:val="21"/>
                      <w14:textFill>
                        <w14:solidFill>
                          <w14:schemeClr w14:val="tx1">
                            <w14:lumMod w14:val="95000"/>
                            <w14:lumOff w14:val="5000"/>
                          </w14:schemeClr>
                        </w14:solidFill>
                      </w14:textFill>
                    </w:rPr>
                  </w:pPr>
                </w:p>
              </w:tc>
              <w:tc>
                <w:tcPr>
                  <w:tcW w:w="677" w:type="pct"/>
                  <w:vMerge w:val="continue"/>
                  <w:vAlign w:val="center"/>
                </w:tcPr>
                <w:p w14:paraId="58E5CE1F">
                  <w:pPr>
                    <w:spacing w:after="0"/>
                    <w:jc w:val="center"/>
                    <w:rPr>
                      <w:color w:val="0D0D0D" w:themeColor="text1" w:themeTint="F2"/>
                      <w:szCs w:val="21"/>
                      <w14:textFill>
                        <w14:solidFill>
                          <w14:schemeClr w14:val="tx1">
                            <w14:lumMod w14:val="95000"/>
                            <w14:lumOff w14:val="5000"/>
                          </w14:schemeClr>
                        </w14:solidFill>
                      </w14:textFill>
                    </w:rPr>
                  </w:pPr>
                </w:p>
              </w:tc>
            </w:tr>
            <w:tr w14:paraId="1705F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vAlign w:val="center"/>
                </w:tcPr>
                <w:p w14:paraId="30E476F4">
                  <w:pPr>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90" w:type="pct"/>
                  <w:vMerge w:val="continue"/>
                  <w:vAlign w:val="center"/>
                </w:tcPr>
                <w:p w14:paraId="47B4494E">
                  <w:pPr>
                    <w:spacing w:after="0"/>
                    <w:jc w:val="center"/>
                    <w:rPr>
                      <w:color w:val="0D0D0D" w:themeColor="text1" w:themeTint="F2"/>
                      <w:szCs w:val="21"/>
                      <w14:textFill>
                        <w14:solidFill>
                          <w14:schemeClr w14:val="tx1">
                            <w14:lumMod w14:val="95000"/>
                            <w14:lumOff w14:val="5000"/>
                          </w14:schemeClr>
                        </w14:solidFill>
                      </w14:textFill>
                    </w:rPr>
                  </w:pPr>
                </w:p>
              </w:tc>
              <w:tc>
                <w:tcPr>
                  <w:tcW w:w="355" w:type="pct"/>
                  <w:vAlign w:val="center"/>
                </w:tcPr>
                <w:p w14:paraId="6A6D1DEF">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819" w:type="pct"/>
                  <w:vAlign w:val="center"/>
                </w:tcPr>
                <w:p w14:paraId="7722498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13.9</w:t>
                  </w:r>
                </w:p>
              </w:tc>
              <w:tc>
                <w:tcPr>
                  <w:tcW w:w="706" w:type="pct"/>
                  <w:vAlign w:val="center"/>
                </w:tcPr>
                <w:p w14:paraId="796C2CAA">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0.278</w:t>
                  </w:r>
                </w:p>
              </w:tc>
              <w:tc>
                <w:tcPr>
                  <w:tcW w:w="398" w:type="pct"/>
                  <w:vMerge w:val="continue"/>
                  <w:vAlign w:val="center"/>
                </w:tcPr>
                <w:p w14:paraId="45FA6793">
                  <w:pPr>
                    <w:spacing w:after="0"/>
                    <w:jc w:val="center"/>
                    <w:rPr>
                      <w:color w:val="0D0D0D" w:themeColor="text1" w:themeTint="F2"/>
                      <w:szCs w:val="21"/>
                      <w14:textFill>
                        <w14:solidFill>
                          <w14:schemeClr w14:val="tx1">
                            <w14:lumMod w14:val="95000"/>
                            <w14:lumOff w14:val="5000"/>
                          </w14:schemeClr>
                        </w14:solidFill>
                      </w14:textFill>
                    </w:rPr>
                  </w:pPr>
                </w:p>
              </w:tc>
              <w:tc>
                <w:tcPr>
                  <w:tcW w:w="385" w:type="pct"/>
                  <w:vMerge w:val="continue"/>
                  <w:vAlign w:val="center"/>
                </w:tcPr>
                <w:p w14:paraId="326448F2">
                  <w:pPr>
                    <w:spacing w:after="0"/>
                    <w:jc w:val="center"/>
                    <w:rPr>
                      <w:color w:val="0D0D0D" w:themeColor="text1" w:themeTint="F2"/>
                      <w:szCs w:val="21"/>
                      <w14:textFill>
                        <w14:solidFill>
                          <w14:schemeClr w14:val="tx1">
                            <w14:lumMod w14:val="95000"/>
                            <w14:lumOff w14:val="5000"/>
                          </w14:schemeClr>
                        </w14:solidFill>
                      </w14:textFill>
                    </w:rPr>
                  </w:pPr>
                </w:p>
              </w:tc>
              <w:tc>
                <w:tcPr>
                  <w:tcW w:w="677" w:type="pct"/>
                  <w:vMerge w:val="continue"/>
                  <w:vAlign w:val="center"/>
                </w:tcPr>
                <w:p w14:paraId="4C4F3DE3">
                  <w:pPr>
                    <w:spacing w:after="0"/>
                    <w:jc w:val="center"/>
                    <w:rPr>
                      <w:color w:val="0D0D0D" w:themeColor="text1" w:themeTint="F2"/>
                      <w:szCs w:val="21"/>
                      <w14:textFill>
                        <w14:solidFill>
                          <w14:schemeClr w14:val="tx1">
                            <w14:lumMod w14:val="95000"/>
                            <w14:lumOff w14:val="5000"/>
                          </w14:schemeClr>
                        </w14:solidFill>
                      </w14:textFill>
                    </w:rPr>
                  </w:pPr>
                </w:p>
              </w:tc>
            </w:tr>
            <w:tr w14:paraId="4D507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vAlign w:val="center"/>
                </w:tcPr>
                <w:p w14:paraId="5BAF5FE3">
                  <w:pPr>
                    <w:spacing w:after="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90" w:type="pct"/>
                  <w:vMerge w:val="continue"/>
                  <w:vAlign w:val="center"/>
                </w:tcPr>
                <w:p w14:paraId="71FE7B14">
                  <w:pPr>
                    <w:spacing w:after="0"/>
                    <w:jc w:val="center"/>
                    <w:rPr>
                      <w:color w:val="0D0D0D" w:themeColor="text1" w:themeTint="F2"/>
                      <w:szCs w:val="21"/>
                      <w14:textFill>
                        <w14:solidFill>
                          <w14:schemeClr w14:val="tx1">
                            <w14:lumMod w14:val="95000"/>
                            <w14:lumOff w14:val="5000"/>
                          </w14:schemeClr>
                        </w14:solidFill>
                      </w14:textFill>
                    </w:rPr>
                  </w:pPr>
                </w:p>
              </w:tc>
              <w:tc>
                <w:tcPr>
                  <w:tcW w:w="355" w:type="pct"/>
                  <w:vAlign w:val="center"/>
                </w:tcPr>
                <w:p w14:paraId="4AC49285">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颗粒物</w:t>
                  </w:r>
                </w:p>
              </w:tc>
              <w:tc>
                <w:tcPr>
                  <w:tcW w:w="819" w:type="pct"/>
                  <w:vAlign w:val="center"/>
                </w:tcPr>
                <w:p w14:paraId="7235D3A7">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7.1</w:t>
                  </w:r>
                </w:p>
              </w:tc>
              <w:tc>
                <w:tcPr>
                  <w:tcW w:w="706" w:type="pct"/>
                  <w:vAlign w:val="center"/>
                </w:tcPr>
                <w:p w14:paraId="1605979F">
                  <w:pPr>
                    <w:spacing w:after="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0.142</w:t>
                  </w:r>
                </w:p>
              </w:tc>
              <w:tc>
                <w:tcPr>
                  <w:tcW w:w="398" w:type="pct"/>
                  <w:vMerge w:val="continue"/>
                  <w:vAlign w:val="center"/>
                </w:tcPr>
                <w:p w14:paraId="6F965C3E">
                  <w:pPr>
                    <w:spacing w:after="0"/>
                    <w:jc w:val="center"/>
                    <w:rPr>
                      <w:color w:val="0D0D0D" w:themeColor="text1" w:themeTint="F2"/>
                      <w:szCs w:val="21"/>
                      <w14:textFill>
                        <w14:solidFill>
                          <w14:schemeClr w14:val="tx1">
                            <w14:lumMod w14:val="95000"/>
                            <w14:lumOff w14:val="5000"/>
                          </w14:schemeClr>
                        </w14:solidFill>
                      </w14:textFill>
                    </w:rPr>
                  </w:pPr>
                </w:p>
              </w:tc>
              <w:tc>
                <w:tcPr>
                  <w:tcW w:w="385" w:type="pct"/>
                  <w:vMerge w:val="continue"/>
                  <w:vAlign w:val="center"/>
                </w:tcPr>
                <w:p w14:paraId="765D9A2D">
                  <w:pPr>
                    <w:spacing w:after="0"/>
                    <w:jc w:val="center"/>
                    <w:rPr>
                      <w:color w:val="0D0D0D" w:themeColor="text1" w:themeTint="F2"/>
                      <w:szCs w:val="21"/>
                      <w14:textFill>
                        <w14:solidFill>
                          <w14:schemeClr w14:val="tx1">
                            <w14:lumMod w14:val="95000"/>
                            <w14:lumOff w14:val="5000"/>
                          </w14:schemeClr>
                        </w14:solidFill>
                      </w14:textFill>
                    </w:rPr>
                  </w:pPr>
                </w:p>
              </w:tc>
              <w:tc>
                <w:tcPr>
                  <w:tcW w:w="677" w:type="pct"/>
                  <w:vMerge w:val="continue"/>
                  <w:vAlign w:val="center"/>
                </w:tcPr>
                <w:p w14:paraId="7FF0A0A9">
                  <w:pPr>
                    <w:spacing w:after="0"/>
                    <w:jc w:val="center"/>
                    <w:rPr>
                      <w:color w:val="0D0D0D" w:themeColor="text1" w:themeTint="F2"/>
                      <w:szCs w:val="21"/>
                      <w14:textFill>
                        <w14:solidFill>
                          <w14:schemeClr w14:val="tx1">
                            <w14:lumMod w14:val="95000"/>
                            <w14:lumOff w14:val="5000"/>
                          </w14:schemeClr>
                        </w14:solidFill>
                      </w14:textFill>
                    </w:rPr>
                  </w:pPr>
                </w:p>
              </w:tc>
            </w:tr>
          </w:tbl>
          <w:p w14:paraId="240D73B5">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为杜绝废气非正常排放，建设单位应加强污染治理措施管理，使废气处理设施处于良好的运行状态；对污染治理设施进行定期或不定期监测，发现异常，及时修复；为保证有机废气治理设施的处置效率，需按时更换活性炭。</w:t>
            </w:r>
          </w:p>
          <w:p w14:paraId="331CB521">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5.大气环境影响分析</w:t>
            </w:r>
          </w:p>
          <w:p w14:paraId="6F5D8CA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项目运营期大气污染物主要为颗粒物、非甲烷总烃和二甲苯，根据上文分析可知，DA001和DA002颗粒物有组织排放速率均为0.239kg/h，排放浓度均为6.83mg/m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；DA003非甲烷总烃有组织排放速率为0.353kg/h，排放浓度为17.65mg/m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；二甲苯有组织排放速率为0.194kg/h，排放浓度为9.7mg/m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；颗粒物有组织排放速率为0.008kg/h，排放浓度为0.48mg/m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，均可满足《大气污染物综合排放标准》（GB16297-1996）表2二级标准，对环境影响较小。</w:t>
            </w:r>
          </w:p>
          <w:p w14:paraId="72EAB2F1">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为了解项目生产过程中无组织废气的影响程度，采用《环境影响评价技术导则  大气环境》（HJ2.2-2018）中推荐的AERSCREEN模型进行估算与分析。输入参数详见表4-10和表4-11，估算结果详见表4-12和表4-13。</w:t>
            </w:r>
          </w:p>
          <w:p w14:paraId="30DFCF8C">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表4-10  主要废气污染源参数一览表（矩形面源）</w:t>
            </w:r>
          </w:p>
          <w:tbl>
            <w:tblPr>
              <w:tblStyle w:val="22"/>
              <w:tblW w:w="500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765"/>
              <w:gridCol w:w="1281"/>
              <w:gridCol w:w="1171"/>
              <w:gridCol w:w="866"/>
              <w:gridCol w:w="715"/>
              <w:gridCol w:w="708"/>
              <w:gridCol w:w="866"/>
              <w:gridCol w:w="894"/>
              <w:gridCol w:w="787"/>
              <w:gridCol w:w="727"/>
            </w:tblGrid>
            <w:tr w14:paraId="2013AD1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36" w:type="pct"/>
                  <w:vMerge w:val="restart"/>
                  <w:vAlign w:val="center"/>
                </w:tcPr>
                <w:p w14:paraId="1529FB6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污染源名称</w:t>
                  </w:r>
                </w:p>
              </w:tc>
              <w:tc>
                <w:tcPr>
                  <w:tcW w:w="1397" w:type="pct"/>
                  <w:gridSpan w:val="2"/>
                  <w:vAlign w:val="center"/>
                </w:tcPr>
                <w:p w14:paraId="069EC4E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坐标(°)</w:t>
                  </w:r>
                </w:p>
              </w:tc>
              <w:tc>
                <w:tcPr>
                  <w:tcW w:w="493" w:type="pct"/>
                  <w:vMerge w:val="restart"/>
                  <w:vAlign w:val="center"/>
                </w:tcPr>
                <w:p w14:paraId="13F4E95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海拔高度(m)</w:t>
                  </w:r>
                </w:p>
              </w:tc>
              <w:tc>
                <w:tcPr>
                  <w:tcW w:w="1303" w:type="pct"/>
                  <w:gridSpan w:val="3"/>
                  <w:vAlign w:val="center"/>
                </w:tcPr>
                <w:p w14:paraId="35A8D8D8">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矩形面源</w:t>
                  </w:r>
                </w:p>
              </w:tc>
              <w:tc>
                <w:tcPr>
                  <w:tcW w:w="1372" w:type="pct"/>
                  <w:gridSpan w:val="3"/>
                  <w:vAlign w:val="center"/>
                </w:tcPr>
                <w:p w14:paraId="2993A45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污染物排放速率(kg/h)</w:t>
                  </w:r>
                </w:p>
              </w:tc>
            </w:tr>
            <w:tr w14:paraId="19EEE6D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36" w:type="pct"/>
                  <w:vMerge w:val="continue"/>
                  <w:vAlign w:val="center"/>
                </w:tcPr>
                <w:p w14:paraId="2DE31F66">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30" w:type="pct"/>
                  <w:vAlign w:val="center"/>
                </w:tcPr>
                <w:p w14:paraId="7D3844B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经度</w:t>
                  </w:r>
                </w:p>
              </w:tc>
              <w:tc>
                <w:tcPr>
                  <w:tcW w:w="667" w:type="pct"/>
                  <w:vAlign w:val="center"/>
                </w:tcPr>
                <w:p w14:paraId="72B06D2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纬度</w:t>
                  </w:r>
                </w:p>
              </w:tc>
              <w:tc>
                <w:tcPr>
                  <w:tcW w:w="493" w:type="pct"/>
                  <w:vMerge w:val="continue"/>
                  <w:vAlign w:val="center"/>
                </w:tcPr>
                <w:p w14:paraId="7558612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407" w:type="pct"/>
                  <w:vAlign w:val="center"/>
                </w:tcPr>
                <w:p w14:paraId="5A95373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长度(m)</w:t>
                  </w:r>
                </w:p>
              </w:tc>
              <w:tc>
                <w:tcPr>
                  <w:tcW w:w="403" w:type="pct"/>
                  <w:vAlign w:val="center"/>
                </w:tcPr>
                <w:p w14:paraId="29733B0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宽度(m)</w:t>
                  </w:r>
                </w:p>
              </w:tc>
              <w:tc>
                <w:tcPr>
                  <w:tcW w:w="493" w:type="pct"/>
                  <w:vAlign w:val="center"/>
                </w:tcPr>
                <w:p w14:paraId="44AC486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有效高度(m)</w:t>
                  </w:r>
                </w:p>
              </w:tc>
              <w:tc>
                <w:tcPr>
                  <w:tcW w:w="509" w:type="pct"/>
                  <w:vAlign w:val="center"/>
                </w:tcPr>
                <w:p w14:paraId="206318A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NMHC</w:t>
                  </w:r>
                </w:p>
              </w:tc>
              <w:tc>
                <w:tcPr>
                  <w:tcW w:w="448" w:type="pct"/>
                  <w:vAlign w:val="center"/>
                </w:tcPr>
                <w:p w14:paraId="14B561B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414" w:type="pct"/>
                  <w:vAlign w:val="center"/>
                </w:tcPr>
                <w:p w14:paraId="0D734370">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TSP</w:t>
                  </w:r>
                </w:p>
              </w:tc>
            </w:tr>
            <w:tr w14:paraId="024D20D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36" w:type="pct"/>
                  <w:vAlign w:val="center"/>
                </w:tcPr>
                <w:p w14:paraId="7D1BC1E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生产车间</w:t>
                  </w:r>
                </w:p>
              </w:tc>
              <w:tc>
                <w:tcPr>
                  <w:tcW w:w="730" w:type="pct"/>
                  <w:vAlign w:val="center"/>
                </w:tcPr>
                <w:p w14:paraId="2CEB241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108.654543</w:t>
                  </w:r>
                </w:p>
              </w:tc>
              <w:tc>
                <w:tcPr>
                  <w:tcW w:w="667" w:type="pct"/>
                  <w:vAlign w:val="center"/>
                </w:tcPr>
                <w:p w14:paraId="53D490BF">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21.710434</w:t>
                  </w:r>
                </w:p>
              </w:tc>
              <w:tc>
                <w:tcPr>
                  <w:tcW w:w="493" w:type="pct"/>
                  <w:vAlign w:val="center"/>
                </w:tcPr>
                <w:p w14:paraId="1CC1DC0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w:t>
                  </w:r>
                </w:p>
              </w:tc>
              <w:tc>
                <w:tcPr>
                  <w:tcW w:w="407" w:type="pct"/>
                  <w:vAlign w:val="center"/>
                </w:tcPr>
                <w:p w14:paraId="5423074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60</w:t>
                  </w:r>
                </w:p>
              </w:tc>
              <w:tc>
                <w:tcPr>
                  <w:tcW w:w="403" w:type="pct"/>
                  <w:vAlign w:val="center"/>
                </w:tcPr>
                <w:p w14:paraId="5EDB2FF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w:t>
                  </w:r>
                </w:p>
              </w:tc>
              <w:tc>
                <w:tcPr>
                  <w:tcW w:w="493" w:type="pct"/>
                  <w:vAlign w:val="center"/>
                </w:tcPr>
                <w:p w14:paraId="19CC1CA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15</w:t>
                  </w:r>
                </w:p>
              </w:tc>
              <w:tc>
                <w:tcPr>
                  <w:tcW w:w="509" w:type="pct"/>
                  <w:vAlign w:val="center"/>
                </w:tcPr>
                <w:p w14:paraId="467316A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0.056</w:t>
                  </w:r>
                </w:p>
              </w:tc>
              <w:tc>
                <w:tcPr>
                  <w:tcW w:w="448" w:type="pct"/>
                  <w:vAlign w:val="center"/>
                </w:tcPr>
                <w:p w14:paraId="4839713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0.031</w:t>
                  </w:r>
                </w:p>
              </w:tc>
              <w:tc>
                <w:tcPr>
                  <w:tcW w:w="414" w:type="pct"/>
                  <w:vAlign w:val="center"/>
                </w:tcPr>
                <w:p w14:paraId="5EB935A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0.067</w:t>
                  </w:r>
                </w:p>
              </w:tc>
            </w:tr>
            <w:tr w14:paraId="146EBB6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36" w:type="pct"/>
                  <w:vAlign w:val="center"/>
                </w:tcPr>
                <w:p w14:paraId="63F29127">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露天加工区</w:t>
                  </w:r>
                </w:p>
              </w:tc>
              <w:tc>
                <w:tcPr>
                  <w:tcW w:w="730" w:type="pct"/>
                  <w:vAlign w:val="center"/>
                </w:tcPr>
                <w:p w14:paraId="6BB78153">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108.655400</w:t>
                  </w:r>
                </w:p>
              </w:tc>
              <w:tc>
                <w:tcPr>
                  <w:tcW w:w="667" w:type="pct"/>
                  <w:vAlign w:val="center"/>
                </w:tcPr>
                <w:p w14:paraId="79E93D2B">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21.710595</w:t>
                  </w:r>
                </w:p>
              </w:tc>
              <w:tc>
                <w:tcPr>
                  <w:tcW w:w="493" w:type="pct"/>
                  <w:vAlign w:val="center"/>
                </w:tcPr>
                <w:p w14:paraId="03DC89BE">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w:t>
                  </w:r>
                </w:p>
              </w:tc>
              <w:tc>
                <w:tcPr>
                  <w:tcW w:w="407" w:type="pct"/>
                  <w:vAlign w:val="center"/>
                </w:tcPr>
                <w:p w14:paraId="3E9CFFE3">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100</w:t>
                  </w:r>
                </w:p>
              </w:tc>
              <w:tc>
                <w:tcPr>
                  <w:tcW w:w="403" w:type="pct"/>
                  <w:vAlign w:val="center"/>
                </w:tcPr>
                <w:p w14:paraId="28117458">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88</w:t>
                  </w:r>
                </w:p>
              </w:tc>
              <w:tc>
                <w:tcPr>
                  <w:tcW w:w="493" w:type="pct"/>
                  <w:vAlign w:val="center"/>
                </w:tcPr>
                <w:p w14:paraId="40A91562">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w:t>
                  </w:r>
                </w:p>
              </w:tc>
              <w:tc>
                <w:tcPr>
                  <w:tcW w:w="509" w:type="pct"/>
                  <w:vAlign w:val="center"/>
                </w:tcPr>
                <w:p w14:paraId="31A61A08">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448" w:type="pct"/>
                  <w:vAlign w:val="center"/>
                </w:tcPr>
                <w:p w14:paraId="4C417F0B">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414" w:type="pct"/>
                  <w:vAlign w:val="center"/>
                </w:tcPr>
                <w:p w14:paraId="07B3B68C">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0.047</w:t>
                  </w:r>
                </w:p>
              </w:tc>
            </w:tr>
            <w:tr w14:paraId="75AEFF1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5000" w:type="pct"/>
                  <w:gridSpan w:val="10"/>
                  <w:vAlign w:val="center"/>
                </w:tcPr>
                <w:p w14:paraId="77182E23">
                  <w:pPr>
                    <w:spacing w:after="0" w:line="240" w:lineRule="auto"/>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注：由于2座生产车间相邻，本次评价将其概化为一个面源。</w:t>
                  </w:r>
                </w:p>
              </w:tc>
            </w:tr>
          </w:tbl>
          <w:p w14:paraId="557D9B87">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表4-11  估算模型参数表</w:t>
            </w:r>
          </w:p>
          <w:tbl>
            <w:tblPr>
              <w:tblStyle w:val="22"/>
              <w:tblW w:w="500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3208"/>
              <w:gridCol w:w="4142"/>
              <w:gridCol w:w="1430"/>
            </w:tblGrid>
            <w:tr w14:paraId="2A99F3D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186" w:type="pct"/>
                  <w:gridSpan w:val="2"/>
                  <w:vAlign w:val="center"/>
                </w:tcPr>
                <w:p w14:paraId="4EC4797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参数</w:t>
                  </w:r>
                </w:p>
              </w:tc>
              <w:tc>
                <w:tcPr>
                  <w:tcW w:w="814" w:type="pct"/>
                  <w:vAlign w:val="center"/>
                </w:tcPr>
                <w:p w14:paraId="6274818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取值</w:t>
                  </w:r>
                </w:p>
              </w:tc>
            </w:tr>
            <w:tr w14:paraId="61ED75A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827" w:type="pct"/>
                  <w:vMerge w:val="restart"/>
                  <w:vAlign w:val="center"/>
                </w:tcPr>
                <w:p w14:paraId="6F2BF96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城市/农村选项</w:t>
                  </w:r>
                </w:p>
              </w:tc>
              <w:tc>
                <w:tcPr>
                  <w:tcW w:w="2359" w:type="pct"/>
                  <w:vAlign w:val="center"/>
                </w:tcPr>
                <w:p w14:paraId="050C127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城市/农村</w:t>
                  </w:r>
                </w:p>
              </w:tc>
              <w:tc>
                <w:tcPr>
                  <w:tcW w:w="814" w:type="pct"/>
                  <w:vAlign w:val="center"/>
                </w:tcPr>
                <w:p w14:paraId="3B2DAA5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农村</w:t>
                  </w:r>
                </w:p>
              </w:tc>
            </w:tr>
            <w:tr w14:paraId="545A2D3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827" w:type="pct"/>
                  <w:vMerge w:val="continue"/>
                  <w:vAlign w:val="center"/>
                </w:tcPr>
                <w:p w14:paraId="6DC810B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2359" w:type="pct"/>
                  <w:vAlign w:val="center"/>
                </w:tcPr>
                <w:p w14:paraId="2F351B8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人口数</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城市人口数</w:t>
                  </w:r>
                  <w:r>
                    <w:rPr>
                      <w:rFonts w:hint="eastAsia"/>
                      <w:color w:val="0D0D0D" w:themeColor="text1" w:themeTint="F2"/>
                      <w:szCs w:val="21"/>
                      <w14:textFill>
                        <w14:solidFill>
                          <w14:schemeClr w14:val="tx1">
                            <w14:lumMod w14:val="95000"/>
                            <w14:lumOff w14:val="5000"/>
                          </w14:schemeClr>
                        </w14:solidFill>
                      </w14:textFill>
                    </w:rPr>
                    <w:t>）</w:t>
                  </w:r>
                </w:p>
              </w:tc>
              <w:tc>
                <w:tcPr>
                  <w:tcW w:w="814" w:type="pct"/>
                  <w:vAlign w:val="center"/>
                </w:tcPr>
                <w:p w14:paraId="236E2A5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3792171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186" w:type="pct"/>
                  <w:gridSpan w:val="2"/>
                  <w:vAlign w:val="center"/>
                </w:tcPr>
                <w:p w14:paraId="2285248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最高环境温度</w:t>
                  </w:r>
                </w:p>
              </w:tc>
              <w:tc>
                <w:tcPr>
                  <w:tcW w:w="814" w:type="pct"/>
                  <w:vAlign w:val="center"/>
                </w:tcPr>
                <w:p w14:paraId="68D7BD9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37.</w:t>
                  </w:r>
                  <w:r>
                    <w:rPr>
                      <w:rFonts w:hint="eastAsia"/>
                      <w:color w:val="0D0D0D" w:themeColor="text1" w:themeTint="F2"/>
                      <w:szCs w:val="21"/>
                      <w14:textFill>
                        <w14:solidFill>
                          <w14:schemeClr w14:val="tx1">
                            <w14:lumMod w14:val="95000"/>
                            <w14:lumOff w14:val="5000"/>
                          </w14:schemeClr>
                        </w14:solidFill>
                      </w14:textFill>
                    </w:rPr>
                    <w:t>9</w:t>
                  </w:r>
                </w:p>
              </w:tc>
            </w:tr>
            <w:tr w14:paraId="6BD590B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186" w:type="pct"/>
                  <w:gridSpan w:val="2"/>
                  <w:vAlign w:val="center"/>
                </w:tcPr>
                <w:p w14:paraId="7A8B9148">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最低环境温度</w:t>
                  </w:r>
                </w:p>
              </w:tc>
              <w:tc>
                <w:tcPr>
                  <w:tcW w:w="814" w:type="pct"/>
                  <w:vAlign w:val="center"/>
                </w:tcPr>
                <w:p w14:paraId="57517A8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8</w:t>
                  </w:r>
                </w:p>
              </w:tc>
            </w:tr>
            <w:tr w14:paraId="040C6A9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186" w:type="pct"/>
                  <w:gridSpan w:val="2"/>
                  <w:vAlign w:val="center"/>
                </w:tcPr>
                <w:p w14:paraId="7B1E6F6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土地利用类型</w:t>
                  </w:r>
                </w:p>
              </w:tc>
              <w:tc>
                <w:tcPr>
                  <w:tcW w:w="814" w:type="pct"/>
                  <w:vAlign w:val="center"/>
                </w:tcPr>
                <w:p w14:paraId="59A402C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城市</w:t>
                  </w:r>
                </w:p>
              </w:tc>
            </w:tr>
            <w:tr w14:paraId="6067CB2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4186" w:type="pct"/>
                  <w:gridSpan w:val="2"/>
                  <w:vAlign w:val="center"/>
                </w:tcPr>
                <w:p w14:paraId="6B61B67C">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区域湿度条件</w:t>
                  </w:r>
                </w:p>
              </w:tc>
              <w:tc>
                <w:tcPr>
                  <w:tcW w:w="814" w:type="pct"/>
                  <w:vAlign w:val="center"/>
                </w:tcPr>
                <w:p w14:paraId="1EA2A38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潮湿</w:t>
                  </w:r>
                </w:p>
              </w:tc>
            </w:tr>
            <w:tr w14:paraId="6DDCDC4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827" w:type="pct"/>
                  <w:vMerge w:val="restart"/>
                  <w:vAlign w:val="center"/>
                </w:tcPr>
                <w:p w14:paraId="08E98CF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是否考虑地形</w:t>
                  </w:r>
                </w:p>
              </w:tc>
              <w:tc>
                <w:tcPr>
                  <w:tcW w:w="2359" w:type="pct"/>
                  <w:vAlign w:val="center"/>
                </w:tcPr>
                <w:p w14:paraId="02D15B2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考虑地形</w:t>
                  </w:r>
                </w:p>
              </w:tc>
              <w:tc>
                <w:tcPr>
                  <w:tcW w:w="814" w:type="pct"/>
                  <w:vAlign w:val="center"/>
                </w:tcPr>
                <w:p w14:paraId="34A30AA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否</w:t>
                  </w:r>
                </w:p>
              </w:tc>
            </w:tr>
            <w:tr w14:paraId="32979D0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827" w:type="pct"/>
                  <w:vMerge w:val="continue"/>
                  <w:vAlign w:val="center"/>
                </w:tcPr>
                <w:p w14:paraId="4CFB42F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2359" w:type="pct"/>
                  <w:vAlign w:val="center"/>
                </w:tcPr>
                <w:p w14:paraId="5E45005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地形数据分辨率</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m</w:t>
                  </w:r>
                  <w:r>
                    <w:rPr>
                      <w:rFonts w:hint="eastAsia"/>
                      <w:color w:val="0D0D0D" w:themeColor="text1" w:themeTint="F2"/>
                      <w:szCs w:val="21"/>
                      <w14:textFill>
                        <w14:solidFill>
                          <w14:schemeClr w14:val="tx1">
                            <w14:lumMod w14:val="95000"/>
                            <w14:lumOff w14:val="5000"/>
                          </w14:schemeClr>
                        </w14:solidFill>
                      </w14:textFill>
                    </w:rPr>
                    <w:t>）</w:t>
                  </w:r>
                </w:p>
              </w:tc>
              <w:tc>
                <w:tcPr>
                  <w:tcW w:w="814" w:type="pct"/>
                  <w:vAlign w:val="center"/>
                </w:tcPr>
                <w:p w14:paraId="182A875C">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w:t>
                  </w:r>
                </w:p>
              </w:tc>
            </w:tr>
            <w:tr w14:paraId="32A7E96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827" w:type="pct"/>
                  <w:vMerge w:val="restart"/>
                  <w:vAlign w:val="center"/>
                </w:tcPr>
                <w:p w14:paraId="7D6FEFC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是否考虑岸线熏烟</w:t>
                  </w:r>
                </w:p>
              </w:tc>
              <w:tc>
                <w:tcPr>
                  <w:tcW w:w="2359" w:type="pct"/>
                  <w:vAlign w:val="center"/>
                </w:tcPr>
                <w:p w14:paraId="4A4DB3A0">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考虑岸线熏烟</w:t>
                  </w:r>
                </w:p>
              </w:tc>
              <w:tc>
                <w:tcPr>
                  <w:tcW w:w="814" w:type="pct"/>
                  <w:vAlign w:val="center"/>
                </w:tcPr>
                <w:p w14:paraId="21F0EC5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否</w:t>
                  </w:r>
                </w:p>
              </w:tc>
            </w:tr>
            <w:tr w14:paraId="51B2B1F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827" w:type="pct"/>
                  <w:vMerge w:val="continue"/>
                  <w:vAlign w:val="center"/>
                </w:tcPr>
                <w:p w14:paraId="6EB1CA7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2359" w:type="pct"/>
                  <w:vAlign w:val="center"/>
                </w:tcPr>
                <w:p w14:paraId="35B02978">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岸线距离/m</w:t>
                  </w:r>
                </w:p>
              </w:tc>
              <w:tc>
                <w:tcPr>
                  <w:tcW w:w="814" w:type="pct"/>
                  <w:vAlign w:val="center"/>
                </w:tcPr>
                <w:p w14:paraId="4233A0F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w:t>
                  </w:r>
                </w:p>
              </w:tc>
            </w:tr>
            <w:tr w14:paraId="62CA359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827" w:type="pct"/>
                  <w:vMerge w:val="continue"/>
                  <w:vAlign w:val="center"/>
                </w:tcPr>
                <w:p w14:paraId="4F623E33">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2359" w:type="pct"/>
                  <w:vAlign w:val="center"/>
                </w:tcPr>
                <w:p w14:paraId="06F912D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岸线方向/°</w:t>
                  </w:r>
                </w:p>
              </w:tc>
              <w:tc>
                <w:tcPr>
                  <w:tcW w:w="814" w:type="pct"/>
                  <w:vAlign w:val="center"/>
                </w:tcPr>
                <w:p w14:paraId="1C5422D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w:t>
                  </w:r>
                </w:p>
              </w:tc>
            </w:tr>
            <w:tr w14:paraId="1C1678F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5000" w:type="pct"/>
                  <w:gridSpan w:val="3"/>
                  <w:vAlign w:val="center"/>
                </w:tcPr>
                <w:p w14:paraId="02763893">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注：（1）根据《环境影响评价技术导则  大气环境》（HJ2.2-2018），当项目周边3km半径范围内一半以上面积属于城市建成区或者规划区时，选择城市，否则选择农村。经调查，项目周边3km范围内一半以上面积为工业用地，主要为企业或现状空地，不属于城市建成区，因此，本次评价选择农村选项。</w:t>
                  </w:r>
                </w:p>
                <w:p w14:paraId="0C650FA9">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（2）根据《环境影响评价技术导则  大气环境》（HJ2.2-2018），当污染源附近3km范围内有大型水体时，需选择岸边熏烟选项。经调查，项目距离北部湾海域岸线最近距离约为3.79km，3km范围内无大型水体，因此，本次评价不考虑岸线</w:t>
                  </w:r>
                  <w:r>
                    <w:rPr>
                      <w:color w:val="0D0D0D" w:themeColor="text1" w:themeTint="F2"/>
                      <w:szCs w:val="21"/>
                      <w14:textFill>
                        <w14:solidFill>
                          <w14:schemeClr w14:val="tx1">
                            <w14:lumMod w14:val="95000"/>
                            <w14:lumOff w14:val="5000"/>
                          </w14:schemeClr>
                        </w14:solidFill>
                      </w14:textFill>
                    </w:rPr>
                    <w:t>熏烟</w:t>
                  </w:r>
                  <w:r>
                    <w:rPr>
                      <w:rFonts w:hint="eastAsia"/>
                      <w:color w:val="0D0D0D" w:themeColor="text1" w:themeTint="F2"/>
                      <w:szCs w:val="21"/>
                      <w14:textFill>
                        <w14:solidFill>
                          <w14:schemeClr w14:val="tx1">
                            <w14:lumMod w14:val="95000"/>
                            <w14:lumOff w14:val="5000"/>
                          </w14:schemeClr>
                        </w14:solidFill>
                      </w14:textFill>
                    </w:rPr>
                    <w:t>。</w:t>
                  </w:r>
                </w:p>
              </w:tc>
            </w:tr>
          </w:tbl>
          <w:p w14:paraId="252BCA3B">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表4-12  生产车间估算结果一览表</w:t>
            </w:r>
          </w:p>
          <w:tbl>
            <w:tblPr>
              <w:tblStyle w:val="22"/>
              <w:tblW w:w="500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1199"/>
              <w:gridCol w:w="1436"/>
              <w:gridCol w:w="1155"/>
              <w:gridCol w:w="1424"/>
              <w:gridCol w:w="1113"/>
              <w:gridCol w:w="1383"/>
              <w:gridCol w:w="1070"/>
            </w:tblGrid>
            <w:tr w14:paraId="51E91F0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Merge w:val="restart"/>
                  <w:vAlign w:val="center"/>
                </w:tcPr>
                <w:p w14:paraId="61B59DB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下风向距离</w:t>
                  </w:r>
                  <w:r>
                    <w:rPr>
                      <w:rFonts w:hint="eastAsia"/>
                      <w:color w:val="0D0D0D" w:themeColor="text1" w:themeTint="F2"/>
                      <w:szCs w:val="21"/>
                      <w14:textFill>
                        <w14:solidFill>
                          <w14:schemeClr w14:val="tx1">
                            <w14:lumMod w14:val="95000"/>
                            <w14:lumOff w14:val="5000"/>
                          </w14:schemeClr>
                        </w14:solidFill>
                      </w14:textFill>
                    </w:rPr>
                    <w:t>（m）</w:t>
                  </w:r>
                </w:p>
              </w:tc>
              <w:tc>
                <w:tcPr>
                  <w:tcW w:w="4317" w:type="pct"/>
                  <w:gridSpan w:val="6"/>
                  <w:vAlign w:val="center"/>
                </w:tcPr>
                <w:p w14:paraId="0F6FDFC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生产车间</w:t>
                  </w:r>
                </w:p>
              </w:tc>
            </w:tr>
            <w:tr w14:paraId="5AD2B8A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Merge w:val="continue"/>
                  <w:vAlign w:val="center"/>
                </w:tcPr>
                <w:p w14:paraId="77571BF0">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818" w:type="pct"/>
                  <w:vAlign w:val="center"/>
                </w:tcPr>
                <w:p w14:paraId="63D7B75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NMHC浓度</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μg/m</w:t>
                  </w:r>
                  <w:r>
                    <w:rPr>
                      <w:rFonts w:hint="eastAsia"/>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w:t>
                  </w:r>
                </w:p>
              </w:tc>
              <w:tc>
                <w:tcPr>
                  <w:tcW w:w="658" w:type="pct"/>
                  <w:vAlign w:val="center"/>
                </w:tcPr>
                <w:p w14:paraId="65A0F62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NMHC占标率</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w:t>
                  </w:r>
                  <w:r>
                    <w:rPr>
                      <w:rFonts w:hint="eastAsia"/>
                      <w:color w:val="0D0D0D" w:themeColor="text1" w:themeTint="F2"/>
                      <w:szCs w:val="21"/>
                      <w14:textFill>
                        <w14:solidFill>
                          <w14:schemeClr w14:val="tx1">
                            <w14:lumMod w14:val="95000"/>
                            <w14:lumOff w14:val="5000"/>
                          </w14:schemeClr>
                        </w14:solidFill>
                      </w14:textFill>
                    </w:rPr>
                    <w:t>）</w:t>
                  </w:r>
                </w:p>
              </w:tc>
              <w:tc>
                <w:tcPr>
                  <w:tcW w:w="811" w:type="pct"/>
                  <w:vAlign w:val="center"/>
                </w:tcPr>
                <w:p w14:paraId="6B0FC11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r>
                    <w:rPr>
                      <w:color w:val="0D0D0D" w:themeColor="text1" w:themeTint="F2"/>
                      <w:szCs w:val="21"/>
                      <w14:textFill>
                        <w14:solidFill>
                          <w14:schemeClr w14:val="tx1">
                            <w14:lumMod w14:val="95000"/>
                            <w14:lumOff w14:val="5000"/>
                          </w14:schemeClr>
                        </w14:solidFill>
                      </w14:textFill>
                    </w:rPr>
                    <w:t>浓度</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μg/m</w:t>
                  </w:r>
                  <w:r>
                    <w:rPr>
                      <w:rFonts w:hint="eastAsia"/>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w:t>
                  </w:r>
                </w:p>
              </w:tc>
              <w:tc>
                <w:tcPr>
                  <w:tcW w:w="634" w:type="pct"/>
                  <w:vAlign w:val="center"/>
                </w:tcPr>
                <w:p w14:paraId="5670169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r>
                    <w:rPr>
                      <w:color w:val="0D0D0D" w:themeColor="text1" w:themeTint="F2"/>
                      <w:szCs w:val="21"/>
                      <w14:textFill>
                        <w14:solidFill>
                          <w14:schemeClr w14:val="tx1">
                            <w14:lumMod w14:val="95000"/>
                            <w14:lumOff w14:val="5000"/>
                          </w14:schemeClr>
                        </w14:solidFill>
                      </w14:textFill>
                    </w:rPr>
                    <w:t>占标率</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w:t>
                  </w:r>
                  <w:r>
                    <w:rPr>
                      <w:rFonts w:hint="eastAsia"/>
                      <w:color w:val="0D0D0D" w:themeColor="text1" w:themeTint="F2"/>
                      <w:szCs w:val="21"/>
                      <w14:textFill>
                        <w14:solidFill>
                          <w14:schemeClr w14:val="tx1">
                            <w14:lumMod w14:val="95000"/>
                            <w14:lumOff w14:val="5000"/>
                          </w14:schemeClr>
                        </w14:solidFill>
                      </w14:textFill>
                    </w:rPr>
                    <w:t>）</w:t>
                  </w:r>
                </w:p>
              </w:tc>
              <w:tc>
                <w:tcPr>
                  <w:tcW w:w="787" w:type="pct"/>
                  <w:vAlign w:val="center"/>
                </w:tcPr>
                <w:p w14:paraId="251F09A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TSP</w:t>
                  </w:r>
                  <w:r>
                    <w:rPr>
                      <w:color w:val="0D0D0D" w:themeColor="text1" w:themeTint="F2"/>
                      <w:szCs w:val="21"/>
                      <w14:textFill>
                        <w14:solidFill>
                          <w14:schemeClr w14:val="tx1">
                            <w14:lumMod w14:val="95000"/>
                            <w14:lumOff w14:val="5000"/>
                          </w14:schemeClr>
                        </w14:solidFill>
                      </w14:textFill>
                    </w:rPr>
                    <w:t>浓度</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μg/m</w:t>
                  </w:r>
                  <w:r>
                    <w:rPr>
                      <w:rFonts w:hint="eastAsia"/>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w:t>
                  </w:r>
                </w:p>
              </w:tc>
              <w:tc>
                <w:tcPr>
                  <w:tcW w:w="609" w:type="pct"/>
                  <w:vAlign w:val="center"/>
                </w:tcPr>
                <w:p w14:paraId="32C215F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TSP</w:t>
                  </w:r>
                  <w:r>
                    <w:rPr>
                      <w:color w:val="0D0D0D" w:themeColor="text1" w:themeTint="F2"/>
                      <w:szCs w:val="21"/>
                      <w14:textFill>
                        <w14:solidFill>
                          <w14:schemeClr w14:val="tx1">
                            <w14:lumMod w14:val="95000"/>
                            <w14:lumOff w14:val="5000"/>
                          </w14:schemeClr>
                        </w14:solidFill>
                      </w14:textFill>
                    </w:rPr>
                    <w:t>占标率</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w:t>
                  </w:r>
                  <w:r>
                    <w:rPr>
                      <w:rFonts w:hint="eastAsia"/>
                      <w:color w:val="0D0D0D" w:themeColor="text1" w:themeTint="F2"/>
                      <w:szCs w:val="21"/>
                      <w14:textFill>
                        <w14:solidFill>
                          <w14:schemeClr w14:val="tx1">
                            <w14:lumMod w14:val="95000"/>
                            <w14:lumOff w14:val="5000"/>
                          </w14:schemeClr>
                        </w14:solidFill>
                      </w14:textFill>
                    </w:rPr>
                    <w:t>）</w:t>
                  </w:r>
                </w:p>
              </w:tc>
            </w:tr>
            <w:tr w14:paraId="71DD8EA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61035A9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50</w:t>
                  </w:r>
                </w:p>
              </w:tc>
              <w:tc>
                <w:tcPr>
                  <w:tcW w:w="818" w:type="pct"/>
                  <w:vAlign w:val="center"/>
                </w:tcPr>
                <w:p w14:paraId="58B6AD2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18.80</w:t>
                  </w:r>
                </w:p>
              </w:tc>
              <w:tc>
                <w:tcPr>
                  <w:tcW w:w="658" w:type="pct"/>
                  <w:vAlign w:val="center"/>
                </w:tcPr>
                <w:p w14:paraId="731E167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0.94</w:t>
                  </w:r>
                </w:p>
              </w:tc>
              <w:tc>
                <w:tcPr>
                  <w:tcW w:w="811" w:type="pct"/>
                  <w:vAlign w:val="center"/>
                </w:tcPr>
                <w:p w14:paraId="64500CB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10.40</w:t>
                  </w:r>
                </w:p>
              </w:tc>
              <w:tc>
                <w:tcPr>
                  <w:tcW w:w="634" w:type="pct"/>
                  <w:vAlign w:val="center"/>
                </w:tcPr>
                <w:p w14:paraId="6E04F20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5.20</w:t>
                  </w:r>
                </w:p>
              </w:tc>
              <w:tc>
                <w:tcPr>
                  <w:tcW w:w="787" w:type="pct"/>
                  <w:vAlign w:val="center"/>
                </w:tcPr>
                <w:p w14:paraId="4EC66BD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22.49</w:t>
                  </w:r>
                </w:p>
              </w:tc>
              <w:tc>
                <w:tcPr>
                  <w:tcW w:w="609" w:type="pct"/>
                  <w:vAlign w:val="center"/>
                </w:tcPr>
                <w:p w14:paraId="2D24A51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2.50</w:t>
                  </w:r>
                </w:p>
              </w:tc>
            </w:tr>
            <w:tr w14:paraId="3C0DE21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5BB7C60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100</w:t>
                  </w:r>
                </w:p>
              </w:tc>
              <w:tc>
                <w:tcPr>
                  <w:tcW w:w="818" w:type="pct"/>
                  <w:vAlign w:val="center"/>
                </w:tcPr>
                <w:p w14:paraId="343527D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13.09</w:t>
                  </w:r>
                </w:p>
              </w:tc>
              <w:tc>
                <w:tcPr>
                  <w:tcW w:w="658" w:type="pct"/>
                  <w:vAlign w:val="center"/>
                </w:tcPr>
                <w:p w14:paraId="7646B53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0.65</w:t>
                  </w:r>
                </w:p>
              </w:tc>
              <w:tc>
                <w:tcPr>
                  <w:tcW w:w="811" w:type="pct"/>
                  <w:vAlign w:val="center"/>
                </w:tcPr>
                <w:p w14:paraId="11A2720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7.25</w:t>
                  </w:r>
                </w:p>
              </w:tc>
              <w:tc>
                <w:tcPr>
                  <w:tcW w:w="634" w:type="pct"/>
                  <w:vAlign w:val="center"/>
                </w:tcPr>
                <w:p w14:paraId="1FFCF37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3.62</w:t>
                  </w:r>
                </w:p>
              </w:tc>
              <w:tc>
                <w:tcPr>
                  <w:tcW w:w="787" w:type="pct"/>
                  <w:vAlign w:val="center"/>
                </w:tcPr>
                <w:p w14:paraId="461531A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15.66</w:t>
                  </w:r>
                </w:p>
              </w:tc>
              <w:tc>
                <w:tcPr>
                  <w:tcW w:w="609" w:type="pct"/>
                  <w:vAlign w:val="center"/>
                </w:tcPr>
                <w:p w14:paraId="361E1B6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1.74</w:t>
                  </w:r>
                </w:p>
              </w:tc>
            </w:tr>
            <w:tr w14:paraId="350A85A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7BA72B2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200</w:t>
                  </w:r>
                </w:p>
              </w:tc>
              <w:tc>
                <w:tcPr>
                  <w:tcW w:w="818" w:type="pct"/>
                  <w:vAlign w:val="center"/>
                </w:tcPr>
                <w:p w14:paraId="572F43B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8.74</w:t>
                  </w:r>
                </w:p>
              </w:tc>
              <w:tc>
                <w:tcPr>
                  <w:tcW w:w="658" w:type="pct"/>
                  <w:vAlign w:val="center"/>
                </w:tcPr>
                <w:p w14:paraId="4B46C27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0.44</w:t>
                  </w:r>
                </w:p>
              </w:tc>
              <w:tc>
                <w:tcPr>
                  <w:tcW w:w="811" w:type="pct"/>
                  <w:vAlign w:val="center"/>
                </w:tcPr>
                <w:p w14:paraId="749E2A8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4.84</w:t>
                  </w:r>
                </w:p>
              </w:tc>
              <w:tc>
                <w:tcPr>
                  <w:tcW w:w="634" w:type="pct"/>
                  <w:vAlign w:val="center"/>
                </w:tcPr>
                <w:p w14:paraId="72D2C08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2.42</w:t>
                  </w:r>
                </w:p>
              </w:tc>
              <w:tc>
                <w:tcPr>
                  <w:tcW w:w="787" w:type="pct"/>
                  <w:vAlign w:val="center"/>
                </w:tcPr>
                <w:p w14:paraId="1A30F78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10.45</w:t>
                  </w:r>
                </w:p>
              </w:tc>
              <w:tc>
                <w:tcPr>
                  <w:tcW w:w="609" w:type="pct"/>
                  <w:vAlign w:val="center"/>
                </w:tcPr>
                <w:p w14:paraId="6393B81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1.16</w:t>
                  </w:r>
                </w:p>
              </w:tc>
            </w:tr>
            <w:tr w14:paraId="5DF939D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6FB71B9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300</w:t>
                  </w:r>
                </w:p>
              </w:tc>
              <w:tc>
                <w:tcPr>
                  <w:tcW w:w="818" w:type="pct"/>
                  <w:vAlign w:val="center"/>
                </w:tcPr>
                <w:p w14:paraId="5EAA05E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6.77</w:t>
                  </w:r>
                </w:p>
              </w:tc>
              <w:tc>
                <w:tcPr>
                  <w:tcW w:w="658" w:type="pct"/>
                  <w:vAlign w:val="center"/>
                </w:tcPr>
                <w:p w14:paraId="3BB0988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0.34</w:t>
                  </w:r>
                </w:p>
              </w:tc>
              <w:tc>
                <w:tcPr>
                  <w:tcW w:w="811" w:type="pct"/>
                  <w:vAlign w:val="center"/>
                </w:tcPr>
                <w:p w14:paraId="00D83C5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3.75</w:t>
                  </w:r>
                </w:p>
              </w:tc>
              <w:tc>
                <w:tcPr>
                  <w:tcW w:w="634" w:type="pct"/>
                  <w:vAlign w:val="center"/>
                </w:tcPr>
                <w:p w14:paraId="028F085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1.87</w:t>
                  </w:r>
                </w:p>
              </w:tc>
              <w:tc>
                <w:tcPr>
                  <w:tcW w:w="787" w:type="pct"/>
                  <w:vAlign w:val="center"/>
                </w:tcPr>
                <w:p w14:paraId="44405A7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8.10</w:t>
                  </w:r>
                </w:p>
              </w:tc>
              <w:tc>
                <w:tcPr>
                  <w:tcW w:w="609" w:type="pct"/>
                  <w:vAlign w:val="center"/>
                </w:tcPr>
                <w:p w14:paraId="73DC1AB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0.90</w:t>
                  </w:r>
                </w:p>
              </w:tc>
            </w:tr>
            <w:tr w14:paraId="6B47097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3D2CCDD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400</w:t>
                  </w:r>
                </w:p>
              </w:tc>
              <w:tc>
                <w:tcPr>
                  <w:tcW w:w="818" w:type="pct"/>
                  <w:vAlign w:val="center"/>
                </w:tcPr>
                <w:p w14:paraId="7AE177A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6.03</w:t>
                  </w:r>
                </w:p>
              </w:tc>
              <w:tc>
                <w:tcPr>
                  <w:tcW w:w="658" w:type="pct"/>
                  <w:vAlign w:val="center"/>
                </w:tcPr>
                <w:p w14:paraId="36B978D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0.30</w:t>
                  </w:r>
                </w:p>
              </w:tc>
              <w:tc>
                <w:tcPr>
                  <w:tcW w:w="811" w:type="pct"/>
                  <w:vAlign w:val="center"/>
                </w:tcPr>
                <w:p w14:paraId="045D010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3.34</w:t>
                  </w:r>
                </w:p>
              </w:tc>
              <w:tc>
                <w:tcPr>
                  <w:tcW w:w="634" w:type="pct"/>
                  <w:vAlign w:val="center"/>
                </w:tcPr>
                <w:p w14:paraId="7EFE5E1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1.67</w:t>
                  </w:r>
                </w:p>
              </w:tc>
              <w:tc>
                <w:tcPr>
                  <w:tcW w:w="787" w:type="pct"/>
                  <w:vAlign w:val="center"/>
                </w:tcPr>
                <w:p w14:paraId="7F6C505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7.22</w:t>
                  </w:r>
                </w:p>
              </w:tc>
              <w:tc>
                <w:tcPr>
                  <w:tcW w:w="609" w:type="pct"/>
                  <w:vAlign w:val="center"/>
                </w:tcPr>
                <w:p w14:paraId="7952745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0.80</w:t>
                  </w:r>
                </w:p>
              </w:tc>
            </w:tr>
            <w:tr w14:paraId="6B33E01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1F4434C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500</w:t>
                  </w:r>
                </w:p>
              </w:tc>
              <w:tc>
                <w:tcPr>
                  <w:tcW w:w="818" w:type="pct"/>
                  <w:vAlign w:val="center"/>
                </w:tcPr>
                <w:p w14:paraId="16A8FEC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5.40</w:t>
                  </w:r>
                </w:p>
              </w:tc>
              <w:tc>
                <w:tcPr>
                  <w:tcW w:w="658" w:type="pct"/>
                  <w:vAlign w:val="center"/>
                </w:tcPr>
                <w:p w14:paraId="6C42B4E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0.27</w:t>
                  </w:r>
                </w:p>
              </w:tc>
              <w:tc>
                <w:tcPr>
                  <w:tcW w:w="811" w:type="pct"/>
                  <w:vAlign w:val="center"/>
                </w:tcPr>
                <w:p w14:paraId="56235DA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2.99</w:t>
                  </w:r>
                </w:p>
              </w:tc>
              <w:tc>
                <w:tcPr>
                  <w:tcW w:w="634" w:type="pct"/>
                  <w:vAlign w:val="center"/>
                </w:tcPr>
                <w:p w14:paraId="25CDD2F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1.49</w:t>
                  </w:r>
                </w:p>
              </w:tc>
              <w:tc>
                <w:tcPr>
                  <w:tcW w:w="787" w:type="pct"/>
                  <w:vAlign w:val="center"/>
                </w:tcPr>
                <w:p w14:paraId="6423707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6.45</w:t>
                  </w:r>
                </w:p>
              </w:tc>
              <w:tc>
                <w:tcPr>
                  <w:tcW w:w="609" w:type="pct"/>
                  <w:vAlign w:val="center"/>
                </w:tcPr>
                <w:p w14:paraId="3E9EBFE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0.72</w:t>
                  </w:r>
                </w:p>
              </w:tc>
            </w:tr>
            <w:tr w14:paraId="238C26D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4029E6BE">
                  <w:pPr>
                    <w:spacing w:after="0" w:line="240" w:lineRule="auto"/>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下风向最大浓度</w:t>
                  </w:r>
                </w:p>
              </w:tc>
              <w:tc>
                <w:tcPr>
                  <w:tcW w:w="818" w:type="pct"/>
                  <w:vAlign w:val="center"/>
                </w:tcPr>
                <w:p w14:paraId="2285ED0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20.06</w:t>
                  </w:r>
                </w:p>
              </w:tc>
              <w:tc>
                <w:tcPr>
                  <w:tcW w:w="658" w:type="pct"/>
                  <w:vAlign w:val="center"/>
                </w:tcPr>
                <w:p w14:paraId="06E1FB0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w:t>
                  </w:r>
                </w:p>
              </w:tc>
              <w:tc>
                <w:tcPr>
                  <w:tcW w:w="811" w:type="pct"/>
                  <w:vAlign w:val="center"/>
                </w:tcPr>
                <w:p w14:paraId="266745A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11.10</w:t>
                  </w:r>
                </w:p>
              </w:tc>
              <w:tc>
                <w:tcPr>
                  <w:tcW w:w="634" w:type="pct"/>
                  <w:vAlign w:val="center"/>
                </w:tcPr>
                <w:p w14:paraId="62E908C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5.55</w:t>
                  </w:r>
                </w:p>
              </w:tc>
              <w:tc>
                <w:tcPr>
                  <w:tcW w:w="787" w:type="pct"/>
                  <w:vAlign w:val="center"/>
                </w:tcPr>
                <w:p w14:paraId="210217E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24.00</w:t>
                  </w:r>
                </w:p>
              </w:tc>
              <w:tc>
                <w:tcPr>
                  <w:tcW w:w="609" w:type="pct"/>
                  <w:vAlign w:val="center"/>
                </w:tcPr>
                <w:p w14:paraId="685BC47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2.67</w:t>
                  </w:r>
                </w:p>
              </w:tc>
            </w:tr>
            <w:tr w14:paraId="38EFDE9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683" w:type="pct"/>
                  <w:vAlign w:val="center"/>
                </w:tcPr>
                <w:p w14:paraId="52BB4014">
                  <w:pPr>
                    <w:spacing w:after="0" w:line="240" w:lineRule="auto"/>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下风向最大浓度出现距离</w:t>
                  </w:r>
                </w:p>
              </w:tc>
              <w:tc>
                <w:tcPr>
                  <w:tcW w:w="818" w:type="pct"/>
                  <w:vAlign w:val="center"/>
                </w:tcPr>
                <w:p w14:paraId="749612A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w:t>
                  </w:r>
                </w:p>
              </w:tc>
              <w:tc>
                <w:tcPr>
                  <w:tcW w:w="658" w:type="pct"/>
                  <w:vAlign w:val="center"/>
                </w:tcPr>
                <w:p w14:paraId="3C56BD9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w:t>
                  </w:r>
                </w:p>
              </w:tc>
              <w:tc>
                <w:tcPr>
                  <w:tcW w:w="811" w:type="pct"/>
                  <w:vAlign w:val="center"/>
                </w:tcPr>
                <w:p w14:paraId="66B49F7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w:t>
                  </w:r>
                </w:p>
              </w:tc>
              <w:tc>
                <w:tcPr>
                  <w:tcW w:w="634" w:type="pct"/>
                  <w:vAlign w:val="center"/>
                </w:tcPr>
                <w:p w14:paraId="3A56DFB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w:t>
                  </w:r>
                </w:p>
              </w:tc>
              <w:tc>
                <w:tcPr>
                  <w:tcW w:w="787" w:type="pct"/>
                  <w:vAlign w:val="center"/>
                </w:tcPr>
                <w:p w14:paraId="31D0510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w:t>
                  </w:r>
                </w:p>
              </w:tc>
              <w:tc>
                <w:tcPr>
                  <w:tcW w:w="609" w:type="pct"/>
                  <w:vAlign w:val="center"/>
                </w:tcPr>
                <w:p w14:paraId="1FC08D0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w:t>
                  </w:r>
                </w:p>
              </w:tc>
            </w:tr>
          </w:tbl>
          <w:p w14:paraId="653B7A3B">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表4-13  露天加工区估算结果一览表</w:t>
            </w:r>
          </w:p>
          <w:tbl>
            <w:tblPr>
              <w:tblStyle w:val="22"/>
              <w:tblW w:w="500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3486"/>
              <w:gridCol w:w="2732"/>
              <w:gridCol w:w="2562"/>
            </w:tblGrid>
            <w:tr w14:paraId="31D0516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Merge w:val="restart"/>
                  <w:vAlign w:val="center"/>
                </w:tcPr>
                <w:p w14:paraId="35CD23C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下风向距离</w:t>
                  </w:r>
                  <w:r>
                    <w:rPr>
                      <w:rFonts w:hint="eastAsia"/>
                      <w:color w:val="0D0D0D" w:themeColor="text1" w:themeTint="F2"/>
                      <w:szCs w:val="21"/>
                      <w14:textFill>
                        <w14:solidFill>
                          <w14:schemeClr w14:val="tx1">
                            <w14:lumMod w14:val="95000"/>
                            <w14:lumOff w14:val="5000"/>
                          </w14:schemeClr>
                        </w14:solidFill>
                      </w14:textFill>
                    </w:rPr>
                    <w:t>（m）</w:t>
                  </w:r>
                </w:p>
              </w:tc>
              <w:tc>
                <w:tcPr>
                  <w:tcW w:w="3015" w:type="pct"/>
                  <w:gridSpan w:val="2"/>
                  <w:vAlign w:val="center"/>
                </w:tcPr>
                <w:p w14:paraId="19E2EDF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露天加工区</w:t>
                  </w:r>
                </w:p>
              </w:tc>
            </w:tr>
            <w:tr w14:paraId="240CFD1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Merge w:val="continue"/>
                  <w:vAlign w:val="center"/>
                </w:tcPr>
                <w:p w14:paraId="1FCEF3F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56" w:type="pct"/>
                  <w:vAlign w:val="center"/>
                </w:tcPr>
                <w:p w14:paraId="617242F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TSP</w:t>
                  </w:r>
                  <w:r>
                    <w:rPr>
                      <w:color w:val="0D0D0D" w:themeColor="text1" w:themeTint="F2"/>
                      <w:szCs w:val="21"/>
                      <w14:textFill>
                        <w14:solidFill>
                          <w14:schemeClr w14:val="tx1">
                            <w14:lumMod w14:val="95000"/>
                            <w14:lumOff w14:val="5000"/>
                          </w14:schemeClr>
                        </w14:solidFill>
                      </w14:textFill>
                    </w:rPr>
                    <w:t>浓度</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μg/m</w:t>
                  </w:r>
                  <w:r>
                    <w:rPr>
                      <w:rFonts w:hint="eastAsia"/>
                      <w:color w:val="0D0D0D" w:themeColor="text1" w:themeTint="F2"/>
                      <w:szCs w:val="21"/>
                      <w:vertAlign w:val="super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w:t>
                  </w:r>
                </w:p>
              </w:tc>
              <w:tc>
                <w:tcPr>
                  <w:tcW w:w="1459" w:type="pct"/>
                  <w:vAlign w:val="center"/>
                </w:tcPr>
                <w:p w14:paraId="7780D23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TSP</w:t>
                  </w:r>
                  <w:r>
                    <w:rPr>
                      <w:color w:val="0D0D0D" w:themeColor="text1" w:themeTint="F2"/>
                      <w:szCs w:val="21"/>
                      <w14:textFill>
                        <w14:solidFill>
                          <w14:schemeClr w14:val="tx1">
                            <w14:lumMod w14:val="95000"/>
                            <w14:lumOff w14:val="5000"/>
                          </w14:schemeClr>
                        </w14:solidFill>
                      </w14:textFill>
                    </w:rPr>
                    <w:t>占标率</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w:t>
                  </w:r>
                  <w:r>
                    <w:rPr>
                      <w:rFonts w:hint="eastAsia"/>
                      <w:color w:val="0D0D0D" w:themeColor="text1" w:themeTint="F2"/>
                      <w:szCs w:val="21"/>
                      <w14:textFill>
                        <w14:solidFill>
                          <w14:schemeClr w14:val="tx1">
                            <w14:lumMod w14:val="95000"/>
                            <w14:lumOff w14:val="5000"/>
                          </w14:schemeClr>
                        </w14:solidFill>
                      </w14:textFill>
                    </w:rPr>
                    <w:t>）</w:t>
                  </w:r>
                </w:p>
              </w:tc>
            </w:tr>
            <w:tr w14:paraId="7BBE496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215734D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50</w:t>
                  </w:r>
                </w:p>
              </w:tc>
              <w:tc>
                <w:tcPr>
                  <w:tcW w:w="1556" w:type="pct"/>
                  <w:vAlign w:val="center"/>
                </w:tcPr>
                <w:p w14:paraId="2993579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99.8</w:t>
                  </w:r>
                  <w:r>
                    <w:rPr>
                      <w:rFonts w:hint="eastAsia"/>
                      <w:color w:val="0D0D0D" w:themeColor="text1" w:themeTint="F2"/>
                      <w14:textFill>
                        <w14:solidFill>
                          <w14:schemeClr w14:val="tx1">
                            <w14:lumMod w14:val="95000"/>
                            <w14:lumOff w14:val="5000"/>
                          </w14:schemeClr>
                        </w14:solidFill>
                      </w14:textFill>
                    </w:rPr>
                    <w:t>9</w:t>
                  </w:r>
                </w:p>
              </w:tc>
              <w:tc>
                <w:tcPr>
                  <w:tcW w:w="1459" w:type="pct"/>
                  <w:vAlign w:val="center"/>
                </w:tcPr>
                <w:p w14:paraId="14938E1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11.10</w:t>
                  </w:r>
                </w:p>
              </w:tc>
            </w:tr>
            <w:tr w14:paraId="26A0200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4E135188">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100</w:t>
                  </w:r>
                </w:p>
              </w:tc>
              <w:tc>
                <w:tcPr>
                  <w:tcW w:w="1556" w:type="pct"/>
                  <w:vAlign w:val="center"/>
                </w:tcPr>
                <w:p w14:paraId="562BA92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87.12</w:t>
                  </w:r>
                </w:p>
              </w:tc>
              <w:tc>
                <w:tcPr>
                  <w:tcW w:w="1459" w:type="pct"/>
                  <w:vAlign w:val="center"/>
                </w:tcPr>
                <w:p w14:paraId="6404C90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9.68</w:t>
                  </w:r>
                </w:p>
              </w:tc>
            </w:tr>
            <w:tr w14:paraId="707DA84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67F97F4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200</w:t>
                  </w:r>
                </w:p>
              </w:tc>
              <w:tc>
                <w:tcPr>
                  <w:tcW w:w="1556" w:type="pct"/>
                  <w:vAlign w:val="center"/>
                </w:tcPr>
                <w:p w14:paraId="69941B8F">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42.93</w:t>
                  </w:r>
                </w:p>
              </w:tc>
              <w:tc>
                <w:tcPr>
                  <w:tcW w:w="1459" w:type="pct"/>
                  <w:vAlign w:val="center"/>
                </w:tcPr>
                <w:p w14:paraId="71F21E3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4.77</w:t>
                  </w:r>
                </w:p>
              </w:tc>
            </w:tr>
            <w:tr w14:paraId="5BA1FFD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1FAC86B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300</w:t>
                  </w:r>
                </w:p>
              </w:tc>
              <w:tc>
                <w:tcPr>
                  <w:tcW w:w="1556" w:type="pct"/>
                  <w:vAlign w:val="center"/>
                </w:tcPr>
                <w:p w14:paraId="38B9619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27.42</w:t>
                  </w:r>
                </w:p>
              </w:tc>
              <w:tc>
                <w:tcPr>
                  <w:tcW w:w="1459" w:type="pct"/>
                  <w:vAlign w:val="center"/>
                </w:tcPr>
                <w:p w14:paraId="3AE0C2E8">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3.05</w:t>
                  </w:r>
                </w:p>
              </w:tc>
            </w:tr>
            <w:tr w14:paraId="3F30C56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70E0D8D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400</w:t>
                  </w:r>
                </w:p>
              </w:tc>
              <w:tc>
                <w:tcPr>
                  <w:tcW w:w="1556" w:type="pct"/>
                  <w:vAlign w:val="center"/>
                </w:tcPr>
                <w:p w14:paraId="7CEB5BA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19.49</w:t>
                  </w:r>
                </w:p>
              </w:tc>
              <w:tc>
                <w:tcPr>
                  <w:tcW w:w="1459" w:type="pct"/>
                  <w:vAlign w:val="center"/>
                </w:tcPr>
                <w:p w14:paraId="6C276A9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2.17</w:t>
                  </w:r>
                </w:p>
              </w:tc>
            </w:tr>
            <w:tr w14:paraId="73DDABE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4D11A9D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500</w:t>
                  </w:r>
                </w:p>
              </w:tc>
              <w:tc>
                <w:tcPr>
                  <w:tcW w:w="1556" w:type="pct"/>
                  <w:vAlign w:val="center"/>
                </w:tcPr>
                <w:p w14:paraId="39ADFB3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14.79</w:t>
                  </w:r>
                </w:p>
              </w:tc>
              <w:tc>
                <w:tcPr>
                  <w:tcW w:w="1459" w:type="pct"/>
                  <w:vAlign w:val="center"/>
                </w:tcPr>
                <w:p w14:paraId="628A6F5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1.64</w:t>
                  </w:r>
                </w:p>
              </w:tc>
            </w:tr>
            <w:tr w14:paraId="6679806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1A18943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下风向最大浓度</w:t>
                  </w:r>
                </w:p>
              </w:tc>
              <w:tc>
                <w:tcPr>
                  <w:tcW w:w="1556" w:type="pct"/>
                  <w:vAlign w:val="center"/>
                </w:tcPr>
                <w:p w14:paraId="3BFAA69F">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110.23</w:t>
                  </w:r>
                </w:p>
              </w:tc>
              <w:tc>
                <w:tcPr>
                  <w:tcW w:w="1459" w:type="pct"/>
                  <w:vAlign w:val="center"/>
                </w:tcPr>
                <w:p w14:paraId="19D6F4C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12.25</w:t>
                  </w:r>
                </w:p>
              </w:tc>
            </w:tr>
            <w:tr w14:paraId="0A7A321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985" w:type="pct"/>
                  <w:vAlign w:val="center"/>
                </w:tcPr>
                <w:p w14:paraId="5E3F26BC">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下风向最大浓度出现距离</w:t>
                  </w:r>
                </w:p>
              </w:tc>
              <w:tc>
                <w:tcPr>
                  <w:tcW w:w="1556" w:type="pct"/>
                  <w:vAlign w:val="center"/>
                </w:tcPr>
                <w:p w14:paraId="37BDF328">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68</w:t>
                  </w:r>
                </w:p>
              </w:tc>
              <w:tc>
                <w:tcPr>
                  <w:tcW w:w="1459" w:type="pct"/>
                  <w:vAlign w:val="center"/>
                </w:tcPr>
                <w:p w14:paraId="0D261ED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68</w:t>
                  </w:r>
                </w:p>
              </w:tc>
            </w:tr>
          </w:tbl>
          <w:p w14:paraId="0CE06C3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由上表可知，项目生产车间无组织排放的NMHC最大地面浓度值出现在污染源下风向40m处，最大落地浓度为20.06μg/m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，二甲苯最大地面浓度值出现在污染源下风向40m处，最大落地浓度为11.10μg/m³，TSP最大地面浓度值出现在污染源下风向40m处，最大地面浓度为24.00μg/m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露天加工区无组织排放的颗粒物最大地面浓度值出现在污染源下风向68m处，最大落地浓度为110.23μg/m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。因此，项目NMHC、二甲苯和TSP厂界浓度均可满足《大气污染物综合排放标准》（GB16297-1996）表2无组织排放监控浓度限值（NMHC为4000μg/m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，二甲苯为1200μg/m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，TSP为1000μg/m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），厂房外NMHC浓度满足《挥发性有机物无组织排放控制标准》（GB37822-2019）表A.1厂区内VOCs无组织排放限值要求（NMHC为10000μg/m³）。</w:t>
            </w:r>
          </w:p>
          <w:p w14:paraId="18A4DF0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综上所述，项目所在地属于达标区，区域环境空气质量良好。在采取上述大气污染防治措施后，空气污染物可达标排放，对区域大气环境的影响在可接受范围内。</w:t>
            </w:r>
          </w:p>
          <w:p w14:paraId="0FBF723E">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6.监测要求</w:t>
            </w:r>
          </w:p>
          <w:p w14:paraId="3E8E7DA7">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根据《排污单位自行监测技术指南</w:t>
            </w:r>
            <w:r>
              <w:rPr>
                <w:rFonts w:cs="宋体"/>
                <w:bCs/>
                <w:color w:val="0D0D0D" w:themeColor="text1" w:themeTint="F2"/>
                <w:spacing w:val="-10"/>
                <w:sz w:val="24"/>
                <w:u w:val="single"/>
                <w14:textFill>
                  <w14:solidFill>
                    <w14:schemeClr w14:val="tx1">
                      <w14:lumMod w14:val="95000"/>
                      <w14:lumOff w14:val="5000"/>
                    </w14:schemeClr>
                  </w14:solidFill>
                </w14:textFill>
              </w:rPr>
              <w:t xml:space="preserve">  </w:t>
            </w:r>
            <w:r>
              <w:rPr>
                <w:rFonts w:hint="eastAsia" w:cs="宋体"/>
                <w:bCs/>
                <w:color w:val="0D0D0D" w:themeColor="text1" w:themeTint="F2"/>
                <w:spacing w:val="-10"/>
                <w:sz w:val="24"/>
                <w:u w:val="single"/>
                <w14:textFill>
                  <w14:solidFill>
                    <w14:schemeClr w14:val="tx1">
                      <w14:lumMod w14:val="95000"/>
                      <w14:lumOff w14:val="5000"/>
                    </w14:schemeClr>
                  </w14:solidFill>
                </w14:textFill>
              </w:rPr>
              <w:t>总则》（</w:t>
            </w:r>
            <w:r>
              <w:rPr>
                <w:rFonts w:cs="宋体"/>
                <w:bCs/>
                <w:color w:val="0D0D0D" w:themeColor="text1" w:themeTint="F2"/>
                <w:spacing w:val="-10"/>
                <w:sz w:val="24"/>
                <w:u w:val="single"/>
                <w14:textFill>
                  <w14:solidFill>
                    <w14:schemeClr w14:val="tx1">
                      <w14:lumMod w14:val="95000"/>
                      <w14:lumOff w14:val="5000"/>
                    </w14:schemeClr>
                  </w14:solidFill>
                </w14:textFill>
              </w:rPr>
              <w:t>HJ819-2017</w:t>
            </w:r>
            <w:r>
              <w:rPr>
                <w:rFonts w:hint="eastAsia" w:cs="宋体"/>
                <w:bCs/>
                <w:color w:val="0D0D0D" w:themeColor="text1" w:themeTint="F2"/>
                <w:spacing w:val="-10"/>
                <w:sz w:val="24"/>
                <w:u w:val="single"/>
                <w14:textFill>
                  <w14:solidFill>
                    <w14:schemeClr w14:val="tx1">
                      <w14:lumMod w14:val="95000"/>
                      <w14:lumOff w14:val="5000"/>
                    </w14:schemeClr>
                  </w14:solidFill>
                </w14:textFill>
              </w:rPr>
              <w:t>）、《排污单位自行监测技术指南  涂装》（HJ1086-2020）和《危险废物贮存污染控制标准》（GB18597-2023）等文件要求，项目运营期废气监测计划详见表4</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14。</w:t>
            </w:r>
          </w:p>
          <w:p w14:paraId="7B77544B">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w:t>
            </w:r>
            <w:r>
              <w:rPr>
                <w:rFonts w:cs="宋体"/>
                <w:b/>
                <w:color w:val="0D0D0D" w:themeColor="text1" w:themeTint="F2"/>
                <w:spacing w:val="-10"/>
                <w:szCs w:val="21"/>
                <w14:textFill>
                  <w14:solidFill>
                    <w14:schemeClr w14:val="tx1">
                      <w14:lumMod w14:val="95000"/>
                      <w14:lumOff w14:val="5000"/>
                    </w14:schemeClr>
                  </w14:solidFill>
                </w14:textFill>
              </w:rPr>
              <w:t>-</w:t>
            </w:r>
            <w:r>
              <w:rPr>
                <w:rFonts w:hint="eastAsia" w:cs="宋体"/>
                <w:b/>
                <w:color w:val="0D0D0D" w:themeColor="text1" w:themeTint="F2"/>
                <w:spacing w:val="-10"/>
                <w:szCs w:val="21"/>
                <w14:textFill>
                  <w14:solidFill>
                    <w14:schemeClr w14:val="tx1">
                      <w14:lumMod w14:val="95000"/>
                      <w14:lumOff w14:val="5000"/>
                    </w14:schemeClr>
                  </w14:solidFill>
                </w14:textFill>
              </w:rPr>
              <w:t>14</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废气自行监测计划一览表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881"/>
              <w:gridCol w:w="1462"/>
              <w:gridCol w:w="4080"/>
              <w:gridCol w:w="1471"/>
            </w:tblGrid>
            <w:tr w14:paraId="37AD7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14:paraId="2BE9BF47">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序号</w:t>
                  </w:r>
                </w:p>
              </w:tc>
              <w:tc>
                <w:tcPr>
                  <w:tcW w:w="502" w:type="pct"/>
                  <w:tcBorders>
                    <w:top w:val="single" w:color="auto" w:sz="4" w:space="0"/>
                    <w:left w:val="single" w:color="auto" w:sz="4" w:space="0"/>
                    <w:bottom w:val="single" w:color="auto" w:sz="4" w:space="0"/>
                    <w:right w:val="single" w:color="auto" w:sz="4" w:space="0"/>
                  </w:tcBorders>
                  <w:vAlign w:val="center"/>
                </w:tcPr>
                <w:p w14:paraId="415BCE5A">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类别</w:t>
                  </w:r>
                </w:p>
              </w:tc>
              <w:tc>
                <w:tcPr>
                  <w:tcW w:w="833" w:type="pct"/>
                  <w:tcBorders>
                    <w:top w:val="single" w:color="auto" w:sz="4" w:space="0"/>
                    <w:left w:val="single" w:color="auto" w:sz="4" w:space="0"/>
                    <w:bottom w:val="single" w:color="auto" w:sz="4" w:space="0"/>
                    <w:right w:val="single" w:color="auto" w:sz="4" w:space="0"/>
                  </w:tcBorders>
                  <w:vAlign w:val="center"/>
                </w:tcPr>
                <w:p w14:paraId="7A081813">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监测点位</w:t>
                  </w:r>
                </w:p>
              </w:tc>
              <w:tc>
                <w:tcPr>
                  <w:tcW w:w="2325" w:type="pct"/>
                  <w:tcBorders>
                    <w:top w:val="single" w:color="auto" w:sz="4" w:space="0"/>
                    <w:left w:val="single" w:color="auto" w:sz="4" w:space="0"/>
                    <w:bottom w:val="single" w:color="auto" w:sz="4" w:space="0"/>
                    <w:right w:val="single" w:color="auto" w:sz="4" w:space="0"/>
                  </w:tcBorders>
                  <w:vAlign w:val="center"/>
                </w:tcPr>
                <w:p w14:paraId="239098C0">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监测因子</w:t>
                  </w:r>
                </w:p>
              </w:tc>
              <w:tc>
                <w:tcPr>
                  <w:tcW w:w="838" w:type="pct"/>
                  <w:tcBorders>
                    <w:top w:val="single" w:color="auto" w:sz="4" w:space="0"/>
                    <w:left w:val="single" w:color="auto" w:sz="4" w:space="0"/>
                    <w:bottom w:val="single" w:color="auto" w:sz="4" w:space="0"/>
                    <w:right w:val="single" w:color="auto" w:sz="4" w:space="0"/>
                  </w:tcBorders>
                  <w:vAlign w:val="center"/>
                </w:tcPr>
                <w:p w14:paraId="7D40BD5C">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监测频次</w:t>
                  </w:r>
                </w:p>
              </w:tc>
            </w:tr>
            <w:tr w14:paraId="7DDB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14:paraId="154C87B4">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w:t>
                  </w:r>
                </w:p>
              </w:tc>
              <w:tc>
                <w:tcPr>
                  <w:tcW w:w="502" w:type="pct"/>
                  <w:tcBorders>
                    <w:top w:val="single" w:color="auto" w:sz="4" w:space="0"/>
                    <w:left w:val="single" w:color="auto" w:sz="4" w:space="0"/>
                    <w:bottom w:val="single" w:color="auto" w:sz="4" w:space="0"/>
                    <w:right w:val="single" w:color="auto" w:sz="4" w:space="0"/>
                  </w:tcBorders>
                  <w:vAlign w:val="center"/>
                </w:tcPr>
                <w:p w14:paraId="33FEC295">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833" w:type="pct"/>
                  <w:tcBorders>
                    <w:top w:val="single" w:color="auto" w:sz="4" w:space="0"/>
                    <w:left w:val="single" w:color="auto" w:sz="4" w:space="0"/>
                    <w:bottom w:val="single" w:color="auto" w:sz="4" w:space="0"/>
                    <w:right w:val="single" w:color="auto" w:sz="4" w:space="0"/>
                  </w:tcBorders>
                  <w:vAlign w:val="center"/>
                </w:tcPr>
                <w:p w14:paraId="4F7B9ED3">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DA001</w:t>
                  </w:r>
                </w:p>
              </w:tc>
              <w:tc>
                <w:tcPr>
                  <w:tcW w:w="2325" w:type="pct"/>
                  <w:tcBorders>
                    <w:top w:val="single" w:color="auto" w:sz="4" w:space="0"/>
                    <w:left w:val="single" w:color="auto" w:sz="4" w:space="0"/>
                    <w:bottom w:val="single" w:color="auto" w:sz="4" w:space="0"/>
                    <w:right w:val="single" w:color="auto" w:sz="4" w:space="0"/>
                  </w:tcBorders>
                  <w:vAlign w:val="center"/>
                </w:tcPr>
                <w:p w14:paraId="5488F68B">
                  <w:pPr>
                    <w:adjustRightInd w:val="0"/>
                    <w:snapToGrid w:val="0"/>
                    <w:spacing w:after="0" w:line="240" w:lineRule="auto"/>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非甲烷总烃、二甲苯、颗粒物</w:t>
                  </w:r>
                </w:p>
              </w:tc>
              <w:tc>
                <w:tcPr>
                  <w:tcW w:w="838" w:type="pct"/>
                  <w:tcBorders>
                    <w:top w:val="single" w:color="auto" w:sz="4" w:space="0"/>
                    <w:left w:val="single" w:color="auto" w:sz="4" w:space="0"/>
                    <w:bottom w:val="single" w:color="auto" w:sz="4" w:space="0"/>
                    <w:right w:val="single" w:color="auto" w:sz="4" w:space="0"/>
                  </w:tcBorders>
                  <w:vAlign w:val="center"/>
                </w:tcPr>
                <w:p w14:paraId="25670FEF">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年</w:t>
                  </w:r>
                </w:p>
              </w:tc>
            </w:tr>
            <w:tr w14:paraId="42C3F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14:paraId="57369526">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2</w:t>
                  </w:r>
                </w:p>
              </w:tc>
              <w:tc>
                <w:tcPr>
                  <w:tcW w:w="502" w:type="pct"/>
                  <w:tcBorders>
                    <w:top w:val="single" w:color="auto" w:sz="4" w:space="0"/>
                    <w:left w:val="single" w:color="auto" w:sz="4" w:space="0"/>
                    <w:bottom w:val="single" w:color="auto" w:sz="4" w:space="0"/>
                    <w:right w:val="single" w:color="auto" w:sz="4" w:space="0"/>
                  </w:tcBorders>
                  <w:vAlign w:val="center"/>
                </w:tcPr>
                <w:p w14:paraId="6404B316">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833" w:type="pct"/>
                  <w:tcBorders>
                    <w:top w:val="single" w:color="auto" w:sz="4" w:space="0"/>
                    <w:left w:val="single" w:color="auto" w:sz="4" w:space="0"/>
                    <w:bottom w:val="single" w:color="auto" w:sz="4" w:space="0"/>
                    <w:right w:val="single" w:color="auto" w:sz="4" w:space="0"/>
                  </w:tcBorders>
                  <w:vAlign w:val="center"/>
                </w:tcPr>
                <w:p w14:paraId="23573C7E">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厂界</w:t>
                  </w:r>
                </w:p>
              </w:tc>
              <w:tc>
                <w:tcPr>
                  <w:tcW w:w="2325" w:type="pct"/>
                  <w:tcBorders>
                    <w:top w:val="single" w:color="auto" w:sz="4" w:space="0"/>
                    <w:left w:val="single" w:color="auto" w:sz="4" w:space="0"/>
                    <w:bottom w:val="single" w:color="auto" w:sz="4" w:space="0"/>
                    <w:right w:val="single" w:color="auto" w:sz="4" w:space="0"/>
                  </w:tcBorders>
                  <w:vAlign w:val="center"/>
                </w:tcPr>
                <w:p w14:paraId="64B87E05">
                  <w:pPr>
                    <w:adjustRightInd w:val="0"/>
                    <w:snapToGrid w:val="0"/>
                    <w:spacing w:after="0" w:line="240" w:lineRule="auto"/>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非甲烷总烃、二甲苯、颗粒物</w:t>
                  </w:r>
                </w:p>
              </w:tc>
              <w:tc>
                <w:tcPr>
                  <w:tcW w:w="838" w:type="pct"/>
                  <w:tcBorders>
                    <w:top w:val="single" w:color="auto" w:sz="4" w:space="0"/>
                    <w:left w:val="single" w:color="auto" w:sz="4" w:space="0"/>
                    <w:bottom w:val="single" w:color="auto" w:sz="4" w:space="0"/>
                    <w:right w:val="single" w:color="auto" w:sz="4" w:space="0"/>
                  </w:tcBorders>
                  <w:vAlign w:val="center"/>
                </w:tcPr>
                <w:p w14:paraId="14C77443">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半年</w:t>
                  </w:r>
                </w:p>
              </w:tc>
            </w:tr>
            <w:tr w14:paraId="75F8B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14:paraId="73F96FB6">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3</w:t>
                  </w:r>
                </w:p>
              </w:tc>
              <w:tc>
                <w:tcPr>
                  <w:tcW w:w="502" w:type="pct"/>
                  <w:tcBorders>
                    <w:top w:val="single" w:color="auto" w:sz="4" w:space="0"/>
                    <w:left w:val="single" w:color="auto" w:sz="4" w:space="0"/>
                    <w:bottom w:val="single" w:color="auto" w:sz="4" w:space="0"/>
                    <w:right w:val="single" w:color="auto" w:sz="4" w:space="0"/>
                  </w:tcBorders>
                  <w:vAlign w:val="center"/>
                </w:tcPr>
                <w:p w14:paraId="433F81A4">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833" w:type="pct"/>
                  <w:tcBorders>
                    <w:top w:val="single" w:color="auto" w:sz="4" w:space="0"/>
                    <w:left w:val="single" w:color="auto" w:sz="4" w:space="0"/>
                    <w:bottom w:val="single" w:color="auto" w:sz="4" w:space="0"/>
                    <w:right w:val="single" w:color="auto" w:sz="4" w:space="0"/>
                  </w:tcBorders>
                  <w:vAlign w:val="center"/>
                </w:tcPr>
                <w:p w14:paraId="765D5966">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喷漆房旁</w:t>
                  </w:r>
                </w:p>
              </w:tc>
              <w:tc>
                <w:tcPr>
                  <w:tcW w:w="2325" w:type="pct"/>
                  <w:tcBorders>
                    <w:top w:val="single" w:color="auto" w:sz="4" w:space="0"/>
                    <w:left w:val="single" w:color="auto" w:sz="4" w:space="0"/>
                    <w:bottom w:val="single" w:color="auto" w:sz="4" w:space="0"/>
                    <w:right w:val="single" w:color="auto" w:sz="4" w:space="0"/>
                  </w:tcBorders>
                  <w:vAlign w:val="center"/>
                </w:tcPr>
                <w:p w14:paraId="763BA2AD">
                  <w:pPr>
                    <w:adjustRightInd w:val="0"/>
                    <w:snapToGrid w:val="0"/>
                    <w:spacing w:after="0" w:line="240" w:lineRule="auto"/>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非甲烷总烃、二甲苯、颗粒物</w:t>
                  </w:r>
                </w:p>
              </w:tc>
              <w:tc>
                <w:tcPr>
                  <w:tcW w:w="838" w:type="pct"/>
                  <w:tcBorders>
                    <w:top w:val="single" w:color="auto" w:sz="4" w:space="0"/>
                    <w:left w:val="single" w:color="auto" w:sz="4" w:space="0"/>
                    <w:bottom w:val="single" w:color="auto" w:sz="4" w:space="0"/>
                    <w:right w:val="single" w:color="auto" w:sz="4" w:space="0"/>
                  </w:tcBorders>
                  <w:vAlign w:val="center"/>
                </w:tcPr>
                <w:p w14:paraId="68DCB42A">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季度</w:t>
                  </w:r>
                </w:p>
              </w:tc>
            </w:tr>
          </w:tbl>
          <w:p w14:paraId="080D40AD">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二、废水</w:t>
            </w:r>
          </w:p>
          <w:p w14:paraId="7F76EF9B">
            <w:pPr>
              <w:spacing w:after="0"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1.</w:t>
            </w:r>
            <w:r>
              <w:rPr>
                <w:rFonts w:cs="宋体"/>
                <w:b/>
                <w:color w:val="0D0D0D" w:themeColor="text1" w:themeTint="F2"/>
                <w:sz w:val="24"/>
                <w14:textFill>
                  <w14:solidFill>
                    <w14:schemeClr w14:val="tx1">
                      <w14:lumMod w14:val="95000"/>
                      <w14:lumOff w14:val="5000"/>
                    </w14:schemeClr>
                  </w14:solidFill>
                </w14:textFill>
              </w:rPr>
              <w:t>水污染物源强分析</w:t>
            </w:r>
          </w:p>
          <w:p w14:paraId="10D30772">
            <w:pPr>
              <w:adjustRightInd w:val="0"/>
              <w:snapToGrid w:val="0"/>
              <w:spacing w:after="0"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项目运营期实行雨污分流，初期雨水经初期雨水池收集后用于厂区降尘等，后期雨水排入园区市政雨水管网；</w:t>
            </w:r>
            <w:bookmarkStart w:id="22" w:name="OLE_LINK32"/>
            <w:r>
              <w:rPr>
                <w:rFonts w:hint="eastAsia" w:cs="宋体"/>
                <w:bCs/>
                <w:color w:val="0D0D0D" w:themeColor="text1" w:themeTint="F2"/>
                <w:sz w:val="24"/>
                <w14:textFill>
                  <w14:solidFill>
                    <w14:schemeClr w14:val="tx1">
                      <w14:lumMod w14:val="95000"/>
                      <w14:lumOff w14:val="5000"/>
                    </w14:schemeClr>
                  </w14:solidFill>
                </w14:textFill>
              </w:rPr>
              <w:t>无生产废水产生</w:t>
            </w:r>
            <w:bookmarkEnd w:id="22"/>
            <w:r>
              <w:rPr>
                <w:rFonts w:hint="eastAsia" w:cs="宋体"/>
                <w:bCs/>
                <w:color w:val="0D0D0D" w:themeColor="text1" w:themeTint="F2"/>
                <w:sz w:val="24"/>
                <w14:textFill>
                  <w14:solidFill>
                    <w14:schemeClr w14:val="tx1">
                      <w14:lumMod w14:val="95000"/>
                      <w14:lumOff w14:val="5000"/>
                    </w14:schemeClr>
                  </w14:solidFill>
                </w14:textFill>
              </w:rPr>
              <w:t>，生活污水经三级化粪池预处理后使用吸污车清运至钦州市大榄坪污水处理厂进一步处理。</w:t>
            </w:r>
          </w:p>
          <w:p w14:paraId="0AD156E4">
            <w:pPr>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1</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生活污水</w:t>
            </w:r>
          </w:p>
          <w:p w14:paraId="1BFF1E54">
            <w:pPr>
              <w:adjustRightInd w:val="0"/>
              <w:snapToGrid w:val="0"/>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由上文水平衡分析可知，项目</w:t>
            </w:r>
            <w:r>
              <w:rPr>
                <w:bCs/>
                <w:color w:val="0D0D0D" w:themeColor="text1" w:themeTint="F2"/>
                <w:sz w:val="24"/>
                <w14:textFill>
                  <w14:solidFill>
                    <w14:schemeClr w14:val="tx1">
                      <w14:lumMod w14:val="95000"/>
                      <w14:lumOff w14:val="5000"/>
                    </w14:schemeClr>
                  </w14:solidFill>
                </w14:textFill>
              </w:rPr>
              <w:t>生活污水产生量为</w:t>
            </w:r>
            <w:r>
              <w:rPr>
                <w:rFonts w:hint="eastAsia"/>
                <w:bCs/>
                <w:color w:val="0D0D0D" w:themeColor="text1" w:themeTint="F2"/>
                <w:sz w:val="24"/>
                <w14:textFill>
                  <w14:solidFill>
                    <w14:schemeClr w14:val="tx1">
                      <w14:lumMod w14:val="95000"/>
                      <w14:lumOff w14:val="5000"/>
                    </w14:schemeClr>
                  </w14:solidFill>
                </w14:textFill>
              </w:rPr>
              <w:t>18</w:t>
            </w:r>
            <w:r>
              <w:rPr>
                <w:bCs/>
                <w:color w:val="0D0D0D" w:themeColor="text1" w:themeTint="F2"/>
                <w:sz w:val="24"/>
                <w14:textFill>
                  <w14:solidFill>
                    <w14:schemeClr w14:val="tx1">
                      <w14:lumMod w14:val="95000"/>
                      <w14:lumOff w14:val="5000"/>
                    </w14:schemeClr>
                  </w14:solidFill>
                </w14:textFill>
              </w:rPr>
              <w:t>m</w:t>
            </w:r>
            <w:r>
              <w:rPr>
                <w:bCs/>
                <w:color w:val="0D0D0D" w:themeColor="text1" w:themeTint="F2"/>
                <w:sz w:val="24"/>
                <w:vertAlign w:val="superscript"/>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/d，</w:t>
            </w:r>
            <w:r>
              <w:rPr>
                <w:rFonts w:hint="eastAsia"/>
                <w:bCs/>
                <w:color w:val="0D0D0D" w:themeColor="text1" w:themeTint="F2"/>
                <w:sz w:val="24"/>
                <w14:textFill>
                  <w14:solidFill>
                    <w14:schemeClr w14:val="tx1">
                      <w14:lumMod w14:val="95000"/>
                      <w14:lumOff w14:val="5000"/>
                    </w14:schemeClr>
                  </w14:solidFill>
                </w14:textFill>
              </w:rPr>
              <w:t>5400</w:t>
            </w:r>
            <w:r>
              <w:rPr>
                <w:bCs/>
                <w:color w:val="0D0D0D" w:themeColor="text1" w:themeTint="F2"/>
                <w:sz w:val="24"/>
                <w14:textFill>
                  <w14:solidFill>
                    <w14:schemeClr w14:val="tx1">
                      <w14:lumMod w14:val="95000"/>
                      <w14:lumOff w14:val="5000"/>
                    </w14:schemeClr>
                  </w14:solidFill>
                </w14:textFill>
              </w:rPr>
              <w:t>m</w:t>
            </w:r>
            <w:r>
              <w:rPr>
                <w:bCs/>
                <w:color w:val="0D0D0D" w:themeColor="text1" w:themeTint="F2"/>
                <w:sz w:val="24"/>
                <w:vertAlign w:val="superscript"/>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/a</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主要污染物为COD</w:t>
            </w:r>
            <w:r>
              <w:rPr>
                <w:rFonts w:hint="eastAsia"/>
                <w:bCs/>
                <w:color w:val="0D0D0D" w:themeColor="text1" w:themeTint="F2"/>
                <w:sz w:val="24"/>
                <w14:textFill>
                  <w14:solidFill>
                    <w14:schemeClr w14:val="tx1">
                      <w14:lumMod w14:val="95000"/>
                      <w14:lumOff w14:val="5000"/>
                    </w14:schemeClr>
                  </w14:solidFill>
                </w14:textFill>
              </w:rPr>
              <w:t>cr</w:t>
            </w:r>
            <w:r>
              <w:rPr>
                <w:bCs/>
                <w:color w:val="0D0D0D" w:themeColor="text1" w:themeTint="F2"/>
                <w:sz w:val="24"/>
                <w14:textFill>
                  <w14:solidFill>
                    <w14:schemeClr w14:val="tx1">
                      <w14:lumMod w14:val="95000"/>
                      <w14:lumOff w14:val="5000"/>
                    </w14:schemeClr>
                  </w14:solidFill>
                </w14:textFill>
              </w:rPr>
              <w:t>、BOD</w:t>
            </w:r>
            <w:r>
              <w:rPr>
                <w:bCs/>
                <w:color w:val="0D0D0D" w:themeColor="text1" w:themeTint="F2"/>
                <w:sz w:val="24"/>
                <w:vertAlign w:val="subscript"/>
                <w14:textFill>
                  <w14:solidFill>
                    <w14:schemeClr w14:val="tx1">
                      <w14:lumMod w14:val="95000"/>
                      <w14:lumOff w14:val="5000"/>
                    </w14:schemeClr>
                  </w14:solidFill>
                </w14:textFill>
              </w:rPr>
              <w:t>5</w:t>
            </w:r>
            <w:r>
              <w:rPr>
                <w:rFonts w:hint="eastAsia"/>
                <w:bCs/>
                <w:color w:val="0D0D0D" w:themeColor="text1" w:themeTint="F2"/>
                <w:sz w:val="24"/>
                <w14:textFill>
                  <w14:solidFill>
                    <w14:schemeClr w14:val="tx1">
                      <w14:lumMod w14:val="95000"/>
                      <w14:lumOff w14:val="5000"/>
                    </w14:schemeClr>
                  </w14:solidFill>
                </w14:textFill>
              </w:rPr>
              <w:t>、S</w:t>
            </w:r>
            <w:r>
              <w:rPr>
                <w:bCs/>
                <w:color w:val="0D0D0D" w:themeColor="text1" w:themeTint="F2"/>
                <w:sz w:val="24"/>
                <w14:textFill>
                  <w14:solidFill>
                    <w14:schemeClr w14:val="tx1">
                      <w14:lumMod w14:val="95000"/>
                      <w14:lumOff w14:val="5000"/>
                    </w14:schemeClr>
                  </w14:solidFill>
                </w14:textFill>
              </w:rPr>
              <w:t>S</w:t>
            </w:r>
            <w:r>
              <w:rPr>
                <w:rFonts w:hint="eastAsia"/>
                <w:bCs/>
                <w:color w:val="0D0D0D" w:themeColor="text1" w:themeTint="F2"/>
                <w:sz w:val="24"/>
                <w14:textFill>
                  <w14:solidFill>
                    <w14:schemeClr w14:val="tx1">
                      <w14:lumMod w14:val="95000"/>
                      <w14:lumOff w14:val="5000"/>
                    </w14:schemeClr>
                  </w14:solidFill>
                </w14:textFill>
              </w:rPr>
              <w:t>和</w:t>
            </w:r>
            <w:r>
              <w:rPr>
                <w:rFonts w:hint="eastAsia"/>
                <w:color w:val="0D0D0D" w:themeColor="text1" w:themeTint="F2"/>
                <w:sz w:val="24"/>
                <w14:textFill>
                  <w14:solidFill>
                    <w14:schemeClr w14:val="tx1">
                      <w14:lumMod w14:val="95000"/>
                      <w14:lumOff w14:val="5000"/>
                    </w14:schemeClr>
                  </w14:solidFill>
                </w14:textFill>
              </w:rPr>
              <w:t>NH</w:t>
            </w:r>
            <w:r>
              <w:rPr>
                <w:rFonts w:hint="eastAsia"/>
                <w:color w:val="0D0D0D" w:themeColor="text1" w:themeTint="F2"/>
                <w:sz w:val="24"/>
                <w:vertAlign w:val="subscript"/>
                <w14:textFill>
                  <w14:solidFill>
                    <w14:schemeClr w14:val="tx1">
                      <w14:lumMod w14:val="95000"/>
                      <w14:lumOff w14:val="5000"/>
                    </w14:schemeClr>
                  </w14:solidFill>
                </w14:textFill>
              </w:rPr>
              <w:t>3</w:t>
            </w:r>
            <w:r>
              <w:rPr>
                <w:rFonts w:hint="eastAsia"/>
                <w:color w:val="0D0D0D" w:themeColor="text1" w:themeTint="F2"/>
                <w:sz w:val="24"/>
                <w14:textFill>
                  <w14:solidFill>
                    <w14:schemeClr w14:val="tx1">
                      <w14:lumMod w14:val="95000"/>
                      <w14:lumOff w14:val="5000"/>
                    </w14:schemeClr>
                  </w14:solidFill>
                </w14:textFill>
              </w:rPr>
              <w:t>-N</w:t>
            </w:r>
            <w:r>
              <w:rPr>
                <w:rFonts w:hint="eastAsia"/>
                <w:bCs/>
                <w:color w:val="0D0D0D" w:themeColor="text1" w:themeTint="F2"/>
                <w:sz w:val="24"/>
                <w14:textFill>
                  <w14:solidFill>
                    <w14:schemeClr w14:val="tx1">
                      <w14:lumMod w14:val="95000"/>
                      <w14:lumOff w14:val="5000"/>
                    </w14:schemeClr>
                  </w14:solidFill>
                </w14:textFill>
              </w:rPr>
              <w:t>。根据《排放源统计调查产排污核算方法和系数手册》（生态环境部公告2021年第24号）-《生活污染源产排污系数手册》、</w:t>
            </w:r>
            <w:r>
              <w:rPr>
                <w:bCs/>
                <w:color w:val="0D0D0D" w:themeColor="text1" w:themeTint="F2"/>
                <w:sz w:val="24"/>
                <w14:textFill>
                  <w14:solidFill>
                    <w14:schemeClr w14:val="tx1">
                      <w14:lumMod w14:val="95000"/>
                      <w14:lumOff w14:val="5000"/>
                    </w14:schemeClr>
                  </w14:solidFill>
                </w14:textFill>
              </w:rPr>
              <w:t>《环境工程设计手册》（魏先勋</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湖南科学技术出版社</w:t>
            </w:r>
            <w:r>
              <w:rPr>
                <w:rFonts w:hint="eastAsia"/>
                <w:bCs/>
                <w:color w:val="0D0D0D" w:themeColor="text1" w:themeTint="F2"/>
                <w:sz w:val="24"/>
                <w14:textFill>
                  <w14:solidFill>
                    <w14:schemeClr w14:val="tx1">
                      <w14:lumMod w14:val="95000"/>
                      <w14:lumOff w14:val="5000"/>
                    </w14:schemeClr>
                  </w14:solidFill>
                </w14:textFill>
              </w:rPr>
              <w:t>，2002年</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、《城市污水回用技术手册》（金兆丰，化学工业出版社，2004年）以及类比分析，生活污水中</w:t>
            </w:r>
            <w:r>
              <w:rPr>
                <w:bCs/>
                <w:color w:val="0D0D0D" w:themeColor="text1" w:themeTint="F2"/>
                <w:sz w:val="24"/>
                <w14:textFill>
                  <w14:solidFill>
                    <w14:schemeClr w14:val="tx1">
                      <w14:lumMod w14:val="95000"/>
                      <w14:lumOff w14:val="5000"/>
                    </w14:schemeClr>
                  </w14:solidFill>
                </w14:textFill>
              </w:rPr>
              <w:t>COD</w:t>
            </w:r>
            <w:r>
              <w:rPr>
                <w:rFonts w:hint="eastAsia"/>
                <w:bCs/>
                <w:color w:val="0D0D0D" w:themeColor="text1" w:themeTint="F2"/>
                <w:sz w:val="24"/>
                <w14:textFill>
                  <w14:solidFill>
                    <w14:schemeClr w14:val="tx1">
                      <w14:lumMod w14:val="95000"/>
                      <w14:lumOff w14:val="5000"/>
                    </w14:schemeClr>
                  </w14:solidFill>
                </w14:textFill>
              </w:rPr>
              <w:t>cr</w:t>
            </w:r>
            <w:r>
              <w:rPr>
                <w:bCs/>
                <w:color w:val="0D0D0D" w:themeColor="text1" w:themeTint="F2"/>
                <w:sz w:val="24"/>
                <w14:textFill>
                  <w14:solidFill>
                    <w14:schemeClr w14:val="tx1">
                      <w14:lumMod w14:val="95000"/>
                      <w14:lumOff w14:val="5000"/>
                    </w14:schemeClr>
                  </w14:solidFill>
                </w14:textFill>
              </w:rPr>
              <w:t>、BOD</w:t>
            </w:r>
            <w:r>
              <w:rPr>
                <w:bCs/>
                <w:color w:val="0D0D0D" w:themeColor="text1" w:themeTint="F2"/>
                <w:sz w:val="24"/>
                <w:vertAlign w:val="subscript"/>
                <w14:textFill>
                  <w14:solidFill>
                    <w14:schemeClr w14:val="tx1">
                      <w14:lumMod w14:val="95000"/>
                      <w14:lumOff w14:val="5000"/>
                    </w14:schemeClr>
                  </w14:solidFill>
                </w14:textFill>
              </w:rPr>
              <w:t>5</w:t>
            </w:r>
            <w:r>
              <w:rPr>
                <w:rFonts w:hint="eastAsia"/>
                <w:bCs/>
                <w:color w:val="0D0D0D" w:themeColor="text1" w:themeTint="F2"/>
                <w:sz w:val="24"/>
                <w14:textFill>
                  <w14:solidFill>
                    <w14:schemeClr w14:val="tx1">
                      <w14:lumMod w14:val="95000"/>
                      <w14:lumOff w14:val="5000"/>
                    </w14:schemeClr>
                  </w14:solidFill>
                </w14:textFill>
              </w:rPr>
              <w:t>、S</w:t>
            </w:r>
            <w:r>
              <w:rPr>
                <w:bCs/>
                <w:color w:val="0D0D0D" w:themeColor="text1" w:themeTint="F2"/>
                <w:sz w:val="24"/>
                <w14:textFill>
                  <w14:solidFill>
                    <w14:schemeClr w14:val="tx1">
                      <w14:lumMod w14:val="95000"/>
                      <w14:lumOff w14:val="5000"/>
                    </w14:schemeClr>
                  </w14:solidFill>
                </w14:textFill>
              </w:rPr>
              <w:t>S</w:t>
            </w:r>
            <w:r>
              <w:rPr>
                <w:rFonts w:hint="eastAsia"/>
                <w:bCs/>
                <w:color w:val="0D0D0D" w:themeColor="text1" w:themeTint="F2"/>
                <w:sz w:val="24"/>
                <w14:textFill>
                  <w14:solidFill>
                    <w14:schemeClr w14:val="tx1">
                      <w14:lumMod w14:val="95000"/>
                      <w14:lumOff w14:val="5000"/>
                    </w14:schemeClr>
                  </w14:solidFill>
                </w14:textFill>
              </w:rPr>
              <w:t>和</w:t>
            </w:r>
            <w:r>
              <w:rPr>
                <w:rFonts w:hint="eastAsia"/>
                <w:color w:val="0D0D0D" w:themeColor="text1" w:themeTint="F2"/>
                <w:sz w:val="24"/>
                <w14:textFill>
                  <w14:solidFill>
                    <w14:schemeClr w14:val="tx1">
                      <w14:lumMod w14:val="95000"/>
                      <w14:lumOff w14:val="5000"/>
                    </w14:schemeClr>
                  </w14:solidFill>
                </w14:textFill>
              </w:rPr>
              <w:t>NH</w:t>
            </w:r>
            <w:r>
              <w:rPr>
                <w:rFonts w:hint="eastAsia"/>
                <w:color w:val="0D0D0D" w:themeColor="text1" w:themeTint="F2"/>
                <w:sz w:val="24"/>
                <w:vertAlign w:val="subscript"/>
                <w14:textFill>
                  <w14:solidFill>
                    <w14:schemeClr w14:val="tx1">
                      <w14:lumMod w14:val="95000"/>
                      <w14:lumOff w14:val="5000"/>
                    </w14:schemeClr>
                  </w14:solidFill>
                </w14:textFill>
              </w:rPr>
              <w:t>3</w:t>
            </w:r>
            <w:r>
              <w:rPr>
                <w:rFonts w:hint="eastAsia"/>
                <w:color w:val="0D0D0D" w:themeColor="text1" w:themeTint="F2"/>
                <w:sz w:val="24"/>
                <w14:textFill>
                  <w14:solidFill>
                    <w14:schemeClr w14:val="tx1">
                      <w14:lumMod w14:val="95000"/>
                      <w14:lumOff w14:val="5000"/>
                    </w14:schemeClr>
                  </w14:solidFill>
                </w14:textFill>
              </w:rPr>
              <w:t>-N的产生浓度分别为300mg/L、200mg/L、200mg/L和30mg/L</w:t>
            </w:r>
            <w:r>
              <w:rPr>
                <w:rFonts w:hint="eastAsia"/>
                <w:bCs/>
                <w:color w:val="0D0D0D" w:themeColor="text1" w:themeTint="F2"/>
                <w:sz w:val="24"/>
                <w14:textFill>
                  <w14:solidFill>
                    <w14:schemeClr w14:val="tx1">
                      <w14:lumMod w14:val="95000"/>
                      <w14:lumOff w14:val="5000"/>
                    </w14:schemeClr>
                  </w14:solidFill>
                </w14:textFill>
              </w:rPr>
              <w:t>。根据《</w:t>
            </w:r>
            <w:r>
              <w:rPr>
                <w:bCs/>
                <w:color w:val="0D0D0D" w:themeColor="text1" w:themeTint="F2"/>
                <w:sz w:val="24"/>
                <w14:textFill>
                  <w14:solidFill>
                    <w14:schemeClr w14:val="tx1">
                      <w14:lumMod w14:val="95000"/>
                      <w14:lumOff w14:val="5000"/>
                    </w14:schemeClr>
                  </w14:solidFill>
                </w14:textFill>
              </w:rPr>
              <w:t>村镇生活污染防治最佳可行技术指南（试行）</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HJ-BAT-9</w:t>
            </w:r>
            <w:r>
              <w:rPr>
                <w:rFonts w:hint="eastAsia"/>
                <w:bCs/>
                <w:color w:val="0D0D0D" w:themeColor="text1" w:themeTint="F2"/>
                <w:sz w:val="24"/>
                <w14:textFill>
                  <w14:solidFill>
                    <w14:schemeClr w14:val="tx1">
                      <w14:lumMod w14:val="95000"/>
                      <w14:lumOff w14:val="5000"/>
                    </w14:schemeClr>
                  </w14:solidFill>
                </w14:textFill>
              </w:rPr>
              <w:t>）4</w:t>
            </w:r>
            <w:r>
              <w:rPr>
                <w:bCs/>
                <w:color w:val="0D0D0D" w:themeColor="text1" w:themeTint="F2"/>
                <w:sz w:val="24"/>
                <w14:textFill>
                  <w14:solidFill>
                    <w14:schemeClr w14:val="tx1">
                      <w14:lumMod w14:val="95000"/>
                      <w14:lumOff w14:val="5000"/>
                    </w14:schemeClr>
                  </w14:solidFill>
                </w14:textFill>
              </w:rPr>
              <w:t>.1.3</w:t>
            </w:r>
            <w:r>
              <w:rPr>
                <w:rFonts w:hint="eastAsia"/>
                <w:bCs/>
                <w:color w:val="0D0D0D" w:themeColor="text1" w:themeTint="F2"/>
                <w:sz w:val="24"/>
                <w14:textFill>
                  <w14:solidFill>
                    <w14:schemeClr w14:val="tx1">
                      <w14:lumMod w14:val="95000"/>
                      <w14:lumOff w14:val="5000"/>
                    </w14:schemeClr>
                  </w14:solidFill>
                </w14:textFill>
              </w:rPr>
              <w:t>及类比分析，三级</w:t>
            </w:r>
            <w:r>
              <w:rPr>
                <w:bCs/>
                <w:color w:val="0D0D0D" w:themeColor="text1" w:themeTint="F2"/>
                <w:sz w:val="24"/>
                <w14:textFill>
                  <w14:solidFill>
                    <w14:schemeClr w14:val="tx1">
                      <w14:lumMod w14:val="95000"/>
                      <w14:lumOff w14:val="5000"/>
                    </w14:schemeClr>
                  </w14:solidFill>
                </w14:textFill>
              </w:rPr>
              <w:t>化粪池对污染物的去除效率</w:t>
            </w:r>
            <w:r>
              <w:rPr>
                <w:rFonts w:hint="eastAsia"/>
                <w:bCs/>
                <w:color w:val="0D0D0D" w:themeColor="text1" w:themeTint="F2"/>
                <w:sz w:val="24"/>
                <w14:textFill>
                  <w14:solidFill>
                    <w14:schemeClr w14:val="tx1">
                      <w14:lumMod w14:val="95000"/>
                      <w14:lumOff w14:val="5000"/>
                    </w14:schemeClr>
                  </w14:solidFill>
                </w14:textFill>
              </w:rPr>
              <w:t>为</w:t>
            </w:r>
            <w:r>
              <w:rPr>
                <w:bCs/>
                <w:color w:val="0D0D0D" w:themeColor="text1" w:themeTint="F2"/>
                <w:sz w:val="24"/>
                <w14:textFill>
                  <w14:solidFill>
                    <w14:schemeClr w14:val="tx1">
                      <w14:lumMod w14:val="95000"/>
                      <w14:lumOff w14:val="5000"/>
                    </w14:schemeClr>
                  </w14:solidFill>
                </w14:textFill>
              </w:rPr>
              <w:t>COD</w:t>
            </w:r>
            <w:r>
              <w:rPr>
                <w:rFonts w:hint="eastAsia"/>
                <w:bCs/>
                <w:color w:val="0D0D0D" w:themeColor="text1" w:themeTint="F2"/>
                <w:sz w:val="24"/>
                <w14:textFill>
                  <w14:solidFill>
                    <w14:schemeClr w14:val="tx1">
                      <w14:lumMod w14:val="95000"/>
                      <w14:lumOff w14:val="5000"/>
                    </w14:schemeClr>
                  </w14:solidFill>
                </w14:textFill>
              </w:rPr>
              <w:t>cr</w:t>
            </w:r>
            <w:r>
              <w:rPr>
                <w:bCs/>
                <w:color w:val="0D0D0D" w:themeColor="text1" w:themeTint="F2"/>
                <w:sz w:val="24"/>
                <w14:textFill>
                  <w14:solidFill>
                    <w14:schemeClr w14:val="tx1">
                      <w14:lumMod w14:val="95000"/>
                      <w14:lumOff w14:val="5000"/>
                    </w14:schemeClr>
                  </w14:solidFill>
                </w14:textFill>
              </w:rPr>
              <w:t>40%，</w:t>
            </w:r>
            <w:r>
              <w:rPr>
                <w:rFonts w:hint="eastAsia"/>
                <w:bCs/>
                <w:color w:val="0D0D0D" w:themeColor="text1" w:themeTint="F2"/>
                <w:sz w:val="24"/>
                <w14:textFill>
                  <w14:solidFill>
                    <w14:schemeClr w14:val="tx1">
                      <w14:lumMod w14:val="95000"/>
                      <w14:lumOff w14:val="5000"/>
                    </w14:schemeClr>
                  </w14:solidFill>
                </w14:textFill>
              </w:rPr>
              <w:t>B</w:t>
            </w:r>
            <w:r>
              <w:rPr>
                <w:bCs/>
                <w:color w:val="0D0D0D" w:themeColor="text1" w:themeTint="F2"/>
                <w:sz w:val="24"/>
                <w14:textFill>
                  <w14:solidFill>
                    <w14:schemeClr w14:val="tx1">
                      <w14:lumMod w14:val="95000"/>
                      <w14:lumOff w14:val="5000"/>
                    </w14:schemeClr>
                  </w14:solidFill>
                </w14:textFill>
              </w:rPr>
              <w:t>OD</w:t>
            </w:r>
            <w:r>
              <w:rPr>
                <w:bCs/>
                <w:color w:val="0D0D0D" w:themeColor="text1" w:themeTint="F2"/>
                <w:sz w:val="24"/>
                <w:vertAlign w:val="subscript"/>
                <w14:textFill>
                  <w14:solidFill>
                    <w14:schemeClr w14:val="tx1">
                      <w14:lumMod w14:val="95000"/>
                      <w14:lumOff w14:val="5000"/>
                    </w14:schemeClr>
                  </w14:solidFill>
                </w14:textFill>
              </w:rPr>
              <w:t>5</w:t>
            </w:r>
            <w:r>
              <w:rPr>
                <w:bCs/>
                <w:color w:val="0D0D0D" w:themeColor="text1" w:themeTint="F2"/>
                <w:sz w:val="24"/>
                <w14:textFill>
                  <w14:solidFill>
                    <w14:schemeClr w14:val="tx1">
                      <w14:lumMod w14:val="95000"/>
                      <w14:lumOff w14:val="5000"/>
                    </w14:schemeClr>
                  </w14:solidFill>
                </w14:textFill>
              </w:rPr>
              <w:t>30%</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SS60%，</w:t>
            </w:r>
            <w:r>
              <w:rPr>
                <w:rFonts w:hint="eastAsia"/>
                <w:bCs/>
                <w:color w:val="0D0D0D" w:themeColor="text1" w:themeTint="F2"/>
                <w:sz w:val="24"/>
                <w14:textFill>
                  <w14:solidFill>
                    <w14:schemeClr w14:val="tx1">
                      <w14:lumMod w14:val="95000"/>
                      <w14:lumOff w14:val="5000"/>
                    </w14:schemeClr>
                  </w14:solidFill>
                </w14:textFill>
              </w:rPr>
              <w:t>氨氮</w:t>
            </w:r>
            <w:r>
              <w:rPr>
                <w:bCs/>
                <w:color w:val="0D0D0D" w:themeColor="text1" w:themeTint="F2"/>
                <w:sz w:val="24"/>
                <w14:textFill>
                  <w14:solidFill>
                    <w14:schemeClr w14:val="tx1">
                      <w14:lumMod w14:val="95000"/>
                      <w14:lumOff w14:val="5000"/>
                    </w14:schemeClr>
                  </w14:solidFill>
                </w14:textFill>
              </w:rPr>
              <w:t>0%。</w:t>
            </w:r>
          </w:p>
          <w:p w14:paraId="253B4A85">
            <w:pPr>
              <w:adjustRightInd w:val="0"/>
              <w:snapToGrid w:val="0"/>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项目生活污水污染物源强核算详见表4</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15。</w:t>
            </w:r>
          </w:p>
          <w:p w14:paraId="6EA68729">
            <w:pPr>
              <w:adjustRightInd w:val="0"/>
              <w:snapToGrid w:val="0"/>
              <w:spacing w:after="0"/>
              <w:jc w:val="center"/>
              <w:rPr>
                <w:b/>
                <w:color w:val="0D0D0D" w:themeColor="text1" w:themeTint="F2"/>
                <w:szCs w:val="21"/>
                <w14:textFill>
                  <w14:solidFill>
                    <w14:schemeClr w14:val="tx1">
                      <w14:lumMod w14:val="95000"/>
                      <w14:lumOff w14:val="5000"/>
                    </w14:schemeClr>
                  </w14:solidFill>
                </w14:textFill>
              </w:rPr>
            </w:pPr>
            <w:r>
              <w:rPr>
                <w:rFonts w:hint="eastAsia"/>
                <w:b/>
                <w:color w:val="0D0D0D" w:themeColor="text1" w:themeTint="F2"/>
                <w:szCs w:val="21"/>
                <w14:textFill>
                  <w14:solidFill>
                    <w14:schemeClr w14:val="tx1">
                      <w14:lumMod w14:val="95000"/>
                      <w14:lumOff w14:val="5000"/>
                    </w14:schemeClr>
                  </w14:solidFill>
                </w14:textFill>
              </w:rPr>
              <w:t>表4-15</w:t>
            </w:r>
            <w:r>
              <w:rPr>
                <w:b/>
                <w:color w:val="0D0D0D" w:themeColor="text1" w:themeTint="F2"/>
                <w:szCs w:val="21"/>
                <w14:textFill>
                  <w14:solidFill>
                    <w14:schemeClr w14:val="tx1">
                      <w14:lumMod w14:val="95000"/>
                      <w14:lumOff w14:val="5000"/>
                    </w14:schemeClr>
                  </w14:solidFill>
                </w14:textFill>
              </w:rPr>
              <w:t xml:space="preserve">  </w:t>
            </w:r>
            <w:r>
              <w:rPr>
                <w:rFonts w:hint="eastAsia"/>
                <w:b/>
                <w:color w:val="0D0D0D" w:themeColor="text1" w:themeTint="F2"/>
                <w:szCs w:val="21"/>
                <w14:textFill>
                  <w14:solidFill>
                    <w14:schemeClr w14:val="tx1">
                      <w14:lumMod w14:val="95000"/>
                      <w14:lumOff w14:val="5000"/>
                    </w14:schemeClr>
                  </w14:solidFill>
                </w14:textFill>
              </w:rPr>
              <w:t>生活污水污染物源强核算一览表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6"/>
              <w:gridCol w:w="2640"/>
              <w:gridCol w:w="902"/>
              <w:gridCol w:w="999"/>
              <w:gridCol w:w="869"/>
              <w:gridCol w:w="1109"/>
            </w:tblGrid>
            <w:tr w14:paraId="74B8D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restart"/>
                  <w:vAlign w:val="center"/>
                </w:tcPr>
                <w:p w14:paraId="059C2E9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废水量（</w:t>
                  </w:r>
                  <w:r>
                    <w:rPr>
                      <w:bCs/>
                      <w:color w:val="0D0D0D" w:themeColor="text1" w:themeTint="F2"/>
                      <w:szCs w:val="21"/>
                      <w14:textFill>
                        <w14:solidFill>
                          <w14:schemeClr w14:val="tx1">
                            <w14:lumMod w14:val="95000"/>
                            <w14:lumOff w14:val="5000"/>
                          </w14:schemeClr>
                        </w14:solidFill>
                      </w14:textFill>
                    </w:rPr>
                    <w:t>m</w:t>
                  </w:r>
                  <w:r>
                    <w:rPr>
                      <w:bCs/>
                      <w:color w:val="0D0D0D" w:themeColor="text1" w:themeTint="F2"/>
                      <w:szCs w:val="21"/>
                      <w:vertAlign w:val="superscript"/>
                      <w14:textFill>
                        <w14:solidFill>
                          <w14:schemeClr w14:val="tx1">
                            <w14:lumMod w14:val="95000"/>
                            <w14:lumOff w14:val="5000"/>
                          </w14:schemeClr>
                        </w14:solidFill>
                      </w14:textFill>
                    </w:rPr>
                    <w:t>3</w:t>
                  </w:r>
                  <w:r>
                    <w:rPr>
                      <w:bCs/>
                      <w:color w:val="0D0D0D" w:themeColor="text1" w:themeTint="F2"/>
                      <w:szCs w:val="21"/>
                      <w14:textFill>
                        <w14:solidFill>
                          <w14:schemeClr w14:val="tx1">
                            <w14:lumMod w14:val="95000"/>
                            <w14:lumOff w14:val="5000"/>
                          </w14:schemeClr>
                        </w14:solidFill>
                      </w14:textFill>
                    </w:rPr>
                    <w:t>/a</w:t>
                  </w:r>
                  <w:r>
                    <w:rPr>
                      <w:rFonts w:hint="eastAsia"/>
                      <w:color w:val="0D0D0D" w:themeColor="text1" w:themeTint="F2"/>
                      <w:szCs w:val="21"/>
                      <w14:textFill>
                        <w14:solidFill>
                          <w14:schemeClr w14:val="tx1">
                            <w14:lumMod w14:val="95000"/>
                            <w14:lumOff w14:val="5000"/>
                          </w14:schemeClr>
                        </w14:solidFill>
                      </w14:textFill>
                    </w:rPr>
                    <w:t>）</w:t>
                  </w:r>
                </w:p>
              </w:tc>
              <w:tc>
                <w:tcPr>
                  <w:tcW w:w="1504" w:type="pct"/>
                  <w:vMerge w:val="restart"/>
                  <w:vAlign w:val="center"/>
                </w:tcPr>
                <w:p w14:paraId="53B4836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w:t>
                  </w:r>
                </w:p>
              </w:tc>
              <w:tc>
                <w:tcPr>
                  <w:tcW w:w="2210" w:type="pct"/>
                  <w:gridSpan w:val="4"/>
                  <w:vAlign w:val="center"/>
                </w:tcPr>
                <w:p w14:paraId="4F225F8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污染物</w:t>
                  </w:r>
                </w:p>
              </w:tc>
            </w:tr>
            <w:tr w14:paraId="73AC6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728D1EE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Merge w:val="continue"/>
                  <w:vAlign w:val="center"/>
                </w:tcPr>
                <w:p w14:paraId="2AE8756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14" w:type="pct"/>
                  <w:vAlign w:val="center"/>
                </w:tcPr>
                <w:p w14:paraId="32EC4A9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COD</w:t>
                  </w:r>
                </w:p>
              </w:tc>
              <w:tc>
                <w:tcPr>
                  <w:tcW w:w="569" w:type="pct"/>
                  <w:vAlign w:val="center"/>
                </w:tcPr>
                <w:p w14:paraId="2DF5F405">
                  <w:pPr>
                    <w:spacing w:after="0" w:line="240" w:lineRule="auto"/>
                    <w:jc w:val="center"/>
                    <w:rPr>
                      <w:color w:val="0D0D0D" w:themeColor="text1" w:themeTint="F2"/>
                      <w:szCs w:val="21"/>
                      <w:vertAlign w:val="subscript"/>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BOD</w:t>
                  </w:r>
                  <w:r>
                    <w:rPr>
                      <w:rFonts w:hint="eastAsia"/>
                      <w:color w:val="0D0D0D" w:themeColor="text1" w:themeTint="F2"/>
                      <w:szCs w:val="21"/>
                      <w:vertAlign w:val="subscript"/>
                      <w14:textFill>
                        <w14:solidFill>
                          <w14:schemeClr w14:val="tx1">
                            <w14:lumMod w14:val="95000"/>
                            <w14:lumOff w14:val="5000"/>
                          </w14:schemeClr>
                        </w14:solidFill>
                      </w14:textFill>
                    </w:rPr>
                    <w:t>5</w:t>
                  </w:r>
                </w:p>
              </w:tc>
              <w:tc>
                <w:tcPr>
                  <w:tcW w:w="495" w:type="pct"/>
                  <w:vAlign w:val="center"/>
                </w:tcPr>
                <w:p w14:paraId="4F9F3F0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SS</w:t>
                  </w:r>
                </w:p>
              </w:tc>
              <w:tc>
                <w:tcPr>
                  <w:tcW w:w="632" w:type="pct"/>
                  <w:vAlign w:val="center"/>
                </w:tcPr>
                <w:p w14:paraId="2B40E56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NH</w:t>
                  </w:r>
                  <w:r>
                    <w:rPr>
                      <w:rFonts w:hint="eastAsia"/>
                      <w:color w:val="0D0D0D" w:themeColor="text1" w:themeTint="F2"/>
                      <w:szCs w:val="21"/>
                      <w:vertAlign w:val="sub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-N</w:t>
                  </w:r>
                </w:p>
              </w:tc>
            </w:tr>
            <w:tr w14:paraId="048CB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restart"/>
                  <w:vAlign w:val="center"/>
                </w:tcPr>
                <w:p w14:paraId="394A538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5400</w:t>
                  </w:r>
                </w:p>
              </w:tc>
              <w:tc>
                <w:tcPr>
                  <w:tcW w:w="1504" w:type="pct"/>
                  <w:vAlign w:val="center"/>
                </w:tcPr>
                <w:p w14:paraId="737361A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产生浓度（mg/L）</w:t>
                  </w:r>
                </w:p>
              </w:tc>
              <w:tc>
                <w:tcPr>
                  <w:tcW w:w="514" w:type="pct"/>
                  <w:vAlign w:val="center"/>
                </w:tcPr>
                <w:p w14:paraId="2C75DD9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c>
                <w:tcPr>
                  <w:tcW w:w="569" w:type="pct"/>
                  <w:vAlign w:val="center"/>
                </w:tcPr>
                <w:p w14:paraId="40C2E45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w:t>
                  </w:r>
                </w:p>
              </w:tc>
              <w:tc>
                <w:tcPr>
                  <w:tcW w:w="495" w:type="pct"/>
                  <w:vAlign w:val="center"/>
                </w:tcPr>
                <w:p w14:paraId="0FBF9CF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w:t>
                  </w:r>
                </w:p>
              </w:tc>
              <w:tc>
                <w:tcPr>
                  <w:tcW w:w="632" w:type="pct"/>
                  <w:vAlign w:val="center"/>
                </w:tcPr>
                <w:p w14:paraId="44F4F5F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w:t>
                  </w:r>
                </w:p>
              </w:tc>
            </w:tr>
            <w:tr w14:paraId="7F6DF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25417DE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Align w:val="center"/>
                </w:tcPr>
                <w:p w14:paraId="5C87CC0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产生量（t/a）</w:t>
                  </w:r>
                </w:p>
              </w:tc>
              <w:tc>
                <w:tcPr>
                  <w:tcW w:w="514" w:type="pct"/>
                  <w:vAlign w:val="center"/>
                </w:tcPr>
                <w:p w14:paraId="60AA07F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1.62</w:t>
                  </w:r>
                </w:p>
              </w:tc>
              <w:tc>
                <w:tcPr>
                  <w:tcW w:w="569" w:type="pct"/>
                  <w:vAlign w:val="center"/>
                </w:tcPr>
                <w:p w14:paraId="7600AB7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1.08</w:t>
                  </w:r>
                </w:p>
              </w:tc>
              <w:tc>
                <w:tcPr>
                  <w:tcW w:w="495" w:type="pct"/>
                  <w:vAlign w:val="center"/>
                </w:tcPr>
                <w:p w14:paraId="12BF673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1.08</w:t>
                  </w:r>
                </w:p>
              </w:tc>
              <w:tc>
                <w:tcPr>
                  <w:tcW w:w="632" w:type="pct"/>
                  <w:vAlign w:val="center"/>
                </w:tcPr>
                <w:p w14:paraId="53E7D1F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0.15</w:t>
                  </w:r>
                </w:p>
              </w:tc>
            </w:tr>
            <w:tr w14:paraId="5F98B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39521A4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Align w:val="center"/>
                </w:tcPr>
                <w:p w14:paraId="1DC7AFE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治理措施</w:t>
                  </w:r>
                </w:p>
              </w:tc>
              <w:tc>
                <w:tcPr>
                  <w:tcW w:w="2210" w:type="pct"/>
                  <w:gridSpan w:val="4"/>
                  <w:vAlign w:val="center"/>
                </w:tcPr>
                <w:p w14:paraId="10B3DFA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三级化粪池</w:t>
                  </w:r>
                </w:p>
              </w:tc>
            </w:tr>
            <w:tr w14:paraId="61C3F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7FB8620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Align w:val="center"/>
                </w:tcPr>
                <w:p w14:paraId="5F96DCC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去除率</w:t>
                  </w:r>
                </w:p>
              </w:tc>
              <w:tc>
                <w:tcPr>
                  <w:tcW w:w="514" w:type="pct"/>
                  <w:vAlign w:val="center"/>
                </w:tcPr>
                <w:p w14:paraId="39A167FC">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40</w:t>
                  </w:r>
                </w:p>
              </w:tc>
              <w:tc>
                <w:tcPr>
                  <w:tcW w:w="569" w:type="pct"/>
                  <w:vAlign w:val="center"/>
                </w:tcPr>
                <w:p w14:paraId="001EFB4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30</w:t>
                  </w:r>
                </w:p>
              </w:tc>
              <w:tc>
                <w:tcPr>
                  <w:tcW w:w="495" w:type="pct"/>
                  <w:vAlign w:val="center"/>
                </w:tcPr>
                <w:p w14:paraId="3F9A864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60</w:t>
                  </w:r>
                </w:p>
              </w:tc>
              <w:tc>
                <w:tcPr>
                  <w:tcW w:w="632" w:type="pct"/>
                  <w:vAlign w:val="center"/>
                </w:tcPr>
                <w:p w14:paraId="261DD6BE">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0</w:t>
                  </w:r>
                </w:p>
              </w:tc>
            </w:tr>
            <w:tr w14:paraId="0C09F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361EAA1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Align w:val="center"/>
                </w:tcPr>
                <w:p w14:paraId="51711B0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排放浓度（mg/L）</w:t>
                  </w:r>
                </w:p>
              </w:tc>
              <w:tc>
                <w:tcPr>
                  <w:tcW w:w="514" w:type="pct"/>
                  <w:vAlign w:val="center"/>
                </w:tcPr>
                <w:p w14:paraId="7B2715D0">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180</w:t>
                  </w:r>
                </w:p>
              </w:tc>
              <w:tc>
                <w:tcPr>
                  <w:tcW w:w="569" w:type="pct"/>
                  <w:vAlign w:val="center"/>
                </w:tcPr>
                <w:p w14:paraId="257CBBD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140</w:t>
                  </w:r>
                </w:p>
              </w:tc>
              <w:tc>
                <w:tcPr>
                  <w:tcW w:w="495" w:type="pct"/>
                  <w:vAlign w:val="center"/>
                </w:tcPr>
                <w:p w14:paraId="3D3EAA2E">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80</w:t>
                  </w:r>
                </w:p>
              </w:tc>
              <w:tc>
                <w:tcPr>
                  <w:tcW w:w="632" w:type="pct"/>
                  <w:vAlign w:val="center"/>
                </w:tcPr>
                <w:p w14:paraId="28136B5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30</w:t>
                  </w:r>
                </w:p>
              </w:tc>
            </w:tr>
            <w:tr w14:paraId="72BC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7568858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Align w:val="center"/>
                </w:tcPr>
                <w:p w14:paraId="45D73CF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排放量（t/a）</w:t>
                  </w:r>
                </w:p>
              </w:tc>
              <w:tc>
                <w:tcPr>
                  <w:tcW w:w="514" w:type="pct"/>
                  <w:vAlign w:val="center"/>
                </w:tcPr>
                <w:p w14:paraId="6D4AE77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0.96</w:t>
                  </w:r>
                </w:p>
              </w:tc>
              <w:tc>
                <w:tcPr>
                  <w:tcW w:w="569" w:type="pct"/>
                  <w:vAlign w:val="center"/>
                </w:tcPr>
                <w:p w14:paraId="6D9E6CE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0.75</w:t>
                  </w:r>
                </w:p>
              </w:tc>
              <w:tc>
                <w:tcPr>
                  <w:tcW w:w="495" w:type="pct"/>
                  <w:vAlign w:val="center"/>
                </w:tcPr>
                <w:p w14:paraId="71C4243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0.42</w:t>
                  </w:r>
                </w:p>
              </w:tc>
              <w:tc>
                <w:tcPr>
                  <w:tcW w:w="632" w:type="pct"/>
                  <w:vAlign w:val="center"/>
                </w:tcPr>
                <w:p w14:paraId="0CAD630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0.15</w:t>
                  </w:r>
                </w:p>
              </w:tc>
            </w:tr>
            <w:tr w14:paraId="55E60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3B7B53A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Align w:val="center"/>
                </w:tcPr>
                <w:p w14:paraId="0544F15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外排标准（mg/L）</w:t>
                  </w:r>
                </w:p>
              </w:tc>
              <w:tc>
                <w:tcPr>
                  <w:tcW w:w="514" w:type="pct"/>
                  <w:vAlign w:val="center"/>
                </w:tcPr>
                <w:p w14:paraId="40EAFE2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450</w:t>
                  </w:r>
                </w:p>
              </w:tc>
              <w:tc>
                <w:tcPr>
                  <w:tcW w:w="569" w:type="pct"/>
                  <w:vAlign w:val="center"/>
                </w:tcPr>
                <w:p w14:paraId="1225FC5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w:t>
                  </w:r>
                </w:p>
              </w:tc>
              <w:tc>
                <w:tcPr>
                  <w:tcW w:w="495" w:type="pct"/>
                  <w:vAlign w:val="center"/>
                </w:tcPr>
                <w:p w14:paraId="564D351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c>
                <w:tcPr>
                  <w:tcW w:w="632" w:type="pct"/>
                  <w:vAlign w:val="center"/>
                </w:tcPr>
                <w:p w14:paraId="6AFBB89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35</w:t>
                  </w:r>
                </w:p>
              </w:tc>
            </w:tr>
            <w:tr w14:paraId="0E9FF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6" w:type="pct"/>
                  <w:vMerge w:val="continue"/>
                  <w:vAlign w:val="center"/>
                </w:tcPr>
                <w:p w14:paraId="7436365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504" w:type="pct"/>
                  <w:vAlign w:val="center"/>
                </w:tcPr>
                <w:p w14:paraId="5ED0B79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达标性</w:t>
                  </w:r>
                </w:p>
              </w:tc>
              <w:tc>
                <w:tcPr>
                  <w:tcW w:w="514" w:type="pct"/>
                  <w:vAlign w:val="center"/>
                </w:tcPr>
                <w:p w14:paraId="081F4CF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c>
                <w:tcPr>
                  <w:tcW w:w="569" w:type="pct"/>
                  <w:vAlign w:val="center"/>
                </w:tcPr>
                <w:p w14:paraId="33D8229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c>
                <w:tcPr>
                  <w:tcW w:w="495" w:type="pct"/>
                  <w:vAlign w:val="center"/>
                </w:tcPr>
                <w:p w14:paraId="05B35DD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c>
                <w:tcPr>
                  <w:tcW w:w="632" w:type="pct"/>
                  <w:vAlign w:val="center"/>
                </w:tcPr>
                <w:p w14:paraId="4D248F7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r>
          </w:tbl>
          <w:p w14:paraId="28C8917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由上表可知，项目生活污水经三级化粪池预处理后，可满足《污水综合排放标准》（GB8978-1996）三级标准和</w:t>
            </w:r>
            <w:r>
              <w:rPr>
                <w:rFonts w:hint="eastAsia" w:cs="宋体"/>
                <w:bCs/>
                <w:color w:val="0D0D0D" w:themeColor="text1" w:themeTint="F2"/>
                <w:sz w:val="24"/>
                <w14:textFill>
                  <w14:solidFill>
                    <w14:schemeClr w14:val="tx1">
                      <w14:lumMod w14:val="95000"/>
                      <w14:lumOff w14:val="5000"/>
                    </w14:schemeClr>
                  </w14:solidFill>
                </w14:textFill>
              </w:rPr>
              <w:t>钦州市大榄坪污水处理厂</w:t>
            </w:r>
            <w:r>
              <w:rPr>
                <w:rFonts w:hint="eastAsia" w:cs="宋体"/>
                <w:bCs/>
                <w:color w:val="0D0D0D" w:themeColor="text1" w:themeTint="F2"/>
                <w:spacing w:val="-10"/>
                <w:sz w:val="24"/>
                <w14:textFill>
                  <w14:solidFill>
                    <w14:schemeClr w14:val="tx1">
                      <w14:lumMod w14:val="95000"/>
                      <w14:lumOff w14:val="5000"/>
                    </w14:schemeClr>
                  </w14:solidFill>
                </w14:textFill>
              </w:rPr>
              <w:t>进水水质要求较严值。</w:t>
            </w:r>
          </w:p>
          <w:p w14:paraId="0F07C6F1">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（2）初期雨水</w:t>
            </w:r>
          </w:p>
          <w:p w14:paraId="3867B762">
            <w:pPr>
              <w:adjustRightInd w:val="0"/>
              <w:snapToGrid w:val="0"/>
              <w:spacing w:after="0" w:line="360" w:lineRule="auto"/>
              <w:ind w:firstLine="48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根据广西32城</w:t>
            </w:r>
            <w:r>
              <w:rPr>
                <w:rFonts w:hint="eastAsia"/>
                <w:color w:val="0D0D0D" w:themeColor="text1" w:themeTint="F2"/>
                <w:sz w:val="24"/>
                <w:u w:val="single"/>
                <w14:textFill>
                  <w14:solidFill>
                    <w14:schemeClr w14:val="tx1">
                      <w14:lumMod w14:val="95000"/>
                      <w14:lumOff w14:val="5000"/>
                    </w14:schemeClr>
                  </w14:solidFill>
                </w14:textFill>
              </w:rPr>
              <w:t>镇</w:t>
            </w:r>
            <w:r>
              <w:rPr>
                <w:color w:val="0D0D0D" w:themeColor="text1" w:themeTint="F2"/>
                <w:sz w:val="24"/>
                <w:u w:val="single"/>
                <w14:textFill>
                  <w14:solidFill>
                    <w14:schemeClr w14:val="tx1">
                      <w14:lumMod w14:val="95000"/>
                      <w14:lumOff w14:val="5000"/>
                    </w14:schemeClr>
                  </w14:solidFill>
                </w14:textFill>
              </w:rPr>
              <w:t>暴雨强度公式（由曲申酉教授推导，摘自中国土木工程学会-排水委员会二届二次年会论文集461~463页）</w:t>
            </w:r>
            <w:r>
              <w:rPr>
                <w:rFonts w:hint="eastAsia"/>
                <w:color w:val="0D0D0D" w:themeColor="text1" w:themeTint="F2"/>
                <w:sz w:val="24"/>
                <w:u w:val="single"/>
                <w14:textFill>
                  <w14:solidFill>
                    <w14:schemeClr w14:val="tx1">
                      <w14:lumMod w14:val="95000"/>
                      <w14:lumOff w14:val="5000"/>
                    </w14:schemeClr>
                  </w14:solidFill>
                </w14:textFill>
              </w:rPr>
              <w:t>，钦州</w:t>
            </w:r>
            <w:r>
              <w:rPr>
                <w:color w:val="0D0D0D" w:themeColor="text1" w:themeTint="F2"/>
                <w:sz w:val="24"/>
                <w:u w:val="single"/>
                <w14:textFill>
                  <w14:solidFill>
                    <w14:schemeClr w14:val="tx1">
                      <w14:lumMod w14:val="95000"/>
                      <w14:lumOff w14:val="5000"/>
                    </w14:schemeClr>
                  </w14:solidFill>
                </w14:textFill>
              </w:rPr>
              <w:t>市暴雨强度公式如下：</w:t>
            </w:r>
          </w:p>
          <w:p w14:paraId="7DF30E67">
            <w:pPr>
              <w:tabs>
                <w:tab w:val="left" w:pos="312"/>
                <w:tab w:val="left" w:pos="468"/>
              </w:tabs>
              <w:spacing w:after="0" w:line="360" w:lineRule="auto"/>
              <w:jc w:val="center"/>
              <w:rPr>
                <w:bCs/>
                <w:iCs/>
                <w:color w:val="0D0D0D" w:themeColor="text1" w:themeTint="F2"/>
                <w:sz w:val="24"/>
                <w14:textFill>
                  <w14:solidFill>
                    <w14:schemeClr w14:val="tx1">
                      <w14:lumMod w14:val="95000"/>
                      <w14:lumOff w14:val="5000"/>
                    </w14:schemeClr>
                  </w14:solidFill>
                </w14:textFill>
              </w:rPr>
            </w:pPr>
            <m:oMathPara>
              <m:oMathParaPr>
                <m:jc m:val="center"/>
              </m:oMathParaPr>
              <m:oMath>
                <m:r>
                  <m:rPr>
                    <m:sty m:val="p"/>
                  </m:rPr>
                  <w:rPr>
                    <w:rFonts w:ascii="Cambria Math" w:hAnsi="Cambria Math"/>
                    <w:color w:val="0D0D0D" w:themeColor="text1" w:themeTint="F2"/>
                    <w:sz w:val="24"/>
                    <w14:textFill>
                      <w14:solidFill>
                        <w14:schemeClr w14:val="tx1">
                          <w14:lumMod w14:val="95000"/>
                          <w14:lumOff w14:val="5000"/>
                        </w14:schemeClr>
                      </w14:solidFill>
                    </w14:textFill>
                  </w:rPr>
                  <m:t>q=1815.359(1+0.594lgP)/</m:t>
                </m:r>
                <m:sSup>
                  <m:sSupPr>
                    <m:ctrlPr>
                      <w:rPr>
                        <w:rFonts w:ascii="Cambria Math" w:hAnsi="Cambria Math"/>
                        <w:bCs/>
                        <w:iCs/>
                        <w:color w:val="0D0D0D" w:themeColor="text1" w:themeTint="F2"/>
                        <w:sz w:val="24"/>
                        <w14:textFill>
                          <w14:solidFill>
                            <w14:schemeClr w14:val="tx1">
                              <w14:lumMod w14:val="95000"/>
                              <w14:lumOff w14:val="5000"/>
                            </w14:schemeClr>
                          </w14:solidFill>
                        </w14:textFill>
                      </w:rPr>
                    </m:ctrlPr>
                  </m:sSupPr>
                  <m:e>
                    <m:d>
                      <m:dPr>
                        <m:ctrlPr>
                          <w:rPr>
                            <w:rFonts w:ascii="Cambria Math" w:hAnsi="Cambria Math"/>
                            <w:bCs/>
                            <w:iCs/>
                            <w:color w:val="0D0D0D" w:themeColor="text1" w:themeTint="F2"/>
                            <w:sz w:val="24"/>
                            <w14:textFill>
                              <w14:solidFill>
                                <w14:schemeClr w14:val="tx1">
                                  <w14:lumMod w14:val="95000"/>
                                  <w14:lumOff w14:val="5000"/>
                                </w14:schemeClr>
                              </w14:solidFill>
                            </w14:textFill>
                          </w:rPr>
                        </m:ctrlPr>
                      </m:dPr>
                      <m:e>
                        <m:r>
                          <m:rPr>
                            <m:sty m:val="p"/>
                          </m:rPr>
                          <w:rPr>
                            <w:rFonts w:ascii="Cambria Math" w:hAnsi="Cambria Math"/>
                            <w:color w:val="0D0D0D" w:themeColor="text1" w:themeTint="F2"/>
                            <w:sz w:val="24"/>
                            <w14:textFill>
                              <w14:solidFill>
                                <w14:schemeClr w14:val="tx1">
                                  <w14:lumMod w14:val="95000"/>
                                  <w14:lumOff w14:val="5000"/>
                                </w14:schemeClr>
                              </w14:solidFill>
                            </w14:textFill>
                          </w:rPr>
                          <m:t>t+6.669</m:t>
                        </m:r>
                        <m:ctrlPr>
                          <w:rPr>
                            <w:rFonts w:ascii="Cambria Math" w:hAnsi="Cambria Math"/>
                            <w:bCs/>
                            <w:iCs/>
                            <w:color w:val="0D0D0D" w:themeColor="text1" w:themeTint="F2"/>
                            <w:sz w:val="24"/>
                            <w14:textFill>
                              <w14:solidFill>
                                <w14:schemeClr w14:val="tx1">
                                  <w14:lumMod w14:val="95000"/>
                                  <w14:lumOff w14:val="5000"/>
                                </w14:schemeClr>
                              </w14:solidFill>
                            </w14:textFill>
                          </w:rPr>
                        </m:ctrlPr>
                      </m:e>
                    </m:d>
                    <m:ctrlPr>
                      <w:rPr>
                        <w:rFonts w:ascii="Cambria Math" w:hAnsi="Cambria Math"/>
                        <w:bCs/>
                        <w:iCs/>
                        <w:color w:val="0D0D0D" w:themeColor="text1" w:themeTint="F2"/>
                        <w:sz w:val="24"/>
                        <w14:textFill>
                          <w14:solidFill>
                            <w14:schemeClr w14:val="tx1">
                              <w14:lumMod w14:val="95000"/>
                              <w14:lumOff w14:val="5000"/>
                            </w14:schemeClr>
                          </w14:solidFill>
                        </w14:textFill>
                      </w:rPr>
                    </m:ctrlPr>
                  </m:e>
                  <m:sup>
                    <m:r>
                      <m:rPr>
                        <m:sty m:val="p"/>
                      </m:rPr>
                      <w:rPr>
                        <w:rFonts w:ascii="Cambria Math" w:hAnsi="Cambria Math"/>
                        <w:color w:val="0D0D0D" w:themeColor="text1" w:themeTint="F2"/>
                        <w:sz w:val="24"/>
                        <w14:textFill>
                          <w14:solidFill>
                            <w14:schemeClr w14:val="tx1">
                              <w14:lumMod w14:val="95000"/>
                              <w14:lumOff w14:val="5000"/>
                            </w14:schemeClr>
                          </w14:solidFill>
                        </w14:textFill>
                      </w:rPr>
                      <m:t>0.596</m:t>
                    </m:r>
                    <m:ctrlPr>
                      <w:rPr>
                        <w:rFonts w:ascii="Cambria Math" w:hAnsi="Cambria Math"/>
                        <w:bCs/>
                        <w:iCs/>
                        <w:color w:val="0D0D0D" w:themeColor="text1" w:themeTint="F2"/>
                        <w:sz w:val="24"/>
                        <w14:textFill>
                          <w14:solidFill>
                            <w14:schemeClr w14:val="tx1">
                              <w14:lumMod w14:val="95000"/>
                              <w14:lumOff w14:val="5000"/>
                            </w14:schemeClr>
                          </w14:solidFill>
                        </w14:textFill>
                      </w:rPr>
                    </m:ctrlPr>
                  </m:sup>
                </m:sSup>
              </m:oMath>
            </m:oMathPara>
          </w:p>
          <w:p w14:paraId="707C8385">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式中：</w:t>
            </w:r>
          </w:p>
          <w:p w14:paraId="73CE7A20">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q——暴雨强度</w:t>
            </w:r>
            <w:r>
              <w:rPr>
                <w:rFonts w:hint="eastAsia"/>
                <w:color w:val="0D0D0D" w:themeColor="text1" w:themeTint="F2"/>
                <w:sz w:val="24"/>
                <w:u w:val="single"/>
                <w14:textFill>
                  <w14:solidFill>
                    <w14:schemeClr w14:val="tx1">
                      <w14:lumMod w14:val="95000"/>
                      <w14:lumOff w14:val="5000"/>
                    </w14:schemeClr>
                  </w14:solidFill>
                </w14:textFill>
              </w:rPr>
              <w:t>（L/</w:t>
            </w:r>
            <w:r>
              <w:rPr>
                <w:color w:val="0D0D0D" w:themeColor="text1" w:themeTint="F2"/>
                <w:sz w:val="24"/>
                <w:u w:val="single"/>
                <w14:textFill>
                  <w14:solidFill>
                    <w14:schemeClr w14:val="tx1">
                      <w14:lumMod w14:val="95000"/>
                      <w14:lumOff w14:val="5000"/>
                    </w14:schemeClr>
                  </w14:solidFill>
                </w14:textFill>
              </w:rPr>
              <w:t>s·</w:t>
            </w:r>
            <w:r>
              <w:rPr>
                <w:rFonts w:hint="eastAsia"/>
                <w:color w:val="0D0D0D" w:themeColor="text1" w:themeTint="F2"/>
                <w:sz w:val="24"/>
                <w:u w:val="single"/>
                <w14:textFill>
                  <w14:solidFill>
                    <w14:schemeClr w14:val="tx1">
                      <w14:lumMod w14:val="95000"/>
                      <w14:lumOff w14:val="5000"/>
                    </w14:schemeClr>
                  </w14:solidFill>
                </w14:textFill>
              </w:rPr>
              <w:t>hm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w:t>
            </w:r>
          </w:p>
          <w:p w14:paraId="533024B8">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P——重现期，取</w:t>
            </w:r>
            <w:r>
              <w:rPr>
                <w:rFonts w:hint="eastAsia"/>
                <w:color w:val="0D0D0D" w:themeColor="text1" w:themeTint="F2"/>
                <w:sz w:val="24"/>
                <w:u w:val="single"/>
                <w14:textFill>
                  <w14:solidFill>
                    <w14:schemeClr w14:val="tx1">
                      <w14:lumMod w14:val="95000"/>
                      <w14:lumOff w14:val="5000"/>
                    </w14:schemeClr>
                  </w14:solidFill>
                </w14:textFill>
              </w:rPr>
              <w:t>2</w:t>
            </w:r>
            <w:r>
              <w:rPr>
                <w:color w:val="0D0D0D" w:themeColor="text1" w:themeTint="F2"/>
                <w:sz w:val="24"/>
                <w:u w:val="single"/>
                <w14:textFill>
                  <w14:solidFill>
                    <w14:schemeClr w14:val="tx1">
                      <w14:lumMod w14:val="95000"/>
                      <w14:lumOff w14:val="5000"/>
                    </w14:schemeClr>
                  </w14:solidFill>
                </w14:textFill>
              </w:rPr>
              <w:t>年；</w:t>
            </w:r>
          </w:p>
          <w:p w14:paraId="78FD93DC">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t——</w:t>
            </w:r>
            <w:r>
              <w:rPr>
                <w:rFonts w:hint="eastAsia"/>
                <w:color w:val="0D0D0D" w:themeColor="text1" w:themeTint="F2"/>
                <w:sz w:val="24"/>
                <w:u w:val="single"/>
                <w14:textFill>
                  <w14:solidFill>
                    <w14:schemeClr w14:val="tx1">
                      <w14:lumMod w14:val="95000"/>
                      <w14:lumOff w14:val="5000"/>
                    </w14:schemeClr>
                  </w14:solidFill>
                </w14:textFill>
              </w:rPr>
              <w:t>降雨历时，</w:t>
            </w:r>
            <w:r>
              <w:rPr>
                <w:color w:val="0D0D0D" w:themeColor="text1" w:themeTint="F2"/>
                <w:sz w:val="24"/>
                <w:u w:val="single"/>
                <w14:textFill>
                  <w14:solidFill>
                    <w14:schemeClr w14:val="tx1">
                      <w14:lumMod w14:val="95000"/>
                      <w14:lumOff w14:val="5000"/>
                    </w14:schemeClr>
                  </w14:solidFill>
                </w14:textFill>
              </w:rPr>
              <w:t>取</w:t>
            </w:r>
            <w:r>
              <w:rPr>
                <w:rFonts w:hint="eastAsia"/>
                <w:color w:val="0D0D0D" w:themeColor="text1" w:themeTint="F2"/>
                <w:sz w:val="24"/>
                <w:u w:val="single"/>
                <w14:textFill>
                  <w14:solidFill>
                    <w14:schemeClr w14:val="tx1">
                      <w14:lumMod w14:val="95000"/>
                      <w14:lumOff w14:val="5000"/>
                    </w14:schemeClr>
                  </w14:solidFill>
                </w14:textFill>
              </w:rPr>
              <w:t>15min</w:t>
            </w:r>
            <w:r>
              <w:rPr>
                <w:color w:val="0D0D0D" w:themeColor="text1" w:themeTint="F2"/>
                <w:sz w:val="24"/>
                <w:u w:val="single"/>
                <w14:textFill>
                  <w14:solidFill>
                    <w14:schemeClr w14:val="tx1">
                      <w14:lumMod w14:val="95000"/>
                      <w14:lumOff w14:val="5000"/>
                    </w14:schemeClr>
                  </w14:solidFill>
                </w14:textFill>
              </w:rPr>
              <w:t>；</w:t>
            </w:r>
          </w:p>
          <w:p w14:paraId="331E6A24">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经计算，暴雨强度为342.17L/</w:t>
            </w:r>
            <w:r>
              <w:rPr>
                <w:color w:val="0D0D0D" w:themeColor="text1" w:themeTint="F2"/>
                <w:sz w:val="24"/>
                <w:u w:val="single"/>
                <w14:textFill>
                  <w14:solidFill>
                    <w14:schemeClr w14:val="tx1">
                      <w14:lumMod w14:val="95000"/>
                      <w14:lumOff w14:val="5000"/>
                    </w14:schemeClr>
                  </w14:solidFill>
                </w14:textFill>
              </w:rPr>
              <w:t>s·</w:t>
            </w:r>
            <w:r>
              <w:rPr>
                <w:rFonts w:hint="eastAsia"/>
                <w:color w:val="0D0D0D" w:themeColor="text1" w:themeTint="F2"/>
                <w:sz w:val="24"/>
                <w:u w:val="single"/>
                <w14:textFill>
                  <w14:solidFill>
                    <w14:schemeClr w14:val="tx1">
                      <w14:lumMod w14:val="95000"/>
                      <w14:lumOff w14:val="5000"/>
                    </w14:schemeClr>
                  </w14:solidFill>
                </w14:textFill>
              </w:rPr>
              <w:t>hm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w:t>
            </w:r>
          </w:p>
          <w:p w14:paraId="30DAAD70">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根据《室外排水设计标准》（</w:t>
            </w:r>
            <w:r>
              <w:rPr>
                <w:color w:val="0D0D0D" w:themeColor="text1" w:themeTint="F2"/>
                <w:sz w:val="24"/>
                <w:u w:val="single"/>
                <w14:textFill>
                  <w14:solidFill>
                    <w14:schemeClr w14:val="tx1">
                      <w14:lumMod w14:val="95000"/>
                      <w14:lumOff w14:val="5000"/>
                    </w14:schemeClr>
                  </w14:solidFill>
                </w14:textFill>
              </w:rPr>
              <w:t>GB50014-2021</w:t>
            </w:r>
            <w:r>
              <w:rPr>
                <w:rFonts w:hint="eastAsia"/>
                <w:color w:val="0D0D0D" w:themeColor="text1" w:themeTint="F2"/>
                <w:sz w:val="24"/>
                <w:u w:val="single"/>
                <w14:textFill>
                  <w14:solidFill>
                    <w14:schemeClr w14:val="tx1">
                      <w14:lumMod w14:val="95000"/>
                      <w14:lumOff w14:val="5000"/>
                    </w14:schemeClr>
                  </w14:solidFill>
                </w14:textFill>
              </w:rPr>
              <w:t>）</w:t>
            </w:r>
            <w:r>
              <w:rPr>
                <w:color w:val="0D0D0D" w:themeColor="text1" w:themeTint="F2"/>
                <w:sz w:val="24"/>
                <w:u w:val="single"/>
                <w14:textFill>
                  <w14:solidFill>
                    <w14:schemeClr w14:val="tx1">
                      <w14:lumMod w14:val="95000"/>
                      <w14:lumOff w14:val="5000"/>
                    </w14:schemeClr>
                  </w14:solidFill>
                </w14:textFill>
              </w:rPr>
              <w:t>，初期雨水按下式进行估算：</w:t>
            </w:r>
          </w:p>
          <w:p w14:paraId="503C6AAB">
            <w:pPr>
              <w:tabs>
                <w:tab w:val="left" w:pos="312"/>
                <w:tab w:val="left" w:pos="468"/>
              </w:tabs>
              <w:spacing w:after="0" w:line="360" w:lineRule="auto"/>
              <w:jc w:val="center"/>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Q=q</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F</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φ</w:t>
            </w:r>
          </w:p>
          <w:p w14:paraId="38D4F8D0">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式中：</w:t>
            </w:r>
          </w:p>
          <w:p w14:paraId="5D5A2378">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Q——雨水</w:t>
            </w:r>
            <w:r>
              <w:rPr>
                <w:rFonts w:hint="eastAsia"/>
                <w:color w:val="0D0D0D" w:themeColor="text1" w:themeTint="F2"/>
                <w:sz w:val="24"/>
                <w:u w:val="single"/>
                <w14:textFill>
                  <w14:solidFill>
                    <w14:schemeClr w14:val="tx1">
                      <w14:lumMod w14:val="95000"/>
                      <w14:lumOff w14:val="5000"/>
                    </w14:schemeClr>
                  </w14:solidFill>
                </w14:textFill>
              </w:rPr>
              <w:t>设计流</w:t>
            </w:r>
            <w:r>
              <w:rPr>
                <w:color w:val="0D0D0D" w:themeColor="text1" w:themeTint="F2"/>
                <w:sz w:val="24"/>
                <w:u w:val="single"/>
                <w14:textFill>
                  <w14:solidFill>
                    <w14:schemeClr w14:val="tx1">
                      <w14:lumMod w14:val="95000"/>
                      <w14:lumOff w14:val="5000"/>
                    </w14:schemeClr>
                  </w14:solidFill>
                </w14:textFill>
              </w:rPr>
              <w:t>量</w:t>
            </w:r>
            <w:bookmarkStart w:id="23" w:name="_Hlk37925094"/>
            <w:r>
              <w:rPr>
                <w:color w:val="0D0D0D" w:themeColor="text1" w:themeTint="F2"/>
                <w:sz w:val="24"/>
                <w:u w:val="single"/>
                <w14:textFill>
                  <w14:solidFill>
                    <w14:schemeClr w14:val="tx1">
                      <w14:lumMod w14:val="95000"/>
                      <w14:lumOff w14:val="5000"/>
                    </w14:schemeClr>
                  </w14:solidFill>
                </w14:textFill>
              </w:rPr>
              <w:t>L</w:t>
            </w:r>
            <w:r>
              <w:rPr>
                <w:rFonts w:hint="eastAsia"/>
                <w:color w:val="0D0D0D" w:themeColor="text1" w:themeTint="F2"/>
                <w:sz w:val="24"/>
                <w:u w:val="single"/>
                <w14:textFill>
                  <w14:solidFill>
                    <w14:schemeClr w14:val="tx1">
                      <w14:lumMod w14:val="95000"/>
                      <w14:lumOff w14:val="5000"/>
                    </w14:schemeClr>
                  </w14:solidFill>
                </w14:textFill>
              </w:rPr>
              <w:t>/s</w:t>
            </w:r>
            <w:bookmarkEnd w:id="23"/>
            <w:r>
              <w:rPr>
                <w:rFonts w:hint="eastAsia"/>
                <w:color w:val="0D0D0D" w:themeColor="text1" w:themeTint="F2"/>
                <w:sz w:val="24"/>
                <w:u w:val="single"/>
                <w14:textFill>
                  <w14:solidFill>
                    <w14:schemeClr w14:val="tx1">
                      <w14:lumMod w14:val="95000"/>
                      <w14:lumOff w14:val="5000"/>
                    </w14:schemeClr>
                  </w14:solidFill>
                </w14:textFill>
              </w:rPr>
              <w:t>；</w:t>
            </w:r>
          </w:p>
          <w:p w14:paraId="660F9F9D">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q——暴雨强度</w:t>
            </w:r>
            <w:r>
              <w:rPr>
                <w:rFonts w:hint="eastAsia"/>
                <w:color w:val="0D0D0D" w:themeColor="text1" w:themeTint="F2"/>
                <w:sz w:val="24"/>
                <w:u w:val="single"/>
                <w14:textFill>
                  <w14:solidFill>
                    <w14:schemeClr w14:val="tx1">
                      <w14:lumMod w14:val="95000"/>
                      <w14:lumOff w14:val="5000"/>
                    </w14:schemeClr>
                  </w14:solidFill>
                </w14:textFill>
              </w:rPr>
              <w:t>（L/</w:t>
            </w:r>
            <w:r>
              <w:rPr>
                <w:color w:val="0D0D0D" w:themeColor="text1" w:themeTint="F2"/>
                <w:sz w:val="24"/>
                <w:u w:val="single"/>
                <w14:textFill>
                  <w14:solidFill>
                    <w14:schemeClr w14:val="tx1">
                      <w14:lumMod w14:val="95000"/>
                      <w14:lumOff w14:val="5000"/>
                    </w14:schemeClr>
                  </w14:solidFill>
                </w14:textFill>
              </w:rPr>
              <w:t>s·</w:t>
            </w:r>
            <w:r>
              <w:rPr>
                <w:rFonts w:hint="eastAsia"/>
                <w:color w:val="0D0D0D" w:themeColor="text1" w:themeTint="F2"/>
                <w:sz w:val="24"/>
                <w:u w:val="single"/>
                <w14:textFill>
                  <w14:solidFill>
                    <w14:schemeClr w14:val="tx1">
                      <w14:lumMod w14:val="95000"/>
                      <w14:lumOff w14:val="5000"/>
                    </w14:schemeClr>
                  </w14:solidFill>
                </w14:textFill>
              </w:rPr>
              <w:t>hm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w:t>
            </w:r>
          </w:p>
          <w:p w14:paraId="006B2EE5">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F——汇水面积</w:t>
            </w:r>
            <w:r>
              <w:rPr>
                <w:rFonts w:hint="eastAsia"/>
                <w:color w:val="0D0D0D" w:themeColor="text1" w:themeTint="F2"/>
                <w:sz w:val="24"/>
                <w:u w:val="single"/>
                <w14:textFill>
                  <w14:solidFill>
                    <w14:schemeClr w14:val="tx1">
                      <w14:lumMod w14:val="95000"/>
                      <w14:lumOff w14:val="5000"/>
                    </w14:schemeClr>
                  </w14:solidFill>
                </w14:textFill>
              </w:rPr>
              <w:t>（hm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w:t>
            </w:r>
          </w:p>
          <w:p w14:paraId="2AF2A70A">
            <w:pPr>
              <w:tabs>
                <w:tab w:val="left" w:pos="312"/>
                <w:tab w:val="left" w:pos="468"/>
              </w:tabs>
              <w:spacing w:after="0"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u w:val="single"/>
                <w14:textFill>
                  <w14:solidFill>
                    <w14:schemeClr w14:val="tx1">
                      <w14:lumMod w14:val="95000"/>
                      <w14:lumOff w14:val="5000"/>
                    </w14:schemeClr>
                  </w14:solidFill>
                </w14:textFill>
              </w:rPr>
              <w:t>φ——为径流系数</w:t>
            </w:r>
            <w:r>
              <w:rPr>
                <w:rFonts w:hint="eastAsia"/>
                <w:color w:val="0D0D0D" w:themeColor="text1" w:themeTint="F2"/>
                <w:sz w:val="24"/>
                <w:u w:val="single"/>
                <w14:textFill>
                  <w14:solidFill>
                    <w14:schemeClr w14:val="tx1">
                      <w14:lumMod w14:val="95000"/>
                      <w14:lumOff w14:val="5000"/>
                    </w14:schemeClr>
                  </w14:solidFill>
                </w14:textFill>
              </w:rPr>
              <w:t>，各种屋面、混凝土或沥青路面径流系数为0.85~0.95，本次评价取0.9。</w:t>
            </w:r>
          </w:p>
          <w:p w14:paraId="39FEE5AE">
            <w:pPr>
              <w:spacing w:after="0" w:line="360" w:lineRule="auto"/>
              <w:ind w:firstLine="528" w:firstLineChars="200"/>
              <w:rPr>
                <w:color w:val="0D0D0D" w:themeColor="text1" w:themeTint="F2"/>
                <w:spacing w:val="12"/>
                <w:sz w:val="24"/>
                <w:u w:val="single"/>
                <w14:textFill>
                  <w14:solidFill>
                    <w14:schemeClr w14:val="tx1">
                      <w14:lumMod w14:val="95000"/>
                      <w14:lumOff w14:val="5000"/>
                    </w14:schemeClr>
                  </w14:solidFill>
                </w14:textFill>
              </w:rPr>
            </w:pPr>
            <w:r>
              <w:rPr>
                <w:color w:val="0D0D0D" w:themeColor="text1" w:themeTint="F2"/>
                <w:spacing w:val="12"/>
                <w:sz w:val="24"/>
                <w:u w:val="single"/>
                <w14:textFill>
                  <w14:solidFill>
                    <w14:schemeClr w14:val="tx1">
                      <w14:lumMod w14:val="95000"/>
                      <w14:lumOff w14:val="5000"/>
                    </w14:schemeClr>
                  </w14:solidFill>
                </w14:textFill>
              </w:rPr>
              <w:t>项目</w:t>
            </w:r>
            <w:r>
              <w:rPr>
                <w:rFonts w:hint="eastAsia"/>
                <w:color w:val="0D0D0D" w:themeColor="text1" w:themeTint="F2"/>
                <w:spacing w:val="12"/>
                <w:sz w:val="24"/>
                <w:u w:val="single"/>
                <w14:textFill>
                  <w14:solidFill>
                    <w14:schemeClr w14:val="tx1">
                      <w14:lumMod w14:val="95000"/>
                      <w14:lumOff w14:val="5000"/>
                    </w14:schemeClr>
                  </w14:solidFill>
                </w14:textFill>
              </w:rPr>
              <w:t>厂区地面定期及时清扫，生产车间无物料与雨水直接接触，原料区、半成品区和成品区采取雨天篷布遮盖措施，物料不与雨水直接接触。露天加工区为露天设置，为避免雨水冲刷物料产生的初期雨水对外环境造成影响，拟在露天加工区四周设置雨水排水沟，对该区域</w:t>
            </w:r>
            <w:r>
              <w:rPr>
                <w:rFonts w:hint="eastAsia"/>
                <w:color w:val="0D0D0D" w:themeColor="text1" w:themeTint="F2"/>
                <w:sz w:val="24"/>
                <w:u w:val="single"/>
                <w14:textFill>
                  <w14:solidFill>
                    <w14:schemeClr w14:val="tx1">
                      <w14:lumMod w14:val="95000"/>
                      <w14:lumOff w14:val="5000"/>
                    </w14:schemeClr>
                  </w14:solidFill>
                </w14:textFill>
              </w:rPr>
              <w:t>初期</w:t>
            </w:r>
            <w:r>
              <w:rPr>
                <w:rFonts w:hint="eastAsia"/>
                <w:color w:val="0D0D0D" w:themeColor="text1" w:themeTint="F2"/>
                <w:spacing w:val="12"/>
                <w:sz w:val="24"/>
                <w:u w:val="single"/>
                <w14:textFill>
                  <w14:solidFill>
                    <w14:schemeClr w14:val="tx1">
                      <w14:lumMod w14:val="95000"/>
                      <w14:lumOff w14:val="5000"/>
                    </w14:schemeClr>
                  </w14:solidFill>
                </w14:textFill>
              </w:rPr>
              <w:t>雨水进行收集，集雨</w:t>
            </w:r>
            <w:r>
              <w:rPr>
                <w:color w:val="0D0D0D" w:themeColor="text1" w:themeTint="F2"/>
                <w:spacing w:val="12"/>
                <w:sz w:val="24"/>
                <w:u w:val="single"/>
                <w14:textFill>
                  <w14:solidFill>
                    <w14:schemeClr w14:val="tx1">
                      <w14:lumMod w14:val="95000"/>
                      <w14:lumOff w14:val="5000"/>
                    </w14:schemeClr>
                  </w14:solidFill>
                </w14:textFill>
              </w:rPr>
              <w:t>面积为</w:t>
            </w:r>
            <w:r>
              <w:rPr>
                <w:rFonts w:hint="eastAsia"/>
                <w:color w:val="0D0D0D" w:themeColor="text1" w:themeTint="F2"/>
                <w:spacing w:val="12"/>
                <w:sz w:val="24"/>
                <w:u w:val="single"/>
                <w14:textFill>
                  <w14:solidFill>
                    <w14:schemeClr w14:val="tx1">
                      <w14:lumMod w14:val="95000"/>
                      <w14:lumOff w14:val="5000"/>
                    </w14:schemeClr>
                  </w14:solidFill>
                </w14:textFill>
              </w:rPr>
              <w:t>5000</w:t>
            </w:r>
            <w:r>
              <w:rPr>
                <w:color w:val="0D0D0D" w:themeColor="text1" w:themeTint="F2"/>
                <w:spacing w:val="12"/>
                <w:sz w:val="24"/>
                <w:u w:val="single"/>
                <w14:textFill>
                  <w14:solidFill>
                    <w14:schemeClr w14:val="tx1">
                      <w14:lumMod w14:val="95000"/>
                      <w14:lumOff w14:val="5000"/>
                    </w14:schemeClr>
                  </w14:solidFill>
                </w14:textFill>
              </w:rPr>
              <w:t>m</w:t>
            </w:r>
            <w:r>
              <w:rPr>
                <w:color w:val="0D0D0D" w:themeColor="text1" w:themeTint="F2"/>
                <w:spacing w:val="12"/>
                <w:sz w:val="24"/>
                <w:u w:val="single"/>
                <w:vertAlign w:val="superscript"/>
                <w14:textFill>
                  <w14:solidFill>
                    <w14:schemeClr w14:val="tx1">
                      <w14:lumMod w14:val="95000"/>
                      <w14:lumOff w14:val="5000"/>
                    </w14:schemeClr>
                  </w14:solidFill>
                </w14:textFill>
              </w:rPr>
              <w:t>2</w:t>
            </w:r>
            <w:r>
              <w:rPr>
                <w:color w:val="0D0D0D" w:themeColor="text1" w:themeTint="F2"/>
                <w:spacing w:val="12"/>
                <w:sz w:val="24"/>
                <w:u w:val="single"/>
                <w14:textFill>
                  <w14:solidFill>
                    <w14:schemeClr w14:val="tx1">
                      <w14:lumMod w14:val="95000"/>
                      <w14:lumOff w14:val="5000"/>
                    </w14:schemeClr>
                  </w14:solidFill>
                </w14:textFill>
              </w:rPr>
              <w:t>（</w:t>
            </w:r>
            <w:r>
              <w:rPr>
                <w:rFonts w:hint="eastAsia"/>
                <w:color w:val="0D0D0D" w:themeColor="text1" w:themeTint="F2"/>
                <w:spacing w:val="12"/>
                <w:sz w:val="24"/>
                <w:u w:val="single"/>
                <w14:textFill>
                  <w14:solidFill>
                    <w14:schemeClr w14:val="tx1">
                      <w14:lumMod w14:val="95000"/>
                      <w14:lumOff w14:val="5000"/>
                    </w14:schemeClr>
                  </w14:solidFill>
                </w14:textFill>
              </w:rPr>
              <w:t>0.5</w:t>
            </w:r>
            <w:r>
              <w:rPr>
                <w:color w:val="0D0D0D" w:themeColor="text1" w:themeTint="F2"/>
                <w:spacing w:val="12"/>
                <w:sz w:val="24"/>
                <w:u w:val="single"/>
                <w14:textFill>
                  <w14:solidFill>
                    <w14:schemeClr w14:val="tx1">
                      <w14:lumMod w14:val="95000"/>
                      <w14:lumOff w14:val="5000"/>
                    </w14:schemeClr>
                  </w14:solidFill>
                </w14:textFill>
              </w:rPr>
              <w:t>h</w:t>
            </w:r>
            <w:r>
              <w:rPr>
                <w:rFonts w:hint="eastAsia"/>
                <w:color w:val="0D0D0D" w:themeColor="text1" w:themeTint="F2"/>
                <w:spacing w:val="12"/>
                <w:sz w:val="24"/>
                <w:u w:val="single"/>
                <w14:textFill>
                  <w14:solidFill>
                    <w14:schemeClr w14:val="tx1">
                      <w14:lumMod w14:val="95000"/>
                      <w14:lumOff w14:val="5000"/>
                    </w14:schemeClr>
                  </w14:solidFill>
                </w14:textFill>
              </w:rPr>
              <w:t>m</w:t>
            </w:r>
            <w:r>
              <w:rPr>
                <w:rFonts w:hint="eastAsia"/>
                <w:color w:val="0D0D0D" w:themeColor="text1" w:themeTint="F2"/>
                <w:spacing w:val="12"/>
                <w:sz w:val="24"/>
                <w:u w:val="single"/>
                <w:vertAlign w:val="superscript"/>
                <w14:textFill>
                  <w14:solidFill>
                    <w14:schemeClr w14:val="tx1">
                      <w14:lumMod w14:val="95000"/>
                      <w14:lumOff w14:val="5000"/>
                    </w14:schemeClr>
                  </w14:solidFill>
                </w14:textFill>
              </w:rPr>
              <w:t>2</w:t>
            </w:r>
            <w:r>
              <w:rPr>
                <w:color w:val="0D0D0D" w:themeColor="text1" w:themeTint="F2"/>
                <w:spacing w:val="12"/>
                <w:sz w:val="24"/>
                <w:u w:val="single"/>
                <w14:textFill>
                  <w14:solidFill>
                    <w14:schemeClr w14:val="tx1">
                      <w14:lumMod w14:val="95000"/>
                      <w14:lumOff w14:val="5000"/>
                    </w14:schemeClr>
                  </w14:solidFill>
                </w14:textFill>
              </w:rPr>
              <w:t>），</w:t>
            </w:r>
            <w:r>
              <w:rPr>
                <w:rFonts w:hint="eastAsia"/>
                <w:color w:val="0D0D0D" w:themeColor="text1" w:themeTint="F2"/>
                <w:spacing w:val="12"/>
                <w:sz w:val="24"/>
                <w:u w:val="single"/>
                <w14:textFill>
                  <w14:solidFill>
                    <w14:schemeClr w14:val="tx1">
                      <w14:lumMod w14:val="95000"/>
                      <w14:lumOff w14:val="5000"/>
                    </w14:schemeClr>
                  </w14:solidFill>
                </w14:textFill>
              </w:rPr>
              <w:t>收集</w:t>
            </w:r>
            <w:r>
              <w:rPr>
                <w:color w:val="0D0D0D" w:themeColor="text1" w:themeTint="F2"/>
                <w:spacing w:val="12"/>
                <w:sz w:val="24"/>
                <w:u w:val="single"/>
                <w14:textFill>
                  <w14:solidFill>
                    <w14:schemeClr w14:val="tx1">
                      <w14:lumMod w14:val="95000"/>
                      <w14:lumOff w14:val="5000"/>
                    </w14:schemeClr>
                  </w14:solidFill>
                </w14:textFill>
              </w:rPr>
              <w:t>时间按15min计，则初期雨水</w:t>
            </w:r>
            <w:r>
              <w:rPr>
                <w:rFonts w:hint="eastAsia"/>
                <w:color w:val="0D0D0D" w:themeColor="text1" w:themeTint="F2"/>
                <w:spacing w:val="12"/>
                <w:sz w:val="24"/>
                <w:u w:val="single"/>
                <w14:textFill>
                  <w14:solidFill>
                    <w14:schemeClr w14:val="tx1">
                      <w14:lumMod w14:val="95000"/>
                      <w14:lumOff w14:val="5000"/>
                    </w14:schemeClr>
                  </w14:solidFill>
                </w14:textFill>
              </w:rPr>
              <w:t>产生</w:t>
            </w:r>
            <w:r>
              <w:rPr>
                <w:color w:val="0D0D0D" w:themeColor="text1" w:themeTint="F2"/>
                <w:spacing w:val="12"/>
                <w:sz w:val="24"/>
                <w:u w:val="single"/>
                <w14:textFill>
                  <w14:solidFill>
                    <w14:schemeClr w14:val="tx1">
                      <w14:lumMod w14:val="95000"/>
                      <w14:lumOff w14:val="5000"/>
                    </w14:schemeClr>
                  </w14:solidFill>
                </w14:textFill>
              </w:rPr>
              <w:t>量为</w:t>
            </w:r>
            <w:r>
              <w:rPr>
                <w:rFonts w:hint="eastAsia"/>
                <w:color w:val="0D0D0D" w:themeColor="text1" w:themeTint="F2"/>
                <w:spacing w:val="12"/>
                <w:sz w:val="24"/>
                <w:u w:val="single"/>
                <w14:textFill>
                  <w14:solidFill>
                    <w14:schemeClr w14:val="tx1">
                      <w14:lumMod w14:val="95000"/>
                      <w14:lumOff w14:val="5000"/>
                    </w14:schemeClr>
                  </w14:solidFill>
                </w14:textFill>
              </w:rPr>
              <w:t>138.58</w:t>
            </w:r>
            <w:r>
              <w:rPr>
                <w:color w:val="0D0D0D" w:themeColor="text1" w:themeTint="F2"/>
                <w:spacing w:val="12"/>
                <w:sz w:val="24"/>
                <w:u w:val="single"/>
                <w14:textFill>
                  <w14:solidFill>
                    <w14:schemeClr w14:val="tx1">
                      <w14:lumMod w14:val="95000"/>
                      <w14:lumOff w14:val="5000"/>
                    </w14:schemeClr>
                  </w14:solidFill>
                </w14:textFill>
              </w:rPr>
              <w:t>m</w:t>
            </w:r>
            <w:r>
              <w:rPr>
                <w:color w:val="0D0D0D" w:themeColor="text1" w:themeTint="F2"/>
                <w:spacing w:val="12"/>
                <w:sz w:val="24"/>
                <w:u w:val="single"/>
                <w:vertAlign w:val="superscript"/>
                <w14:textFill>
                  <w14:solidFill>
                    <w14:schemeClr w14:val="tx1">
                      <w14:lumMod w14:val="95000"/>
                      <w14:lumOff w14:val="5000"/>
                    </w14:schemeClr>
                  </w14:solidFill>
                </w14:textFill>
              </w:rPr>
              <w:t>3</w:t>
            </w:r>
            <w:r>
              <w:rPr>
                <w:color w:val="0D0D0D" w:themeColor="text1" w:themeTint="F2"/>
                <w:spacing w:val="12"/>
                <w:sz w:val="24"/>
                <w:u w:val="single"/>
                <w14:textFill>
                  <w14:solidFill>
                    <w14:schemeClr w14:val="tx1">
                      <w14:lumMod w14:val="95000"/>
                      <w14:lumOff w14:val="5000"/>
                    </w14:schemeClr>
                  </w14:solidFill>
                </w14:textFill>
              </w:rPr>
              <w:t>/次。</w:t>
            </w:r>
          </w:p>
          <w:p w14:paraId="02BE084A">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项目在厂区设置初期雨水收集系统，初期雨水经排水沟汇至初期雨水池，初期雨水池位于厂区北部，容积为150m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。初期雨水水质较为简单，主要污染物为SS，经初期雨水池沉淀后用于厂区降尘等，雨水收集系统设置转换阀切换系统，</w:t>
            </w:r>
            <w:r>
              <w:rPr>
                <w:rFonts w:cs="宋体"/>
                <w:bCs/>
                <w:color w:val="0D0D0D" w:themeColor="text1" w:themeTint="F2"/>
                <w:spacing w:val="-10"/>
                <w:sz w:val="24"/>
                <w:u w:val="single"/>
                <w14:textFill>
                  <w14:solidFill>
                    <w14:schemeClr w14:val="tx1">
                      <w14:lumMod w14:val="95000"/>
                      <w14:lumOff w14:val="5000"/>
                    </w14:schemeClr>
                  </w14:solidFill>
                </w14:textFill>
              </w:rPr>
              <w:t>后期雨水</w:t>
            </w:r>
            <w:r>
              <w:rPr>
                <w:rFonts w:hint="eastAsia" w:cs="宋体"/>
                <w:bCs/>
                <w:color w:val="0D0D0D" w:themeColor="text1" w:themeTint="F2"/>
                <w:spacing w:val="-10"/>
                <w:sz w:val="24"/>
                <w:u w:val="single"/>
                <w14:textFill>
                  <w14:solidFill>
                    <w14:schemeClr w14:val="tx1">
                      <w14:lumMod w14:val="95000"/>
                      <w14:lumOff w14:val="5000"/>
                    </w14:schemeClr>
                  </w14:solidFill>
                </w14:textFill>
              </w:rPr>
              <w:t>排出厂外。</w:t>
            </w:r>
          </w:p>
          <w:p w14:paraId="31824ACB">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w:t>
            </w:r>
            <w:r>
              <w:rPr>
                <w:rFonts w:cs="宋体"/>
                <w:b/>
                <w:color w:val="0D0D0D" w:themeColor="text1" w:themeTint="F2"/>
                <w:spacing w:val="-10"/>
                <w:sz w:val="24"/>
                <w14:textFill>
                  <w14:solidFill>
                    <w14:schemeClr w14:val="tx1">
                      <w14:lumMod w14:val="95000"/>
                      <w14:lumOff w14:val="5000"/>
                    </w14:schemeClr>
                  </w14:solidFill>
                </w14:textFill>
              </w:rPr>
              <w:t>水污染防治措施及可行性</w:t>
            </w:r>
          </w:p>
          <w:p w14:paraId="6E7C142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（1）生活污水</w:t>
            </w:r>
          </w:p>
          <w:p w14:paraId="291EF8A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三级</w:t>
            </w:r>
            <w:r>
              <w:rPr>
                <w:rFonts w:cs="宋体"/>
                <w:bCs/>
                <w:color w:val="0D0D0D" w:themeColor="text1" w:themeTint="F2"/>
                <w:spacing w:val="-10"/>
                <w:sz w:val="24"/>
                <w14:textFill>
                  <w14:solidFill>
                    <w14:schemeClr w14:val="tx1">
                      <w14:lumMod w14:val="95000"/>
                      <w14:lumOff w14:val="5000"/>
                    </w14:schemeClr>
                  </w14:solidFill>
                </w14:textFill>
              </w:rPr>
              <w:t>化粪池是处理粪便并加以过滤沉淀的设备，其原理是固化物在池底分解，上层的水化物体，进入管道流走，</w:t>
            </w:r>
            <w:r>
              <w:rPr>
                <w:rFonts w:hint="eastAsia" w:cs="宋体"/>
                <w:bCs/>
                <w:color w:val="0D0D0D" w:themeColor="text1" w:themeTint="F2"/>
                <w:spacing w:val="-10"/>
                <w:sz w:val="24"/>
                <w14:textFill>
                  <w14:solidFill>
                    <w14:schemeClr w14:val="tx1">
                      <w14:lumMod w14:val="95000"/>
                      <w14:lumOff w14:val="5000"/>
                    </w14:schemeClr>
                  </w14:solidFill>
                </w14:textFill>
              </w:rPr>
              <w:t>防止</w:t>
            </w:r>
            <w:r>
              <w:rPr>
                <w:rFonts w:cs="宋体"/>
                <w:bCs/>
                <w:color w:val="0D0D0D" w:themeColor="text1" w:themeTint="F2"/>
                <w:spacing w:val="-10"/>
                <w:sz w:val="24"/>
                <w14:textFill>
                  <w14:solidFill>
                    <w14:schemeClr w14:val="tx1">
                      <w14:lumMod w14:val="95000"/>
                      <w14:lumOff w14:val="5000"/>
                    </w14:schemeClr>
                  </w14:solidFill>
                </w14:textFill>
              </w:rPr>
              <w:t>了管道堵塞，给固化物体（粪便等垃圾）有充足的时间水解，污水首先由进水口排到第一格，在第一格里比重较大的固体物及寄生虫卵等物沉淀下来，开始初步的发酵分解，经第一格处理过的污水可分为三层：糊状粪皮、比较澄清的粪液和固体状的粪渣。经过初步分解的粪液流入第二格，而漂浮在上面的粪皮和沉积在下面的粪渣则留在第一格继续发酵。在第二格中，粪液继续发酵分解，虫卵继续下沉，病原体逐渐死亡，粪液得到进一步无害化，产生的粪皮和粪渣厚度比第一格显著减少，流入第三格的粪液一般已经腐熟，其中病菌和寄生虫卵已基本杀灭。第三格功能主要起暂时储存已基本无害的粪液作用。</w:t>
            </w:r>
          </w:p>
          <w:p w14:paraId="24363E0B">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三级化粪池属于《村镇生活污染防治最佳可行技术指南（试行）》（HJ-BAT-9）中列明的可行性技术，因此，项目采取的生活污水处理措施可行。</w:t>
            </w:r>
          </w:p>
          <w:p w14:paraId="5D795DED">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（2）初期雨水</w:t>
            </w:r>
          </w:p>
          <w:p w14:paraId="14152631">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根据上文分析可知，项目初期雨水产生量为138.58m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/次，初期雨水经初期雨水池沉淀后用于厂区降尘，后</w:t>
            </w:r>
            <w:r>
              <w:rPr>
                <w:rFonts w:cs="宋体"/>
                <w:bCs/>
                <w:color w:val="0D0D0D" w:themeColor="text1" w:themeTint="F2"/>
                <w:spacing w:val="-10"/>
                <w:sz w:val="24"/>
                <w:u w:val="single"/>
                <w14:textFill>
                  <w14:solidFill>
                    <w14:schemeClr w14:val="tx1">
                      <w14:lumMod w14:val="95000"/>
                      <w14:lumOff w14:val="5000"/>
                    </w14:schemeClr>
                  </w14:solidFill>
                </w14:textFill>
              </w:rPr>
              <w:t>期雨水排入园区市政雨水管网</w:t>
            </w:r>
            <w:r>
              <w:rPr>
                <w:rFonts w:hint="eastAsia" w:cs="宋体"/>
                <w:bCs/>
                <w:color w:val="0D0D0D" w:themeColor="text1" w:themeTint="F2"/>
                <w:spacing w:val="-10"/>
                <w:sz w:val="24"/>
                <w:u w:val="single"/>
                <w14:textFill>
                  <w14:solidFill>
                    <w14:schemeClr w14:val="tx1">
                      <w14:lumMod w14:val="95000"/>
                      <w14:lumOff w14:val="5000"/>
                    </w14:schemeClr>
                  </w14:solidFill>
                </w14:textFill>
              </w:rPr>
              <w:t>，最终排至鹿耳环江，初期雨水池容积为150m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，有足够的容积容纳初期雨水。初期雨水水质较为简单，主要污染物为SS。初期雨水池沉淀处理是常见的处理措施，且洒水抑尘用水对水质要求不高，因此，项目初期雨水处理措施是可行的。</w:t>
            </w:r>
          </w:p>
          <w:p w14:paraId="4FF6ECE2">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3.依托污水处理厂可行性分析</w:t>
            </w:r>
          </w:p>
          <w:p w14:paraId="4EEA7F7B">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（1）污水处理厂介绍</w:t>
            </w:r>
          </w:p>
          <w:p w14:paraId="1529624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大榄坪污水处理厂位于钦州市钦州港区大榄坪综合物流加工区，建设时序分为一期5万m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/d和二期20万m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/d两个阶段，一期工程已于2016年投入运行，二期工程已于2025年底建设完成，总占地面积40020m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设计污水处理工艺为“A/A/O曝气氧化沟+化学辅助除磷”，设计进水水质为化学需氧量450mg/L、五日生化需氧量200mg/L、悬浮物300mg/L、氨氮35mg/L，出水执行《城镇污水处理厂污染物排放标准》（GB18918-2002）及其修改单一级A标准，排放去向为钦州港大榄坪污水深海排放区（A2排放区）。</w:t>
            </w:r>
          </w:p>
          <w:p w14:paraId="6FAD3542">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（2）管网接纳可行性分析</w:t>
            </w:r>
          </w:p>
          <w:p w14:paraId="62E1068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根据现场踏勘，项目所在区域未敷设污水管网，</w:t>
            </w:r>
            <w:r>
              <w:rPr>
                <w:rFonts w:hint="eastAsia" w:cs="宋体"/>
                <w:bCs/>
                <w:color w:val="0D0D0D" w:themeColor="text1" w:themeTint="F2"/>
                <w:sz w:val="24"/>
                <w14:textFill>
                  <w14:solidFill>
                    <w14:schemeClr w14:val="tx1">
                      <w14:lumMod w14:val="95000"/>
                      <w14:lumOff w14:val="5000"/>
                    </w14:schemeClr>
                  </w14:solidFill>
                </w14:textFill>
              </w:rPr>
              <w:t>生活污水经三级化粪池预处理后使用吸污车清运至钦州市大榄坪污水处理厂进一步处理</w:t>
            </w:r>
            <w:r>
              <w:rPr>
                <w:rFonts w:hint="eastAsia" w:cs="宋体"/>
                <w:bCs/>
                <w:color w:val="0D0D0D" w:themeColor="text1" w:themeTint="F2"/>
                <w:spacing w:val="-10"/>
                <w:sz w:val="24"/>
                <w14:textFill>
                  <w14:solidFill>
                    <w14:schemeClr w14:val="tx1">
                      <w14:lumMod w14:val="95000"/>
                      <w14:lumOff w14:val="5000"/>
                    </w14:schemeClr>
                  </w14:solidFill>
                </w14:textFill>
              </w:rPr>
              <w:t>是可行的。</w:t>
            </w:r>
          </w:p>
          <w:p w14:paraId="6DC47C6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（3）水量分析</w:t>
            </w:r>
          </w:p>
          <w:p w14:paraId="25E6467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项目生活污水排放量为</w:t>
            </w:r>
            <w:r>
              <w:rPr>
                <w:rFonts w:hint="eastAsia"/>
                <w:bCs/>
                <w:color w:val="0D0D0D" w:themeColor="text1" w:themeTint="F2"/>
                <w:sz w:val="24"/>
                <w14:textFill>
                  <w14:solidFill>
                    <w14:schemeClr w14:val="tx1">
                      <w14:lumMod w14:val="95000"/>
                      <w14:lumOff w14:val="5000"/>
                    </w14:schemeClr>
                  </w14:solidFill>
                </w14:textFill>
              </w:rPr>
              <w:t>18</w:t>
            </w:r>
            <w:r>
              <w:rPr>
                <w:bCs/>
                <w:color w:val="0D0D0D" w:themeColor="text1" w:themeTint="F2"/>
                <w:sz w:val="24"/>
                <w14:textFill>
                  <w14:solidFill>
                    <w14:schemeClr w14:val="tx1">
                      <w14:lumMod w14:val="95000"/>
                      <w14:lumOff w14:val="5000"/>
                    </w14:schemeClr>
                  </w14:solidFill>
                </w14:textFill>
              </w:rPr>
              <w:t>m</w:t>
            </w:r>
            <w:r>
              <w:rPr>
                <w:bCs/>
                <w:color w:val="0D0D0D" w:themeColor="text1" w:themeTint="F2"/>
                <w:sz w:val="24"/>
                <w:vertAlign w:val="superscript"/>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/d，</w:t>
            </w:r>
            <w:r>
              <w:rPr>
                <w:rFonts w:hint="eastAsia"/>
                <w:bCs/>
                <w:color w:val="0D0D0D" w:themeColor="text1" w:themeTint="F2"/>
                <w:sz w:val="24"/>
                <w14:textFill>
                  <w14:solidFill>
                    <w14:schemeClr w14:val="tx1">
                      <w14:lumMod w14:val="95000"/>
                      <w14:lumOff w14:val="5000"/>
                    </w14:schemeClr>
                  </w14:solidFill>
                </w14:textFill>
              </w:rPr>
              <w:t>约</w:t>
            </w:r>
            <w:r>
              <w:rPr>
                <w:rFonts w:hint="eastAsia" w:cs="宋体"/>
                <w:bCs/>
                <w:color w:val="0D0D0D" w:themeColor="text1" w:themeTint="F2"/>
                <w:spacing w:val="-10"/>
                <w:sz w:val="24"/>
                <w14:textFill>
                  <w14:solidFill>
                    <w14:schemeClr w14:val="tx1">
                      <w14:lumMod w14:val="95000"/>
                      <w14:lumOff w14:val="5000"/>
                    </w14:schemeClr>
                  </w14:solidFill>
                </w14:textFill>
              </w:rPr>
              <w:t>占</w:t>
            </w:r>
            <w:r>
              <w:rPr>
                <w:rFonts w:hint="eastAsia" w:cs="宋体"/>
                <w:bCs/>
                <w:color w:val="0D0D0D" w:themeColor="text1" w:themeTint="F2"/>
                <w:sz w:val="24"/>
                <w14:textFill>
                  <w14:solidFill>
                    <w14:schemeClr w14:val="tx1">
                      <w14:lumMod w14:val="95000"/>
                      <w14:lumOff w14:val="5000"/>
                    </w14:schemeClr>
                  </w14:solidFill>
                </w14:textFill>
              </w:rPr>
              <w:t>钦州市大榄坪污水处理厂设计</w:t>
            </w:r>
            <w:r>
              <w:rPr>
                <w:rFonts w:hint="eastAsia" w:cs="宋体"/>
                <w:bCs/>
                <w:color w:val="0D0D0D" w:themeColor="text1" w:themeTint="F2"/>
                <w:spacing w:val="-10"/>
                <w:sz w:val="24"/>
                <w14:textFill>
                  <w14:solidFill>
                    <w14:schemeClr w14:val="tx1">
                      <w14:lumMod w14:val="95000"/>
                      <w14:lumOff w14:val="5000"/>
                    </w14:schemeClr>
                  </w14:solidFill>
                </w14:textFill>
              </w:rPr>
              <w:t>处理能力200000m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/d的0.009%，占比极小，项目排水水量不会对</w:t>
            </w:r>
            <w:r>
              <w:rPr>
                <w:rFonts w:hint="eastAsia" w:cs="宋体"/>
                <w:bCs/>
                <w:color w:val="0D0D0D" w:themeColor="text1" w:themeTint="F2"/>
                <w:sz w:val="24"/>
                <w14:textFill>
                  <w14:solidFill>
                    <w14:schemeClr w14:val="tx1">
                      <w14:lumMod w14:val="95000"/>
                      <w14:lumOff w14:val="5000"/>
                    </w14:schemeClr>
                  </w14:solidFill>
                </w14:textFill>
              </w:rPr>
              <w:t>钦州市大榄坪污水处理厂</w:t>
            </w:r>
            <w:r>
              <w:rPr>
                <w:rFonts w:hint="eastAsia" w:cs="宋体"/>
                <w:bCs/>
                <w:color w:val="0D0D0D" w:themeColor="text1" w:themeTint="F2"/>
                <w:spacing w:val="-10"/>
                <w:sz w:val="24"/>
                <w14:textFill>
                  <w14:solidFill>
                    <w14:schemeClr w14:val="tx1">
                      <w14:lumMod w14:val="95000"/>
                      <w14:lumOff w14:val="5000"/>
                    </w14:schemeClr>
                  </w14:solidFill>
                </w14:textFill>
              </w:rPr>
              <w:t>造成冲击。</w:t>
            </w:r>
          </w:p>
          <w:p w14:paraId="0E299680">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（4）水质分析</w:t>
            </w:r>
          </w:p>
          <w:p w14:paraId="6C7F757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项目生活污水主要污染物为</w:t>
            </w:r>
            <w:r>
              <w:rPr>
                <w:bCs/>
                <w:color w:val="0D0D0D" w:themeColor="text1" w:themeTint="F2"/>
                <w:sz w:val="24"/>
                <w14:textFill>
                  <w14:solidFill>
                    <w14:schemeClr w14:val="tx1">
                      <w14:lumMod w14:val="95000"/>
                      <w14:lumOff w14:val="5000"/>
                    </w14:schemeClr>
                  </w14:solidFill>
                </w14:textFill>
              </w:rPr>
              <w:t>COD</w:t>
            </w:r>
            <w:r>
              <w:rPr>
                <w:rFonts w:hint="eastAsia"/>
                <w:bCs/>
                <w:color w:val="0D0D0D" w:themeColor="text1" w:themeTint="F2"/>
                <w:sz w:val="24"/>
                <w14:textFill>
                  <w14:solidFill>
                    <w14:schemeClr w14:val="tx1">
                      <w14:lumMod w14:val="95000"/>
                      <w14:lumOff w14:val="5000"/>
                    </w14:schemeClr>
                  </w14:solidFill>
                </w14:textFill>
              </w:rPr>
              <w:t>cr</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BOD</w:t>
            </w:r>
            <w:r>
              <w:rPr>
                <w:rFonts w:hint="eastAsia"/>
                <w:bCs/>
                <w:color w:val="0D0D0D" w:themeColor="text1" w:themeTint="F2"/>
                <w:sz w:val="24"/>
                <w:vertAlign w:val="subscript"/>
                <w14:textFill>
                  <w14:solidFill>
                    <w14:schemeClr w14:val="tx1">
                      <w14:lumMod w14:val="95000"/>
                      <w14:lumOff w14:val="5000"/>
                    </w14:schemeClr>
                  </w14:solidFill>
                </w14:textFill>
              </w:rPr>
              <w:t>5</w:t>
            </w:r>
            <w:r>
              <w:rPr>
                <w:rFonts w:hint="eastAsia"/>
                <w:bCs/>
                <w:color w:val="0D0D0D" w:themeColor="text1" w:themeTint="F2"/>
                <w:sz w:val="24"/>
                <w14:textFill>
                  <w14:solidFill>
                    <w14:schemeClr w14:val="tx1">
                      <w14:lumMod w14:val="95000"/>
                      <w14:lumOff w14:val="5000"/>
                    </w14:schemeClr>
                  </w14:solidFill>
                </w14:textFill>
              </w:rPr>
              <w:t>、S</w:t>
            </w:r>
            <w:r>
              <w:rPr>
                <w:bCs/>
                <w:color w:val="0D0D0D" w:themeColor="text1" w:themeTint="F2"/>
                <w:sz w:val="24"/>
                <w14:textFill>
                  <w14:solidFill>
                    <w14:schemeClr w14:val="tx1">
                      <w14:lumMod w14:val="95000"/>
                      <w14:lumOff w14:val="5000"/>
                    </w14:schemeClr>
                  </w14:solidFill>
                </w14:textFill>
              </w:rPr>
              <w:t>S</w:t>
            </w:r>
            <w:r>
              <w:rPr>
                <w:rFonts w:hint="eastAsia"/>
                <w:bCs/>
                <w:color w:val="0D0D0D" w:themeColor="text1" w:themeTint="F2"/>
                <w:sz w:val="24"/>
                <w14:textFill>
                  <w14:solidFill>
                    <w14:schemeClr w14:val="tx1">
                      <w14:lumMod w14:val="95000"/>
                      <w14:lumOff w14:val="5000"/>
                    </w14:schemeClr>
                  </w14:solidFill>
                </w14:textFill>
              </w:rPr>
              <w:t>和NH</w:t>
            </w:r>
            <w:r>
              <w:rPr>
                <w:rFonts w:hint="eastAsia"/>
                <w:bCs/>
                <w:color w:val="0D0D0D" w:themeColor="text1" w:themeTint="F2"/>
                <w:sz w:val="24"/>
                <w:vertAlign w:val="subscript"/>
                <w14:textFill>
                  <w14:solidFill>
                    <w14:schemeClr w14:val="tx1">
                      <w14:lumMod w14:val="95000"/>
                      <w14:lumOff w14:val="5000"/>
                    </w14:schemeClr>
                  </w14:solidFill>
                </w14:textFill>
              </w:rPr>
              <w:t>3</w:t>
            </w:r>
            <w:r>
              <w:rPr>
                <w:rFonts w:hint="eastAsia"/>
                <w:bCs/>
                <w:color w:val="0D0D0D" w:themeColor="text1" w:themeTint="F2"/>
                <w:sz w:val="24"/>
                <w14:textFill>
                  <w14:solidFill>
                    <w14:schemeClr w14:val="tx1">
                      <w14:lumMod w14:val="95000"/>
                      <w14:lumOff w14:val="5000"/>
                    </w14:schemeClr>
                  </w14:solidFill>
                </w14:textFill>
              </w:rPr>
              <w:t>-N</w:t>
            </w:r>
            <w:r>
              <w:rPr>
                <w:rFonts w:hint="eastAsia" w:cs="宋体"/>
                <w:bCs/>
                <w:color w:val="0D0D0D" w:themeColor="text1" w:themeTint="F2"/>
                <w:spacing w:val="-10"/>
                <w:sz w:val="24"/>
                <w14:textFill>
                  <w14:solidFill>
                    <w14:schemeClr w14:val="tx1">
                      <w14:lumMod w14:val="95000"/>
                      <w14:lumOff w14:val="5000"/>
                    </w14:schemeClr>
                  </w14:solidFill>
                </w14:textFill>
              </w:rPr>
              <w:t>，水质简单，不含其他有毒有害物质，不会对钦州市大榄坪污水处理厂污水处理工艺造成冲击。项目生活污水经三级化粪池处理后，可满足《污水综合排放标准》（GB8978-1996）三级标准和钦州市大榄坪污水处理厂进水水质要求中较严值。因此，项目生活污水依托钦州市大榄坪污水处理厂处理是可行的。</w:t>
            </w:r>
          </w:p>
          <w:p w14:paraId="70CAC65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综上，</w:t>
            </w:r>
            <w:r>
              <w:rPr>
                <w:rFonts w:hint="eastAsia" w:cs="宋体"/>
                <w:bCs/>
                <w:color w:val="0D0D0D" w:themeColor="text1" w:themeTint="F2"/>
                <w:sz w:val="24"/>
                <w14:textFill>
                  <w14:solidFill>
                    <w14:schemeClr w14:val="tx1">
                      <w14:lumMod w14:val="95000"/>
                      <w14:lumOff w14:val="5000"/>
                    </w14:schemeClr>
                  </w14:solidFill>
                </w14:textFill>
              </w:rPr>
              <w:t>生活污水经三级化粪池预处理后使用吸污车清运至钦州市大榄坪污水处理厂进一步处理</w:t>
            </w:r>
            <w:r>
              <w:rPr>
                <w:rFonts w:hint="eastAsia"/>
                <w:bCs/>
                <w:color w:val="0D0D0D" w:themeColor="text1" w:themeTint="F2"/>
                <w:sz w:val="24"/>
                <w14:textFill>
                  <w14:solidFill>
                    <w14:schemeClr w14:val="tx1">
                      <w14:lumMod w14:val="95000"/>
                      <w14:lumOff w14:val="5000"/>
                    </w14:schemeClr>
                  </w14:solidFill>
                </w14:textFill>
              </w:rPr>
              <w:t>，不外排</w:t>
            </w:r>
            <w:r>
              <w:rPr>
                <w:rFonts w:cs="宋体"/>
                <w:bCs/>
                <w:color w:val="0D0D0D" w:themeColor="text1" w:themeTint="F2"/>
                <w:spacing w:val="-10"/>
                <w:sz w:val="24"/>
                <w14:textFill>
                  <w14:solidFill>
                    <w14:schemeClr w14:val="tx1">
                      <w14:lumMod w14:val="95000"/>
                      <w14:lumOff w14:val="5000"/>
                    </w14:schemeClr>
                  </w14:solidFill>
                </w14:textFill>
              </w:rPr>
              <w:t>，对地表水环境影响不大。</w:t>
            </w:r>
          </w:p>
          <w:p w14:paraId="11527E1C">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4.监测要求</w:t>
            </w:r>
          </w:p>
          <w:p w14:paraId="24BCB6D0">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根据《排污单位自行监测技术指南</w:t>
            </w:r>
            <w:r>
              <w:rPr>
                <w:rFonts w:cs="宋体"/>
                <w:bCs/>
                <w:color w:val="0D0D0D" w:themeColor="text1" w:themeTint="F2"/>
                <w:spacing w:val="-10"/>
                <w:sz w:val="24"/>
                <w:u w:val="single"/>
                <w14:textFill>
                  <w14:solidFill>
                    <w14:schemeClr w14:val="tx1">
                      <w14:lumMod w14:val="95000"/>
                      <w14:lumOff w14:val="5000"/>
                    </w14:schemeClr>
                  </w14:solidFill>
                </w14:textFill>
              </w:rPr>
              <w:t xml:space="preserve">  </w:t>
            </w:r>
            <w:r>
              <w:rPr>
                <w:rFonts w:hint="eastAsia" w:cs="宋体"/>
                <w:bCs/>
                <w:color w:val="0D0D0D" w:themeColor="text1" w:themeTint="F2"/>
                <w:spacing w:val="-10"/>
                <w:sz w:val="24"/>
                <w:u w:val="single"/>
                <w14:textFill>
                  <w14:solidFill>
                    <w14:schemeClr w14:val="tx1">
                      <w14:lumMod w14:val="95000"/>
                      <w14:lumOff w14:val="5000"/>
                    </w14:schemeClr>
                  </w14:solidFill>
                </w14:textFill>
              </w:rPr>
              <w:t>总则》（</w:t>
            </w:r>
            <w:r>
              <w:rPr>
                <w:rFonts w:cs="宋体"/>
                <w:bCs/>
                <w:color w:val="0D0D0D" w:themeColor="text1" w:themeTint="F2"/>
                <w:spacing w:val="-10"/>
                <w:sz w:val="24"/>
                <w:u w:val="single"/>
                <w14:textFill>
                  <w14:solidFill>
                    <w14:schemeClr w14:val="tx1">
                      <w14:lumMod w14:val="95000"/>
                      <w14:lumOff w14:val="5000"/>
                    </w14:schemeClr>
                  </w14:solidFill>
                </w14:textFill>
              </w:rPr>
              <w:t>HJ819-2017</w:t>
            </w:r>
            <w:r>
              <w:rPr>
                <w:rFonts w:hint="eastAsia" w:cs="宋体"/>
                <w:bCs/>
                <w:color w:val="0D0D0D" w:themeColor="text1" w:themeTint="F2"/>
                <w:spacing w:val="-10"/>
                <w:sz w:val="24"/>
                <w:u w:val="single"/>
                <w14:textFill>
                  <w14:solidFill>
                    <w14:schemeClr w14:val="tx1">
                      <w14:lumMod w14:val="95000"/>
                      <w14:lumOff w14:val="5000"/>
                    </w14:schemeClr>
                  </w14:solidFill>
                </w14:textFill>
              </w:rPr>
              <w:t>）和《排污单位自行监测技术指南  涂装》（HJ1086-2020）等文件要求，项目运营期废水监测计划详见表4</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16。</w:t>
            </w:r>
          </w:p>
          <w:p w14:paraId="76BE1DB4">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w:t>
            </w:r>
            <w:r>
              <w:rPr>
                <w:rFonts w:cs="宋体"/>
                <w:b/>
                <w:color w:val="0D0D0D" w:themeColor="text1" w:themeTint="F2"/>
                <w:spacing w:val="-10"/>
                <w:szCs w:val="21"/>
                <w14:textFill>
                  <w14:solidFill>
                    <w14:schemeClr w14:val="tx1">
                      <w14:lumMod w14:val="95000"/>
                      <w14:lumOff w14:val="5000"/>
                    </w14:schemeClr>
                  </w14:solidFill>
                </w14:textFill>
              </w:rPr>
              <w:t>-</w:t>
            </w:r>
            <w:r>
              <w:rPr>
                <w:rFonts w:hint="eastAsia" w:cs="宋体"/>
                <w:b/>
                <w:color w:val="0D0D0D" w:themeColor="text1" w:themeTint="F2"/>
                <w:spacing w:val="-10"/>
                <w:szCs w:val="21"/>
                <w14:textFill>
                  <w14:solidFill>
                    <w14:schemeClr w14:val="tx1">
                      <w14:lumMod w14:val="95000"/>
                      <w14:lumOff w14:val="5000"/>
                    </w14:schemeClr>
                  </w14:solidFill>
                </w14:textFill>
              </w:rPr>
              <w:t>16</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废水自行监测计划一览表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748"/>
              <w:gridCol w:w="2917"/>
              <w:gridCol w:w="3040"/>
              <w:gridCol w:w="1453"/>
            </w:tblGrid>
            <w:tr w14:paraId="40102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tcBorders>
                    <w:top w:val="single" w:color="auto" w:sz="4" w:space="0"/>
                    <w:left w:val="single" w:color="auto" w:sz="4" w:space="0"/>
                    <w:bottom w:val="single" w:color="auto" w:sz="4" w:space="0"/>
                    <w:right w:val="single" w:color="auto" w:sz="4" w:space="0"/>
                  </w:tcBorders>
                  <w:vAlign w:val="center"/>
                </w:tcPr>
                <w:p w14:paraId="768681EA">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序号</w:t>
                  </w:r>
                </w:p>
              </w:tc>
              <w:tc>
                <w:tcPr>
                  <w:tcW w:w="426" w:type="pct"/>
                  <w:tcBorders>
                    <w:top w:val="single" w:color="auto" w:sz="4" w:space="0"/>
                    <w:left w:val="single" w:color="auto" w:sz="4" w:space="0"/>
                    <w:bottom w:val="single" w:color="auto" w:sz="4" w:space="0"/>
                    <w:right w:val="single" w:color="auto" w:sz="4" w:space="0"/>
                  </w:tcBorders>
                  <w:vAlign w:val="center"/>
                </w:tcPr>
                <w:p w14:paraId="2132F435">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类别</w:t>
                  </w:r>
                </w:p>
              </w:tc>
              <w:tc>
                <w:tcPr>
                  <w:tcW w:w="1662" w:type="pct"/>
                  <w:tcBorders>
                    <w:top w:val="single" w:color="auto" w:sz="4" w:space="0"/>
                    <w:left w:val="single" w:color="auto" w:sz="4" w:space="0"/>
                    <w:bottom w:val="single" w:color="auto" w:sz="4" w:space="0"/>
                    <w:right w:val="single" w:color="auto" w:sz="4" w:space="0"/>
                  </w:tcBorders>
                  <w:vAlign w:val="center"/>
                </w:tcPr>
                <w:p w14:paraId="3ACF5505">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监测点位</w:t>
                  </w:r>
                </w:p>
              </w:tc>
              <w:tc>
                <w:tcPr>
                  <w:tcW w:w="1732" w:type="pct"/>
                  <w:tcBorders>
                    <w:top w:val="single" w:color="auto" w:sz="4" w:space="0"/>
                    <w:left w:val="single" w:color="auto" w:sz="4" w:space="0"/>
                    <w:bottom w:val="single" w:color="auto" w:sz="4" w:space="0"/>
                    <w:right w:val="single" w:color="auto" w:sz="4" w:space="0"/>
                  </w:tcBorders>
                  <w:vAlign w:val="center"/>
                </w:tcPr>
                <w:p w14:paraId="3EFD6A65">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监测因子</w:t>
                  </w:r>
                </w:p>
              </w:tc>
              <w:tc>
                <w:tcPr>
                  <w:tcW w:w="828" w:type="pct"/>
                  <w:tcBorders>
                    <w:top w:val="single" w:color="auto" w:sz="4" w:space="0"/>
                    <w:left w:val="single" w:color="auto" w:sz="4" w:space="0"/>
                    <w:bottom w:val="single" w:color="auto" w:sz="4" w:space="0"/>
                    <w:right w:val="single" w:color="auto" w:sz="4" w:space="0"/>
                  </w:tcBorders>
                  <w:vAlign w:val="center"/>
                </w:tcPr>
                <w:p w14:paraId="1AE78CC5">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监测频次</w:t>
                  </w:r>
                </w:p>
              </w:tc>
            </w:tr>
            <w:tr w14:paraId="06AA3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tcBorders>
                    <w:top w:val="single" w:color="auto" w:sz="4" w:space="0"/>
                    <w:left w:val="single" w:color="auto" w:sz="4" w:space="0"/>
                    <w:bottom w:val="single" w:color="auto" w:sz="4" w:space="0"/>
                    <w:right w:val="single" w:color="auto" w:sz="4" w:space="0"/>
                  </w:tcBorders>
                  <w:vAlign w:val="center"/>
                </w:tcPr>
                <w:p w14:paraId="369EA58B">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w:t>
                  </w:r>
                </w:p>
              </w:tc>
              <w:tc>
                <w:tcPr>
                  <w:tcW w:w="426" w:type="pct"/>
                  <w:tcBorders>
                    <w:top w:val="single" w:color="auto" w:sz="4" w:space="0"/>
                    <w:left w:val="single" w:color="auto" w:sz="4" w:space="0"/>
                    <w:bottom w:val="single" w:color="auto" w:sz="4" w:space="0"/>
                    <w:right w:val="single" w:color="auto" w:sz="4" w:space="0"/>
                  </w:tcBorders>
                  <w:vAlign w:val="center"/>
                </w:tcPr>
                <w:p w14:paraId="7F419F68">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废水</w:t>
                  </w:r>
                </w:p>
              </w:tc>
              <w:tc>
                <w:tcPr>
                  <w:tcW w:w="1662" w:type="pct"/>
                  <w:tcBorders>
                    <w:top w:val="single" w:color="auto" w:sz="4" w:space="0"/>
                    <w:left w:val="single" w:color="auto" w:sz="4" w:space="0"/>
                    <w:bottom w:val="single" w:color="auto" w:sz="4" w:space="0"/>
                    <w:right w:val="single" w:color="auto" w:sz="4" w:space="0"/>
                  </w:tcBorders>
                  <w:vAlign w:val="center"/>
                </w:tcPr>
                <w:p w14:paraId="138D57CA">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雨水排放口</w:t>
                  </w:r>
                </w:p>
              </w:tc>
              <w:tc>
                <w:tcPr>
                  <w:tcW w:w="1732" w:type="pct"/>
                  <w:tcBorders>
                    <w:top w:val="single" w:color="auto" w:sz="4" w:space="0"/>
                    <w:left w:val="single" w:color="auto" w:sz="4" w:space="0"/>
                    <w:bottom w:val="single" w:color="auto" w:sz="4" w:space="0"/>
                    <w:right w:val="single" w:color="auto" w:sz="4" w:space="0"/>
                  </w:tcBorders>
                  <w:vAlign w:val="center"/>
                </w:tcPr>
                <w:p w14:paraId="306D8F5D">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pH值、CODcr、SS</w:t>
                  </w:r>
                </w:p>
              </w:tc>
              <w:tc>
                <w:tcPr>
                  <w:tcW w:w="828" w:type="pct"/>
                  <w:tcBorders>
                    <w:top w:val="single" w:color="auto" w:sz="4" w:space="0"/>
                    <w:left w:val="single" w:color="auto" w:sz="4" w:space="0"/>
                    <w:bottom w:val="single" w:color="auto" w:sz="4" w:space="0"/>
                    <w:right w:val="single" w:color="auto" w:sz="4" w:space="0"/>
                  </w:tcBorders>
                  <w:vAlign w:val="center"/>
                </w:tcPr>
                <w:p w14:paraId="7621B85A">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1次/季度</w:t>
                  </w:r>
                </w:p>
              </w:tc>
            </w:tr>
          </w:tbl>
          <w:p w14:paraId="2E2930DC">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三、噪声</w:t>
            </w:r>
          </w:p>
          <w:p w14:paraId="7D44359E">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1.噪声源强及降噪措施</w:t>
            </w:r>
          </w:p>
          <w:p w14:paraId="3CC9FC77">
            <w:pPr>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项目运营期产生的噪声主要来源于抛丸机、高压无气喷涂机和风机，经类比分析，</w:t>
            </w:r>
            <w:r>
              <w:rPr>
                <w:bCs/>
                <w:color w:val="0D0D0D" w:themeColor="text1" w:themeTint="F2"/>
                <w:sz w:val="24"/>
                <w14:textFill>
                  <w14:solidFill>
                    <w14:schemeClr w14:val="tx1">
                      <w14:lumMod w14:val="95000"/>
                      <w14:lumOff w14:val="5000"/>
                    </w14:schemeClr>
                  </w14:solidFill>
                </w14:textFill>
              </w:rPr>
              <w:t>噪声源强</w:t>
            </w:r>
            <w:r>
              <w:rPr>
                <w:rFonts w:hint="eastAsia"/>
                <w:bCs/>
                <w:color w:val="0D0D0D" w:themeColor="text1" w:themeTint="F2"/>
                <w:sz w:val="24"/>
                <w14:textFill>
                  <w14:solidFill>
                    <w14:schemeClr w14:val="tx1">
                      <w14:lumMod w14:val="95000"/>
                      <w14:lumOff w14:val="5000"/>
                    </w14:schemeClr>
                  </w14:solidFill>
                </w14:textFill>
              </w:rPr>
              <w:t>详</w:t>
            </w:r>
            <w:r>
              <w:rPr>
                <w:bCs/>
                <w:color w:val="0D0D0D" w:themeColor="text1" w:themeTint="F2"/>
                <w:sz w:val="24"/>
                <w14:textFill>
                  <w14:solidFill>
                    <w14:schemeClr w14:val="tx1">
                      <w14:lumMod w14:val="95000"/>
                      <w14:lumOff w14:val="5000"/>
                    </w14:schemeClr>
                  </w14:solidFill>
                </w14:textFill>
              </w:rPr>
              <w:t>见表</w:t>
            </w:r>
            <w:r>
              <w:rPr>
                <w:rFonts w:hint="eastAsia"/>
                <w:bCs/>
                <w:color w:val="0D0D0D" w:themeColor="text1" w:themeTint="F2"/>
                <w:sz w:val="24"/>
                <w14:textFill>
                  <w14:solidFill>
                    <w14:schemeClr w14:val="tx1">
                      <w14:lumMod w14:val="95000"/>
                      <w14:lumOff w14:val="5000"/>
                    </w14:schemeClr>
                  </w14:solidFill>
                </w14:textFill>
              </w:rPr>
              <w:t>4</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17和表4-18</w:t>
            </w:r>
            <w:r>
              <w:rPr>
                <w:bCs/>
                <w:color w:val="0D0D0D" w:themeColor="text1" w:themeTint="F2"/>
                <w:sz w:val="24"/>
                <w14:textFill>
                  <w14:solidFill>
                    <w14:schemeClr w14:val="tx1">
                      <w14:lumMod w14:val="95000"/>
                      <w14:lumOff w14:val="5000"/>
                    </w14:schemeClr>
                  </w14:solidFill>
                </w14:textFill>
              </w:rPr>
              <w:t>。</w:t>
            </w:r>
          </w:p>
          <w:p w14:paraId="2BE723B2">
            <w:pPr>
              <w:spacing w:after="0"/>
              <w:jc w:val="center"/>
              <w:rPr>
                <w:b/>
                <w:bCs/>
                <w:color w:val="0D0D0D" w:themeColor="text1" w:themeTint="F2"/>
                <w:szCs w:val="21"/>
                <w14:textFill>
                  <w14:solidFill>
                    <w14:schemeClr w14:val="tx1">
                      <w14:lumMod w14:val="95000"/>
                      <w14:lumOff w14:val="5000"/>
                    </w14:schemeClr>
                  </w14:solidFill>
                </w14:textFill>
              </w:rPr>
            </w:pPr>
            <w:r>
              <w:rPr>
                <w:b/>
                <w:bCs/>
                <w:color w:val="0D0D0D" w:themeColor="text1" w:themeTint="F2"/>
                <w:szCs w:val="21"/>
                <w14:textFill>
                  <w14:solidFill>
                    <w14:schemeClr w14:val="tx1">
                      <w14:lumMod w14:val="95000"/>
                      <w14:lumOff w14:val="5000"/>
                    </w14:schemeClr>
                  </w14:solidFill>
                </w14:textFill>
              </w:rPr>
              <w:t>表</w:t>
            </w:r>
            <w:r>
              <w:rPr>
                <w:rFonts w:hint="eastAsia"/>
                <w:b/>
                <w:bCs/>
                <w:color w:val="0D0D0D" w:themeColor="text1" w:themeTint="F2"/>
                <w:szCs w:val="21"/>
                <w14:textFill>
                  <w14:solidFill>
                    <w14:schemeClr w14:val="tx1">
                      <w14:lumMod w14:val="95000"/>
                      <w14:lumOff w14:val="5000"/>
                    </w14:schemeClr>
                  </w14:solidFill>
                </w14:textFill>
              </w:rPr>
              <w:t>4</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 xml:space="preserve">17 </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室内</w:t>
            </w:r>
            <w:r>
              <w:rPr>
                <w:b/>
                <w:bCs/>
                <w:color w:val="0D0D0D" w:themeColor="text1" w:themeTint="F2"/>
                <w:szCs w:val="21"/>
                <w14:textFill>
                  <w14:solidFill>
                    <w14:schemeClr w14:val="tx1">
                      <w14:lumMod w14:val="95000"/>
                      <w14:lumOff w14:val="5000"/>
                    </w14:schemeClr>
                  </w14:solidFill>
                </w14:textFill>
              </w:rPr>
              <w:t>噪声源强一览表</w:t>
            </w:r>
          </w:p>
          <w:tbl>
            <w:tblPr>
              <w:tblStyle w:val="2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26"/>
              <w:gridCol w:w="1374"/>
              <w:gridCol w:w="663"/>
              <w:gridCol w:w="586"/>
              <w:gridCol w:w="620"/>
              <w:gridCol w:w="620"/>
              <w:gridCol w:w="432"/>
              <w:gridCol w:w="625"/>
              <w:gridCol w:w="746"/>
              <w:gridCol w:w="377"/>
              <w:gridCol w:w="867"/>
              <w:gridCol w:w="786"/>
              <w:gridCol w:w="753"/>
            </w:tblGrid>
            <w:tr w14:paraId="1E1277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jc w:val="center"/>
              </w:trPr>
              <w:tc>
                <w:tcPr>
                  <w:tcW w:w="186" w:type="pct"/>
                  <w:vMerge w:val="restart"/>
                  <w:vAlign w:val="center"/>
                </w:tcPr>
                <w:p w14:paraId="5D511B8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建筑物名称</w:t>
                  </w:r>
                </w:p>
              </w:tc>
              <w:tc>
                <w:tcPr>
                  <w:tcW w:w="783" w:type="pct"/>
                  <w:vMerge w:val="restart"/>
                  <w:vAlign w:val="center"/>
                </w:tcPr>
                <w:p w14:paraId="0B9B2A2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声源名称</w:t>
                  </w:r>
                </w:p>
              </w:tc>
              <w:tc>
                <w:tcPr>
                  <w:tcW w:w="378" w:type="pct"/>
                  <w:vAlign w:val="center"/>
                </w:tcPr>
                <w:p w14:paraId="5AABB3B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声源源强</w:t>
                  </w:r>
                </w:p>
              </w:tc>
              <w:tc>
                <w:tcPr>
                  <w:tcW w:w="334" w:type="pct"/>
                  <w:vMerge w:val="restart"/>
                  <w:vAlign w:val="center"/>
                </w:tcPr>
                <w:p w14:paraId="08194B4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声源控制措施</w:t>
                  </w:r>
                </w:p>
              </w:tc>
              <w:tc>
                <w:tcPr>
                  <w:tcW w:w="952" w:type="pct"/>
                  <w:gridSpan w:val="3"/>
                  <w:vAlign w:val="center"/>
                </w:tcPr>
                <w:p w14:paraId="4D6951DC">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空间相对位置/m</w:t>
                  </w:r>
                </w:p>
              </w:tc>
              <w:tc>
                <w:tcPr>
                  <w:tcW w:w="356" w:type="pct"/>
                  <w:vMerge w:val="restart"/>
                  <w:vAlign w:val="center"/>
                </w:tcPr>
                <w:p w14:paraId="5C763CD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距室内边界距离/m</w:t>
                  </w:r>
                </w:p>
              </w:tc>
              <w:tc>
                <w:tcPr>
                  <w:tcW w:w="425" w:type="pct"/>
                  <w:vMerge w:val="restart"/>
                  <w:vAlign w:val="center"/>
                </w:tcPr>
                <w:p w14:paraId="3F07D3E0">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室内边界声级/dB(A)</w:t>
                  </w:r>
                </w:p>
              </w:tc>
              <w:tc>
                <w:tcPr>
                  <w:tcW w:w="215" w:type="pct"/>
                  <w:vMerge w:val="restart"/>
                  <w:vAlign w:val="center"/>
                </w:tcPr>
                <w:p w14:paraId="2A5809D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运行时段</w:t>
                  </w:r>
                </w:p>
              </w:tc>
              <w:tc>
                <w:tcPr>
                  <w:tcW w:w="494" w:type="pct"/>
                  <w:vMerge w:val="restart"/>
                  <w:vAlign w:val="center"/>
                </w:tcPr>
                <w:p w14:paraId="0E7DA824">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建筑物插入损失/dB(A)</w:t>
                  </w:r>
                </w:p>
              </w:tc>
              <w:tc>
                <w:tcPr>
                  <w:tcW w:w="876" w:type="pct"/>
                  <w:gridSpan w:val="2"/>
                  <w:vAlign w:val="center"/>
                </w:tcPr>
                <w:p w14:paraId="05A8214F">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建筑物外噪声</w:t>
                  </w:r>
                </w:p>
              </w:tc>
            </w:tr>
            <w:tr w14:paraId="29EE8C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jc w:val="center"/>
              </w:trPr>
              <w:tc>
                <w:tcPr>
                  <w:tcW w:w="186" w:type="pct"/>
                  <w:vMerge w:val="continue"/>
                  <w:vAlign w:val="center"/>
                </w:tcPr>
                <w:p w14:paraId="45911546">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783" w:type="pct"/>
                  <w:vMerge w:val="continue"/>
                  <w:vAlign w:val="center"/>
                </w:tcPr>
                <w:p w14:paraId="69E9F066">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378" w:type="pct"/>
                  <w:vAlign w:val="center"/>
                </w:tcPr>
                <w:p w14:paraId="4EB86E51">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w:t>
                  </w:r>
                  <w:r>
                    <w:rPr>
                      <w:rFonts w:hint="eastAsia"/>
                      <w:bCs/>
                      <w:color w:val="0D0D0D" w:themeColor="text1" w:themeTint="F2"/>
                      <w:szCs w:val="21"/>
                      <w14:textFill>
                        <w14:solidFill>
                          <w14:schemeClr w14:val="tx1">
                            <w14:lumMod w14:val="95000"/>
                            <w14:lumOff w14:val="5000"/>
                          </w14:schemeClr>
                        </w14:solidFill>
                      </w14:textFill>
                    </w:rPr>
                    <w:t>压级</w:t>
                  </w:r>
                </w:p>
                <w:p w14:paraId="146CFD88">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/dB(A)</w:t>
                  </w:r>
                </w:p>
              </w:tc>
              <w:tc>
                <w:tcPr>
                  <w:tcW w:w="334" w:type="pct"/>
                  <w:vMerge w:val="continue"/>
                  <w:vAlign w:val="center"/>
                </w:tcPr>
                <w:p w14:paraId="344717A9">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353" w:type="pct"/>
                  <w:vAlign w:val="center"/>
                </w:tcPr>
                <w:p w14:paraId="26636C4A">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X</w:t>
                  </w:r>
                </w:p>
              </w:tc>
              <w:tc>
                <w:tcPr>
                  <w:tcW w:w="353" w:type="pct"/>
                  <w:vAlign w:val="center"/>
                </w:tcPr>
                <w:p w14:paraId="4F3E07B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Y</w:t>
                  </w:r>
                </w:p>
              </w:tc>
              <w:tc>
                <w:tcPr>
                  <w:tcW w:w="245" w:type="pct"/>
                  <w:vAlign w:val="center"/>
                </w:tcPr>
                <w:p w14:paraId="19BA86C5">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Z</w:t>
                  </w:r>
                </w:p>
              </w:tc>
              <w:tc>
                <w:tcPr>
                  <w:tcW w:w="356" w:type="pct"/>
                  <w:vMerge w:val="continue"/>
                  <w:vAlign w:val="center"/>
                </w:tcPr>
                <w:p w14:paraId="23D0E924">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425" w:type="pct"/>
                  <w:vMerge w:val="continue"/>
                  <w:vAlign w:val="center"/>
                </w:tcPr>
                <w:p w14:paraId="208CDF0D">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215" w:type="pct"/>
                  <w:vMerge w:val="continue"/>
                  <w:vAlign w:val="center"/>
                </w:tcPr>
                <w:p w14:paraId="5755A873">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494" w:type="pct"/>
                  <w:vMerge w:val="continue"/>
                  <w:vAlign w:val="center"/>
                </w:tcPr>
                <w:p w14:paraId="0C2C1C7F">
                  <w:pPr>
                    <w:spacing w:after="0" w:line="240" w:lineRule="auto"/>
                    <w:jc w:val="center"/>
                    <w:rPr>
                      <w:bCs/>
                      <w:color w:val="0D0D0D" w:themeColor="text1" w:themeTint="F2"/>
                      <w:szCs w:val="21"/>
                      <w14:textFill>
                        <w14:solidFill>
                          <w14:schemeClr w14:val="tx1">
                            <w14:lumMod w14:val="95000"/>
                            <w14:lumOff w14:val="5000"/>
                          </w14:schemeClr>
                        </w14:solidFill>
                      </w14:textFill>
                    </w:rPr>
                  </w:pPr>
                </w:p>
              </w:tc>
              <w:tc>
                <w:tcPr>
                  <w:tcW w:w="448" w:type="pct"/>
                  <w:vAlign w:val="center"/>
                </w:tcPr>
                <w:p w14:paraId="134DEA03">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声压级/dB(A)</w:t>
                  </w:r>
                </w:p>
              </w:tc>
              <w:tc>
                <w:tcPr>
                  <w:tcW w:w="429" w:type="pct"/>
                  <w:vAlign w:val="center"/>
                </w:tcPr>
                <w:p w14:paraId="2F173F92">
                  <w:pPr>
                    <w:spacing w:after="0" w:line="240" w:lineRule="auto"/>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建筑物外距离</w:t>
                  </w:r>
                </w:p>
              </w:tc>
            </w:tr>
            <w:tr w14:paraId="238AE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restart"/>
                  <w:vAlign w:val="center"/>
                </w:tcPr>
                <w:p w14:paraId="3F967028">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生产</w:t>
                  </w:r>
                </w:p>
                <w:p w14:paraId="09597CAF">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车间</w:t>
                  </w:r>
                </w:p>
              </w:tc>
              <w:tc>
                <w:tcPr>
                  <w:tcW w:w="783" w:type="pct"/>
                  <w:shd w:val="clear" w:color="auto" w:fill="FFFFFF"/>
                  <w:vAlign w:val="center"/>
                </w:tcPr>
                <w:p w14:paraId="49110A5C">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1＃轨道通过式抛丸清理机</w:t>
                  </w:r>
                </w:p>
              </w:tc>
              <w:tc>
                <w:tcPr>
                  <w:tcW w:w="378" w:type="pct"/>
                  <w:vAlign w:val="center"/>
                </w:tcPr>
                <w:p w14:paraId="2DC73B8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334" w:type="pct"/>
                  <w:vMerge w:val="restart"/>
                  <w:vAlign w:val="center"/>
                </w:tcPr>
                <w:p w14:paraId="4F433DD3">
                  <w:pPr>
                    <w:spacing w:after="0" w:line="240" w:lineRule="auto"/>
                    <w:rPr>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基础减振</w:t>
                  </w:r>
                  <w:r>
                    <w:rPr>
                      <w:color w:val="0D0D0D" w:themeColor="text1" w:themeTint="F2"/>
                      <w:kern w:val="0"/>
                      <w:szCs w:val="21"/>
                      <w14:textFill>
                        <w14:solidFill>
                          <w14:schemeClr w14:val="tx1">
                            <w14:lumMod w14:val="95000"/>
                            <w14:lumOff w14:val="5000"/>
                          </w14:schemeClr>
                        </w14:solidFill>
                      </w14:textFill>
                    </w:rPr>
                    <w:t>、隔声</w:t>
                  </w:r>
                  <w:r>
                    <w:rPr>
                      <w:color w:val="0D0D0D" w:themeColor="text1" w:themeTint="F2"/>
                      <w:szCs w:val="21"/>
                      <w14:textFill>
                        <w14:solidFill>
                          <w14:schemeClr w14:val="tx1">
                            <w14:lumMod w14:val="95000"/>
                            <w14:lumOff w14:val="5000"/>
                          </w14:schemeClr>
                        </w14:solidFill>
                      </w14:textFill>
                    </w:rPr>
                    <w:t>等</w:t>
                  </w:r>
                </w:p>
              </w:tc>
              <w:tc>
                <w:tcPr>
                  <w:tcW w:w="353" w:type="pct"/>
                  <w:shd w:val="clear" w:color="auto" w:fill="FFFFFF"/>
                  <w:vAlign w:val="center"/>
                </w:tcPr>
                <w:p w14:paraId="61A79FB1">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33.38</w:t>
                  </w:r>
                </w:p>
              </w:tc>
              <w:tc>
                <w:tcPr>
                  <w:tcW w:w="353" w:type="pct"/>
                  <w:shd w:val="clear" w:color="auto" w:fill="FFFFFF"/>
                  <w:vAlign w:val="center"/>
                </w:tcPr>
                <w:p w14:paraId="76A6338C">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85.39</w:t>
                  </w:r>
                </w:p>
              </w:tc>
              <w:tc>
                <w:tcPr>
                  <w:tcW w:w="245" w:type="pct"/>
                  <w:vAlign w:val="center"/>
                </w:tcPr>
                <w:p w14:paraId="6114716D">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68504E44">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6BD78794">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65</w:t>
                  </w:r>
                </w:p>
              </w:tc>
              <w:tc>
                <w:tcPr>
                  <w:tcW w:w="215" w:type="pct"/>
                  <w:vMerge w:val="restart"/>
                  <w:vAlign w:val="center"/>
                </w:tcPr>
                <w:p w14:paraId="467922CA">
                  <w:pPr>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color w:val="0D0D0D" w:themeColor="text1" w:themeTint="F2"/>
                      <w:kern w:val="0"/>
                      <w:szCs w:val="21"/>
                      <w:lang w:bidi="ar"/>
                      <w14:textFill>
                        <w14:solidFill>
                          <w14:schemeClr w14:val="tx1">
                            <w14:lumMod w14:val="95000"/>
                            <w14:lumOff w14:val="5000"/>
                          </w14:schemeClr>
                        </w14:solidFill>
                      </w14:textFill>
                    </w:rPr>
                    <w:t>昼间</w:t>
                  </w:r>
                </w:p>
              </w:tc>
              <w:tc>
                <w:tcPr>
                  <w:tcW w:w="494" w:type="pct"/>
                  <w:vAlign w:val="center"/>
                </w:tcPr>
                <w:p w14:paraId="30387A1F">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01B1CFD5">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45</w:t>
                  </w:r>
                </w:p>
              </w:tc>
              <w:tc>
                <w:tcPr>
                  <w:tcW w:w="429" w:type="pct"/>
                  <w:vAlign w:val="center"/>
                </w:tcPr>
                <w:p w14:paraId="1D7EC65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1m</w:t>
                  </w:r>
                </w:p>
              </w:tc>
            </w:tr>
            <w:tr w14:paraId="77E7E9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225F64AB">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vAlign w:val="center"/>
                </w:tcPr>
                <w:p w14:paraId="40A5A5F3">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2＃轨道通过式抛丸清理机</w:t>
                  </w:r>
                </w:p>
              </w:tc>
              <w:tc>
                <w:tcPr>
                  <w:tcW w:w="378" w:type="pct"/>
                  <w:vAlign w:val="center"/>
                </w:tcPr>
                <w:p w14:paraId="2DDC2D1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334" w:type="pct"/>
                  <w:vMerge w:val="continue"/>
                  <w:vAlign w:val="center"/>
                </w:tcPr>
                <w:p w14:paraId="72BAFF68">
                  <w:pPr>
                    <w:spacing w:after="0" w:line="240" w:lineRule="auto"/>
                    <w:jc w:val="center"/>
                    <w:rPr>
                      <w:color w:val="0D0D0D" w:themeColor="text1" w:themeTint="F2"/>
                      <w:kern w:val="0"/>
                      <w:szCs w:val="21"/>
                      <w14:textFill>
                        <w14:solidFill>
                          <w14:schemeClr w14:val="tx1">
                            <w14:lumMod w14:val="95000"/>
                            <w14:lumOff w14:val="5000"/>
                          </w14:schemeClr>
                        </w14:solidFill>
                      </w14:textFill>
                    </w:rPr>
                  </w:pPr>
                </w:p>
              </w:tc>
              <w:tc>
                <w:tcPr>
                  <w:tcW w:w="353" w:type="pct"/>
                  <w:shd w:val="clear" w:color="auto" w:fill="FFFFFF"/>
                  <w:vAlign w:val="center"/>
                </w:tcPr>
                <w:p w14:paraId="0AE52522">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64.51</w:t>
                  </w:r>
                </w:p>
              </w:tc>
              <w:tc>
                <w:tcPr>
                  <w:tcW w:w="353" w:type="pct"/>
                  <w:shd w:val="clear" w:color="auto" w:fill="FFFFFF"/>
                  <w:vAlign w:val="center"/>
                </w:tcPr>
                <w:p w14:paraId="13CE2FA5">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82.31</w:t>
                  </w:r>
                </w:p>
              </w:tc>
              <w:tc>
                <w:tcPr>
                  <w:tcW w:w="245" w:type="pct"/>
                  <w:vAlign w:val="center"/>
                </w:tcPr>
                <w:p w14:paraId="68067972">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5B6E0692">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10</w:t>
                  </w:r>
                </w:p>
              </w:tc>
              <w:tc>
                <w:tcPr>
                  <w:tcW w:w="425" w:type="pct"/>
                  <w:shd w:val="clear" w:color="auto" w:fill="FFFFFF"/>
                  <w:vAlign w:val="center"/>
                </w:tcPr>
                <w:p w14:paraId="26FEE80E">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65</w:t>
                  </w:r>
                </w:p>
              </w:tc>
              <w:tc>
                <w:tcPr>
                  <w:tcW w:w="215" w:type="pct"/>
                  <w:vMerge w:val="continue"/>
                  <w:vAlign w:val="center"/>
                </w:tcPr>
                <w:p w14:paraId="1C1932D6">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0DBFF5BD">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18431DC4">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45</w:t>
                  </w:r>
                </w:p>
              </w:tc>
              <w:tc>
                <w:tcPr>
                  <w:tcW w:w="429" w:type="pct"/>
                  <w:vAlign w:val="center"/>
                </w:tcPr>
                <w:p w14:paraId="61D9B45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2B86FB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16EF5486">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vAlign w:val="center"/>
                </w:tcPr>
                <w:p w14:paraId="768A48DB">
                  <w:pPr>
                    <w:pStyle w:val="50"/>
                    <w:spacing w:after="0" w:line="240" w:lineRule="auto"/>
                    <w:ind w:firstLine="0" w:firstLineChars="0"/>
                    <w:jc w:val="both"/>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1＃高压无气喷涂机</w:t>
                  </w:r>
                </w:p>
              </w:tc>
              <w:tc>
                <w:tcPr>
                  <w:tcW w:w="378" w:type="pct"/>
                  <w:vAlign w:val="center"/>
                </w:tcPr>
                <w:p w14:paraId="3219F1E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334" w:type="pct"/>
                  <w:vMerge w:val="continue"/>
                  <w:vAlign w:val="center"/>
                </w:tcPr>
                <w:p w14:paraId="2861AD3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463FEF33">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36.12</w:t>
                  </w:r>
                </w:p>
              </w:tc>
              <w:tc>
                <w:tcPr>
                  <w:tcW w:w="353" w:type="pct"/>
                  <w:shd w:val="clear" w:color="auto" w:fill="FFFFFF"/>
                  <w:vAlign w:val="center"/>
                </w:tcPr>
                <w:p w14:paraId="1DC862E7">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122.35</w:t>
                  </w:r>
                </w:p>
              </w:tc>
              <w:tc>
                <w:tcPr>
                  <w:tcW w:w="245" w:type="pct"/>
                  <w:vAlign w:val="center"/>
                </w:tcPr>
                <w:p w14:paraId="2B86F68F">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73ADA017">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10</w:t>
                  </w:r>
                </w:p>
              </w:tc>
              <w:tc>
                <w:tcPr>
                  <w:tcW w:w="425" w:type="pct"/>
                  <w:shd w:val="clear" w:color="auto" w:fill="FFFFFF"/>
                  <w:vAlign w:val="center"/>
                </w:tcPr>
                <w:p w14:paraId="66E391E2">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55</w:t>
                  </w:r>
                </w:p>
              </w:tc>
              <w:tc>
                <w:tcPr>
                  <w:tcW w:w="215" w:type="pct"/>
                  <w:vMerge w:val="continue"/>
                  <w:vAlign w:val="center"/>
                </w:tcPr>
                <w:p w14:paraId="43606AEF">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64F338E0">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61D9D259">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35</w:t>
                  </w:r>
                </w:p>
              </w:tc>
              <w:tc>
                <w:tcPr>
                  <w:tcW w:w="429" w:type="pct"/>
                  <w:vAlign w:val="center"/>
                </w:tcPr>
                <w:p w14:paraId="7C678C8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1636D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747D4CB5">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vAlign w:val="center"/>
                </w:tcPr>
                <w:p w14:paraId="05F4A003">
                  <w:pPr>
                    <w:pStyle w:val="50"/>
                    <w:spacing w:after="0" w:line="240" w:lineRule="auto"/>
                    <w:ind w:firstLine="0" w:firstLineChars="0"/>
                    <w:jc w:val="both"/>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2＃高压无气喷涂机</w:t>
                  </w:r>
                </w:p>
              </w:tc>
              <w:tc>
                <w:tcPr>
                  <w:tcW w:w="378" w:type="pct"/>
                  <w:vAlign w:val="center"/>
                </w:tcPr>
                <w:p w14:paraId="14AB481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334" w:type="pct"/>
                  <w:vMerge w:val="continue"/>
                  <w:vAlign w:val="center"/>
                </w:tcPr>
                <w:p w14:paraId="09F877C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1C17478A">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35.78</w:t>
                  </w:r>
                </w:p>
              </w:tc>
              <w:tc>
                <w:tcPr>
                  <w:tcW w:w="353" w:type="pct"/>
                  <w:shd w:val="clear" w:color="auto" w:fill="FFFFFF"/>
                  <w:vAlign w:val="center"/>
                </w:tcPr>
                <w:p w14:paraId="4420287D">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120.27</w:t>
                  </w:r>
                </w:p>
              </w:tc>
              <w:tc>
                <w:tcPr>
                  <w:tcW w:w="245" w:type="pct"/>
                  <w:vAlign w:val="center"/>
                </w:tcPr>
                <w:p w14:paraId="20BE1575">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3749FF5F">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2CD6BF7F">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215" w:type="pct"/>
                  <w:vMerge w:val="continue"/>
                  <w:vAlign w:val="center"/>
                </w:tcPr>
                <w:p w14:paraId="457D38C3">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6FF77192">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02CCDAFD">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w:t>
                  </w:r>
                </w:p>
              </w:tc>
              <w:tc>
                <w:tcPr>
                  <w:tcW w:w="429" w:type="pct"/>
                  <w:vAlign w:val="center"/>
                </w:tcPr>
                <w:p w14:paraId="07F9D39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1814B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5058B979">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tcPr>
                <w:p w14:paraId="76D04835">
                  <w:pPr>
                    <w:pStyle w:val="50"/>
                    <w:spacing w:after="0" w:line="240" w:lineRule="auto"/>
                    <w:ind w:firstLine="0" w:firstLineChars="0"/>
                    <w:jc w:val="both"/>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3＃高压无气喷涂机</w:t>
                  </w:r>
                </w:p>
              </w:tc>
              <w:tc>
                <w:tcPr>
                  <w:tcW w:w="378" w:type="pct"/>
                  <w:vAlign w:val="center"/>
                </w:tcPr>
                <w:p w14:paraId="2F6F1B5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334" w:type="pct"/>
                  <w:vMerge w:val="continue"/>
                  <w:vAlign w:val="center"/>
                </w:tcPr>
                <w:p w14:paraId="54784BF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26064201">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35.38</w:t>
                  </w:r>
                </w:p>
              </w:tc>
              <w:tc>
                <w:tcPr>
                  <w:tcW w:w="353" w:type="pct"/>
                  <w:shd w:val="clear" w:color="auto" w:fill="FFFFFF"/>
                  <w:vAlign w:val="center"/>
                </w:tcPr>
                <w:p w14:paraId="591EF7F4">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118.13</w:t>
                  </w:r>
                </w:p>
              </w:tc>
              <w:tc>
                <w:tcPr>
                  <w:tcW w:w="245" w:type="pct"/>
                  <w:vAlign w:val="center"/>
                </w:tcPr>
                <w:p w14:paraId="141B3272">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726AFAFB">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0D2B5889">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215" w:type="pct"/>
                  <w:vMerge w:val="continue"/>
                  <w:vAlign w:val="center"/>
                </w:tcPr>
                <w:p w14:paraId="52F0423B">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6629AFB1">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68460678">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w:t>
                  </w:r>
                </w:p>
              </w:tc>
              <w:tc>
                <w:tcPr>
                  <w:tcW w:w="429" w:type="pct"/>
                  <w:vAlign w:val="center"/>
                </w:tcPr>
                <w:p w14:paraId="61731C6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0FF846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6F13EF9D">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tcPr>
                <w:p w14:paraId="6ADC5849">
                  <w:pPr>
                    <w:pStyle w:val="50"/>
                    <w:spacing w:after="0" w:line="240" w:lineRule="auto"/>
                    <w:ind w:firstLine="0" w:firstLineChars="0"/>
                    <w:jc w:val="both"/>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4＃高压无气喷涂机</w:t>
                  </w:r>
                </w:p>
              </w:tc>
              <w:tc>
                <w:tcPr>
                  <w:tcW w:w="378" w:type="pct"/>
                  <w:vAlign w:val="center"/>
                </w:tcPr>
                <w:p w14:paraId="2233EB4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334" w:type="pct"/>
                  <w:vMerge w:val="continue"/>
                  <w:vAlign w:val="center"/>
                </w:tcPr>
                <w:p w14:paraId="3CD58E8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67CACB47">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66.12</w:t>
                  </w:r>
                </w:p>
              </w:tc>
              <w:tc>
                <w:tcPr>
                  <w:tcW w:w="353" w:type="pct"/>
                  <w:shd w:val="clear" w:color="auto" w:fill="FFFFFF"/>
                  <w:vAlign w:val="center"/>
                </w:tcPr>
                <w:p w14:paraId="69E55FFF">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120.4</w:t>
                  </w:r>
                </w:p>
              </w:tc>
              <w:tc>
                <w:tcPr>
                  <w:tcW w:w="245" w:type="pct"/>
                  <w:vAlign w:val="center"/>
                </w:tcPr>
                <w:p w14:paraId="1FA0A77C">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7145FE76">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253FDA79">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215" w:type="pct"/>
                  <w:vMerge w:val="continue"/>
                  <w:vAlign w:val="center"/>
                </w:tcPr>
                <w:p w14:paraId="1DAD1320">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13C36AD3">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4AE5DCF8">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w:t>
                  </w:r>
                </w:p>
              </w:tc>
              <w:tc>
                <w:tcPr>
                  <w:tcW w:w="429" w:type="pct"/>
                  <w:vAlign w:val="center"/>
                </w:tcPr>
                <w:p w14:paraId="6F5AF86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0899FD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42C4203F">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tcPr>
                <w:p w14:paraId="7915EA0C">
                  <w:pPr>
                    <w:pStyle w:val="50"/>
                    <w:spacing w:after="0" w:line="240" w:lineRule="auto"/>
                    <w:ind w:firstLine="0" w:firstLineChars="0"/>
                    <w:jc w:val="both"/>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5＃高压无气喷涂机</w:t>
                  </w:r>
                </w:p>
              </w:tc>
              <w:tc>
                <w:tcPr>
                  <w:tcW w:w="378" w:type="pct"/>
                  <w:vAlign w:val="center"/>
                </w:tcPr>
                <w:p w14:paraId="58C0D46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334" w:type="pct"/>
                  <w:vMerge w:val="continue"/>
                  <w:vAlign w:val="center"/>
                </w:tcPr>
                <w:p w14:paraId="78A171F8">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649E2F47">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65.99</w:t>
                  </w:r>
                </w:p>
              </w:tc>
              <w:tc>
                <w:tcPr>
                  <w:tcW w:w="353" w:type="pct"/>
                  <w:shd w:val="clear" w:color="auto" w:fill="FFFFFF"/>
                  <w:vAlign w:val="center"/>
                </w:tcPr>
                <w:p w14:paraId="23889E1F">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118.4</w:t>
                  </w:r>
                </w:p>
              </w:tc>
              <w:tc>
                <w:tcPr>
                  <w:tcW w:w="245" w:type="pct"/>
                  <w:vAlign w:val="center"/>
                </w:tcPr>
                <w:p w14:paraId="4B26D13F">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2B362A64">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58050343">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215" w:type="pct"/>
                  <w:vMerge w:val="continue"/>
                  <w:vAlign w:val="center"/>
                </w:tcPr>
                <w:p w14:paraId="535AFF60">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6503DE23">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606DE3DE">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w:t>
                  </w:r>
                </w:p>
              </w:tc>
              <w:tc>
                <w:tcPr>
                  <w:tcW w:w="429" w:type="pct"/>
                  <w:vAlign w:val="center"/>
                </w:tcPr>
                <w:p w14:paraId="72CB9ED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1m</w:t>
                  </w:r>
                </w:p>
              </w:tc>
            </w:tr>
            <w:tr w14:paraId="2ACCCF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16AEE96E">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tcPr>
                <w:p w14:paraId="4F3DD842">
                  <w:pPr>
                    <w:pStyle w:val="50"/>
                    <w:spacing w:after="0" w:line="240" w:lineRule="auto"/>
                    <w:ind w:firstLine="0" w:firstLineChars="0"/>
                    <w:jc w:val="both"/>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6＃高压无气喷涂机</w:t>
                  </w:r>
                </w:p>
              </w:tc>
              <w:tc>
                <w:tcPr>
                  <w:tcW w:w="378" w:type="pct"/>
                  <w:vAlign w:val="center"/>
                </w:tcPr>
                <w:p w14:paraId="129E37C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334" w:type="pct"/>
                  <w:vMerge w:val="continue"/>
                  <w:vAlign w:val="center"/>
                </w:tcPr>
                <w:p w14:paraId="5ACE213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30DDDC21">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65.45</w:t>
                  </w:r>
                </w:p>
              </w:tc>
              <w:tc>
                <w:tcPr>
                  <w:tcW w:w="353" w:type="pct"/>
                  <w:shd w:val="clear" w:color="auto" w:fill="FFFFFF"/>
                  <w:vAlign w:val="center"/>
                </w:tcPr>
                <w:p w14:paraId="4A52B5F4">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115.86</w:t>
                  </w:r>
                </w:p>
              </w:tc>
              <w:tc>
                <w:tcPr>
                  <w:tcW w:w="245" w:type="pct"/>
                  <w:vAlign w:val="center"/>
                </w:tcPr>
                <w:p w14:paraId="621B34EB">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48CA0F0F">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0AB09DAD">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215" w:type="pct"/>
                  <w:vMerge w:val="continue"/>
                  <w:vAlign w:val="center"/>
                </w:tcPr>
                <w:p w14:paraId="349DA68D">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1F0B4B9D">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0F607817">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w:t>
                  </w:r>
                </w:p>
              </w:tc>
              <w:tc>
                <w:tcPr>
                  <w:tcW w:w="429" w:type="pct"/>
                  <w:vAlign w:val="center"/>
                </w:tcPr>
                <w:p w14:paraId="02EBCAB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1m</w:t>
                  </w:r>
                </w:p>
              </w:tc>
            </w:tr>
            <w:tr w14:paraId="2BA0A2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0E4CFF50">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vAlign w:val="center"/>
                </w:tcPr>
                <w:p w14:paraId="3AEB52A4">
                  <w:pPr>
                    <w:pStyle w:val="50"/>
                    <w:spacing w:after="0"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1＃风机</w:t>
                  </w:r>
                </w:p>
              </w:tc>
              <w:tc>
                <w:tcPr>
                  <w:tcW w:w="378" w:type="pct"/>
                  <w:vAlign w:val="center"/>
                </w:tcPr>
                <w:p w14:paraId="70CE285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334" w:type="pct"/>
                  <w:vMerge w:val="continue"/>
                  <w:vAlign w:val="center"/>
                </w:tcPr>
                <w:p w14:paraId="2FEF0F8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0133EAF1">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43.4</w:t>
                  </w:r>
                </w:p>
              </w:tc>
              <w:tc>
                <w:tcPr>
                  <w:tcW w:w="353" w:type="pct"/>
                  <w:shd w:val="clear" w:color="auto" w:fill="FFFFFF"/>
                  <w:vAlign w:val="center"/>
                </w:tcPr>
                <w:p w14:paraId="3FC8CFCE">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90.87</w:t>
                  </w:r>
                </w:p>
              </w:tc>
              <w:tc>
                <w:tcPr>
                  <w:tcW w:w="245" w:type="pct"/>
                  <w:vAlign w:val="center"/>
                </w:tcPr>
                <w:p w14:paraId="15D8EAC8">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3DB3AA89">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30A2263B">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65</w:t>
                  </w:r>
                </w:p>
              </w:tc>
              <w:tc>
                <w:tcPr>
                  <w:tcW w:w="215" w:type="pct"/>
                  <w:vMerge w:val="continue"/>
                  <w:vAlign w:val="center"/>
                </w:tcPr>
                <w:p w14:paraId="57A184D1">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6A712887">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122CC4BF">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45</w:t>
                  </w:r>
                </w:p>
              </w:tc>
              <w:tc>
                <w:tcPr>
                  <w:tcW w:w="429" w:type="pct"/>
                  <w:vAlign w:val="center"/>
                </w:tcPr>
                <w:p w14:paraId="5A8496F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1m</w:t>
                  </w:r>
                </w:p>
              </w:tc>
            </w:tr>
            <w:tr w14:paraId="5EC1AD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4C7987E3">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vAlign w:val="center"/>
                </w:tcPr>
                <w:p w14:paraId="6D5EE182">
                  <w:pPr>
                    <w:pStyle w:val="50"/>
                    <w:spacing w:after="0"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2＃风机</w:t>
                  </w:r>
                </w:p>
              </w:tc>
              <w:tc>
                <w:tcPr>
                  <w:tcW w:w="378" w:type="pct"/>
                  <w:vAlign w:val="center"/>
                </w:tcPr>
                <w:p w14:paraId="6BFE347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334" w:type="pct"/>
                  <w:vMerge w:val="continue"/>
                  <w:vAlign w:val="center"/>
                </w:tcPr>
                <w:p w14:paraId="122F4CA4">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3B9BE4DA">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54.09</w:t>
                  </w:r>
                </w:p>
              </w:tc>
              <w:tc>
                <w:tcPr>
                  <w:tcW w:w="353" w:type="pct"/>
                  <w:shd w:val="clear" w:color="auto" w:fill="FFFFFF"/>
                  <w:vAlign w:val="center"/>
                </w:tcPr>
                <w:p w14:paraId="66A75EA7">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90.06</w:t>
                  </w:r>
                </w:p>
              </w:tc>
              <w:tc>
                <w:tcPr>
                  <w:tcW w:w="245" w:type="pct"/>
                  <w:vAlign w:val="center"/>
                </w:tcPr>
                <w:p w14:paraId="3DE7163E">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654D1FBD">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5AC77FFB">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65</w:t>
                  </w:r>
                </w:p>
              </w:tc>
              <w:tc>
                <w:tcPr>
                  <w:tcW w:w="215" w:type="pct"/>
                  <w:vMerge w:val="continue"/>
                  <w:vAlign w:val="center"/>
                </w:tcPr>
                <w:p w14:paraId="3285B6B9">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4EBF9852">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274355B6">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45</w:t>
                  </w:r>
                </w:p>
              </w:tc>
              <w:tc>
                <w:tcPr>
                  <w:tcW w:w="429" w:type="pct"/>
                  <w:vAlign w:val="center"/>
                </w:tcPr>
                <w:p w14:paraId="5D3BEB6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1m</w:t>
                  </w:r>
                </w:p>
              </w:tc>
            </w:tr>
            <w:tr w14:paraId="4E8383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6" w:type="pct"/>
                  <w:vMerge w:val="continue"/>
                  <w:vAlign w:val="center"/>
                </w:tcPr>
                <w:p w14:paraId="473A0DBA">
                  <w:pPr>
                    <w:pStyle w:val="50"/>
                    <w:spacing w:after="0"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3" w:type="pct"/>
                  <w:shd w:val="clear" w:color="auto" w:fill="FFFFFF"/>
                  <w:vAlign w:val="center"/>
                </w:tcPr>
                <w:p w14:paraId="192D6DFE">
                  <w:pPr>
                    <w:pStyle w:val="50"/>
                    <w:spacing w:after="0"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3＃风机</w:t>
                  </w:r>
                </w:p>
              </w:tc>
              <w:tc>
                <w:tcPr>
                  <w:tcW w:w="378" w:type="pct"/>
                  <w:vAlign w:val="center"/>
                </w:tcPr>
                <w:p w14:paraId="7EE15F7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334" w:type="pct"/>
                  <w:vMerge w:val="continue"/>
                  <w:vAlign w:val="center"/>
                </w:tcPr>
                <w:p w14:paraId="27177EC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53" w:type="pct"/>
                  <w:shd w:val="clear" w:color="auto" w:fill="FFFFFF"/>
                  <w:vAlign w:val="center"/>
                </w:tcPr>
                <w:p w14:paraId="4B6703D6">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51.82</w:t>
                  </w:r>
                </w:p>
              </w:tc>
              <w:tc>
                <w:tcPr>
                  <w:tcW w:w="353" w:type="pct"/>
                  <w:shd w:val="clear" w:color="auto" w:fill="FFFFFF"/>
                  <w:vAlign w:val="center"/>
                </w:tcPr>
                <w:p w14:paraId="4A0B1264">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116.39</w:t>
                  </w:r>
                </w:p>
              </w:tc>
              <w:tc>
                <w:tcPr>
                  <w:tcW w:w="245" w:type="pct"/>
                  <w:vAlign w:val="center"/>
                </w:tcPr>
                <w:p w14:paraId="25CD6484">
                  <w:pPr>
                    <w:widowControl/>
                    <w:spacing w:after="0" w:line="240" w:lineRule="auto"/>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356" w:type="pct"/>
                  <w:shd w:val="clear" w:color="auto" w:fill="FFFFFF"/>
                  <w:vAlign w:val="center"/>
                </w:tcPr>
                <w:p w14:paraId="5395DBCB">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10</w:t>
                  </w:r>
                </w:p>
              </w:tc>
              <w:tc>
                <w:tcPr>
                  <w:tcW w:w="425" w:type="pct"/>
                  <w:shd w:val="clear" w:color="auto" w:fill="FFFFFF"/>
                  <w:vAlign w:val="center"/>
                </w:tcPr>
                <w:p w14:paraId="371DCB4B">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65</w:t>
                  </w:r>
                </w:p>
              </w:tc>
              <w:tc>
                <w:tcPr>
                  <w:tcW w:w="215" w:type="pct"/>
                  <w:vMerge w:val="continue"/>
                  <w:vAlign w:val="center"/>
                </w:tcPr>
                <w:p w14:paraId="0D0CE034">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4" w:type="pct"/>
                  <w:vAlign w:val="center"/>
                </w:tcPr>
                <w:p w14:paraId="4201EA35">
                  <w:pPr>
                    <w:widowControl/>
                    <w:spacing w:after="0" w:line="240" w:lineRule="auto"/>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8" w:type="pct"/>
                  <w:shd w:val="clear" w:color="auto" w:fill="FFFFFF"/>
                  <w:vAlign w:val="center"/>
                </w:tcPr>
                <w:p w14:paraId="5E82B963">
                  <w:pPr>
                    <w:widowControl/>
                    <w:spacing w:after="0" w:line="240" w:lineRule="auto"/>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45</w:t>
                  </w:r>
                </w:p>
              </w:tc>
              <w:tc>
                <w:tcPr>
                  <w:tcW w:w="429" w:type="pct"/>
                  <w:vAlign w:val="center"/>
                </w:tcPr>
                <w:p w14:paraId="580EE56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1m</w:t>
                  </w:r>
                </w:p>
              </w:tc>
            </w:tr>
            <w:tr w14:paraId="096525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00" w:type="pct"/>
                  <w:gridSpan w:val="13"/>
                  <w:vAlign w:val="center"/>
                </w:tcPr>
                <w:p w14:paraId="265797BE">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注：表中坐标以厂界左下角（</w:t>
                  </w:r>
                  <w:r>
                    <w:rPr>
                      <w:color w:val="0D0D0D" w:themeColor="text1" w:themeTint="F2"/>
                      <w:szCs w:val="21"/>
                      <w14:textFill>
                        <w14:solidFill>
                          <w14:schemeClr w14:val="tx1">
                            <w14:lumMod w14:val="95000"/>
                            <w14:lumOff w14:val="5000"/>
                          </w14:schemeClr>
                        </w14:solidFill>
                      </w14:textFill>
                    </w:rPr>
                    <w:t>108.654475</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21.709099</w:t>
                  </w:r>
                  <w:r>
                    <w:rPr>
                      <w:rFonts w:hint="eastAsia"/>
                      <w:color w:val="0D0D0D" w:themeColor="text1" w:themeTint="F2"/>
                      <w:szCs w:val="21"/>
                      <w14:textFill>
                        <w14:solidFill>
                          <w14:schemeClr w14:val="tx1">
                            <w14:lumMod w14:val="95000"/>
                            <w14:lumOff w14:val="5000"/>
                          </w14:schemeClr>
                        </w14:solidFill>
                      </w14:textFill>
                    </w:rPr>
                    <w:t>）为坐标原点，正东向为X轴正方向，正北向为Y轴正方向。</w:t>
                  </w:r>
                </w:p>
              </w:tc>
            </w:tr>
          </w:tbl>
          <w:p w14:paraId="0852B7D5">
            <w:pPr>
              <w:spacing w:after="0" w:line="240" w:lineRule="auto"/>
              <w:jc w:val="center"/>
              <w:rPr>
                <w:b/>
                <w:bCs/>
                <w:color w:val="0D0D0D" w:themeColor="text1" w:themeTint="F2"/>
                <w:szCs w:val="21"/>
                <w14:textFill>
                  <w14:solidFill>
                    <w14:schemeClr w14:val="tx1">
                      <w14:lumMod w14:val="95000"/>
                      <w14:lumOff w14:val="5000"/>
                    </w14:schemeClr>
                  </w14:solidFill>
                </w14:textFill>
              </w:rPr>
            </w:pPr>
            <w:r>
              <w:rPr>
                <w:b/>
                <w:bCs/>
                <w:color w:val="0D0D0D" w:themeColor="text1" w:themeTint="F2"/>
                <w:szCs w:val="21"/>
                <w14:textFill>
                  <w14:solidFill>
                    <w14:schemeClr w14:val="tx1">
                      <w14:lumMod w14:val="95000"/>
                      <w14:lumOff w14:val="5000"/>
                    </w14:schemeClr>
                  </w14:solidFill>
                </w14:textFill>
              </w:rPr>
              <w:t>表</w:t>
            </w:r>
            <w:r>
              <w:rPr>
                <w:rFonts w:hint="eastAsia"/>
                <w:b/>
                <w:bCs/>
                <w:color w:val="0D0D0D" w:themeColor="text1" w:themeTint="F2"/>
                <w:szCs w:val="21"/>
                <w14:textFill>
                  <w14:solidFill>
                    <w14:schemeClr w14:val="tx1">
                      <w14:lumMod w14:val="95000"/>
                      <w14:lumOff w14:val="5000"/>
                    </w14:schemeClr>
                  </w14:solidFill>
                </w14:textFill>
              </w:rPr>
              <w:t>4</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 xml:space="preserve">18 </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室外</w:t>
            </w:r>
            <w:r>
              <w:rPr>
                <w:b/>
                <w:bCs/>
                <w:color w:val="0D0D0D" w:themeColor="text1" w:themeTint="F2"/>
                <w:szCs w:val="21"/>
                <w14:textFill>
                  <w14:solidFill>
                    <w14:schemeClr w14:val="tx1">
                      <w14:lumMod w14:val="95000"/>
                      <w14:lumOff w14:val="5000"/>
                    </w14:schemeClr>
                  </w14:solidFill>
                </w14:textFill>
              </w:rPr>
              <w:t>噪声源强一览表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54"/>
              <w:gridCol w:w="2222"/>
              <w:gridCol w:w="669"/>
              <w:gridCol w:w="665"/>
              <w:gridCol w:w="686"/>
              <w:gridCol w:w="709"/>
              <w:gridCol w:w="1908"/>
              <w:gridCol w:w="1262"/>
            </w:tblGrid>
            <w:tr w14:paraId="4F45F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Merge w:val="restart"/>
                  <w:vAlign w:val="center"/>
                </w:tcPr>
                <w:p w14:paraId="686326F7">
                  <w:pPr>
                    <w:spacing w:after="0" w:line="240" w:lineRule="auto"/>
                    <w:jc w:val="center"/>
                    <w:rPr>
                      <w:color w:val="0D0D0D" w:themeColor="text1" w:themeTint="F2"/>
                      <w:szCs w:val="21"/>
                      <w14:textFill>
                        <w14:solidFill>
                          <w14:schemeClr w14:val="tx1">
                            <w14:lumMod w14:val="95000"/>
                            <w14:lumOff w14:val="5000"/>
                          </w14:schemeClr>
                        </w14:solidFill>
                      </w14:textFill>
                    </w:rPr>
                  </w:pPr>
                  <w:bookmarkStart w:id="24" w:name="_Hlk166954672"/>
                  <w:r>
                    <w:rPr>
                      <w:color w:val="0D0D0D" w:themeColor="text1" w:themeTint="F2"/>
                      <w:szCs w:val="21"/>
                      <w14:textFill>
                        <w14:solidFill>
                          <w14:schemeClr w14:val="tx1">
                            <w14:lumMod w14:val="95000"/>
                            <w14:lumOff w14:val="5000"/>
                          </w14:schemeClr>
                        </w14:solidFill>
                      </w14:textFill>
                    </w:rPr>
                    <w:t>序号</w:t>
                  </w:r>
                </w:p>
              </w:tc>
              <w:tc>
                <w:tcPr>
                  <w:tcW w:w="1266" w:type="pct"/>
                  <w:vMerge w:val="restart"/>
                  <w:vAlign w:val="center"/>
                </w:tcPr>
                <w:p w14:paraId="3EDAC19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声源名称</w:t>
                  </w:r>
                </w:p>
              </w:tc>
              <w:tc>
                <w:tcPr>
                  <w:tcW w:w="1151" w:type="pct"/>
                  <w:gridSpan w:val="3"/>
                  <w:vAlign w:val="center"/>
                </w:tcPr>
                <w:p w14:paraId="6941EBB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空间相对位置</w:t>
                  </w:r>
                </w:p>
              </w:tc>
              <w:tc>
                <w:tcPr>
                  <w:tcW w:w="404" w:type="pct"/>
                  <w:vMerge w:val="restart"/>
                  <w:vAlign w:val="center"/>
                </w:tcPr>
                <w:p w14:paraId="20FBA85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源强</w:t>
                  </w:r>
                </w:p>
                <w:p w14:paraId="7176C110">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dB</w:t>
                  </w:r>
                  <w:r>
                    <w:rPr>
                      <w:rFonts w:hint="eastAsia"/>
                      <w:color w:val="0D0D0D" w:themeColor="text1" w:themeTint="F2"/>
                      <w:szCs w:val="21"/>
                      <w14:textFill>
                        <w14:solidFill>
                          <w14:schemeClr w14:val="tx1">
                            <w14:lumMod w14:val="95000"/>
                            <w14:lumOff w14:val="5000"/>
                          </w14:schemeClr>
                        </w14:solidFill>
                      </w14:textFill>
                    </w:rPr>
                    <w:t>(A)</w:t>
                  </w:r>
                </w:p>
              </w:tc>
              <w:tc>
                <w:tcPr>
                  <w:tcW w:w="1087" w:type="pct"/>
                  <w:vMerge w:val="restart"/>
                  <w:vAlign w:val="center"/>
                </w:tcPr>
                <w:p w14:paraId="73D9756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声源控制措施</w:t>
                  </w:r>
                </w:p>
              </w:tc>
              <w:tc>
                <w:tcPr>
                  <w:tcW w:w="719" w:type="pct"/>
                  <w:vMerge w:val="restart"/>
                  <w:vAlign w:val="center"/>
                </w:tcPr>
                <w:p w14:paraId="7878D9B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运行时段</w:t>
                  </w:r>
                </w:p>
              </w:tc>
            </w:tr>
            <w:tr w14:paraId="59228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Merge w:val="continue"/>
                  <w:vAlign w:val="center"/>
                </w:tcPr>
                <w:p w14:paraId="4A1C2F9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266" w:type="pct"/>
                  <w:vMerge w:val="continue"/>
                  <w:vAlign w:val="center"/>
                </w:tcPr>
                <w:p w14:paraId="365B5DC5">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381" w:type="pct"/>
                  <w:vAlign w:val="center"/>
                </w:tcPr>
                <w:p w14:paraId="6A29303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X</w:t>
                  </w:r>
                </w:p>
              </w:tc>
              <w:tc>
                <w:tcPr>
                  <w:tcW w:w="379" w:type="pct"/>
                  <w:vAlign w:val="center"/>
                </w:tcPr>
                <w:p w14:paraId="492AE20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Y</w:t>
                  </w:r>
                </w:p>
              </w:tc>
              <w:tc>
                <w:tcPr>
                  <w:tcW w:w="391" w:type="pct"/>
                  <w:vAlign w:val="center"/>
                </w:tcPr>
                <w:p w14:paraId="0D2D132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Z</w:t>
                  </w:r>
                </w:p>
              </w:tc>
              <w:tc>
                <w:tcPr>
                  <w:tcW w:w="404" w:type="pct"/>
                  <w:vMerge w:val="continue"/>
                  <w:vAlign w:val="center"/>
                </w:tcPr>
                <w:p w14:paraId="1544DAB9">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1087" w:type="pct"/>
                  <w:vMerge w:val="continue"/>
                  <w:vAlign w:val="center"/>
                </w:tcPr>
                <w:p w14:paraId="0D87A1F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19" w:type="pct"/>
                  <w:vMerge w:val="continue"/>
                  <w:vAlign w:val="center"/>
                </w:tcPr>
                <w:p w14:paraId="275DEB8F">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21804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1D26D5F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1266" w:type="pct"/>
                  <w:vAlign w:val="center"/>
                </w:tcPr>
                <w:p w14:paraId="75EA48C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1＃滚板机</w:t>
                  </w:r>
                </w:p>
              </w:tc>
              <w:tc>
                <w:tcPr>
                  <w:tcW w:w="381" w:type="pct"/>
                  <w:vAlign w:val="center"/>
                </w:tcPr>
                <w:p w14:paraId="37F7E0E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149.08</w:t>
                  </w:r>
                </w:p>
              </w:tc>
              <w:tc>
                <w:tcPr>
                  <w:tcW w:w="379" w:type="pct"/>
                  <w:vAlign w:val="center"/>
                </w:tcPr>
                <w:p w14:paraId="3B7BBE4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115.54</w:t>
                  </w:r>
                </w:p>
              </w:tc>
              <w:tc>
                <w:tcPr>
                  <w:tcW w:w="391" w:type="pct"/>
                  <w:vAlign w:val="center"/>
                </w:tcPr>
                <w:p w14:paraId="153FAB1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46948B5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1087" w:type="pct"/>
                  <w:vAlign w:val="center"/>
                </w:tcPr>
                <w:p w14:paraId="4BB37D7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3FE0789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14ED1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527385A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1266" w:type="pct"/>
                  <w:vAlign w:val="center"/>
                </w:tcPr>
                <w:p w14:paraId="34DC147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2＃滚板机</w:t>
                  </w:r>
                </w:p>
              </w:tc>
              <w:tc>
                <w:tcPr>
                  <w:tcW w:w="381" w:type="pct"/>
                  <w:vAlign w:val="center"/>
                </w:tcPr>
                <w:p w14:paraId="7A09F22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146.68</w:t>
                  </w:r>
                </w:p>
              </w:tc>
              <w:tc>
                <w:tcPr>
                  <w:tcW w:w="379" w:type="pct"/>
                  <w:vAlign w:val="center"/>
                </w:tcPr>
                <w:p w14:paraId="6A9C4CC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94.67</w:t>
                  </w:r>
                </w:p>
              </w:tc>
              <w:tc>
                <w:tcPr>
                  <w:tcW w:w="391" w:type="pct"/>
                  <w:vAlign w:val="center"/>
                </w:tcPr>
                <w:p w14:paraId="0939B97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068D084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1087" w:type="pct"/>
                  <w:vAlign w:val="center"/>
                </w:tcPr>
                <w:p w14:paraId="6B82B9B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111CB23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20D93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65D4169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266" w:type="pct"/>
                  <w:vAlign w:val="center"/>
                </w:tcPr>
                <w:p w14:paraId="14748D7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3＃滚板机</w:t>
                  </w:r>
                </w:p>
              </w:tc>
              <w:tc>
                <w:tcPr>
                  <w:tcW w:w="381" w:type="pct"/>
                  <w:vAlign w:val="center"/>
                </w:tcPr>
                <w:p w14:paraId="5664789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144.97</w:t>
                  </w:r>
                </w:p>
              </w:tc>
              <w:tc>
                <w:tcPr>
                  <w:tcW w:w="379" w:type="pct"/>
                  <w:vAlign w:val="center"/>
                </w:tcPr>
                <w:p w14:paraId="6773B2B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82.69</w:t>
                  </w:r>
                </w:p>
              </w:tc>
              <w:tc>
                <w:tcPr>
                  <w:tcW w:w="391" w:type="pct"/>
                  <w:vAlign w:val="center"/>
                </w:tcPr>
                <w:p w14:paraId="5C9CF41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0C4D2B1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1087" w:type="pct"/>
                  <w:vAlign w:val="center"/>
                </w:tcPr>
                <w:p w14:paraId="077ADA3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0F112C3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57FC1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48DDC58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1266" w:type="pct"/>
                  <w:vAlign w:val="center"/>
                </w:tcPr>
                <w:p w14:paraId="7EF077C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等离子切割机</w:t>
                  </w:r>
                </w:p>
              </w:tc>
              <w:tc>
                <w:tcPr>
                  <w:tcW w:w="381" w:type="pct"/>
                  <w:vAlign w:val="center"/>
                </w:tcPr>
                <w:p w14:paraId="6A2F168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226.06</w:t>
                  </w:r>
                </w:p>
              </w:tc>
              <w:tc>
                <w:tcPr>
                  <w:tcW w:w="379" w:type="pct"/>
                  <w:vAlign w:val="center"/>
                </w:tcPr>
                <w:p w14:paraId="2B803D2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123.75</w:t>
                  </w:r>
                </w:p>
              </w:tc>
              <w:tc>
                <w:tcPr>
                  <w:tcW w:w="391" w:type="pct"/>
                  <w:vAlign w:val="center"/>
                </w:tcPr>
                <w:p w14:paraId="71B670D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7F1384A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80</w:t>
                  </w:r>
                </w:p>
              </w:tc>
              <w:tc>
                <w:tcPr>
                  <w:tcW w:w="1087" w:type="pct"/>
                  <w:vAlign w:val="center"/>
                </w:tcPr>
                <w:p w14:paraId="2AD4DC7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431A034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16A05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7D60918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1266" w:type="pct"/>
                  <w:vAlign w:val="center"/>
                </w:tcPr>
                <w:p w14:paraId="7CBB982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火焰切割机</w:t>
                  </w:r>
                </w:p>
              </w:tc>
              <w:tc>
                <w:tcPr>
                  <w:tcW w:w="381" w:type="pct"/>
                  <w:vAlign w:val="center"/>
                </w:tcPr>
                <w:p w14:paraId="43C8B4F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226.06</w:t>
                  </w:r>
                </w:p>
              </w:tc>
              <w:tc>
                <w:tcPr>
                  <w:tcW w:w="379" w:type="pct"/>
                  <w:vAlign w:val="center"/>
                </w:tcPr>
                <w:p w14:paraId="05D2FC0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123.8</w:t>
                  </w:r>
                </w:p>
              </w:tc>
              <w:tc>
                <w:tcPr>
                  <w:tcW w:w="391" w:type="pct"/>
                  <w:vAlign w:val="center"/>
                </w:tcPr>
                <w:p w14:paraId="0A1BC7B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66C9F7F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80</w:t>
                  </w:r>
                </w:p>
              </w:tc>
              <w:tc>
                <w:tcPr>
                  <w:tcW w:w="1087" w:type="pct"/>
                  <w:vAlign w:val="center"/>
                </w:tcPr>
                <w:p w14:paraId="6D3AD74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0561DE7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0526E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205F600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w:t>
                  </w:r>
                </w:p>
              </w:tc>
              <w:tc>
                <w:tcPr>
                  <w:tcW w:w="1266" w:type="pct"/>
                  <w:vAlign w:val="center"/>
                </w:tcPr>
                <w:p w14:paraId="05F42DA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半自动切割机</w:t>
                  </w:r>
                </w:p>
              </w:tc>
              <w:tc>
                <w:tcPr>
                  <w:tcW w:w="381" w:type="pct"/>
                  <w:vAlign w:val="center"/>
                </w:tcPr>
                <w:p w14:paraId="03877D1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226.06</w:t>
                  </w:r>
                </w:p>
              </w:tc>
              <w:tc>
                <w:tcPr>
                  <w:tcW w:w="379" w:type="pct"/>
                  <w:vAlign w:val="center"/>
                </w:tcPr>
                <w:p w14:paraId="7FD5A72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103.22</w:t>
                  </w:r>
                </w:p>
              </w:tc>
              <w:tc>
                <w:tcPr>
                  <w:tcW w:w="391" w:type="pct"/>
                  <w:vAlign w:val="center"/>
                </w:tcPr>
                <w:p w14:paraId="427A62E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6C31FD5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80</w:t>
                  </w:r>
                </w:p>
              </w:tc>
              <w:tc>
                <w:tcPr>
                  <w:tcW w:w="1087" w:type="pct"/>
                  <w:vAlign w:val="center"/>
                </w:tcPr>
                <w:p w14:paraId="54D07A8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5CFA309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17BAF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3FAAAFF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w:t>
                  </w:r>
                </w:p>
              </w:tc>
              <w:tc>
                <w:tcPr>
                  <w:tcW w:w="1266" w:type="pct"/>
                  <w:vAlign w:val="center"/>
                </w:tcPr>
                <w:p w14:paraId="122E2FD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焊接设备</w:t>
                  </w:r>
                </w:p>
              </w:tc>
              <w:tc>
                <w:tcPr>
                  <w:tcW w:w="381" w:type="pct"/>
                  <w:vAlign w:val="center"/>
                </w:tcPr>
                <w:p w14:paraId="10EEF88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224.69</w:t>
                  </w:r>
                </w:p>
              </w:tc>
              <w:tc>
                <w:tcPr>
                  <w:tcW w:w="379" w:type="pct"/>
                  <w:vAlign w:val="center"/>
                </w:tcPr>
                <w:p w14:paraId="3AC1BC5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93.3</w:t>
                  </w:r>
                </w:p>
              </w:tc>
              <w:tc>
                <w:tcPr>
                  <w:tcW w:w="391" w:type="pct"/>
                  <w:vAlign w:val="center"/>
                </w:tcPr>
                <w:p w14:paraId="3564541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64FBC0F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1087" w:type="pct"/>
                  <w:vAlign w:val="center"/>
                </w:tcPr>
                <w:p w14:paraId="2925A05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2383F0D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7F1E6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3" w:type="pct"/>
                  <w:vAlign w:val="center"/>
                </w:tcPr>
                <w:p w14:paraId="7ACB721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w:t>
                  </w:r>
                </w:p>
              </w:tc>
              <w:tc>
                <w:tcPr>
                  <w:tcW w:w="1266" w:type="pct"/>
                  <w:vAlign w:val="center"/>
                </w:tcPr>
                <w:p w14:paraId="69E525B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4＃风机</w:t>
                  </w:r>
                </w:p>
              </w:tc>
              <w:tc>
                <w:tcPr>
                  <w:tcW w:w="381" w:type="pct"/>
                  <w:vAlign w:val="center"/>
                </w:tcPr>
                <w:p w14:paraId="16E3AD7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60.12</w:t>
                  </w:r>
                </w:p>
              </w:tc>
              <w:tc>
                <w:tcPr>
                  <w:tcW w:w="379" w:type="pct"/>
                  <w:vAlign w:val="center"/>
                </w:tcPr>
                <w:p w14:paraId="3782E14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172.68</w:t>
                  </w:r>
                </w:p>
              </w:tc>
              <w:tc>
                <w:tcPr>
                  <w:tcW w:w="391" w:type="pct"/>
                  <w:vAlign w:val="center"/>
                </w:tcPr>
                <w:p w14:paraId="330A722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04" w:type="pct"/>
                  <w:vAlign w:val="center"/>
                </w:tcPr>
                <w:p w14:paraId="32CB50C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1087" w:type="pct"/>
                  <w:vAlign w:val="center"/>
                </w:tcPr>
                <w:p w14:paraId="3CE7157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基础减振等</w:t>
                  </w:r>
                </w:p>
              </w:tc>
              <w:tc>
                <w:tcPr>
                  <w:tcW w:w="719" w:type="pct"/>
                  <w:vAlign w:val="center"/>
                </w:tcPr>
                <w:p w14:paraId="082E9BD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12h</w:t>
                  </w:r>
                </w:p>
              </w:tc>
            </w:tr>
            <w:tr w14:paraId="50906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8"/>
                  <w:vAlign w:val="center"/>
                </w:tcPr>
                <w:p w14:paraId="4D04E9F6">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注：表中坐标以厂界左下角（</w:t>
                  </w:r>
                  <w:r>
                    <w:rPr>
                      <w:color w:val="0D0D0D" w:themeColor="text1" w:themeTint="F2"/>
                      <w:szCs w:val="21"/>
                      <w14:textFill>
                        <w14:solidFill>
                          <w14:schemeClr w14:val="tx1">
                            <w14:lumMod w14:val="95000"/>
                            <w14:lumOff w14:val="5000"/>
                          </w14:schemeClr>
                        </w14:solidFill>
                      </w14:textFill>
                    </w:rPr>
                    <w:t>108.654475</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21.709099</w:t>
                  </w:r>
                  <w:r>
                    <w:rPr>
                      <w:rFonts w:hint="eastAsia"/>
                      <w:color w:val="0D0D0D" w:themeColor="text1" w:themeTint="F2"/>
                      <w:szCs w:val="21"/>
                      <w14:textFill>
                        <w14:solidFill>
                          <w14:schemeClr w14:val="tx1">
                            <w14:lumMod w14:val="95000"/>
                            <w14:lumOff w14:val="5000"/>
                          </w14:schemeClr>
                        </w14:solidFill>
                      </w14:textFill>
                    </w:rPr>
                    <w:t>）为坐标原点，正东向为X轴正方向，正北向为Y轴正方向。</w:t>
                  </w:r>
                </w:p>
              </w:tc>
            </w:tr>
            <w:bookmarkEnd w:id="24"/>
          </w:tbl>
          <w:p w14:paraId="4E64A0F5">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2.噪声影响及达标性分析</w:t>
            </w:r>
          </w:p>
          <w:p w14:paraId="057FBFA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根据《环境影响评价技术导则  声环境》（HJ2.4-202</w:t>
            </w:r>
            <w:r>
              <w:rPr>
                <w:rFonts w:hint="eastAsia" w:cs="宋体"/>
                <w:bCs/>
                <w:color w:val="0D0D0D" w:themeColor="text1" w:themeTint="F2"/>
                <w:spacing w:val="-10"/>
                <w:sz w:val="24"/>
                <w14:textFill>
                  <w14:solidFill>
                    <w14:schemeClr w14:val="tx1">
                      <w14:lumMod w14:val="95000"/>
                      <w14:lumOff w14:val="5000"/>
                    </w14:schemeClr>
                  </w14:solidFill>
                </w14:textFill>
              </w:rPr>
              <w:t>1</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本次声环境影响预测主要采</w:t>
            </w:r>
            <w:r>
              <w:rPr>
                <w:rFonts w:cs="宋体"/>
                <w:bCs/>
                <w:color w:val="0D0D0D" w:themeColor="text1" w:themeTint="F2"/>
                <w:spacing w:val="-10"/>
                <w:sz w:val="24"/>
                <w14:textFill>
                  <w14:solidFill>
                    <w14:schemeClr w14:val="tx1">
                      <w14:lumMod w14:val="95000"/>
                      <w14:lumOff w14:val="5000"/>
                    </w14:schemeClr>
                  </w14:solidFill>
                </w14:textFill>
              </w:rPr>
              <w:t>用附录B中B.1</w:t>
            </w:r>
            <w:r>
              <w:rPr>
                <w:rFonts w:hint="eastAsia" w:cs="宋体"/>
                <w:bCs/>
                <w:color w:val="0D0D0D" w:themeColor="text1" w:themeTint="F2"/>
                <w:spacing w:val="-10"/>
                <w:sz w:val="24"/>
                <w14:textFill>
                  <w14:solidFill>
                    <w14:schemeClr w14:val="tx1">
                      <w14:lumMod w14:val="95000"/>
                      <w14:lumOff w14:val="5000"/>
                    </w14:schemeClr>
                  </w14:solidFill>
                </w14:textFill>
              </w:rPr>
              <w:t>工业噪声预测计算模型</w:t>
            </w:r>
            <w:r>
              <w:rPr>
                <w:rFonts w:cs="宋体"/>
                <w:bCs/>
                <w:color w:val="0D0D0D" w:themeColor="text1" w:themeTint="F2"/>
                <w:spacing w:val="-10"/>
                <w:sz w:val="24"/>
                <w14:textFill>
                  <w14:solidFill>
                    <w14:schemeClr w14:val="tx1">
                      <w14:lumMod w14:val="95000"/>
                      <w14:lumOff w14:val="5000"/>
                    </w14:schemeClr>
                  </w14:solidFill>
                </w14:textFill>
              </w:rPr>
              <w:t>。</w:t>
            </w:r>
          </w:p>
          <w:p w14:paraId="10E9468A">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（1）噪声贡献值计算</w:t>
            </w:r>
          </w:p>
          <w:p w14:paraId="6043C4D1">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设第i个室外声源在预测点产生的A声级为L</w:t>
            </w:r>
            <w:r>
              <w:rPr>
                <w:color w:val="0D0D0D" w:themeColor="text1" w:themeTint="F2"/>
                <w:sz w:val="24"/>
                <w:vertAlign w:val="subscript"/>
                <w14:textFill>
                  <w14:solidFill>
                    <w14:schemeClr w14:val="tx1">
                      <w14:lumMod w14:val="95000"/>
                      <w14:lumOff w14:val="5000"/>
                    </w14:schemeClr>
                  </w14:solidFill>
                </w14:textFill>
              </w:rPr>
              <w:t>Ai</w:t>
            </w:r>
            <w:r>
              <w:rPr>
                <w:color w:val="0D0D0D" w:themeColor="text1" w:themeTint="F2"/>
                <w:sz w:val="24"/>
                <w14:textFill>
                  <w14:solidFill>
                    <w14:schemeClr w14:val="tx1">
                      <w14:lumMod w14:val="95000"/>
                      <w14:lumOff w14:val="5000"/>
                    </w14:schemeClr>
                  </w14:solidFill>
                </w14:textFill>
              </w:rPr>
              <w:t>，在T时间内该声源工作时间为t</w:t>
            </w:r>
            <w:r>
              <w:rPr>
                <w:color w:val="0D0D0D" w:themeColor="text1" w:themeTint="F2"/>
                <w:sz w:val="24"/>
                <w:vertAlign w:val="subscript"/>
                <w14:textFill>
                  <w14:solidFill>
                    <w14:schemeClr w14:val="tx1">
                      <w14:lumMod w14:val="95000"/>
                      <w14:lumOff w14:val="5000"/>
                    </w14:schemeClr>
                  </w14:solidFill>
                </w14:textFill>
              </w:rPr>
              <w:t>i</w:t>
            </w:r>
            <w:r>
              <w:rPr>
                <w:color w:val="0D0D0D" w:themeColor="text1" w:themeTint="F2"/>
                <w:sz w:val="24"/>
                <w14:textFill>
                  <w14:solidFill>
                    <w14:schemeClr w14:val="tx1">
                      <w14:lumMod w14:val="95000"/>
                      <w14:lumOff w14:val="5000"/>
                    </w14:schemeClr>
                  </w14:solidFill>
                </w14:textFill>
              </w:rPr>
              <w:t>；第j个等效室外声源在预测点产生的A声级为L</w:t>
            </w:r>
            <w:r>
              <w:rPr>
                <w:color w:val="0D0D0D" w:themeColor="text1" w:themeTint="F2"/>
                <w:sz w:val="24"/>
                <w:vertAlign w:val="subscript"/>
                <w14:textFill>
                  <w14:solidFill>
                    <w14:schemeClr w14:val="tx1">
                      <w14:lumMod w14:val="95000"/>
                      <w14:lumOff w14:val="5000"/>
                    </w14:schemeClr>
                  </w14:solidFill>
                </w14:textFill>
              </w:rPr>
              <w:t>Aj</w:t>
            </w:r>
            <w:r>
              <w:rPr>
                <w:color w:val="0D0D0D" w:themeColor="text1" w:themeTint="F2"/>
                <w:sz w:val="24"/>
                <w14:textFill>
                  <w14:solidFill>
                    <w14:schemeClr w14:val="tx1">
                      <w14:lumMod w14:val="95000"/>
                      <w14:lumOff w14:val="5000"/>
                    </w14:schemeClr>
                  </w14:solidFill>
                </w14:textFill>
              </w:rPr>
              <w:t>，在T时间内该声源工作时间为j</w:t>
            </w:r>
            <w:r>
              <w:rPr>
                <w:color w:val="0D0D0D" w:themeColor="text1" w:themeTint="F2"/>
                <w:sz w:val="24"/>
                <w:vertAlign w:val="subscript"/>
                <w14:textFill>
                  <w14:solidFill>
                    <w14:schemeClr w14:val="tx1">
                      <w14:lumMod w14:val="95000"/>
                      <w14:lumOff w14:val="5000"/>
                    </w14:schemeClr>
                  </w14:solidFill>
                </w14:textFill>
              </w:rPr>
              <w:t>t</w:t>
            </w:r>
            <w:r>
              <w:rPr>
                <w:color w:val="0D0D0D" w:themeColor="text1" w:themeTint="F2"/>
                <w:sz w:val="24"/>
                <w14:textFill>
                  <w14:solidFill>
                    <w14:schemeClr w14:val="tx1">
                      <w14:lumMod w14:val="95000"/>
                      <w14:lumOff w14:val="5000"/>
                    </w14:schemeClr>
                  </w14:solidFill>
                </w14:textFill>
              </w:rPr>
              <w:t>，则项目声源对预测点产生的贡献值（Leqg）为：</w:t>
            </w:r>
          </w:p>
          <w:p w14:paraId="22E277F8">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m:oMathPara>
              <m:oMath>
                <m:sSub>
                  <m:sSubPr>
                    <m:ctrlPr>
                      <w:rPr>
                        <w:rFonts w:ascii="Cambria Math" w:hAnsi="Cambria Math"/>
                        <w:i/>
                        <w:color w:val="0D0D0D" w:themeColor="text1" w:themeTint="F2"/>
                        <w:sz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14:textFill>
                          <w14:solidFill>
                            <w14:schemeClr w14:val="tx1">
                              <w14:lumMod w14:val="95000"/>
                              <w14:lumOff w14:val="5000"/>
                            </w14:schemeClr>
                          </w14:solidFill>
                        </w14:textFill>
                      </w:rPr>
                      <m:t>L</m:t>
                    </m:r>
                    <m:ctrlPr>
                      <w:rPr>
                        <w:rFonts w:ascii="Cambria Math" w:hAnsi="Cambria Math"/>
                        <w:i/>
                        <w:color w:val="0D0D0D" w:themeColor="text1" w:themeTint="F2"/>
                        <w:sz w:val="24"/>
                        <w14:textFill>
                          <w14:solidFill>
                            <w14:schemeClr w14:val="tx1">
                              <w14:lumMod w14:val="95000"/>
                              <w14:lumOff w14:val="5000"/>
                            </w14:schemeClr>
                          </w14:solidFill>
                        </w14:textFill>
                      </w:rPr>
                    </m:ctrlPr>
                  </m:e>
                  <m:sub>
                    <m:r>
                      <m:rPr/>
                      <w:rPr>
                        <w:rFonts w:ascii="Cambria Math" w:hAnsi="Cambria Math"/>
                        <w:color w:val="0D0D0D" w:themeColor="text1" w:themeTint="F2"/>
                        <w:sz w:val="24"/>
                        <w14:textFill>
                          <w14:solidFill>
                            <w14:schemeClr w14:val="tx1">
                              <w14:lumMod w14:val="95000"/>
                              <w14:lumOff w14:val="5000"/>
                            </w14:schemeClr>
                          </w14:solidFill>
                        </w14:textFill>
                      </w:rPr>
                      <m:t>eqg</m:t>
                    </m:r>
                    <m:ctrlPr>
                      <w:rPr>
                        <w:rFonts w:ascii="Cambria Math" w:hAnsi="Cambria Math"/>
                        <w:i/>
                        <w:color w:val="0D0D0D" w:themeColor="text1" w:themeTint="F2"/>
                        <w:sz w:val="24"/>
                        <w14:textFill>
                          <w14:solidFill>
                            <w14:schemeClr w14:val="tx1">
                              <w14:lumMod w14:val="95000"/>
                              <w14:lumOff w14:val="5000"/>
                            </w14:schemeClr>
                          </w14:solidFill>
                        </w14:textFill>
                      </w:rPr>
                    </m:ctrlPr>
                  </m:sub>
                </m:sSub>
                <m:r>
                  <m:rPr/>
                  <w:rPr>
                    <w:rFonts w:ascii="Cambria Math" w:hAnsi="Cambria Math"/>
                    <w:color w:val="0D0D0D" w:themeColor="text1" w:themeTint="F2"/>
                    <w:sz w:val="24"/>
                    <w14:textFill>
                      <w14:solidFill>
                        <w14:schemeClr w14:val="tx1">
                          <w14:lumMod w14:val="95000"/>
                          <w14:lumOff w14:val="5000"/>
                        </w14:schemeClr>
                      </w14:solidFill>
                    </w14:textFill>
                  </w:rPr>
                  <m:t>=10</m:t>
                </m:r>
                <m:func>
                  <m:funcPr>
                    <m:ctrlPr>
                      <w:rPr>
                        <w:rFonts w:ascii="Cambria Math" w:hAnsi="Cambria Math"/>
                        <w:color w:val="0D0D0D" w:themeColor="text1" w:themeTint="F2"/>
                        <w:sz w:val="24"/>
                        <w14:textFill>
                          <w14:solidFill>
                            <w14:schemeClr w14:val="tx1">
                              <w14:lumMod w14:val="95000"/>
                              <w14:lumOff w14:val="5000"/>
                            </w14:schemeClr>
                          </w14:solidFill>
                        </w14:textFill>
                      </w:rPr>
                    </m:ctrlPr>
                  </m:funcPr>
                  <m:fName>
                    <m:r>
                      <m:rPr>
                        <m:sty m:val="p"/>
                      </m:rPr>
                      <w:rPr>
                        <w:rFonts w:ascii="Cambria Math" w:hAnsi="Cambria Math"/>
                        <w:color w:val="0D0D0D" w:themeColor="text1" w:themeTint="F2"/>
                        <w:sz w:val="24"/>
                        <w14:textFill>
                          <w14:solidFill>
                            <w14:schemeClr w14:val="tx1">
                              <w14:lumMod w14:val="95000"/>
                              <w14:lumOff w14:val="5000"/>
                            </w14:schemeClr>
                          </w14:solidFill>
                        </w14:textFill>
                      </w:rPr>
                      <m:t>lg</m:t>
                    </m:r>
                    <m:ctrlPr>
                      <w:rPr>
                        <w:rFonts w:ascii="Cambria Math" w:hAnsi="Cambria Math"/>
                        <w:i/>
                        <w:color w:val="0D0D0D" w:themeColor="text1" w:themeTint="F2"/>
                        <w:sz w:val="24"/>
                        <w14:textFill>
                          <w14:solidFill>
                            <w14:schemeClr w14:val="tx1">
                              <w14:lumMod w14:val="95000"/>
                              <w14:lumOff w14:val="5000"/>
                            </w14:schemeClr>
                          </w14:solidFill>
                        </w14:textFill>
                      </w:rPr>
                    </m:ctrlPr>
                  </m:fName>
                  <m:e>
                    <m:d>
                      <m:dPr>
                        <m:begChr m:val="["/>
                        <m:endChr m:val="]"/>
                        <m:ctrlPr>
                          <w:rPr>
                            <w:rFonts w:ascii="Cambria Math" w:hAnsi="Cambria Math"/>
                            <w:i/>
                            <w:color w:val="0D0D0D" w:themeColor="text1" w:themeTint="F2"/>
                            <w:sz w:val="24"/>
                            <w14:textFill>
                              <w14:solidFill>
                                <w14:schemeClr w14:val="tx1">
                                  <w14:lumMod w14:val="95000"/>
                                  <w14:lumOff w14:val="5000"/>
                                </w14:schemeClr>
                              </w14:solidFill>
                            </w14:textFill>
                          </w:rPr>
                        </m:ctrlPr>
                      </m:dPr>
                      <m:e>
                        <m:f>
                          <m:fPr>
                            <m:ctrlPr>
                              <w:rPr>
                                <w:rFonts w:ascii="Cambria Math" w:hAnsi="Cambria Math"/>
                                <w:i/>
                                <w:color w:val="0D0D0D" w:themeColor="text1" w:themeTint="F2"/>
                                <w:sz w:val="24"/>
                                <w14:textFill>
                                  <w14:solidFill>
                                    <w14:schemeClr w14:val="tx1">
                                      <w14:lumMod w14:val="95000"/>
                                      <w14:lumOff w14:val="5000"/>
                                    </w14:schemeClr>
                                  </w14:solidFill>
                                </w14:textFill>
                              </w:rPr>
                            </m:ctrlPr>
                          </m:fPr>
                          <m:num>
                            <m:r>
                              <m:rPr/>
                              <w:rPr>
                                <w:rFonts w:ascii="Cambria Math" w:hAnsi="Cambria Math"/>
                                <w:color w:val="0D0D0D" w:themeColor="text1" w:themeTint="F2"/>
                                <w:sz w:val="24"/>
                                <w14:textFill>
                                  <w14:solidFill>
                                    <w14:schemeClr w14:val="tx1">
                                      <w14:lumMod w14:val="95000"/>
                                      <w14:lumOff w14:val="5000"/>
                                    </w14:schemeClr>
                                  </w14:solidFill>
                                </w14:textFill>
                              </w:rPr>
                              <m:t>1</m:t>
                            </m:r>
                            <m:ctrlPr>
                              <w:rPr>
                                <w:rFonts w:ascii="Cambria Math" w:hAnsi="Cambria Math"/>
                                <w:i/>
                                <w:color w:val="0D0D0D" w:themeColor="text1" w:themeTint="F2"/>
                                <w:sz w:val="24"/>
                                <w14:textFill>
                                  <w14:solidFill>
                                    <w14:schemeClr w14:val="tx1">
                                      <w14:lumMod w14:val="95000"/>
                                      <w14:lumOff w14:val="5000"/>
                                    </w14:schemeClr>
                                  </w14:solidFill>
                                </w14:textFill>
                              </w:rPr>
                            </m:ctrlPr>
                          </m:num>
                          <m:den>
                            <m:r>
                              <m:rPr/>
                              <w:rPr>
                                <w:rFonts w:ascii="Cambria Math" w:hAnsi="Cambria Math"/>
                                <w:color w:val="0D0D0D" w:themeColor="text1" w:themeTint="F2"/>
                                <w:sz w:val="24"/>
                                <w14:textFill>
                                  <w14:solidFill>
                                    <w14:schemeClr w14:val="tx1">
                                      <w14:lumMod w14:val="95000"/>
                                      <w14:lumOff w14:val="5000"/>
                                    </w14:schemeClr>
                                  </w14:solidFill>
                                </w14:textFill>
                              </w:rPr>
                              <m:t>T</m:t>
                            </m:r>
                            <m:ctrlPr>
                              <w:rPr>
                                <w:rFonts w:ascii="Cambria Math" w:hAnsi="Cambria Math"/>
                                <w:i/>
                                <w:color w:val="0D0D0D" w:themeColor="text1" w:themeTint="F2"/>
                                <w:sz w:val="24"/>
                                <w14:textFill>
                                  <w14:solidFill>
                                    <w14:schemeClr w14:val="tx1">
                                      <w14:lumMod w14:val="95000"/>
                                      <w14:lumOff w14:val="5000"/>
                                    </w14:schemeClr>
                                  </w14:solidFill>
                                </w14:textFill>
                              </w:rPr>
                            </m:ctrlPr>
                          </m:den>
                        </m:f>
                        <m:d>
                          <m:dPr>
                            <m:ctrlPr>
                              <w:rPr>
                                <w:rFonts w:ascii="Cambria Math" w:hAnsi="Cambria Math"/>
                                <w:i/>
                                <w:color w:val="0D0D0D" w:themeColor="text1" w:themeTint="F2"/>
                                <w:sz w:val="24"/>
                                <w14:textFill>
                                  <w14:solidFill>
                                    <w14:schemeClr w14:val="tx1">
                                      <w14:lumMod w14:val="95000"/>
                                      <w14:lumOff w14:val="5000"/>
                                    </w14:schemeClr>
                                  </w14:solidFill>
                                </w14:textFill>
                              </w:rPr>
                            </m:ctrlPr>
                          </m:dPr>
                          <m:e>
                            <m:nary>
                              <m:naryPr>
                                <m:chr m:val="∑"/>
                                <m:limLoc m:val="undOvr"/>
                                <m:ctrlPr>
                                  <w:rPr>
                                    <w:rFonts w:ascii="Cambria Math" w:hAnsi="Cambria Math"/>
                                    <w:i/>
                                    <w:color w:val="0D0D0D" w:themeColor="text1" w:themeTint="F2"/>
                                    <w:sz w:val="24"/>
                                    <w14:textFill>
                                      <w14:solidFill>
                                        <w14:schemeClr w14:val="tx1">
                                          <w14:lumMod w14:val="95000"/>
                                          <w14:lumOff w14:val="5000"/>
                                        </w14:schemeClr>
                                      </w14:solidFill>
                                    </w14:textFill>
                                  </w:rPr>
                                </m:ctrlPr>
                              </m:naryPr>
                              <m:sub>
                                <m:r>
                                  <m:rPr/>
                                  <w:rPr>
                                    <w:rFonts w:ascii="Cambria Math" w:hAnsi="Cambria Math"/>
                                    <w:color w:val="0D0D0D" w:themeColor="text1" w:themeTint="F2"/>
                                    <w:sz w:val="24"/>
                                    <w14:textFill>
                                      <w14:solidFill>
                                        <w14:schemeClr w14:val="tx1">
                                          <w14:lumMod w14:val="95000"/>
                                          <w14:lumOff w14:val="5000"/>
                                        </w14:schemeClr>
                                      </w14:solidFill>
                                    </w14:textFill>
                                  </w:rPr>
                                  <m:t>i=1</m:t>
                                </m:r>
                                <m:ctrlPr>
                                  <w:rPr>
                                    <w:rFonts w:ascii="Cambria Math" w:hAnsi="Cambria Math"/>
                                    <w:i/>
                                    <w:color w:val="0D0D0D" w:themeColor="text1" w:themeTint="F2"/>
                                    <w:sz w:val="24"/>
                                    <w14:textFill>
                                      <w14:solidFill>
                                        <w14:schemeClr w14:val="tx1">
                                          <w14:lumMod w14:val="95000"/>
                                          <w14:lumOff w14:val="5000"/>
                                        </w14:schemeClr>
                                      </w14:solidFill>
                                    </w14:textFill>
                                  </w:rPr>
                                </m:ctrlPr>
                              </m:sub>
                              <m:sup>
                                <m:r>
                                  <m:rPr/>
                                  <w:rPr>
                                    <w:rFonts w:ascii="Cambria Math" w:hAnsi="Cambria Math"/>
                                    <w:color w:val="0D0D0D" w:themeColor="text1" w:themeTint="F2"/>
                                    <w:sz w:val="24"/>
                                    <w14:textFill>
                                      <w14:solidFill>
                                        <w14:schemeClr w14:val="tx1">
                                          <w14:lumMod w14:val="95000"/>
                                          <w14:lumOff w14:val="5000"/>
                                        </w14:schemeClr>
                                      </w14:solidFill>
                                    </w14:textFill>
                                  </w:rPr>
                                  <m:t>N</m:t>
                                </m:r>
                                <m:ctrlPr>
                                  <w:rPr>
                                    <w:rFonts w:ascii="Cambria Math" w:hAnsi="Cambria Math"/>
                                    <w:i/>
                                    <w:color w:val="0D0D0D" w:themeColor="text1" w:themeTint="F2"/>
                                    <w:sz w:val="24"/>
                                    <w14:textFill>
                                      <w14:solidFill>
                                        <w14:schemeClr w14:val="tx1">
                                          <w14:lumMod w14:val="95000"/>
                                          <w14:lumOff w14:val="5000"/>
                                        </w14:schemeClr>
                                      </w14:solidFill>
                                    </w14:textFill>
                                  </w:rPr>
                                </m:ctrlPr>
                              </m:sup>
                              <m:e>
                                <m:sSup>
                                  <m:sSupPr>
                                    <m:ctrlPr>
                                      <w:rPr>
                                        <w:rFonts w:ascii="Cambria Math" w:hAnsi="Cambria Math"/>
                                        <w:i/>
                                        <w:color w:val="0D0D0D" w:themeColor="text1" w:themeTint="F2"/>
                                        <w:sz w:val="24"/>
                                        <w14:textFill>
                                          <w14:solidFill>
                                            <w14:schemeClr w14:val="tx1">
                                              <w14:lumMod w14:val="95000"/>
                                              <w14:lumOff w14:val="5000"/>
                                            </w14:schemeClr>
                                          </w14:solidFill>
                                        </w14:textFill>
                                      </w:rPr>
                                    </m:ctrlPr>
                                  </m:sSupPr>
                                  <m:e>
                                    <m:sSub>
                                      <m:sSubPr>
                                        <m:ctrlPr>
                                          <w:rPr>
                                            <w:rFonts w:ascii="Cambria Math" w:hAnsi="Cambria Math"/>
                                            <w:i/>
                                            <w:color w:val="0D0D0D" w:themeColor="text1" w:themeTint="F2"/>
                                            <w:sz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14:textFill>
                                              <w14:solidFill>
                                                <w14:schemeClr w14:val="tx1">
                                                  <w14:lumMod w14:val="95000"/>
                                                  <w14:lumOff w14:val="5000"/>
                                                </w14:schemeClr>
                                              </w14:solidFill>
                                            </w14:textFill>
                                          </w:rPr>
                                          <m:t>t</m:t>
                                        </m:r>
                                        <m:ctrlPr>
                                          <w:rPr>
                                            <w:rFonts w:ascii="Cambria Math" w:hAnsi="Cambria Math"/>
                                            <w:i/>
                                            <w:color w:val="0D0D0D" w:themeColor="text1" w:themeTint="F2"/>
                                            <w:sz w:val="24"/>
                                            <w14:textFill>
                                              <w14:solidFill>
                                                <w14:schemeClr w14:val="tx1">
                                                  <w14:lumMod w14:val="95000"/>
                                                  <w14:lumOff w14:val="5000"/>
                                                </w14:schemeClr>
                                              </w14:solidFill>
                                            </w14:textFill>
                                          </w:rPr>
                                        </m:ctrlPr>
                                      </m:e>
                                      <m:sub>
                                        <m:r>
                                          <m:rPr/>
                                          <w:rPr>
                                            <w:rFonts w:ascii="Cambria Math" w:hAnsi="Cambria Math"/>
                                            <w:color w:val="0D0D0D" w:themeColor="text1" w:themeTint="F2"/>
                                            <w:sz w:val="24"/>
                                            <w14:textFill>
                                              <w14:solidFill>
                                                <w14:schemeClr w14:val="tx1">
                                                  <w14:lumMod w14:val="95000"/>
                                                  <w14:lumOff w14:val="5000"/>
                                                </w14:schemeClr>
                                              </w14:solidFill>
                                            </w14:textFill>
                                          </w:rPr>
                                          <m:t>i</m:t>
                                        </m:r>
                                        <m:ctrlPr>
                                          <w:rPr>
                                            <w:rFonts w:ascii="Cambria Math" w:hAnsi="Cambria Math"/>
                                            <w:i/>
                                            <w:color w:val="0D0D0D" w:themeColor="text1" w:themeTint="F2"/>
                                            <w:sz w:val="24"/>
                                            <w14:textFill>
                                              <w14:solidFill>
                                                <w14:schemeClr w14:val="tx1">
                                                  <w14:lumMod w14:val="95000"/>
                                                  <w14:lumOff w14:val="5000"/>
                                                </w14:schemeClr>
                                              </w14:solidFill>
                                            </w14:textFill>
                                          </w:rPr>
                                        </m:ctrlPr>
                                      </m:sub>
                                    </m:sSub>
                                    <m:r>
                                      <m:rPr/>
                                      <w:rPr>
                                        <w:rFonts w:ascii="Cambria Math" w:hAnsi="Cambria Math"/>
                                        <w:color w:val="0D0D0D" w:themeColor="text1" w:themeTint="F2"/>
                                        <w:sz w:val="24"/>
                                        <w14:textFill>
                                          <w14:solidFill>
                                            <w14:schemeClr w14:val="tx1">
                                              <w14:lumMod w14:val="95000"/>
                                              <w14:lumOff w14:val="5000"/>
                                            </w14:schemeClr>
                                          </w14:solidFill>
                                        </w14:textFill>
                                      </w:rPr>
                                      <m:t>10</m:t>
                                    </m:r>
                                    <m:ctrlPr>
                                      <w:rPr>
                                        <w:rFonts w:ascii="Cambria Math" w:hAnsi="Cambria Math"/>
                                        <w:i/>
                                        <w:color w:val="0D0D0D" w:themeColor="text1" w:themeTint="F2"/>
                                        <w:sz w:val="24"/>
                                        <w14:textFill>
                                          <w14:solidFill>
                                            <w14:schemeClr w14:val="tx1">
                                              <w14:lumMod w14:val="95000"/>
                                              <w14:lumOff w14:val="5000"/>
                                            </w14:schemeClr>
                                          </w14:solidFill>
                                        </w14:textFill>
                                      </w:rPr>
                                    </m:ctrlPr>
                                  </m:e>
                                  <m:sup>
                                    <m:r>
                                      <m:rPr/>
                                      <w:rPr>
                                        <w:rFonts w:ascii="Cambria Math" w:hAnsi="Cambria Math"/>
                                        <w:color w:val="0D0D0D" w:themeColor="text1" w:themeTint="F2"/>
                                        <w:sz w:val="24"/>
                                        <w14:textFill>
                                          <w14:solidFill>
                                            <w14:schemeClr w14:val="tx1">
                                              <w14:lumMod w14:val="95000"/>
                                              <w14:lumOff w14:val="5000"/>
                                            </w14:schemeClr>
                                          </w14:solidFill>
                                        </w14:textFill>
                                      </w:rPr>
                                      <m:t>0.1</m:t>
                                    </m:r>
                                    <m:sSub>
                                      <m:sSubPr>
                                        <m:ctrlPr>
                                          <w:rPr>
                                            <w:rFonts w:ascii="Cambria Math" w:hAnsi="Cambria Math"/>
                                            <w:i/>
                                            <w:color w:val="0D0D0D" w:themeColor="text1" w:themeTint="F2"/>
                                            <w:sz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14:textFill>
                                              <w14:solidFill>
                                                <w14:schemeClr w14:val="tx1">
                                                  <w14:lumMod w14:val="95000"/>
                                                  <w14:lumOff w14:val="5000"/>
                                                </w14:schemeClr>
                                              </w14:solidFill>
                                            </w14:textFill>
                                          </w:rPr>
                                          <m:t>L</m:t>
                                        </m:r>
                                        <m:ctrlPr>
                                          <w:rPr>
                                            <w:rFonts w:ascii="Cambria Math" w:hAnsi="Cambria Math"/>
                                            <w:i/>
                                            <w:color w:val="0D0D0D" w:themeColor="text1" w:themeTint="F2"/>
                                            <w:sz w:val="24"/>
                                            <w14:textFill>
                                              <w14:solidFill>
                                                <w14:schemeClr w14:val="tx1">
                                                  <w14:lumMod w14:val="95000"/>
                                                  <w14:lumOff w14:val="5000"/>
                                                </w14:schemeClr>
                                              </w14:solidFill>
                                            </w14:textFill>
                                          </w:rPr>
                                        </m:ctrlPr>
                                      </m:e>
                                      <m:sub>
                                        <m:r>
                                          <m:rPr/>
                                          <w:rPr>
                                            <w:rFonts w:ascii="Cambria Math" w:hAnsi="Cambria Math"/>
                                            <w:color w:val="0D0D0D" w:themeColor="text1" w:themeTint="F2"/>
                                            <w:sz w:val="24"/>
                                            <w14:textFill>
                                              <w14:solidFill>
                                                <w14:schemeClr w14:val="tx1">
                                                  <w14:lumMod w14:val="95000"/>
                                                  <w14:lumOff w14:val="5000"/>
                                                </w14:schemeClr>
                                              </w14:solidFill>
                                            </w14:textFill>
                                          </w:rPr>
                                          <m:t>Ai</m:t>
                                        </m:r>
                                        <m:ctrlPr>
                                          <w:rPr>
                                            <w:rFonts w:ascii="Cambria Math" w:hAnsi="Cambria Math"/>
                                            <w:i/>
                                            <w:color w:val="0D0D0D" w:themeColor="text1" w:themeTint="F2"/>
                                            <w:sz w:val="24"/>
                                            <w14:textFill>
                                              <w14:solidFill>
                                                <w14:schemeClr w14:val="tx1">
                                                  <w14:lumMod w14:val="95000"/>
                                                  <w14:lumOff w14:val="5000"/>
                                                </w14:schemeClr>
                                              </w14:solidFill>
                                            </w14:textFill>
                                          </w:rPr>
                                        </m:ctrlPr>
                                      </m:sub>
                                    </m:sSub>
                                    <m:ctrlPr>
                                      <w:rPr>
                                        <w:rFonts w:ascii="Cambria Math" w:hAnsi="Cambria Math"/>
                                        <w:i/>
                                        <w:color w:val="0D0D0D" w:themeColor="text1" w:themeTint="F2"/>
                                        <w:sz w:val="24"/>
                                        <w14:textFill>
                                          <w14:solidFill>
                                            <w14:schemeClr w14:val="tx1">
                                              <w14:lumMod w14:val="95000"/>
                                              <w14:lumOff w14:val="5000"/>
                                            </w14:schemeClr>
                                          </w14:solidFill>
                                        </w14:textFill>
                                      </w:rPr>
                                    </m:ctrlPr>
                                  </m:sup>
                                </m:sSup>
                                <m:ctrlPr>
                                  <w:rPr>
                                    <w:rFonts w:ascii="Cambria Math" w:hAnsi="Cambria Math"/>
                                    <w:i/>
                                    <w:color w:val="0D0D0D" w:themeColor="text1" w:themeTint="F2"/>
                                    <w:sz w:val="24"/>
                                    <w14:textFill>
                                      <w14:solidFill>
                                        <w14:schemeClr w14:val="tx1">
                                          <w14:lumMod w14:val="95000"/>
                                          <w14:lumOff w14:val="5000"/>
                                        </w14:schemeClr>
                                      </w14:solidFill>
                                    </w14:textFill>
                                  </w:rPr>
                                </m:ctrlPr>
                              </m:e>
                            </m:nary>
                            <m:r>
                              <m:rPr/>
                              <w:rPr>
                                <w:rFonts w:ascii="Cambria Math" w:hAnsi="Cambria Math"/>
                                <w:color w:val="0D0D0D" w:themeColor="text1" w:themeTint="F2"/>
                                <w:sz w:val="24"/>
                                <w14:textFill>
                                  <w14:solidFill>
                                    <w14:schemeClr w14:val="tx1">
                                      <w14:lumMod w14:val="95000"/>
                                      <w14:lumOff w14:val="5000"/>
                                    </w14:schemeClr>
                                  </w14:solidFill>
                                </w14:textFill>
                              </w:rPr>
                              <m:t>+</m:t>
                            </m:r>
                            <m:nary>
                              <m:naryPr>
                                <m:chr m:val="∑"/>
                                <m:limLoc m:val="undOvr"/>
                                <m:ctrlPr>
                                  <w:rPr>
                                    <w:rFonts w:ascii="Cambria Math" w:hAnsi="Cambria Math"/>
                                    <w:i/>
                                    <w:color w:val="0D0D0D" w:themeColor="text1" w:themeTint="F2"/>
                                    <w:sz w:val="24"/>
                                    <w14:textFill>
                                      <w14:solidFill>
                                        <w14:schemeClr w14:val="tx1">
                                          <w14:lumMod w14:val="95000"/>
                                          <w14:lumOff w14:val="5000"/>
                                        </w14:schemeClr>
                                      </w14:solidFill>
                                    </w14:textFill>
                                  </w:rPr>
                                </m:ctrlPr>
                              </m:naryPr>
                              <m:sub>
                                <m:r>
                                  <m:rPr/>
                                  <w:rPr>
                                    <w:rFonts w:ascii="Cambria Math" w:hAnsi="Cambria Math"/>
                                    <w:color w:val="0D0D0D" w:themeColor="text1" w:themeTint="F2"/>
                                    <w:sz w:val="24"/>
                                    <w14:textFill>
                                      <w14:solidFill>
                                        <w14:schemeClr w14:val="tx1">
                                          <w14:lumMod w14:val="95000"/>
                                          <w14:lumOff w14:val="5000"/>
                                        </w14:schemeClr>
                                      </w14:solidFill>
                                    </w14:textFill>
                                  </w:rPr>
                                  <m:t>j=1</m:t>
                                </m:r>
                                <m:ctrlPr>
                                  <w:rPr>
                                    <w:rFonts w:ascii="Cambria Math" w:hAnsi="Cambria Math"/>
                                    <w:i/>
                                    <w:color w:val="0D0D0D" w:themeColor="text1" w:themeTint="F2"/>
                                    <w:sz w:val="24"/>
                                    <w14:textFill>
                                      <w14:solidFill>
                                        <w14:schemeClr w14:val="tx1">
                                          <w14:lumMod w14:val="95000"/>
                                          <w14:lumOff w14:val="5000"/>
                                        </w14:schemeClr>
                                      </w14:solidFill>
                                    </w14:textFill>
                                  </w:rPr>
                                </m:ctrlPr>
                              </m:sub>
                              <m:sup>
                                <m:r>
                                  <m:rPr/>
                                  <w:rPr>
                                    <w:rFonts w:ascii="Cambria Math" w:hAnsi="Cambria Math"/>
                                    <w:color w:val="0D0D0D" w:themeColor="text1" w:themeTint="F2"/>
                                    <w:sz w:val="24"/>
                                    <w14:textFill>
                                      <w14:solidFill>
                                        <w14:schemeClr w14:val="tx1">
                                          <w14:lumMod w14:val="95000"/>
                                          <w14:lumOff w14:val="5000"/>
                                        </w14:schemeClr>
                                      </w14:solidFill>
                                    </w14:textFill>
                                  </w:rPr>
                                  <m:t>M</m:t>
                                </m:r>
                                <m:ctrlPr>
                                  <w:rPr>
                                    <w:rFonts w:ascii="Cambria Math" w:hAnsi="Cambria Math"/>
                                    <w:i/>
                                    <w:color w:val="0D0D0D" w:themeColor="text1" w:themeTint="F2"/>
                                    <w:sz w:val="24"/>
                                    <w14:textFill>
                                      <w14:solidFill>
                                        <w14:schemeClr w14:val="tx1">
                                          <w14:lumMod w14:val="95000"/>
                                          <w14:lumOff w14:val="5000"/>
                                        </w14:schemeClr>
                                      </w14:solidFill>
                                    </w14:textFill>
                                  </w:rPr>
                                </m:ctrlPr>
                              </m:sup>
                              <m:e>
                                <m:sSup>
                                  <m:sSupPr>
                                    <m:ctrlPr>
                                      <w:rPr>
                                        <w:rFonts w:ascii="Cambria Math" w:hAnsi="Cambria Math"/>
                                        <w:i/>
                                        <w:color w:val="0D0D0D" w:themeColor="text1" w:themeTint="F2"/>
                                        <w:sz w:val="24"/>
                                        <w14:textFill>
                                          <w14:solidFill>
                                            <w14:schemeClr w14:val="tx1">
                                              <w14:lumMod w14:val="95000"/>
                                              <w14:lumOff w14:val="5000"/>
                                            </w14:schemeClr>
                                          </w14:solidFill>
                                        </w14:textFill>
                                      </w:rPr>
                                    </m:ctrlPr>
                                  </m:sSupPr>
                                  <m:e>
                                    <m:sSub>
                                      <m:sSubPr>
                                        <m:ctrlPr>
                                          <w:rPr>
                                            <w:rFonts w:ascii="Cambria Math" w:hAnsi="Cambria Math"/>
                                            <w:i/>
                                            <w:color w:val="0D0D0D" w:themeColor="text1" w:themeTint="F2"/>
                                            <w:sz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14:textFill>
                                              <w14:solidFill>
                                                <w14:schemeClr w14:val="tx1">
                                                  <w14:lumMod w14:val="95000"/>
                                                  <w14:lumOff w14:val="5000"/>
                                                </w14:schemeClr>
                                              </w14:solidFill>
                                            </w14:textFill>
                                          </w:rPr>
                                          <m:t>t</m:t>
                                        </m:r>
                                        <m:ctrlPr>
                                          <w:rPr>
                                            <w:rFonts w:ascii="Cambria Math" w:hAnsi="Cambria Math"/>
                                            <w:i/>
                                            <w:color w:val="0D0D0D" w:themeColor="text1" w:themeTint="F2"/>
                                            <w:sz w:val="24"/>
                                            <w14:textFill>
                                              <w14:solidFill>
                                                <w14:schemeClr w14:val="tx1">
                                                  <w14:lumMod w14:val="95000"/>
                                                  <w14:lumOff w14:val="5000"/>
                                                </w14:schemeClr>
                                              </w14:solidFill>
                                            </w14:textFill>
                                          </w:rPr>
                                        </m:ctrlPr>
                                      </m:e>
                                      <m:sub>
                                        <m:r>
                                          <m:rPr/>
                                          <w:rPr>
                                            <w:rFonts w:ascii="Cambria Math" w:hAnsi="Cambria Math"/>
                                            <w:color w:val="0D0D0D" w:themeColor="text1" w:themeTint="F2"/>
                                            <w:sz w:val="24"/>
                                            <w14:textFill>
                                              <w14:solidFill>
                                                <w14:schemeClr w14:val="tx1">
                                                  <w14:lumMod w14:val="95000"/>
                                                  <w14:lumOff w14:val="5000"/>
                                                </w14:schemeClr>
                                              </w14:solidFill>
                                            </w14:textFill>
                                          </w:rPr>
                                          <m:t>j</m:t>
                                        </m:r>
                                        <m:ctrlPr>
                                          <w:rPr>
                                            <w:rFonts w:ascii="Cambria Math" w:hAnsi="Cambria Math"/>
                                            <w:i/>
                                            <w:color w:val="0D0D0D" w:themeColor="text1" w:themeTint="F2"/>
                                            <w:sz w:val="24"/>
                                            <w14:textFill>
                                              <w14:solidFill>
                                                <w14:schemeClr w14:val="tx1">
                                                  <w14:lumMod w14:val="95000"/>
                                                  <w14:lumOff w14:val="5000"/>
                                                </w14:schemeClr>
                                              </w14:solidFill>
                                            </w14:textFill>
                                          </w:rPr>
                                        </m:ctrlPr>
                                      </m:sub>
                                    </m:sSub>
                                    <m:r>
                                      <m:rPr/>
                                      <w:rPr>
                                        <w:rFonts w:ascii="Cambria Math" w:hAnsi="Cambria Math"/>
                                        <w:color w:val="0D0D0D" w:themeColor="text1" w:themeTint="F2"/>
                                        <w:sz w:val="24"/>
                                        <w14:textFill>
                                          <w14:solidFill>
                                            <w14:schemeClr w14:val="tx1">
                                              <w14:lumMod w14:val="95000"/>
                                              <w14:lumOff w14:val="5000"/>
                                            </w14:schemeClr>
                                          </w14:solidFill>
                                        </w14:textFill>
                                      </w:rPr>
                                      <m:t>10</m:t>
                                    </m:r>
                                    <m:ctrlPr>
                                      <w:rPr>
                                        <w:rFonts w:ascii="Cambria Math" w:hAnsi="Cambria Math"/>
                                        <w:i/>
                                        <w:color w:val="0D0D0D" w:themeColor="text1" w:themeTint="F2"/>
                                        <w:sz w:val="24"/>
                                        <w14:textFill>
                                          <w14:solidFill>
                                            <w14:schemeClr w14:val="tx1">
                                              <w14:lumMod w14:val="95000"/>
                                              <w14:lumOff w14:val="5000"/>
                                            </w14:schemeClr>
                                          </w14:solidFill>
                                        </w14:textFill>
                                      </w:rPr>
                                    </m:ctrlPr>
                                  </m:e>
                                  <m:sup>
                                    <m:r>
                                      <m:rPr/>
                                      <w:rPr>
                                        <w:rFonts w:ascii="Cambria Math" w:hAnsi="Cambria Math"/>
                                        <w:color w:val="0D0D0D" w:themeColor="text1" w:themeTint="F2"/>
                                        <w:sz w:val="24"/>
                                        <w14:textFill>
                                          <w14:solidFill>
                                            <w14:schemeClr w14:val="tx1">
                                              <w14:lumMod w14:val="95000"/>
                                              <w14:lumOff w14:val="5000"/>
                                            </w14:schemeClr>
                                          </w14:solidFill>
                                        </w14:textFill>
                                      </w:rPr>
                                      <m:t>0.1</m:t>
                                    </m:r>
                                    <m:sSub>
                                      <m:sSubPr>
                                        <m:ctrlPr>
                                          <w:rPr>
                                            <w:rFonts w:ascii="Cambria Math" w:hAnsi="Cambria Math"/>
                                            <w:i/>
                                            <w:color w:val="0D0D0D" w:themeColor="text1" w:themeTint="F2"/>
                                            <w:sz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14:textFill>
                                              <w14:solidFill>
                                                <w14:schemeClr w14:val="tx1">
                                                  <w14:lumMod w14:val="95000"/>
                                                  <w14:lumOff w14:val="5000"/>
                                                </w14:schemeClr>
                                              </w14:solidFill>
                                            </w14:textFill>
                                          </w:rPr>
                                          <m:t>L</m:t>
                                        </m:r>
                                        <m:ctrlPr>
                                          <w:rPr>
                                            <w:rFonts w:ascii="Cambria Math" w:hAnsi="Cambria Math"/>
                                            <w:i/>
                                            <w:color w:val="0D0D0D" w:themeColor="text1" w:themeTint="F2"/>
                                            <w:sz w:val="24"/>
                                            <w14:textFill>
                                              <w14:solidFill>
                                                <w14:schemeClr w14:val="tx1">
                                                  <w14:lumMod w14:val="95000"/>
                                                  <w14:lumOff w14:val="5000"/>
                                                </w14:schemeClr>
                                              </w14:solidFill>
                                            </w14:textFill>
                                          </w:rPr>
                                        </m:ctrlPr>
                                      </m:e>
                                      <m:sub>
                                        <m:r>
                                          <m:rPr/>
                                          <w:rPr>
                                            <w:rFonts w:ascii="Cambria Math" w:hAnsi="Cambria Math"/>
                                            <w:color w:val="0D0D0D" w:themeColor="text1" w:themeTint="F2"/>
                                            <w:sz w:val="24"/>
                                            <w14:textFill>
                                              <w14:solidFill>
                                                <w14:schemeClr w14:val="tx1">
                                                  <w14:lumMod w14:val="95000"/>
                                                  <w14:lumOff w14:val="5000"/>
                                                </w14:schemeClr>
                                              </w14:solidFill>
                                            </w14:textFill>
                                          </w:rPr>
                                          <m:t>Aj</m:t>
                                        </m:r>
                                        <m:ctrlPr>
                                          <w:rPr>
                                            <w:rFonts w:ascii="Cambria Math" w:hAnsi="Cambria Math"/>
                                            <w:i/>
                                            <w:color w:val="0D0D0D" w:themeColor="text1" w:themeTint="F2"/>
                                            <w:sz w:val="24"/>
                                            <w14:textFill>
                                              <w14:solidFill>
                                                <w14:schemeClr w14:val="tx1">
                                                  <w14:lumMod w14:val="95000"/>
                                                  <w14:lumOff w14:val="5000"/>
                                                </w14:schemeClr>
                                              </w14:solidFill>
                                            </w14:textFill>
                                          </w:rPr>
                                        </m:ctrlPr>
                                      </m:sub>
                                    </m:sSub>
                                    <m:ctrlPr>
                                      <w:rPr>
                                        <w:rFonts w:ascii="Cambria Math" w:hAnsi="Cambria Math"/>
                                        <w:i/>
                                        <w:color w:val="0D0D0D" w:themeColor="text1" w:themeTint="F2"/>
                                        <w:sz w:val="24"/>
                                        <w14:textFill>
                                          <w14:solidFill>
                                            <w14:schemeClr w14:val="tx1">
                                              <w14:lumMod w14:val="95000"/>
                                              <w14:lumOff w14:val="5000"/>
                                            </w14:schemeClr>
                                          </w14:solidFill>
                                        </w14:textFill>
                                      </w:rPr>
                                    </m:ctrlPr>
                                  </m:sup>
                                </m:sSup>
                                <m:ctrlPr>
                                  <w:rPr>
                                    <w:rFonts w:ascii="Cambria Math" w:hAnsi="Cambria Math"/>
                                    <w:i/>
                                    <w:color w:val="0D0D0D" w:themeColor="text1" w:themeTint="F2"/>
                                    <w:sz w:val="24"/>
                                    <w14:textFill>
                                      <w14:solidFill>
                                        <w14:schemeClr w14:val="tx1">
                                          <w14:lumMod w14:val="95000"/>
                                          <w14:lumOff w14:val="5000"/>
                                        </w14:schemeClr>
                                      </w14:solidFill>
                                    </w14:textFill>
                                  </w:rPr>
                                </m:ctrlPr>
                              </m:e>
                            </m:nary>
                            <m:ctrlPr>
                              <w:rPr>
                                <w:rFonts w:ascii="Cambria Math" w:hAnsi="Cambria Math"/>
                                <w:i/>
                                <w:color w:val="0D0D0D" w:themeColor="text1" w:themeTint="F2"/>
                                <w:sz w:val="24"/>
                                <w14:textFill>
                                  <w14:solidFill>
                                    <w14:schemeClr w14:val="tx1">
                                      <w14:lumMod w14:val="95000"/>
                                      <w14:lumOff w14:val="5000"/>
                                    </w14:schemeClr>
                                  </w14:solidFill>
                                </w14:textFill>
                              </w:rPr>
                            </m:ctrlPr>
                          </m:e>
                        </m:d>
                        <m:ctrlPr>
                          <w:rPr>
                            <w:rFonts w:ascii="Cambria Math" w:hAnsi="Cambria Math"/>
                            <w:i/>
                            <w:color w:val="0D0D0D" w:themeColor="text1" w:themeTint="F2"/>
                            <w:sz w:val="24"/>
                            <w14:textFill>
                              <w14:solidFill>
                                <w14:schemeClr w14:val="tx1">
                                  <w14:lumMod w14:val="95000"/>
                                  <w14:lumOff w14:val="5000"/>
                                </w14:schemeClr>
                              </w14:solidFill>
                            </w14:textFill>
                          </w:rPr>
                        </m:ctrlPr>
                      </m:e>
                    </m:d>
                    <m:ctrlPr>
                      <w:rPr>
                        <w:rFonts w:ascii="Cambria Math" w:hAnsi="Cambria Math"/>
                        <w:i/>
                        <w:color w:val="0D0D0D" w:themeColor="text1" w:themeTint="F2"/>
                        <w:sz w:val="24"/>
                        <w14:textFill>
                          <w14:solidFill>
                            <w14:schemeClr w14:val="tx1">
                              <w14:lumMod w14:val="95000"/>
                              <w14:lumOff w14:val="5000"/>
                            </w14:schemeClr>
                          </w14:solidFill>
                        </w14:textFill>
                      </w:rPr>
                    </m:ctrlPr>
                  </m:e>
                </m:func>
              </m:oMath>
            </m:oMathPara>
          </w:p>
          <w:p w14:paraId="65212A1A">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式中：</w:t>
            </w:r>
          </w:p>
          <w:p w14:paraId="44590C73">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L</w:t>
            </w:r>
            <w:r>
              <w:rPr>
                <w:color w:val="0D0D0D" w:themeColor="text1" w:themeTint="F2"/>
                <w:sz w:val="24"/>
                <w:vertAlign w:val="subscript"/>
                <w14:textFill>
                  <w14:solidFill>
                    <w14:schemeClr w14:val="tx1">
                      <w14:lumMod w14:val="95000"/>
                      <w14:lumOff w14:val="5000"/>
                    </w14:schemeClr>
                  </w14:solidFill>
                </w14:textFill>
              </w:rPr>
              <w:t>eqg</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建设项目声源在预测点产生的噪声贡献值，dB；</w:t>
            </w:r>
          </w:p>
          <w:p w14:paraId="273F6BEC">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T</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用于计算等效声级的时间，s；</w:t>
            </w:r>
          </w:p>
          <w:p w14:paraId="471C15E6">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N</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室外声源个数；</w:t>
            </w:r>
          </w:p>
          <w:p w14:paraId="1B80F83E">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t</w:t>
            </w:r>
            <w:r>
              <w:rPr>
                <w:color w:val="0D0D0D" w:themeColor="text1" w:themeTint="F2"/>
                <w:sz w:val="24"/>
                <w:vertAlign w:val="subscript"/>
                <w14:textFill>
                  <w14:solidFill>
                    <w14:schemeClr w14:val="tx1">
                      <w14:lumMod w14:val="95000"/>
                      <w14:lumOff w14:val="5000"/>
                    </w14:schemeClr>
                  </w14:solidFill>
                </w14:textFill>
              </w:rPr>
              <w:t>i</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在T时间内i声源工作时间，s；</w:t>
            </w:r>
          </w:p>
          <w:p w14:paraId="3DC01447">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M</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等效室外声源个数</w:t>
            </w:r>
            <w:r>
              <w:rPr>
                <w:rFonts w:hint="eastAsia"/>
                <w:color w:val="0D0D0D" w:themeColor="text1" w:themeTint="F2"/>
                <w:sz w:val="24"/>
                <w14:textFill>
                  <w14:solidFill>
                    <w14:schemeClr w14:val="tx1">
                      <w14:lumMod w14:val="95000"/>
                      <w14:lumOff w14:val="5000"/>
                    </w14:schemeClr>
                  </w14:solidFill>
                </w14:textFill>
              </w:rPr>
              <w:t>；</w:t>
            </w:r>
          </w:p>
          <w:p w14:paraId="0CD6B2A6">
            <w:pPr>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t</w:t>
            </w:r>
            <w:r>
              <w:rPr>
                <w:color w:val="0D0D0D" w:themeColor="text1" w:themeTint="F2"/>
                <w:sz w:val="24"/>
                <w:vertAlign w:val="subscript"/>
                <w14:textFill>
                  <w14:solidFill>
                    <w14:schemeClr w14:val="tx1">
                      <w14:lumMod w14:val="95000"/>
                      <w14:lumOff w14:val="5000"/>
                    </w14:schemeClr>
                  </w14:solidFill>
                </w14:textFill>
              </w:rPr>
              <w:t>j</w:t>
            </w:r>
            <w:r>
              <w:rPr>
                <w:rFonts w:hint="eastAsia"/>
                <w:color w:val="0D0D0D" w:themeColor="text1" w:themeTint="F2"/>
                <w:sz w:val="24"/>
                <w14:textFill>
                  <w14:solidFill>
                    <w14:schemeClr w14:val="tx1">
                      <w14:lumMod w14:val="95000"/>
                      <w14:lumOff w14:val="5000"/>
                    </w14:schemeClr>
                  </w14:solidFill>
                </w14:textFill>
              </w:rPr>
              <w:t>——</w:t>
            </w:r>
            <w:r>
              <w:rPr>
                <w:color w:val="0D0D0D" w:themeColor="text1" w:themeTint="F2"/>
                <w:sz w:val="24"/>
                <w14:textFill>
                  <w14:solidFill>
                    <w14:schemeClr w14:val="tx1">
                      <w14:lumMod w14:val="95000"/>
                      <w14:lumOff w14:val="5000"/>
                    </w14:schemeClr>
                  </w14:solidFill>
                </w14:textFill>
              </w:rPr>
              <w:t>在T时间内j声源工作时间，s</w:t>
            </w:r>
            <w:r>
              <w:rPr>
                <w:rFonts w:hint="eastAsia"/>
                <w:color w:val="0D0D0D" w:themeColor="text1" w:themeTint="F2"/>
                <w:sz w:val="24"/>
                <w14:textFill>
                  <w14:solidFill>
                    <w14:schemeClr w14:val="tx1">
                      <w14:lumMod w14:val="95000"/>
                      <w14:lumOff w14:val="5000"/>
                    </w14:schemeClr>
                  </w14:solidFill>
                </w14:textFill>
              </w:rPr>
              <w:t>。</w:t>
            </w:r>
          </w:p>
          <w:p w14:paraId="23904F6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（2）预测结果</w:t>
            </w:r>
          </w:p>
          <w:p w14:paraId="724274E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本次评价</w:t>
            </w:r>
            <w:r>
              <w:rPr>
                <w:rFonts w:cs="宋体"/>
                <w:bCs/>
                <w:color w:val="0D0D0D" w:themeColor="text1" w:themeTint="F2"/>
                <w:spacing w:val="-10"/>
                <w:sz w:val="24"/>
                <w14:textFill>
                  <w14:solidFill>
                    <w14:schemeClr w14:val="tx1">
                      <w14:lumMod w14:val="95000"/>
                      <w14:lumOff w14:val="5000"/>
                    </w14:schemeClr>
                  </w14:solidFill>
                </w14:textFill>
              </w:rPr>
              <w:t>选择项目厂界外1m作为噪声预测评价点，</w:t>
            </w:r>
            <w:r>
              <w:rPr>
                <w:rFonts w:hint="eastAsia" w:cs="宋体"/>
                <w:bCs/>
                <w:color w:val="0D0D0D" w:themeColor="text1" w:themeTint="F2"/>
                <w:spacing w:val="-10"/>
                <w:sz w:val="24"/>
                <w14:textFill>
                  <w14:solidFill>
                    <w14:schemeClr w14:val="tx1">
                      <w14:lumMod w14:val="95000"/>
                      <w14:lumOff w14:val="5000"/>
                    </w14:schemeClr>
                  </w14:solidFill>
                </w14:textFill>
              </w:rPr>
              <w:t>由于项目夜间不运营，本次预测仅对昼间噪声进行预测，</w:t>
            </w:r>
            <w:r>
              <w:rPr>
                <w:rFonts w:cs="宋体"/>
                <w:bCs/>
                <w:color w:val="0D0D0D" w:themeColor="text1" w:themeTint="F2"/>
                <w:spacing w:val="-10"/>
                <w:sz w:val="24"/>
                <w14:textFill>
                  <w14:solidFill>
                    <w14:schemeClr w14:val="tx1">
                      <w14:lumMod w14:val="95000"/>
                      <w14:lumOff w14:val="5000"/>
                    </w14:schemeClr>
                  </w14:solidFill>
                </w14:textFill>
              </w:rPr>
              <w:t>项目厂界噪声预测结果与达标</w:t>
            </w:r>
            <w:r>
              <w:rPr>
                <w:rFonts w:hint="eastAsia" w:cs="宋体"/>
                <w:bCs/>
                <w:color w:val="0D0D0D" w:themeColor="text1" w:themeTint="F2"/>
                <w:spacing w:val="-10"/>
                <w:sz w:val="24"/>
                <w14:textFill>
                  <w14:solidFill>
                    <w14:schemeClr w14:val="tx1">
                      <w14:lumMod w14:val="95000"/>
                      <w14:lumOff w14:val="5000"/>
                    </w14:schemeClr>
                  </w14:solidFill>
                </w14:textFill>
              </w:rPr>
              <w:t>情况</w:t>
            </w:r>
            <w:r>
              <w:rPr>
                <w:rFonts w:cs="宋体"/>
                <w:bCs/>
                <w:color w:val="0D0D0D" w:themeColor="text1" w:themeTint="F2"/>
                <w:spacing w:val="-10"/>
                <w:sz w:val="24"/>
                <w14:textFill>
                  <w14:solidFill>
                    <w14:schemeClr w14:val="tx1">
                      <w14:lumMod w14:val="95000"/>
                      <w14:lumOff w14:val="5000"/>
                    </w14:schemeClr>
                  </w14:solidFill>
                </w14:textFill>
              </w:rPr>
              <w:t>分析</w:t>
            </w:r>
            <w:r>
              <w:rPr>
                <w:rFonts w:hint="eastAsia" w:cs="宋体"/>
                <w:bCs/>
                <w:color w:val="0D0D0D" w:themeColor="text1" w:themeTint="F2"/>
                <w:spacing w:val="-10"/>
                <w:sz w:val="24"/>
                <w14:textFill>
                  <w14:solidFill>
                    <w14:schemeClr w14:val="tx1">
                      <w14:lumMod w14:val="95000"/>
                      <w14:lumOff w14:val="5000"/>
                    </w14:schemeClr>
                  </w14:solidFill>
                </w14:textFill>
              </w:rPr>
              <w:t>详</w:t>
            </w:r>
            <w:r>
              <w:rPr>
                <w:rFonts w:cs="宋体"/>
                <w:bCs/>
                <w:color w:val="0D0D0D" w:themeColor="text1" w:themeTint="F2"/>
                <w:spacing w:val="-10"/>
                <w:sz w:val="24"/>
                <w14:textFill>
                  <w14:solidFill>
                    <w14:schemeClr w14:val="tx1">
                      <w14:lumMod w14:val="95000"/>
                      <w14:lumOff w14:val="5000"/>
                    </w14:schemeClr>
                  </w14:solidFill>
                </w14:textFill>
              </w:rPr>
              <w:t>见表</w:t>
            </w:r>
            <w:r>
              <w:rPr>
                <w:rFonts w:hint="eastAsia" w:cs="宋体"/>
                <w:bCs/>
                <w:color w:val="0D0D0D" w:themeColor="text1" w:themeTint="F2"/>
                <w:spacing w:val="-10"/>
                <w:sz w:val="24"/>
                <w14:textFill>
                  <w14:solidFill>
                    <w14:schemeClr w14:val="tx1">
                      <w14:lumMod w14:val="95000"/>
                      <w14:lumOff w14:val="5000"/>
                    </w14:schemeClr>
                  </w14:solidFill>
                </w14:textFill>
              </w:rPr>
              <w:t>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19</w:t>
            </w:r>
            <w:r>
              <w:rPr>
                <w:rFonts w:cs="宋体"/>
                <w:bCs/>
                <w:color w:val="0D0D0D" w:themeColor="text1" w:themeTint="F2"/>
                <w:spacing w:val="-10"/>
                <w:sz w:val="24"/>
                <w14:textFill>
                  <w14:solidFill>
                    <w14:schemeClr w14:val="tx1">
                      <w14:lumMod w14:val="95000"/>
                      <w14:lumOff w14:val="5000"/>
                    </w14:schemeClr>
                  </w14:solidFill>
                </w14:textFill>
              </w:rPr>
              <w:t>。</w:t>
            </w:r>
          </w:p>
          <w:p w14:paraId="7A8CEB35">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表4-19</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 xml:space="preserve">噪声预测结果一览表 </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单位：d</w:t>
            </w:r>
            <w:r>
              <w:rPr>
                <w:rFonts w:cs="宋体"/>
                <w:b/>
                <w:color w:val="0D0D0D" w:themeColor="text1" w:themeTint="F2"/>
                <w:spacing w:val="-10"/>
                <w:szCs w:val="21"/>
                <w14:textFill>
                  <w14:solidFill>
                    <w14:schemeClr w14:val="tx1">
                      <w14:lumMod w14:val="95000"/>
                      <w14:lumOff w14:val="5000"/>
                    </w14:schemeClr>
                  </w14:solidFill>
                </w14:textFill>
              </w:rPr>
              <w:t>B</w:t>
            </w:r>
            <w:r>
              <w:rPr>
                <w:rFonts w:hint="eastAsia" w:cs="宋体"/>
                <w:b/>
                <w:color w:val="0D0D0D" w:themeColor="text1" w:themeTint="F2"/>
                <w:spacing w:val="-10"/>
                <w:szCs w:val="21"/>
                <w14:textFill>
                  <w14:solidFill>
                    <w14:schemeClr w14:val="tx1">
                      <w14:lumMod w14:val="95000"/>
                      <w14:lumOff w14:val="5000"/>
                    </w14:schemeClr>
                  </w14:solidFill>
                </w14:textFill>
              </w:rPr>
              <w:t>(A</w:t>
            </w:r>
            <w:r>
              <w:rPr>
                <w:rFonts w:cs="宋体"/>
                <w:b/>
                <w:color w:val="0D0D0D" w:themeColor="text1" w:themeTint="F2"/>
                <w:spacing w:val="-10"/>
                <w:szCs w:val="21"/>
                <w14:textFill>
                  <w14:solidFill>
                    <w14:schemeClr w14:val="tx1">
                      <w14:lumMod w14:val="95000"/>
                      <w14:lumOff w14:val="5000"/>
                    </w14:schemeClr>
                  </w14:solidFill>
                </w14:textFill>
              </w:rPr>
              <w:t>)</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0"/>
              <w:gridCol w:w="1293"/>
              <w:gridCol w:w="1293"/>
              <w:gridCol w:w="562"/>
              <w:gridCol w:w="788"/>
              <w:gridCol w:w="1049"/>
              <w:gridCol w:w="1050"/>
              <w:gridCol w:w="1310"/>
            </w:tblGrid>
            <w:tr w14:paraId="57449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pct"/>
                  <w:vMerge w:val="restart"/>
                  <w:vAlign w:val="center"/>
                </w:tcPr>
                <w:p w14:paraId="0B28502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预测点</w:t>
                  </w:r>
                </w:p>
              </w:tc>
              <w:tc>
                <w:tcPr>
                  <w:tcW w:w="1794" w:type="pct"/>
                  <w:gridSpan w:val="3"/>
                  <w:vAlign w:val="center"/>
                </w:tcPr>
                <w:p w14:paraId="2497EAC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最大值点空间相对位置</w:t>
                  </w:r>
                  <w:r>
                    <w:rPr>
                      <w:color w:val="0D0D0D" w:themeColor="text1" w:themeTint="F2"/>
                      <w:szCs w:val="21"/>
                      <w14:textFill>
                        <w14:solidFill>
                          <w14:schemeClr w14:val="tx1">
                            <w14:lumMod w14:val="95000"/>
                            <w14:lumOff w14:val="5000"/>
                          </w14:schemeClr>
                        </w14:solidFill>
                      </w14:textFill>
                    </w:rPr>
                    <w:t>/m</w:t>
                  </w:r>
                </w:p>
              </w:tc>
              <w:tc>
                <w:tcPr>
                  <w:tcW w:w="449" w:type="pct"/>
                  <w:vMerge w:val="restart"/>
                  <w:vAlign w:val="center"/>
                </w:tcPr>
                <w:p w14:paraId="7316520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时段</w:t>
                  </w:r>
                </w:p>
              </w:tc>
              <w:tc>
                <w:tcPr>
                  <w:tcW w:w="598" w:type="pct"/>
                  <w:vMerge w:val="restart"/>
                  <w:vAlign w:val="center"/>
                </w:tcPr>
                <w:p w14:paraId="3A565EF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贡献值</w:t>
                  </w:r>
                </w:p>
              </w:tc>
              <w:tc>
                <w:tcPr>
                  <w:tcW w:w="598" w:type="pct"/>
                  <w:vMerge w:val="restart"/>
                  <w:vAlign w:val="center"/>
                </w:tcPr>
                <w:p w14:paraId="1E86040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标准值</w:t>
                  </w:r>
                </w:p>
              </w:tc>
              <w:tc>
                <w:tcPr>
                  <w:tcW w:w="746" w:type="pct"/>
                  <w:vMerge w:val="restart"/>
                  <w:vAlign w:val="center"/>
                </w:tcPr>
                <w:p w14:paraId="165508F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达标情况</w:t>
                  </w:r>
                </w:p>
              </w:tc>
            </w:tr>
            <w:tr w14:paraId="4AAE3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pct"/>
                  <w:vMerge w:val="continue"/>
                  <w:vAlign w:val="center"/>
                </w:tcPr>
                <w:p w14:paraId="7EB53EAA">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37" w:type="pct"/>
                  <w:vAlign w:val="center"/>
                </w:tcPr>
                <w:p w14:paraId="0A32031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X</w:t>
                  </w:r>
                </w:p>
              </w:tc>
              <w:tc>
                <w:tcPr>
                  <w:tcW w:w="737" w:type="pct"/>
                  <w:vAlign w:val="center"/>
                </w:tcPr>
                <w:p w14:paraId="3BAE0CA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Y</w:t>
                  </w:r>
                </w:p>
              </w:tc>
              <w:tc>
                <w:tcPr>
                  <w:tcW w:w="320" w:type="pct"/>
                  <w:vAlign w:val="center"/>
                </w:tcPr>
                <w:p w14:paraId="1F29624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Z</w:t>
                  </w:r>
                </w:p>
              </w:tc>
              <w:tc>
                <w:tcPr>
                  <w:tcW w:w="449" w:type="pct"/>
                  <w:vMerge w:val="continue"/>
                  <w:vAlign w:val="center"/>
                </w:tcPr>
                <w:p w14:paraId="11ACFDD1">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98" w:type="pct"/>
                  <w:vMerge w:val="continue"/>
                  <w:vAlign w:val="center"/>
                </w:tcPr>
                <w:p w14:paraId="3491E63C">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598" w:type="pct"/>
                  <w:vMerge w:val="continue"/>
                  <w:vAlign w:val="center"/>
                </w:tcPr>
                <w:p w14:paraId="5C3A652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746" w:type="pct"/>
                  <w:vMerge w:val="continue"/>
                  <w:vAlign w:val="center"/>
                </w:tcPr>
                <w:p w14:paraId="4748B0AA">
                  <w:pPr>
                    <w:spacing w:after="0" w:line="240" w:lineRule="auto"/>
                    <w:jc w:val="center"/>
                    <w:rPr>
                      <w:color w:val="0D0D0D" w:themeColor="text1" w:themeTint="F2"/>
                      <w:szCs w:val="21"/>
                      <w14:textFill>
                        <w14:solidFill>
                          <w14:schemeClr w14:val="tx1">
                            <w14:lumMod w14:val="95000"/>
                            <w14:lumOff w14:val="5000"/>
                          </w14:schemeClr>
                        </w14:solidFill>
                      </w14:textFill>
                    </w:rPr>
                  </w:pPr>
                </w:p>
              </w:tc>
            </w:tr>
            <w:tr w14:paraId="79D9A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pct"/>
                  <w:vAlign w:val="center"/>
                </w:tcPr>
                <w:p w14:paraId="1847AE9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pacing w:val="12"/>
                      <w:szCs w:val="21"/>
                      <w14:textFill>
                        <w14:solidFill>
                          <w14:schemeClr w14:val="tx1">
                            <w14:lumMod w14:val="95000"/>
                            <w14:lumOff w14:val="5000"/>
                          </w14:schemeClr>
                        </w14:solidFill>
                      </w14:textFill>
                    </w:rPr>
                    <w:t>东侧厂界</w:t>
                  </w:r>
                </w:p>
              </w:tc>
              <w:tc>
                <w:tcPr>
                  <w:tcW w:w="737" w:type="pct"/>
                  <w:vAlign w:val="center"/>
                </w:tcPr>
                <w:p w14:paraId="1100D19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298.65</w:t>
                  </w:r>
                </w:p>
              </w:tc>
              <w:tc>
                <w:tcPr>
                  <w:tcW w:w="737" w:type="pct"/>
                  <w:vAlign w:val="center"/>
                </w:tcPr>
                <w:p w14:paraId="67742F7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109.43</w:t>
                  </w:r>
                </w:p>
              </w:tc>
              <w:tc>
                <w:tcPr>
                  <w:tcW w:w="320" w:type="pct"/>
                  <w:vAlign w:val="center"/>
                </w:tcPr>
                <w:p w14:paraId="6F4DE43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49" w:type="pct"/>
                  <w:vAlign w:val="center"/>
                </w:tcPr>
                <w:p w14:paraId="1A39C33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昼间</w:t>
                  </w:r>
                </w:p>
              </w:tc>
              <w:tc>
                <w:tcPr>
                  <w:tcW w:w="598" w:type="pct"/>
                  <w:vAlign w:val="center"/>
                </w:tcPr>
                <w:p w14:paraId="3503D54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44.3</w:t>
                  </w:r>
                </w:p>
              </w:tc>
              <w:tc>
                <w:tcPr>
                  <w:tcW w:w="598" w:type="pct"/>
                  <w:vAlign w:val="center"/>
                </w:tcPr>
                <w:p w14:paraId="6F1AB22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746" w:type="pct"/>
                  <w:vAlign w:val="center"/>
                </w:tcPr>
                <w:p w14:paraId="6E31716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r>
            <w:tr w14:paraId="51AE9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pct"/>
                  <w:vAlign w:val="center"/>
                </w:tcPr>
                <w:p w14:paraId="2DAE711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pacing w:val="12"/>
                      <w:szCs w:val="21"/>
                      <w14:textFill>
                        <w14:solidFill>
                          <w14:schemeClr w14:val="tx1">
                            <w14:lumMod w14:val="95000"/>
                            <w14:lumOff w14:val="5000"/>
                          </w14:schemeClr>
                        </w14:solidFill>
                      </w14:textFill>
                    </w:rPr>
                    <w:t>南</w:t>
                  </w:r>
                  <w:r>
                    <w:rPr>
                      <w:color w:val="0D0D0D" w:themeColor="text1" w:themeTint="F2"/>
                      <w:spacing w:val="12"/>
                      <w:szCs w:val="21"/>
                      <w14:textFill>
                        <w14:solidFill>
                          <w14:schemeClr w14:val="tx1">
                            <w14:lumMod w14:val="95000"/>
                            <w14:lumOff w14:val="5000"/>
                          </w14:schemeClr>
                        </w14:solidFill>
                      </w14:textFill>
                    </w:rPr>
                    <w:t>侧厂界</w:t>
                  </w:r>
                </w:p>
              </w:tc>
              <w:tc>
                <w:tcPr>
                  <w:tcW w:w="737" w:type="pct"/>
                  <w:vAlign w:val="center"/>
                </w:tcPr>
                <w:p w14:paraId="18367B7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88.12</w:t>
                  </w:r>
                </w:p>
              </w:tc>
              <w:tc>
                <w:tcPr>
                  <w:tcW w:w="737" w:type="pct"/>
                  <w:vAlign w:val="center"/>
                </w:tcPr>
                <w:p w14:paraId="7D2B6FD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58.71</w:t>
                  </w:r>
                </w:p>
              </w:tc>
              <w:tc>
                <w:tcPr>
                  <w:tcW w:w="320" w:type="pct"/>
                  <w:vAlign w:val="center"/>
                </w:tcPr>
                <w:p w14:paraId="066DEB9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49" w:type="pct"/>
                  <w:vAlign w:val="center"/>
                </w:tcPr>
                <w:p w14:paraId="41F2BB2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昼间</w:t>
                  </w:r>
                </w:p>
              </w:tc>
              <w:tc>
                <w:tcPr>
                  <w:tcW w:w="598" w:type="pct"/>
                  <w:vAlign w:val="center"/>
                </w:tcPr>
                <w:p w14:paraId="180341E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54.7</w:t>
                  </w:r>
                </w:p>
              </w:tc>
              <w:tc>
                <w:tcPr>
                  <w:tcW w:w="598" w:type="pct"/>
                  <w:vAlign w:val="center"/>
                </w:tcPr>
                <w:p w14:paraId="500325B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65</w:t>
                  </w:r>
                </w:p>
              </w:tc>
              <w:tc>
                <w:tcPr>
                  <w:tcW w:w="746" w:type="pct"/>
                  <w:vAlign w:val="center"/>
                </w:tcPr>
                <w:p w14:paraId="23CB84B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r>
            <w:tr w14:paraId="2CDBE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pct"/>
                  <w:vAlign w:val="center"/>
                </w:tcPr>
                <w:p w14:paraId="316FCC9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pacing w:val="12"/>
                      <w:szCs w:val="21"/>
                      <w14:textFill>
                        <w14:solidFill>
                          <w14:schemeClr w14:val="tx1">
                            <w14:lumMod w14:val="95000"/>
                            <w14:lumOff w14:val="5000"/>
                          </w14:schemeClr>
                        </w14:solidFill>
                      </w14:textFill>
                    </w:rPr>
                    <w:t>西</w:t>
                  </w:r>
                  <w:r>
                    <w:rPr>
                      <w:color w:val="0D0D0D" w:themeColor="text1" w:themeTint="F2"/>
                      <w:spacing w:val="12"/>
                      <w:szCs w:val="21"/>
                      <w14:textFill>
                        <w14:solidFill>
                          <w14:schemeClr w14:val="tx1">
                            <w14:lumMod w14:val="95000"/>
                            <w14:lumOff w14:val="5000"/>
                          </w14:schemeClr>
                        </w14:solidFill>
                      </w14:textFill>
                    </w:rPr>
                    <w:t>侧厂界</w:t>
                  </w:r>
                </w:p>
              </w:tc>
              <w:tc>
                <w:tcPr>
                  <w:tcW w:w="737" w:type="pct"/>
                  <w:vAlign w:val="center"/>
                </w:tcPr>
                <w:p w14:paraId="29079BF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13.74</w:t>
                  </w:r>
                </w:p>
              </w:tc>
              <w:tc>
                <w:tcPr>
                  <w:tcW w:w="737" w:type="pct"/>
                  <w:vAlign w:val="center"/>
                </w:tcPr>
                <w:p w14:paraId="23F7ED1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110.08</w:t>
                  </w:r>
                </w:p>
              </w:tc>
              <w:tc>
                <w:tcPr>
                  <w:tcW w:w="320" w:type="pct"/>
                  <w:vAlign w:val="center"/>
                </w:tcPr>
                <w:p w14:paraId="794E427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49" w:type="pct"/>
                  <w:vAlign w:val="center"/>
                </w:tcPr>
                <w:p w14:paraId="4A58F69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昼间</w:t>
                  </w:r>
                </w:p>
              </w:tc>
              <w:tc>
                <w:tcPr>
                  <w:tcW w:w="598" w:type="pct"/>
                  <w:vAlign w:val="center"/>
                </w:tcPr>
                <w:p w14:paraId="51FA038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56.3</w:t>
                  </w:r>
                </w:p>
              </w:tc>
              <w:tc>
                <w:tcPr>
                  <w:tcW w:w="598" w:type="pct"/>
                  <w:vAlign w:val="center"/>
                </w:tcPr>
                <w:p w14:paraId="7F65729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65</w:t>
                  </w:r>
                </w:p>
              </w:tc>
              <w:tc>
                <w:tcPr>
                  <w:tcW w:w="746" w:type="pct"/>
                  <w:vAlign w:val="center"/>
                </w:tcPr>
                <w:p w14:paraId="71E9AE9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r>
            <w:tr w14:paraId="4EBEB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pct"/>
                  <w:vAlign w:val="center"/>
                </w:tcPr>
                <w:p w14:paraId="0C8AC18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pacing w:val="12"/>
                      <w:szCs w:val="21"/>
                      <w14:textFill>
                        <w14:solidFill>
                          <w14:schemeClr w14:val="tx1">
                            <w14:lumMod w14:val="95000"/>
                            <w14:lumOff w14:val="5000"/>
                          </w14:schemeClr>
                        </w14:solidFill>
                      </w14:textFill>
                    </w:rPr>
                    <w:t>北</w:t>
                  </w:r>
                  <w:r>
                    <w:rPr>
                      <w:color w:val="0D0D0D" w:themeColor="text1" w:themeTint="F2"/>
                      <w:spacing w:val="12"/>
                      <w:szCs w:val="21"/>
                      <w14:textFill>
                        <w14:solidFill>
                          <w14:schemeClr w14:val="tx1">
                            <w14:lumMod w14:val="95000"/>
                            <w14:lumOff w14:val="5000"/>
                          </w14:schemeClr>
                        </w14:solidFill>
                      </w14:textFill>
                    </w:rPr>
                    <w:t>侧厂界</w:t>
                  </w:r>
                </w:p>
              </w:tc>
              <w:tc>
                <w:tcPr>
                  <w:tcW w:w="737" w:type="pct"/>
                  <w:vAlign w:val="center"/>
                </w:tcPr>
                <w:p w14:paraId="422EDA7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62.24</w:t>
                  </w:r>
                </w:p>
              </w:tc>
              <w:tc>
                <w:tcPr>
                  <w:tcW w:w="737" w:type="pct"/>
                  <w:vAlign w:val="center"/>
                </w:tcPr>
                <w:p w14:paraId="1A7EF3B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196.71</w:t>
                  </w:r>
                </w:p>
              </w:tc>
              <w:tc>
                <w:tcPr>
                  <w:tcW w:w="320" w:type="pct"/>
                  <w:vAlign w:val="center"/>
                </w:tcPr>
                <w:p w14:paraId="1357DAE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449" w:type="pct"/>
                  <w:vAlign w:val="center"/>
                </w:tcPr>
                <w:p w14:paraId="2C76286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昼间</w:t>
                  </w:r>
                </w:p>
              </w:tc>
              <w:tc>
                <w:tcPr>
                  <w:tcW w:w="598" w:type="pct"/>
                  <w:vAlign w:val="center"/>
                </w:tcPr>
                <w:p w14:paraId="4BF82E9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55.3</w:t>
                  </w:r>
                </w:p>
              </w:tc>
              <w:tc>
                <w:tcPr>
                  <w:tcW w:w="598" w:type="pct"/>
                  <w:vAlign w:val="center"/>
                </w:tcPr>
                <w:p w14:paraId="0B201B6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746" w:type="pct"/>
                  <w:vAlign w:val="center"/>
                </w:tcPr>
                <w:p w14:paraId="69C8931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r>
          </w:tbl>
          <w:p w14:paraId="4775885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由上表可知，正常工况下，</w:t>
            </w:r>
            <w:r>
              <w:rPr>
                <w:rFonts w:cs="宋体"/>
                <w:bCs/>
                <w:color w:val="0D0D0D" w:themeColor="text1" w:themeTint="F2"/>
                <w:spacing w:val="-10"/>
                <w:sz w:val="24"/>
                <w14:textFill>
                  <w14:solidFill>
                    <w14:schemeClr w14:val="tx1">
                      <w14:lumMod w14:val="95000"/>
                      <w14:lumOff w14:val="5000"/>
                    </w14:schemeClr>
                  </w14:solidFill>
                </w14:textFill>
              </w:rPr>
              <w:t>项目运营期</w:t>
            </w:r>
            <w:r>
              <w:rPr>
                <w:rFonts w:hint="eastAsia" w:cs="宋体"/>
                <w:bCs/>
                <w:color w:val="0D0D0D" w:themeColor="text1" w:themeTint="F2"/>
                <w:spacing w:val="-10"/>
                <w:sz w:val="24"/>
                <w14:textFill>
                  <w14:solidFill>
                    <w14:schemeClr w14:val="tx1">
                      <w14:lumMod w14:val="95000"/>
                      <w14:lumOff w14:val="5000"/>
                    </w14:schemeClr>
                  </w14:solidFill>
                </w14:textFill>
              </w:rPr>
              <w:t>昼间</w:t>
            </w:r>
            <w:r>
              <w:rPr>
                <w:rFonts w:hint="eastAsia" w:cs="宋体"/>
                <w:bCs/>
                <w:color w:val="0D0D0D" w:themeColor="text1" w:themeTint="F2"/>
                <w:kern w:val="0"/>
                <w:sz w:val="24"/>
                <w14:textFill>
                  <w14:solidFill>
                    <w14:schemeClr w14:val="tx1">
                      <w14:lumMod w14:val="95000"/>
                      <w14:lumOff w14:val="5000"/>
                    </w14:schemeClr>
                  </w14:solidFill>
                </w14:textFill>
              </w:rPr>
              <w:t>东侧</w:t>
            </w:r>
            <w:r>
              <w:rPr>
                <w:rFonts w:cs="宋体"/>
                <w:bCs/>
                <w:color w:val="0D0D0D" w:themeColor="text1" w:themeTint="F2"/>
                <w:kern w:val="0"/>
                <w:sz w:val="24"/>
                <w14:textFill>
                  <w14:solidFill>
                    <w14:schemeClr w14:val="tx1">
                      <w14:lumMod w14:val="95000"/>
                      <w14:lumOff w14:val="5000"/>
                    </w14:schemeClr>
                  </w14:solidFill>
                </w14:textFill>
              </w:rPr>
              <w:t>厂界</w:t>
            </w:r>
            <w:r>
              <w:rPr>
                <w:rFonts w:hint="eastAsia" w:cs="宋体"/>
                <w:bCs/>
                <w:color w:val="0D0D0D" w:themeColor="text1" w:themeTint="F2"/>
                <w:kern w:val="0"/>
                <w:sz w:val="24"/>
                <w14:textFill>
                  <w14:solidFill>
                    <w14:schemeClr w14:val="tx1">
                      <w14:lumMod w14:val="95000"/>
                      <w14:lumOff w14:val="5000"/>
                    </w14:schemeClr>
                  </w14:solidFill>
                </w14:textFill>
              </w:rPr>
              <w:t>和北侧厂界噪声贡献值可满足</w:t>
            </w:r>
            <w:r>
              <w:rPr>
                <w:rFonts w:cs="宋体"/>
                <w:bCs/>
                <w:color w:val="0D0D0D" w:themeColor="text1" w:themeTint="F2"/>
                <w:kern w:val="0"/>
                <w:sz w:val="24"/>
                <w14:textFill>
                  <w14:solidFill>
                    <w14:schemeClr w14:val="tx1">
                      <w14:lumMod w14:val="95000"/>
                      <w14:lumOff w14:val="5000"/>
                    </w14:schemeClr>
                  </w14:solidFill>
                </w14:textFill>
              </w:rPr>
              <w:t>《工业企业厂界环境噪声排放标准》（GB12348-2008）</w:t>
            </w:r>
            <w:r>
              <w:rPr>
                <w:rFonts w:hint="eastAsia" w:cs="宋体"/>
                <w:bCs/>
                <w:color w:val="0D0D0D" w:themeColor="text1" w:themeTint="F2"/>
                <w:kern w:val="0"/>
                <w:sz w:val="24"/>
                <w14:textFill>
                  <w14:solidFill>
                    <w14:schemeClr w14:val="tx1">
                      <w14:lumMod w14:val="95000"/>
                      <w14:lumOff w14:val="5000"/>
                    </w14:schemeClr>
                  </w14:solidFill>
                </w14:textFill>
              </w:rPr>
              <w:t>4</w:t>
            </w:r>
            <w:r>
              <w:rPr>
                <w:rFonts w:cs="宋体"/>
                <w:bCs/>
                <w:color w:val="0D0D0D" w:themeColor="text1" w:themeTint="F2"/>
                <w:kern w:val="0"/>
                <w:sz w:val="24"/>
                <w14:textFill>
                  <w14:solidFill>
                    <w14:schemeClr w14:val="tx1">
                      <w14:lumMod w14:val="95000"/>
                      <w14:lumOff w14:val="5000"/>
                    </w14:schemeClr>
                  </w14:solidFill>
                </w14:textFill>
              </w:rPr>
              <w:t>类标准</w:t>
            </w:r>
            <w:r>
              <w:rPr>
                <w:rFonts w:hint="eastAsia" w:cs="宋体"/>
                <w:bCs/>
                <w:color w:val="0D0D0D" w:themeColor="text1" w:themeTint="F2"/>
                <w:kern w:val="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南侧厂界和西侧厂界</w:t>
            </w:r>
            <w:r>
              <w:rPr>
                <w:rFonts w:hint="eastAsia" w:cs="宋体"/>
                <w:bCs/>
                <w:color w:val="0D0D0D" w:themeColor="text1" w:themeTint="F2"/>
                <w:kern w:val="0"/>
                <w:sz w:val="24"/>
                <w14:textFill>
                  <w14:solidFill>
                    <w14:schemeClr w14:val="tx1">
                      <w14:lumMod w14:val="95000"/>
                      <w14:lumOff w14:val="5000"/>
                    </w14:schemeClr>
                  </w14:solidFill>
                </w14:textFill>
              </w:rPr>
              <w:t>噪声贡献值可满足</w:t>
            </w:r>
            <w:r>
              <w:rPr>
                <w:rFonts w:cs="宋体"/>
                <w:bCs/>
                <w:color w:val="0D0D0D" w:themeColor="text1" w:themeTint="F2"/>
                <w:kern w:val="0"/>
                <w:sz w:val="24"/>
                <w14:textFill>
                  <w14:solidFill>
                    <w14:schemeClr w14:val="tx1">
                      <w14:lumMod w14:val="95000"/>
                      <w14:lumOff w14:val="5000"/>
                    </w14:schemeClr>
                  </w14:solidFill>
                </w14:textFill>
              </w:rPr>
              <w:t>《工业企业厂界环境噪声排放标准》（GB12348-2008）</w:t>
            </w:r>
            <w:r>
              <w:rPr>
                <w:rFonts w:hint="eastAsia" w:cs="宋体"/>
                <w:bCs/>
                <w:color w:val="0D0D0D" w:themeColor="text1" w:themeTint="F2"/>
                <w:kern w:val="0"/>
                <w:sz w:val="24"/>
                <w14:textFill>
                  <w14:solidFill>
                    <w14:schemeClr w14:val="tx1">
                      <w14:lumMod w14:val="95000"/>
                      <w14:lumOff w14:val="5000"/>
                    </w14:schemeClr>
                  </w14:solidFill>
                </w14:textFill>
              </w:rPr>
              <w:t>3</w:t>
            </w:r>
            <w:r>
              <w:rPr>
                <w:rFonts w:cs="宋体"/>
                <w:bCs/>
                <w:color w:val="0D0D0D" w:themeColor="text1" w:themeTint="F2"/>
                <w:kern w:val="0"/>
                <w:sz w:val="24"/>
                <w14:textFill>
                  <w14:solidFill>
                    <w14:schemeClr w14:val="tx1">
                      <w14:lumMod w14:val="95000"/>
                      <w14:lumOff w14:val="5000"/>
                    </w14:schemeClr>
                  </w14:solidFill>
                </w14:textFill>
              </w:rPr>
              <w:t>类标准</w:t>
            </w:r>
            <w:r>
              <w:rPr>
                <w:rFonts w:hint="eastAsia" w:cs="宋体"/>
                <w:bCs/>
                <w:color w:val="0D0D0D" w:themeColor="text1" w:themeTint="F2"/>
                <w:kern w:val="0"/>
                <w:sz w:val="24"/>
                <w14:textFill>
                  <w14:solidFill>
                    <w14:schemeClr w14:val="tx1">
                      <w14:lumMod w14:val="95000"/>
                      <w14:lumOff w14:val="5000"/>
                    </w14:schemeClr>
                  </w14:solidFill>
                </w14:textFill>
              </w:rPr>
              <w:t>，50m范围内无声环境保护目标，运营期噪声对周边环境影响较小。</w:t>
            </w:r>
          </w:p>
          <w:p w14:paraId="02FD3DEB">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w:t>
            </w:r>
            <w:r>
              <w:rPr>
                <w:rFonts w:cs="宋体"/>
                <w:b/>
                <w:color w:val="0D0D0D" w:themeColor="text1" w:themeTint="F2"/>
                <w:spacing w:val="-10"/>
                <w:sz w:val="24"/>
                <w14:textFill>
                  <w14:solidFill>
                    <w14:schemeClr w14:val="tx1">
                      <w14:lumMod w14:val="95000"/>
                      <w14:lumOff w14:val="5000"/>
                    </w14:schemeClr>
                  </w14:solidFill>
                </w14:textFill>
              </w:rPr>
              <w:t>噪声污染防治措施可行性分析</w:t>
            </w:r>
          </w:p>
          <w:p w14:paraId="483D039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为了将噪声对周边环境的影响进一步降低，拟采取以下措施减轻噪声污染：</w:t>
            </w:r>
          </w:p>
          <w:p w14:paraId="67BF7991">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（1）设备在选型上充分注意选择低噪声设备，同时采用减振等措施。</w:t>
            </w:r>
          </w:p>
          <w:p w14:paraId="37A7ABF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（2）合理布局设备，减少噪声对周边环境的影响。</w:t>
            </w:r>
          </w:p>
          <w:p w14:paraId="367DA32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（3）加强车间的密封性，有效削减噪声对外界的贡献值，减少对周边环境的影响。</w:t>
            </w:r>
          </w:p>
          <w:p w14:paraId="0CE83F3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（4）加强设备的日常维护与保养，定期对设备进行检修，防止不良工况下的故障噪声产生。</w:t>
            </w:r>
          </w:p>
          <w:p w14:paraId="44CE287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以上噪声防护措施容易实施，技术成熟可靠，投资费用较少，在经济上是可行的。</w:t>
            </w:r>
          </w:p>
          <w:p w14:paraId="5E3D7EE8">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4.监测要求</w:t>
            </w:r>
          </w:p>
          <w:p w14:paraId="783A76D9">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根据《排污单位自行监测技术指南</w:t>
            </w:r>
            <w:r>
              <w:rPr>
                <w:rFonts w:cs="宋体"/>
                <w:bCs/>
                <w:color w:val="0D0D0D" w:themeColor="text1" w:themeTint="F2"/>
                <w:spacing w:val="-10"/>
                <w:sz w:val="24"/>
                <w:u w:val="single"/>
                <w14:textFill>
                  <w14:solidFill>
                    <w14:schemeClr w14:val="tx1">
                      <w14:lumMod w14:val="95000"/>
                      <w14:lumOff w14:val="5000"/>
                    </w14:schemeClr>
                  </w14:solidFill>
                </w14:textFill>
              </w:rPr>
              <w:t xml:space="preserve">  </w:t>
            </w:r>
            <w:r>
              <w:rPr>
                <w:rFonts w:hint="eastAsia" w:cs="宋体"/>
                <w:bCs/>
                <w:color w:val="0D0D0D" w:themeColor="text1" w:themeTint="F2"/>
                <w:spacing w:val="-10"/>
                <w:sz w:val="24"/>
                <w:u w:val="single"/>
                <w14:textFill>
                  <w14:solidFill>
                    <w14:schemeClr w14:val="tx1">
                      <w14:lumMod w14:val="95000"/>
                      <w14:lumOff w14:val="5000"/>
                    </w14:schemeClr>
                  </w14:solidFill>
                </w14:textFill>
              </w:rPr>
              <w:t>总则》（</w:t>
            </w:r>
            <w:r>
              <w:rPr>
                <w:rFonts w:cs="宋体"/>
                <w:bCs/>
                <w:color w:val="0D0D0D" w:themeColor="text1" w:themeTint="F2"/>
                <w:spacing w:val="-10"/>
                <w:sz w:val="24"/>
                <w:u w:val="single"/>
                <w14:textFill>
                  <w14:solidFill>
                    <w14:schemeClr w14:val="tx1">
                      <w14:lumMod w14:val="95000"/>
                      <w14:lumOff w14:val="5000"/>
                    </w14:schemeClr>
                  </w14:solidFill>
                </w14:textFill>
              </w:rPr>
              <w:t>HJ819-2017</w:t>
            </w:r>
            <w:r>
              <w:rPr>
                <w:rFonts w:hint="eastAsia" w:cs="宋体"/>
                <w:bCs/>
                <w:color w:val="0D0D0D" w:themeColor="text1" w:themeTint="F2"/>
                <w:spacing w:val="-10"/>
                <w:sz w:val="24"/>
                <w:u w:val="single"/>
                <w14:textFill>
                  <w14:solidFill>
                    <w14:schemeClr w14:val="tx1">
                      <w14:lumMod w14:val="95000"/>
                      <w14:lumOff w14:val="5000"/>
                    </w14:schemeClr>
                  </w14:solidFill>
                </w14:textFill>
              </w:rPr>
              <w:t>）和《排污单位自行监测技术指南  涂装》（HJ1086-2020）等文件要求，项目运营期噪声监测计划详见表4</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20。</w:t>
            </w:r>
          </w:p>
          <w:p w14:paraId="75EE6A99">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w:t>
            </w:r>
            <w:r>
              <w:rPr>
                <w:rFonts w:cs="宋体"/>
                <w:b/>
                <w:color w:val="0D0D0D" w:themeColor="text1" w:themeTint="F2"/>
                <w:spacing w:val="-10"/>
                <w:szCs w:val="21"/>
                <w14:textFill>
                  <w14:solidFill>
                    <w14:schemeClr w14:val="tx1">
                      <w14:lumMod w14:val="95000"/>
                      <w14:lumOff w14:val="5000"/>
                    </w14:schemeClr>
                  </w14:solidFill>
                </w14:textFill>
              </w:rPr>
              <w:t>-</w:t>
            </w:r>
            <w:r>
              <w:rPr>
                <w:rFonts w:hint="eastAsia" w:cs="宋体"/>
                <w:b/>
                <w:color w:val="0D0D0D" w:themeColor="text1" w:themeTint="F2"/>
                <w:spacing w:val="-10"/>
                <w:szCs w:val="21"/>
                <w14:textFill>
                  <w14:solidFill>
                    <w14:schemeClr w14:val="tx1">
                      <w14:lumMod w14:val="95000"/>
                      <w14:lumOff w14:val="5000"/>
                    </w14:schemeClr>
                  </w14:solidFill>
                </w14:textFill>
              </w:rPr>
              <w:t>20</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噪声自行监测计划一览表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977"/>
              <w:gridCol w:w="2523"/>
              <w:gridCol w:w="2665"/>
              <w:gridCol w:w="1633"/>
            </w:tblGrid>
            <w:tr w14:paraId="729C7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tcBorders>
                    <w:top w:val="single" w:color="auto" w:sz="4" w:space="0"/>
                    <w:left w:val="single" w:color="auto" w:sz="4" w:space="0"/>
                    <w:bottom w:val="single" w:color="auto" w:sz="4" w:space="0"/>
                    <w:right w:val="single" w:color="auto" w:sz="4" w:space="0"/>
                  </w:tcBorders>
                  <w:vAlign w:val="center"/>
                </w:tcPr>
                <w:p w14:paraId="567C74E1">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序号</w:t>
                  </w:r>
                </w:p>
              </w:tc>
              <w:tc>
                <w:tcPr>
                  <w:tcW w:w="557" w:type="pct"/>
                  <w:tcBorders>
                    <w:top w:val="single" w:color="auto" w:sz="4" w:space="0"/>
                    <w:left w:val="single" w:color="auto" w:sz="4" w:space="0"/>
                    <w:bottom w:val="single" w:color="auto" w:sz="4" w:space="0"/>
                    <w:right w:val="single" w:color="auto" w:sz="4" w:space="0"/>
                  </w:tcBorders>
                  <w:vAlign w:val="center"/>
                </w:tcPr>
                <w:p w14:paraId="7F9CBAF8">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类别</w:t>
                  </w:r>
                </w:p>
              </w:tc>
              <w:tc>
                <w:tcPr>
                  <w:tcW w:w="1437" w:type="pct"/>
                  <w:tcBorders>
                    <w:top w:val="single" w:color="auto" w:sz="4" w:space="0"/>
                    <w:left w:val="single" w:color="auto" w:sz="4" w:space="0"/>
                    <w:bottom w:val="single" w:color="auto" w:sz="4" w:space="0"/>
                    <w:right w:val="single" w:color="auto" w:sz="4" w:space="0"/>
                  </w:tcBorders>
                  <w:vAlign w:val="center"/>
                </w:tcPr>
                <w:p w14:paraId="3ABDB720">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监测点位</w:t>
                  </w:r>
                </w:p>
              </w:tc>
              <w:tc>
                <w:tcPr>
                  <w:tcW w:w="1518" w:type="pct"/>
                  <w:tcBorders>
                    <w:top w:val="single" w:color="auto" w:sz="4" w:space="0"/>
                    <w:left w:val="single" w:color="auto" w:sz="4" w:space="0"/>
                    <w:bottom w:val="single" w:color="auto" w:sz="4" w:space="0"/>
                    <w:right w:val="single" w:color="auto" w:sz="4" w:space="0"/>
                  </w:tcBorders>
                  <w:vAlign w:val="center"/>
                </w:tcPr>
                <w:p w14:paraId="1B272A5B">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监测因子</w:t>
                  </w:r>
                </w:p>
              </w:tc>
              <w:tc>
                <w:tcPr>
                  <w:tcW w:w="930" w:type="pct"/>
                  <w:tcBorders>
                    <w:top w:val="single" w:color="auto" w:sz="4" w:space="0"/>
                    <w:left w:val="single" w:color="auto" w:sz="4" w:space="0"/>
                    <w:bottom w:val="single" w:color="auto" w:sz="4" w:space="0"/>
                    <w:right w:val="single" w:color="auto" w:sz="4" w:space="0"/>
                  </w:tcBorders>
                  <w:vAlign w:val="center"/>
                </w:tcPr>
                <w:p w14:paraId="4890B5D5">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监测频次</w:t>
                  </w:r>
                </w:p>
              </w:tc>
            </w:tr>
            <w:tr w14:paraId="4A9C6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tcBorders>
                    <w:top w:val="single" w:color="auto" w:sz="4" w:space="0"/>
                    <w:left w:val="single" w:color="auto" w:sz="4" w:space="0"/>
                    <w:bottom w:val="single" w:color="auto" w:sz="4" w:space="0"/>
                    <w:right w:val="single" w:color="auto" w:sz="4" w:space="0"/>
                  </w:tcBorders>
                  <w:vAlign w:val="center"/>
                </w:tcPr>
                <w:p w14:paraId="78BC30B0">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w:t>
                  </w:r>
                </w:p>
              </w:tc>
              <w:tc>
                <w:tcPr>
                  <w:tcW w:w="557" w:type="pct"/>
                  <w:tcBorders>
                    <w:top w:val="single" w:color="auto" w:sz="4" w:space="0"/>
                    <w:left w:val="single" w:color="auto" w:sz="4" w:space="0"/>
                    <w:bottom w:val="single" w:color="auto" w:sz="4" w:space="0"/>
                    <w:right w:val="single" w:color="auto" w:sz="4" w:space="0"/>
                  </w:tcBorders>
                  <w:vAlign w:val="center"/>
                </w:tcPr>
                <w:p w14:paraId="66A4BD8E">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噪声</w:t>
                  </w:r>
                </w:p>
              </w:tc>
              <w:tc>
                <w:tcPr>
                  <w:tcW w:w="1437" w:type="pct"/>
                  <w:tcBorders>
                    <w:top w:val="single" w:color="auto" w:sz="4" w:space="0"/>
                    <w:left w:val="single" w:color="auto" w:sz="4" w:space="0"/>
                    <w:bottom w:val="single" w:color="auto" w:sz="4" w:space="0"/>
                    <w:right w:val="single" w:color="auto" w:sz="4" w:space="0"/>
                  </w:tcBorders>
                  <w:vAlign w:val="center"/>
                </w:tcPr>
                <w:p w14:paraId="5908E6E6">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四周厂界1m外</w:t>
                  </w:r>
                </w:p>
              </w:tc>
              <w:tc>
                <w:tcPr>
                  <w:tcW w:w="1518" w:type="pct"/>
                  <w:tcBorders>
                    <w:top w:val="single" w:color="auto" w:sz="4" w:space="0"/>
                    <w:left w:val="single" w:color="auto" w:sz="4" w:space="0"/>
                    <w:bottom w:val="single" w:color="auto" w:sz="4" w:space="0"/>
                    <w:right w:val="single" w:color="auto" w:sz="4" w:space="0"/>
                  </w:tcBorders>
                  <w:vAlign w:val="center"/>
                </w:tcPr>
                <w:p w14:paraId="458ED820">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等效连续A声级</w:t>
                  </w:r>
                </w:p>
              </w:tc>
              <w:tc>
                <w:tcPr>
                  <w:tcW w:w="930" w:type="pct"/>
                  <w:tcBorders>
                    <w:top w:val="single" w:color="auto" w:sz="4" w:space="0"/>
                    <w:left w:val="single" w:color="auto" w:sz="4" w:space="0"/>
                    <w:bottom w:val="single" w:color="auto" w:sz="4" w:space="0"/>
                    <w:right w:val="single" w:color="auto" w:sz="4" w:space="0"/>
                  </w:tcBorders>
                  <w:vAlign w:val="center"/>
                </w:tcPr>
                <w:p w14:paraId="140623E9">
                  <w:pPr>
                    <w:adjustRightInd w:val="0"/>
                    <w:snapToGrid w:val="0"/>
                    <w:spacing w:after="0" w:line="240" w:lineRule="auto"/>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1次/季度</w:t>
                  </w:r>
                </w:p>
              </w:tc>
            </w:tr>
          </w:tbl>
          <w:p w14:paraId="33F2AD34">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四、固体废物</w:t>
            </w:r>
          </w:p>
          <w:p w14:paraId="7FEB6D2B">
            <w:pPr>
              <w:adjustRightInd w:val="0"/>
              <w:snapToGrid w:val="0"/>
              <w:spacing w:after="0"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1.固体废物源强分析</w:t>
            </w:r>
          </w:p>
          <w:p w14:paraId="05C7FD31">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（1）废边角料</w:t>
            </w:r>
          </w:p>
          <w:p w14:paraId="6448E9E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项目切割过程中会产生废边角料，主要成分为废钢材，为固态物质。根据建设单位提供的资料，废边角料产生量约为原料用量的1‰，项目钢材用量为863.5t/a，则废边角料产生量为0.86t。</w:t>
            </w:r>
          </w:p>
          <w:p w14:paraId="5C436B4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废边角料属于一般工业固废，根据《固体废物分类与代码目录》（生态环境部公告2024年第4号），废物代码为</w:t>
            </w:r>
            <w:r>
              <w:rPr>
                <w:rFonts w:cs="宋体"/>
                <w:bCs/>
                <w:color w:val="0D0D0D" w:themeColor="text1" w:themeTint="F2"/>
                <w:spacing w:val="-10"/>
                <w:sz w:val="24"/>
                <w14:textFill>
                  <w14:solidFill>
                    <w14:schemeClr w14:val="tx1">
                      <w14:lumMod w14:val="95000"/>
                      <w14:lumOff w14:val="5000"/>
                    </w14:schemeClr>
                  </w14:solidFill>
                </w14:textFill>
              </w:rPr>
              <w:t>900-001-S17</w:t>
            </w:r>
            <w:r>
              <w:rPr>
                <w:rFonts w:hint="eastAsia" w:cs="宋体"/>
                <w:bCs/>
                <w:color w:val="0D0D0D" w:themeColor="text1" w:themeTint="F2"/>
                <w:spacing w:val="-10"/>
                <w:sz w:val="24"/>
                <w14:textFill>
                  <w14:solidFill>
                    <w14:schemeClr w14:val="tx1">
                      <w14:lumMod w14:val="95000"/>
                      <w14:lumOff w14:val="5000"/>
                    </w14:schemeClr>
                  </w14:solidFill>
                </w14:textFill>
              </w:rPr>
              <w:t>，收集后暂存于一般固废暂存间，定期外售废品回收站进行资源化利用。</w:t>
            </w:r>
          </w:p>
          <w:p w14:paraId="2178AEB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w:t>
            </w:r>
            <w:bookmarkStart w:id="25" w:name="OLE_LINK36"/>
            <w:r>
              <w:rPr>
                <w:rFonts w:hint="eastAsia" w:cs="宋体"/>
                <w:bCs/>
                <w:color w:val="0D0D0D" w:themeColor="text1" w:themeTint="F2"/>
                <w:spacing w:val="-10"/>
                <w:sz w:val="24"/>
                <w14:textFill>
                  <w14:solidFill>
                    <w14:schemeClr w14:val="tx1">
                      <w14:lumMod w14:val="95000"/>
                      <w14:lumOff w14:val="5000"/>
                    </w14:schemeClr>
                  </w14:solidFill>
                </w14:textFill>
              </w:rPr>
              <w:t>除尘设备收集粉尘</w:t>
            </w:r>
            <w:bookmarkEnd w:id="25"/>
          </w:p>
          <w:p w14:paraId="2DD33D02">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项目移动式烟尘净化器和滤筒除尘器处理切割粉尘、焊接烟尘和抛丸粉尘的过程中会产生除尘设备收集粉尘，主要成分为金属颗粒。</w:t>
            </w:r>
            <w:r>
              <w:rPr>
                <w:rFonts w:hint="eastAsia" w:cs="宋体"/>
                <w:bCs/>
                <w:color w:val="0D0D0D" w:themeColor="text1" w:themeTint="F2"/>
                <w:spacing w:val="-10"/>
                <w:sz w:val="24"/>
                <w:u w:val="single"/>
                <w14:textFill>
                  <w14:solidFill>
                    <w14:schemeClr w14:val="tx1">
                      <w14:lumMod w14:val="95000"/>
                      <w14:lumOff w14:val="5000"/>
                    </w14:schemeClr>
                  </w14:solidFill>
                </w14:textFill>
              </w:rPr>
              <w:t>由上文分析可知，除尘设备收集粉尘产生量为2.68t/a</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1BD834B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除尘设备收集粉尘属于一般工业固体废物，根据《固体废物分类与代码目录》（生态环境部公告2024年第4号），废物代码为900-099-S59，定期收集后使用专用容器暂存于一般固废暂存间，定期外售废品回收站。</w:t>
            </w:r>
          </w:p>
          <w:p w14:paraId="506C2DA5">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w:t>
            </w:r>
            <w:bookmarkStart w:id="26" w:name="OLE_LINK33"/>
            <w:r>
              <w:rPr>
                <w:rFonts w:hint="eastAsia" w:cs="宋体"/>
                <w:bCs/>
                <w:color w:val="0D0D0D" w:themeColor="text1" w:themeTint="F2"/>
                <w:spacing w:val="-10"/>
                <w:sz w:val="24"/>
                <w14:textFill>
                  <w14:solidFill>
                    <w14:schemeClr w14:val="tx1">
                      <w14:lumMod w14:val="95000"/>
                      <w14:lumOff w14:val="5000"/>
                    </w14:schemeClr>
                  </w14:solidFill>
                </w14:textFill>
              </w:rPr>
              <w:t>废</w:t>
            </w:r>
            <w:bookmarkEnd w:id="26"/>
            <w:r>
              <w:rPr>
                <w:rFonts w:hint="eastAsia" w:cs="宋体"/>
                <w:bCs/>
                <w:color w:val="0D0D0D" w:themeColor="text1" w:themeTint="F2"/>
                <w:spacing w:val="-10"/>
                <w:sz w:val="24"/>
                <w14:textFill>
                  <w14:solidFill>
                    <w14:schemeClr w14:val="tx1">
                      <w14:lumMod w14:val="95000"/>
                      <w14:lumOff w14:val="5000"/>
                    </w14:schemeClr>
                  </w14:solidFill>
                </w14:textFill>
              </w:rPr>
              <w:t>焊接材料</w:t>
            </w:r>
          </w:p>
          <w:p w14:paraId="611FFDD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项目焊接过程中会产生废焊接材料，主要成分为焊渣，为固态物质。根据建设单位提供的资料，废焊接材料产生量约为焊材用量的1％，项目焊条和实芯焊丝使用量为6t/a，则废焊接材料产生量为0.06t。</w:t>
            </w:r>
          </w:p>
          <w:p w14:paraId="235AE8D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废焊接材料属于一般工业固废，根据《固体废物分类与代码目录》（生态环境部公告2024年第4号），废物代码为900-099-S59，收集后暂存于一般固废暂存间，定期外售废品回收站进行资源化利用。</w:t>
            </w:r>
          </w:p>
          <w:p w14:paraId="71A36CF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（4）废钢丸</w:t>
            </w:r>
          </w:p>
          <w:p w14:paraId="259889BD">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抛丸工序钢丸长时间使用后会变形、磨损，从而粒径变小达不到除锈效果，因此需定期更换，更换频率为1年1次。根据建设单位提供的资料，每平方米钢材抛丸处理通常需要消耗0.1kg钢丸，项目年加工钢材20000m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，则废钢丸产生量为2t/a。</w:t>
            </w:r>
          </w:p>
          <w:p w14:paraId="67E8E61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废钢丸属于一般工业固废，根据《固体废物分类与代码目录》（生态环境部公告2024年第4号），废物代码为900-099-S59，收集后暂存于一般固废暂存间，定期外售废品回收站进行资源化利用。</w:t>
            </w:r>
          </w:p>
          <w:p w14:paraId="6CD0A0D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（5）废滤芯</w:t>
            </w:r>
          </w:p>
          <w:p w14:paraId="1AB6CAF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项目滤筒除尘器运行过程中会产生废滤芯，根据建设单位提供的资料，滤芯每年定期更换，废滤芯产生量约为0.01t/a。</w:t>
            </w:r>
          </w:p>
          <w:p w14:paraId="7196545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废滤芯属于一般工业固废，根据《固体废物分类与代码目录》（生态环境部公告2024年第4号），废物代码为900-099-S59，收集后暂存于一般固废暂存间，定期外售废品回收站进行资源化利用。</w:t>
            </w:r>
          </w:p>
          <w:p w14:paraId="2F2EF7F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（6）喷枪清洗废液</w:t>
            </w:r>
          </w:p>
          <w:p w14:paraId="37EC389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喷枪利用清洗剂和清水清洗枪头时会产生喷枪清洗废液，包括清洗油性漆枪头产生的废清洗剂和清洗水性漆枪头产生的水性漆清洗废液，根据上文分析可知，废清洗剂产生量为0.16t/a，水性漆清洗废液产生量为0.08t/a。</w:t>
            </w:r>
          </w:p>
          <w:p w14:paraId="7C44D67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根据《国家危险废物名录（2025年版）》，废清洗剂属于危险废物，废物类别为HW</w:t>
            </w:r>
            <w:r>
              <w:rPr>
                <w:rFonts w:cs="宋体"/>
                <w:bCs/>
                <w:color w:val="0D0D0D" w:themeColor="text1" w:themeTint="F2"/>
                <w:spacing w:val="-10"/>
                <w:sz w:val="24"/>
                <w14:textFill>
                  <w14:solidFill>
                    <w14:schemeClr w14:val="tx1">
                      <w14:lumMod w14:val="95000"/>
                      <w14:lumOff w14:val="5000"/>
                    </w14:schemeClr>
                  </w14:solidFill>
                </w14:textFill>
              </w:rPr>
              <w:t>09</w:t>
            </w:r>
            <w:r>
              <w:rPr>
                <w:rFonts w:hint="eastAsia" w:cs="宋体"/>
                <w:bCs/>
                <w:color w:val="0D0D0D" w:themeColor="text1" w:themeTint="F2"/>
                <w:spacing w:val="-10"/>
                <w:sz w:val="24"/>
                <w14:textFill>
                  <w14:solidFill>
                    <w14:schemeClr w14:val="tx1">
                      <w14:lumMod w14:val="95000"/>
                      <w14:lumOff w14:val="5000"/>
                    </w14:schemeClr>
                  </w14:solidFill>
                </w14:textFill>
              </w:rPr>
              <w:t>油/水、烃/水混合物或者乳化液，废物代码为</w:t>
            </w:r>
            <w:r>
              <w:rPr>
                <w:rFonts w:cs="宋体"/>
                <w:bCs/>
                <w:color w:val="0D0D0D" w:themeColor="text1" w:themeTint="F2"/>
                <w:spacing w:val="-10"/>
                <w:sz w:val="24"/>
                <w14:textFill>
                  <w14:solidFill>
                    <w14:schemeClr w14:val="tx1">
                      <w14:lumMod w14:val="95000"/>
                      <w14:lumOff w14:val="5000"/>
                    </w14:schemeClr>
                  </w14:solidFill>
                </w14:textFill>
              </w:rPr>
              <w:t>900-007-09</w:t>
            </w:r>
            <w:r>
              <w:rPr>
                <w:rFonts w:hint="eastAsia" w:cs="宋体"/>
                <w:bCs/>
                <w:color w:val="0D0D0D" w:themeColor="text1" w:themeTint="F2"/>
                <w:spacing w:val="-10"/>
                <w:sz w:val="24"/>
                <w14:textFill>
                  <w14:solidFill>
                    <w14:schemeClr w14:val="tx1">
                      <w14:lumMod w14:val="95000"/>
                      <w14:lumOff w14:val="5000"/>
                    </w14:schemeClr>
                  </w14:solidFill>
                </w14:textFill>
              </w:rPr>
              <w:t>其他工艺过程中产生的废弃的油/水、烃/水混合物或者乳化液，使用专用容器收集后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根据《国家危险废物名录（2025年版）》和水性漆安全技术书，水性漆清洗废液无法直接判断固废属性，在进行危险废物属性鉴定之前，作为危险废物进行管理和处置（可参照</w:t>
            </w:r>
            <w:r>
              <w:rPr>
                <w:rFonts w:cs="宋体"/>
                <w:bCs/>
                <w:color w:val="0D0D0D" w:themeColor="text1" w:themeTint="F2"/>
                <w:spacing w:val="-10"/>
                <w:sz w:val="24"/>
                <w14:textFill>
                  <w14:solidFill>
                    <w14:schemeClr w14:val="tx1">
                      <w14:lumMod w14:val="95000"/>
                      <w14:lumOff w14:val="5000"/>
                    </w14:schemeClr>
                  </w14:solidFill>
                </w14:textFill>
              </w:rPr>
              <w:t>900-007-09</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77E4A7F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（7）</w:t>
            </w:r>
            <w:bookmarkStart w:id="27" w:name="OLE_LINK37"/>
            <w:r>
              <w:rPr>
                <w:rFonts w:hint="eastAsia" w:cs="宋体"/>
                <w:bCs/>
                <w:color w:val="0D0D0D" w:themeColor="text1" w:themeTint="F2"/>
                <w:spacing w:val="-10"/>
                <w:sz w:val="24"/>
                <w14:textFill>
                  <w14:solidFill>
                    <w14:schemeClr w14:val="tx1">
                      <w14:lumMod w14:val="95000"/>
                      <w14:lumOff w14:val="5000"/>
                    </w14:schemeClr>
                  </w14:solidFill>
                </w14:textFill>
              </w:rPr>
              <w:t>废油性漆桶</w:t>
            </w:r>
            <w:bookmarkEnd w:id="27"/>
          </w:p>
          <w:p w14:paraId="1A0C77A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项目喷涂工序会产生废油性漆桶（含油漆桶和稀释剂桶），废油性漆桶核算情况详见表4-21。</w:t>
            </w:r>
          </w:p>
          <w:p w14:paraId="6B567803">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cs="宋体"/>
                <w:b/>
                <w:color w:val="0D0D0D" w:themeColor="text1" w:themeTint="F2"/>
                <w:spacing w:val="-10"/>
                <w:szCs w:val="21"/>
                <w14:textFill>
                  <w14:solidFill>
                    <w14:schemeClr w14:val="tx1">
                      <w14:lumMod w14:val="95000"/>
                      <w14:lumOff w14:val="5000"/>
                    </w14:schemeClr>
                  </w14:solidFill>
                </w14:textFill>
              </w:rPr>
              <w:t>表</w:t>
            </w:r>
            <w:r>
              <w:rPr>
                <w:rFonts w:hint="eastAsia" w:cs="宋体"/>
                <w:b/>
                <w:color w:val="0D0D0D" w:themeColor="text1" w:themeTint="F2"/>
                <w:spacing w:val="-10"/>
                <w:szCs w:val="21"/>
                <w14:textFill>
                  <w14:solidFill>
                    <w14:schemeClr w14:val="tx1">
                      <w14:lumMod w14:val="95000"/>
                      <w14:lumOff w14:val="5000"/>
                    </w14:schemeClr>
                  </w14:solidFill>
                </w14:textFill>
              </w:rPr>
              <w:t>4-21  废油性漆桶</w:t>
            </w:r>
            <w:r>
              <w:rPr>
                <w:rFonts w:cs="宋体"/>
                <w:b/>
                <w:color w:val="0D0D0D" w:themeColor="text1" w:themeTint="F2"/>
                <w:spacing w:val="-10"/>
                <w:szCs w:val="21"/>
                <w14:textFill>
                  <w14:solidFill>
                    <w14:schemeClr w14:val="tx1">
                      <w14:lumMod w14:val="95000"/>
                      <w14:lumOff w14:val="5000"/>
                    </w14:schemeClr>
                  </w14:solidFill>
                </w14:textFill>
              </w:rPr>
              <w:t>核算情况一览表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2064"/>
              <w:gridCol w:w="916"/>
              <w:gridCol w:w="1081"/>
              <w:gridCol w:w="1095"/>
              <w:gridCol w:w="1111"/>
              <w:gridCol w:w="1006"/>
              <w:gridCol w:w="1064"/>
            </w:tblGrid>
            <w:tr w14:paraId="4BDF9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Align w:val="center"/>
                </w:tcPr>
                <w:p w14:paraId="6F46F61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序号</w:t>
                  </w:r>
                </w:p>
              </w:tc>
              <w:tc>
                <w:tcPr>
                  <w:tcW w:w="1698" w:type="pct"/>
                  <w:gridSpan w:val="2"/>
                  <w:vAlign w:val="center"/>
                </w:tcPr>
                <w:p w14:paraId="105B928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名称</w:t>
                  </w:r>
                </w:p>
              </w:tc>
              <w:tc>
                <w:tcPr>
                  <w:tcW w:w="616" w:type="pct"/>
                  <w:vAlign w:val="center"/>
                </w:tcPr>
                <w:p w14:paraId="2410BAC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使用量</w:t>
                  </w:r>
                </w:p>
                <w:p w14:paraId="30DA428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（t/a）</w:t>
                  </w:r>
                </w:p>
              </w:tc>
              <w:tc>
                <w:tcPr>
                  <w:tcW w:w="624" w:type="pct"/>
                  <w:vAlign w:val="center"/>
                </w:tcPr>
                <w:p w14:paraId="4038086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盛装介</w:t>
                  </w:r>
                </w:p>
                <w:p w14:paraId="40A6D71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质体积</w:t>
                  </w:r>
                </w:p>
                <w:p w14:paraId="5B977E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（kg/桶）</w:t>
                  </w:r>
                </w:p>
              </w:tc>
              <w:tc>
                <w:tcPr>
                  <w:tcW w:w="633" w:type="pct"/>
                  <w:vAlign w:val="center"/>
                </w:tcPr>
                <w:p w14:paraId="5DD259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桶净重</w:t>
                  </w:r>
                </w:p>
                <w:p w14:paraId="69B5DDF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（kg/个）</w:t>
                  </w:r>
                </w:p>
              </w:tc>
              <w:tc>
                <w:tcPr>
                  <w:tcW w:w="573" w:type="pct"/>
                  <w:vAlign w:val="center"/>
                </w:tcPr>
                <w:p w14:paraId="011102A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桶数量</w:t>
                  </w:r>
                </w:p>
                <w:p w14:paraId="04A09EA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（个/a）</w:t>
                  </w:r>
                </w:p>
              </w:tc>
              <w:tc>
                <w:tcPr>
                  <w:tcW w:w="606" w:type="pct"/>
                  <w:vAlign w:val="center"/>
                </w:tcPr>
                <w:p w14:paraId="20F37DE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重量</w:t>
                  </w:r>
                </w:p>
                <w:p w14:paraId="383106D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（kg/a）</w:t>
                  </w:r>
                </w:p>
              </w:tc>
            </w:tr>
            <w:tr w14:paraId="76650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5CC83F9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1176" w:type="pct"/>
                  <w:vMerge w:val="restart"/>
                  <w:vAlign w:val="center"/>
                </w:tcPr>
                <w:p w14:paraId="093B90D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HT-1无机富锌涂料</w:t>
                  </w:r>
                </w:p>
              </w:tc>
              <w:tc>
                <w:tcPr>
                  <w:tcW w:w="522" w:type="pct"/>
                  <w:vAlign w:val="center"/>
                </w:tcPr>
                <w:p w14:paraId="4D3068E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5535A68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0.28</w:t>
                  </w:r>
                </w:p>
              </w:tc>
              <w:tc>
                <w:tcPr>
                  <w:tcW w:w="624" w:type="pct"/>
                  <w:vAlign w:val="center"/>
                </w:tcPr>
                <w:p w14:paraId="064395B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69D3582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6BEAE09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c>
                <w:tcPr>
                  <w:tcW w:w="606" w:type="pct"/>
                  <w:vAlign w:val="center"/>
                </w:tcPr>
                <w:p w14:paraId="2CB6A85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r>
            <w:tr w14:paraId="40E7F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1CD695F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6F4472D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2FF7300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38F92DF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624" w:type="pct"/>
                  <w:vAlign w:val="center"/>
                </w:tcPr>
                <w:p w14:paraId="4A653EE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292A625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5A0C195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c>
                <w:tcPr>
                  <w:tcW w:w="606" w:type="pct"/>
                  <w:vAlign w:val="center"/>
                </w:tcPr>
                <w:p w14:paraId="1D3622F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w:t>
                  </w:r>
                </w:p>
              </w:tc>
            </w:tr>
            <w:tr w14:paraId="2FFA9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1EB5B4C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w:t>
                  </w:r>
                </w:p>
              </w:tc>
              <w:tc>
                <w:tcPr>
                  <w:tcW w:w="1176" w:type="pct"/>
                  <w:vMerge w:val="restart"/>
                  <w:vAlign w:val="center"/>
                </w:tcPr>
                <w:p w14:paraId="3BE54DA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8701改性环氧树脂防腐涂料</w:t>
                  </w:r>
                </w:p>
              </w:tc>
              <w:tc>
                <w:tcPr>
                  <w:tcW w:w="522" w:type="pct"/>
                  <w:vAlign w:val="center"/>
                </w:tcPr>
                <w:p w14:paraId="66E0AFD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54C6E9C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0.71</w:t>
                  </w:r>
                </w:p>
              </w:tc>
              <w:tc>
                <w:tcPr>
                  <w:tcW w:w="624" w:type="pct"/>
                  <w:vAlign w:val="center"/>
                </w:tcPr>
                <w:p w14:paraId="6E0452B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36E6DA6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51556EA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29</w:t>
                  </w:r>
                </w:p>
              </w:tc>
              <w:tc>
                <w:tcPr>
                  <w:tcW w:w="606" w:type="pct"/>
                  <w:vAlign w:val="center"/>
                </w:tcPr>
                <w:p w14:paraId="55837A6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29</w:t>
                  </w:r>
                </w:p>
              </w:tc>
            </w:tr>
            <w:tr w14:paraId="59B13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3A7591D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4B68279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75C3A0D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6CFD97B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0.07</w:t>
                  </w:r>
                </w:p>
              </w:tc>
              <w:tc>
                <w:tcPr>
                  <w:tcW w:w="624" w:type="pct"/>
                  <w:vAlign w:val="center"/>
                </w:tcPr>
                <w:p w14:paraId="57B32CD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0FCB0AD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7B6BCDC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28</w:t>
                  </w:r>
                </w:p>
              </w:tc>
              <w:tc>
                <w:tcPr>
                  <w:tcW w:w="606" w:type="pct"/>
                  <w:vAlign w:val="center"/>
                </w:tcPr>
                <w:p w14:paraId="71C2CFF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w:t>
                  </w:r>
                </w:p>
              </w:tc>
            </w:tr>
            <w:tr w14:paraId="0CF4B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7E2DC53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w:t>
                  </w:r>
                </w:p>
              </w:tc>
              <w:tc>
                <w:tcPr>
                  <w:tcW w:w="1176" w:type="pct"/>
                  <w:vMerge w:val="restart"/>
                  <w:vAlign w:val="center"/>
                </w:tcPr>
                <w:p w14:paraId="3CF41D5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EP-98无溶剂环氧防腐涂料</w:t>
                  </w:r>
                </w:p>
              </w:tc>
              <w:tc>
                <w:tcPr>
                  <w:tcW w:w="522" w:type="pct"/>
                  <w:vAlign w:val="center"/>
                </w:tcPr>
                <w:p w14:paraId="7C16290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7930177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1.02</w:t>
                  </w:r>
                </w:p>
              </w:tc>
              <w:tc>
                <w:tcPr>
                  <w:tcW w:w="624" w:type="pct"/>
                  <w:vAlign w:val="center"/>
                </w:tcPr>
                <w:p w14:paraId="450196E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6908332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7A9F415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41</w:t>
                  </w:r>
                </w:p>
              </w:tc>
              <w:tc>
                <w:tcPr>
                  <w:tcW w:w="606" w:type="pct"/>
                  <w:vAlign w:val="center"/>
                </w:tcPr>
                <w:p w14:paraId="4A99E50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41</w:t>
                  </w:r>
                </w:p>
              </w:tc>
            </w:tr>
            <w:tr w14:paraId="04E84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22928F0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6B85732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79A086A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1E5B621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w:t>
                  </w:r>
                </w:p>
              </w:tc>
              <w:tc>
                <w:tcPr>
                  <w:tcW w:w="624" w:type="pct"/>
                  <w:vAlign w:val="center"/>
                </w:tcPr>
                <w:p w14:paraId="32CF75C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5BE5660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0A88BAA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40</w:t>
                  </w:r>
                </w:p>
              </w:tc>
              <w:tc>
                <w:tcPr>
                  <w:tcW w:w="606" w:type="pct"/>
                  <w:vAlign w:val="center"/>
                </w:tcPr>
                <w:p w14:paraId="3A6D0F1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20</w:t>
                  </w:r>
                </w:p>
              </w:tc>
            </w:tr>
            <w:tr w14:paraId="6F3E4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5D4C8A0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w:t>
                  </w:r>
                </w:p>
              </w:tc>
              <w:tc>
                <w:tcPr>
                  <w:tcW w:w="1176" w:type="pct"/>
                  <w:vMerge w:val="restart"/>
                  <w:vAlign w:val="center"/>
                </w:tcPr>
                <w:p w14:paraId="5C584B1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EP-2000非碳系环氧导静电防腐蚀涂料</w:t>
                  </w:r>
                </w:p>
              </w:tc>
              <w:tc>
                <w:tcPr>
                  <w:tcW w:w="522" w:type="pct"/>
                  <w:vAlign w:val="center"/>
                </w:tcPr>
                <w:p w14:paraId="4244B62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610D9E8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0.79</w:t>
                  </w:r>
                </w:p>
              </w:tc>
              <w:tc>
                <w:tcPr>
                  <w:tcW w:w="624" w:type="pct"/>
                  <w:vAlign w:val="center"/>
                </w:tcPr>
                <w:p w14:paraId="6286C9F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67FF531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49244A7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32</w:t>
                  </w:r>
                </w:p>
              </w:tc>
              <w:tc>
                <w:tcPr>
                  <w:tcW w:w="606" w:type="pct"/>
                  <w:vAlign w:val="center"/>
                </w:tcPr>
                <w:p w14:paraId="1049834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32</w:t>
                  </w:r>
                </w:p>
              </w:tc>
            </w:tr>
            <w:tr w14:paraId="7E5B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4383A22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2BEF7BB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1D6A105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0902CDC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0.08</w:t>
                  </w:r>
                </w:p>
              </w:tc>
              <w:tc>
                <w:tcPr>
                  <w:tcW w:w="624" w:type="pct"/>
                  <w:vAlign w:val="center"/>
                </w:tcPr>
                <w:p w14:paraId="4B9D06C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621A2F6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219948D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32</w:t>
                  </w:r>
                </w:p>
              </w:tc>
              <w:tc>
                <w:tcPr>
                  <w:tcW w:w="606" w:type="pct"/>
                  <w:vAlign w:val="center"/>
                </w:tcPr>
                <w:p w14:paraId="108CA32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16</w:t>
                  </w:r>
                </w:p>
              </w:tc>
            </w:tr>
            <w:tr w14:paraId="761C3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1A70746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w:t>
                  </w:r>
                </w:p>
              </w:tc>
              <w:tc>
                <w:tcPr>
                  <w:tcW w:w="1176" w:type="pct"/>
                  <w:vMerge w:val="restart"/>
                  <w:vAlign w:val="center"/>
                </w:tcPr>
                <w:p w14:paraId="672D4A1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EP-90环氧富锌底漆</w:t>
                  </w:r>
                </w:p>
              </w:tc>
              <w:tc>
                <w:tcPr>
                  <w:tcW w:w="522" w:type="pct"/>
                  <w:vAlign w:val="center"/>
                </w:tcPr>
                <w:p w14:paraId="4F80053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7D54AC9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0.72</w:t>
                  </w:r>
                </w:p>
              </w:tc>
              <w:tc>
                <w:tcPr>
                  <w:tcW w:w="624" w:type="pct"/>
                  <w:vAlign w:val="center"/>
                </w:tcPr>
                <w:p w14:paraId="346D79F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30</w:t>
                  </w:r>
                </w:p>
              </w:tc>
              <w:tc>
                <w:tcPr>
                  <w:tcW w:w="633" w:type="pct"/>
                  <w:vAlign w:val="center"/>
                </w:tcPr>
                <w:p w14:paraId="66EBD3D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0029B46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24</w:t>
                  </w:r>
                </w:p>
              </w:tc>
              <w:tc>
                <w:tcPr>
                  <w:tcW w:w="606" w:type="pct"/>
                  <w:vAlign w:val="center"/>
                </w:tcPr>
                <w:p w14:paraId="5AFB4F4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24</w:t>
                  </w:r>
                </w:p>
              </w:tc>
            </w:tr>
            <w:tr w14:paraId="541C8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3378A5B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36796B8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6B1E76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0AAA6FA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0.07</w:t>
                  </w:r>
                </w:p>
              </w:tc>
              <w:tc>
                <w:tcPr>
                  <w:tcW w:w="624" w:type="pct"/>
                  <w:vAlign w:val="center"/>
                </w:tcPr>
                <w:p w14:paraId="478A38C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w:t>
                  </w:r>
                </w:p>
              </w:tc>
              <w:tc>
                <w:tcPr>
                  <w:tcW w:w="633" w:type="pct"/>
                  <w:vAlign w:val="center"/>
                </w:tcPr>
                <w:p w14:paraId="1CB00AD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289CEC4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24</w:t>
                  </w:r>
                </w:p>
              </w:tc>
              <w:tc>
                <w:tcPr>
                  <w:tcW w:w="606" w:type="pct"/>
                  <w:vAlign w:val="center"/>
                </w:tcPr>
                <w:p w14:paraId="2721BB5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r>
            <w:tr w14:paraId="20CBC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667367C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w:t>
                  </w:r>
                </w:p>
              </w:tc>
              <w:tc>
                <w:tcPr>
                  <w:tcW w:w="1176" w:type="pct"/>
                  <w:vMerge w:val="restart"/>
                  <w:vAlign w:val="center"/>
                </w:tcPr>
                <w:p w14:paraId="74623AC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EP-86环氧云铁防腐蚀涂料</w:t>
                  </w:r>
                </w:p>
              </w:tc>
              <w:tc>
                <w:tcPr>
                  <w:tcW w:w="522" w:type="pct"/>
                  <w:vAlign w:val="center"/>
                </w:tcPr>
                <w:p w14:paraId="7774CDA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5703AF2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1.48</w:t>
                  </w:r>
                </w:p>
              </w:tc>
              <w:tc>
                <w:tcPr>
                  <w:tcW w:w="624" w:type="pct"/>
                  <w:vAlign w:val="center"/>
                </w:tcPr>
                <w:p w14:paraId="4364543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7B00DB3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6AE791A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60</w:t>
                  </w:r>
                </w:p>
              </w:tc>
              <w:tc>
                <w:tcPr>
                  <w:tcW w:w="606" w:type="pct"/>
                  <w:vAlign w:val="center"/>
                </w:tcPr>
                <w:p w14:paraId="50CB42B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60</w:t>
                  </w:r>
                </w:p>
              </w:tc>
            </w:tr>
            <w:tr w14:paraId="7C518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449FB2E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3DA04EA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49F6D9C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1E0D711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0.15</w:t>
                  </w:r>
                </w:p>
              </w:tc>
              <w:tc>
                <w:tcPr>
                  <w:tcW w:w="624" w:type="pct"/>
                  <w:vAlign w:val="center"/>
                </w:tcPr>
                <w:p w14:paraId="04B8A2B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3A4685F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3E8E45D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60</w:t>
                  </w:r>
                </w:p>
              </w:tc>
              <w:tc>
                <w:tcPr>
                  <w:tcW w:w="606" w:type="pct"/>
                  <w:vAlign w:val="center"/>
                </w:tcPr>
                <w:p w14:paraId="731B607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30</w:t>
                  </w:r>
                </w:p>
              </w:tc>
            </w:tr>
            <w:tr w14:paraId="5E527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5F61A38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w:t>
                  </w:r>
                </w:p>
              </w:tc>
              <w:tc>
                <w:tcPr>
                  <w:tcW w:w="1176" w:type="pct"/>
                  <w:vMerge w:val="restart"/>
                  <w:vAlign w:val="center"/>
                </w:tcPr>
                <w:p w14:paraId="3FCAB5B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DC脂肪族丙烯酸聚氨酯防腐蚀涂料</w:t>
                  </w:r>
                </w:p>
              </w:tc>
              <w:tc>
                <w:tcPr>
                  <w:tcW w:w="522" w:type="pct"/>
                  <w:vAlign w:val="center"/>
                </w:tcPr>
                <w:p w14:paraId="5EAA71F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4BE20E6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0.3</w:t>
                  </w:r>
                </w:p>
              </w:tc>
              <w:tc>
                <w:tcPr>
                  <w:tcW w:w="624" w:type="pct"/>
                  <w:vAlign w:val="center"/>
                </w:tcPr>
                <w:p w14:paraId="3A5070A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3AFF40B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6D636CB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c>
                <w:tcPr>
                  <w:tcW w:w="606" w:type="pct"/>
                  <w:vAlign w:val="center"/>
                </w:tcPr>
                <w:p w14:paraId="1A4EDBC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r>
            <w:tr w14:paraId="12D9E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1D4A2A9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4150533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4194806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790FB89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624" w:type="pct"/>
                  <w:vAlign w:val="center"/>
                </w:tcPr>
                <w:p w14:paraId="6B28DD9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19C9727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6039619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c>
                <w:tcPr>
                  <w:tcW w:w="606" w:type="pct"/>
                  <w:vAlign w:val="center"/>
                </w:tcPr>
                <w:p w14:paraId="14621C0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w:t>
                  </w:r>
                </w:p>
              </w:tc>
            </w:tr>
            <w:tr w14:paraId="53582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4D460D3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w:t>
                  </w:r>
                </w:p>
              </w:tc>
              <w:tc>
                <w:tcPr>
                  <w:tcW w:w="1176" w:type="pct"/>
                  <w:vMerge w:val="restart"/>
                  <w:vAlign w:val="center"/>
                </w:tcPr>
                <w:p w14:paraId="1376619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SF-01氟碳防腐蚀涂料</w:t>
                  </w:r>
                </w:p>
              </w:tc>
              <w:tc>
                <w:tcPr>
                  <w:tcW w:w="522" w:type="pct"/>
                  <w:vAlign w:val="center"/>
                </w:tcPr>
                <w:p w14:paraId="3F8A601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3A95B08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0.27</w:t>
                  </w:r>
                </w:p>
              </w:tc>
              <w:tc>
                <w:tcPr>
                  <w:tcW w:w="624" w:type="pct"/>
                  <w:vAlign w:val="center"/>
                </w:tcPr>
                <w:p w14:paraId="1BA1A77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23A1A50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0B456EA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w:t>
                  </w:r>
                </w:p>
              </w:tc>
              <w:tc>
                <w:tcPr>
                  <w:tcW w:w="606" w:type="pct"/>
                  <w:vAlign w:val="center"/>
                </w:tcPr>
                <w:p w14:paraId="01B3372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w:t>
                  </w:r>
                </w:p>
              </w:tc>
            </w:tr>
            <w:tr w14:paraId="236D2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776C89E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19F338B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22D3773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259104F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624" w:type="pct"/>
                  <w:vAlign w:val="center"/>
                </w:tcPr>
                <w:p w14:paraId="47787A5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73F9D95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5314670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12</w:t>
                  </w:r>
                </w:p>
              </w:tc>
              <w:tc>
                <w:tcPr>
                  <w:tcW w:w="606" w:type="pct"/>
                  <w:vAlign w:val="center"/>
                </w:tcPr>
                <w:p w14:paraId="50C151D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w:t>
                  </w:r>
                </w:p>
              </w:tc>
            </w:tr>
            <w:tr w14:paraId="04F87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Align w:val="center"/>
                </w:tcPr>
                <w:p w14:paraId="2E77482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9</w:t>
                  </w:r>
                </w:p>
              </w:tc>
              <w:tc>
                <w:tcPr>
                  <w:tcW w:w="1698" w:type="pct"/>
                  <w:gridSpan w:val="2"/>
                  <w:vAlign w:val="center"/>
                </w:tcPr>
                <w:p w14:paraId="311843B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DX-1环氧涂料稀释剂</w:t>
                  </w:r>
                </w:p>
              </w:tc>
              <w:tc>
                <w:tcPr>
                  <w:tcW w:w="616" w:type="pct"/>
                  <w:vAlign w:val="center"/>
                </w:tcPr>
                <w:p w14:paraId="0AEB39E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0.52</w:t>
                  </w:r>
                </w:p>
              </w:tc>
              <w:tc>
                <w:tcPr>
                  <w:tcW w:w="624" w:type="pct"/>
                  <w:vAlign w:val="center"/>
                </w:tcPr>
                <w:p w14:paraId="7D19D62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w:t>
                  </w:r>
                </w:p>
              </w:tc>
              <w:tc>
                <w:tcPr>
                  <w:tcW w:w="633" w:type="pct"/>
                  <w:vAlign w:val="center"/>
                </w:tcPr>
                <w:p w14:paraId="633A1BB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4747260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38</w:t>
                  </w:r>
                </w:p>
              </w:tc>
              <w:tc>
                <w:tcPr>
                  <w:tcW w:w="606" w:type="pct"/>
                  <w:vAlign w:val="center"/>
                </w:tcPr>
                <w:p w14:paraId="0F8BE5B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38</w:t>
                  </w:r>
                </w:p>
              </w:tc>
            </w:tr>
            <w:tr w14:paraId="47686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Align w:val="center"/>
                </w:tcPr>
                <w:p w14:paraId="4ADE184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10</w:t>
                  </w:r>
                </w:p>
              </w:tc>
              <w:tc>
                <w:tcPr>
                  <w:tcW w:w="1698" w:type="pct"/>
                  <w:gridSpan w:val="2"/>
                  <w:vAlign w:val="center"/>
                </w:tcPr>
                <w:p w14:paraId="4555FBC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DX-2丙烯酸聚氨酯涂料稀释剂</w:t>
                  </w:r>
                </w:p>
              </w:tc>
              <w:tc>
                <w:tcPr>
                  <w:tcW w:w="616" w:type="pct"/>
                  <w:vAlign w:val="center"/>
                </w:tcPr>
                <w:p w14:paraId="0EA93D5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624" w:type="pct"/>
                  <w:vAlign w:val="center"/>
                </w:tcPr>
                <w:p w14:paraId="0DA3EF7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w:t>
                  </w:r>
                </w:p>
              </w:tc>
              <w:tc>
                <w:tcPr>
                  <w:tcW w:w="633" w:type="pct"/>
                  <w:vAlign w:val="center"/>
                </w:tcPr>
                <w:p w14:paraId="6526FB3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2380CD1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w:t>
                  </w:r>
                </w:p>
              </w:tc>
              <w:tc>
                <w:tcPr>
                  <w:tcW w:w="606" w:type="pct"/>
                  <w:vAlign w:val="center"/>
                </w:tcPr>
                <w:p w14:paraId="1F48D03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w:t>
                  </w:r>
                </w:p>
              </w:tc>
            </w:tr>
            <w:tr w14:paraId="4198B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Align w:val="center"/>
                </w:tcPr>
                <w:p w14:paraId="0C4A191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w:t>
                  </w:r>
                </w:p>
              </w:tc>
              <w:tc>
                <w:tcPr>
                  <w:tcW w:w="1698" w:type="pct"/>
                  <w:gridSpan w:val="2"/>
                  <w:vAlign w:val="center"/>
                </w:tcPr>
                <w:p w14:paraId="11B0336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X-3无机富锌底漆稀释剂</w:t>
                  </w:r>
                </w:p>
              </w:tc>
              <w:tc>
                <w:tcPr>
                  <w:tcW w:w="616" w:type="pct"/>
                  <w:vAlign w:val="center"/>
                </w:tcPr>
                <w:p w14:paraId="2FB015C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0.03</w:t>
                  </w:r>
                </w:p>
              </w:tc>
              <w:tc>
                <w:tcPr>
                  <w:tcW w:w="624" w:type="pct"/>
                  <w:vAlign w:val="center"/>
                </w:tcPr>
                <w:p w14:paraId="113FA78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w:t>
                  </w:r>
                </w:p>
              </w:tc>
              <w:tc>
                <w:tcPr>
                  <w:tcW w:w="633" w:type="pct"/>
                  <w:vAlign w:val="center"/>
                </w:tcPr>
                <w:p w14:paraId="520B40D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14C3143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w:t>
                  </w:r>
                </w:p>
              </w:tc>
              <w:tc>
                <w:tcPr>
                  <w:tcW w:w="606" w:type="pct"/>
                  <w:vAlign w:val="center"/>
                </w:tcPr>
                <w:p w14:paraId="1AEAED2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w:t>
                  </w:r>
                </w:p>
              </w:tc>
            </w:tr>
            <w:tr w14:paraId="21B12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4" w:type="pct"/>
                  <w:gridSpan w:val="7"/>
                  <w:vAlign w:val="center"/>
                </w:tcPr>
                <w:p w14:paraId="1AD6BE40">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合计</w:t>
                  </w:r>
                </w:p>
              </w:tc>
              <w:tc>
                <w:tcPr>
                  <w:tcW w:w="606" w:type="pct"/>
                  <w:vAlign w:val="center"/>
                </w:tcPr>
                <w:p w14:paraId="3B4D5B3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375</w:t>
                  </w:r>
                </w:p>
              </w:tc>
            </w:tr>
          </w:tbl>
          <w:p w14:paraId="256A299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由上表可知，废油性漆桶产生量为0.38t/a，为固态物质，使用过程中会沾染油漆和稀释剂。根据《国家危险废物名录（2025年版）》，废油漆桶属于危险废物，废物类别为HW49其他废物，废物代码为</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含有或者沾染毒性、感染性危险废物的废弃的包装物、容器、过滤吸附介质，收集后</w:t>
            </w:r>
            <w:r>
              <w:rPr>
                <w:rFonts w:cs="宋体"/>
                <w:bCs/>
                <w:color w:val="0D0D0D" w:themeColor="text1" w:themeTint="F2"/>
                <w:spacing w:val="-10"/>
                <w:sz w:val="24"/>
                <w14:textFill>
                  <w14:solidFill>
                    <w14:schemeClr w14:val="tx1">
                      <w14:lumMod w14:val="95000"/>
                      <w14:lumOff w14:val="5000"/>
                    </w14:schemeClr>
                  </w14:solidFill>
                </w14:textFill>
              </w:rPr>
              <w:t>按特性分区</w:t>
            </w:r>
            <w:r>
              <w:rPr>
                <w:rFonts w:hint="eastAsia" w:cs="宋体"/>
                <w:bCs/>
                <w:color w:val="0D0D0D" w:themeColor="text1" w:themeTint="F2"/>
                <w:spacing w:val="-10"/>
                <w:sz w:val="24"/>
                <w14:textFill>
                  <w14:solidFill>
                    <w14:schemeClr w14:val="tx1">
                      <w14:lumMod w14:val="95000"/>
                      <w14:lumOff w14:val="5000"/>
                    </w14:schemeClr>
                  </w14:solidFill>
                </w14:textFill>
              </w:rPr>
              <w:t>暂存于危废暂存间，暂存时长不超过1年，委托有资质单位清运处置。</w:t>
            </w:r>
          </w:p>
          <w:p w14:paraId="74CAFB9E">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（8）废水性漆桶</w:t>
            </w:r>
          </w:p>
          <w:p w14:paraId="2A23D43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项目喷涂工序会产生废水性漆桶，废水性漆桶核算情况详见表4-22。</w:t>
            </w:r>
          </w:p>
          <w:p w14:paraId="3B90E02D">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cs="宋体"/>
                <w:b/>
                <w:color w:val="0D0D0D" w:themeColor="text1" w:themeTint="F2"/>
                <w:spacing w:val="-10"/>
                <w:szCs w:val="21"/>
                <w14:textFill>
                  <w14:solidFill>
                    <w14:schemeClr w14:val="tx1">
                      <w14:lumMod w14:val="95000"/>
                      <w14:lumOff w14:val="5000"/>
                    </w14:schemeClr>
                  </w14:solidFill>
                </w14:textFill>
              </w:rPr>
              <w:t>表</w:t>
            </w:r>
            <w:r>
              <w:rPr>
                <w:rFonts w:hint="eastAsia" w:cs="宋体"/>
                <w:b/>
                <w:color w:val="0D0D0D" w:themeColor="text1" w:themeTint="F2"/>
                <w:spacing w:val="-10"/>
                <w:szCs w:val="21"/>
                <w14:textFill>
                  <w14:solidFill>
                    <w14:schemeClr w14:val="tx1">
                      <w14:lumMod w14:val="95000"/>
                      <w14:lumOff w14:val="5000"/>
                    </w14:schemeClr>
                  </w14:solidFill>
                </w14:textFill>
              </w:rPr>
              <w:t>4-22  废水性漆桶</w:t>
            </w:r>
            <w:r>
              <w:rPr>
                <w:rFonts w:cs="宋体"/>
                <w:b/>
                <w:color w:val="0D0D0D" w:themeColor="text1" w:themeTint="F2"/>
                <w:spacing w:val="-10"/>
                <w:szCs w:val="21"/>
                <w14:textFill>
                  <w14:solidFill>
                    <w14:schemeClr w14:val="tx1">
                      <w14:lumMod w14:val="95000"/>
                      <w14:lumOff w14:val="5000"/>
                    </w14:schemeClr>
                  </w14:solidFill>
                </w14:textFill>
              </w:rPr>
              <w:t>核算情况一览表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2064"/>
              <w:gridCol w:w="916"/>
              <w:gridCol w:w="1081"/>
              <w:gridCol w:w="1095"/>
              <w:gridCol w:w="1111"/>
              <w:gridCol w:w="1006"/>
              <w:gridCol w:w="1064"/>
            </w:tblGrid>
            <w:tr w14:paraId="07ECB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50" w:type="pct"/>
                  <w:vAlign w:val="center"/>
                </w:tcPr>
                <w:p w14:paraId="3FF4FFE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序号</w:t>
                  </w:r>
                </w:p>
              </w:tc>
              <w:tc>
                <w:tcPr>
                  <w:tcW w:w="1698" w:type="pct"/>
                  <w:gridSpan w:val="2"/>
                  <w:vAlign w:val="center"/>
                </w:tcPr>
                <w:p w14:paraId="350A2DC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名称</w:t>
                  </w:r>
                </w:p>
              </w:tc>
              <w:tc>
                <w:tcPr>
                  <w:tcW w:w="616" w:type="pct"/>
                  <w:vAlign w:val="center"/>
                </w:tcPr>
                <w:p w14:paraId="628B754C">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使用量</w:t>
                  </w:r>
                </w:p>
                <w:p w14:paraId="1B1FD96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（t/a）</w:t>
                  </w:r>
                </w:p>
              </w:tc>
              <w:tc>
                <w:tcPr>
                  <w:tcW w:w="624" w:type="pct"/>
                  <w:vAlign w:val="center"/>
                </w:tcPr>
                <w:p w14:paraId="2FE4E4E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盛装介</w:t>
                  </w:r>
                </w:p>
                <w:p w14:paraId="7B2DE4C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质体积</w:t>
                  </w:r>
                </w:p>
                <w:p w14:paraId="2AAF94D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（kg/桶）</w:t>
                  </w:r>
                </w:p>
              </w:tc>
              <w:tc>
                <w:tcPr>
                  <w:tcW w:w="633" w:type="pct"/>
                  <w:vAlign w:val="center"/>
                </w:tcPr>
                <w:p w14:paraId="2CEDEC6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桶净重</w:t>
                  </w:r>
                </w:p>
                <w:p w14:paraId="3E93CFC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（kg/个）</w:t>
                  </w:r>
                </w:p>
              </w:tc>
              <w:tc>
                <w:tcPr>
                  <w:tcW w:w="573" w:type="pct"/>
                  <w:vAlign w:val="center"/>
                </w:tcPr>
                <w:p w14:paraId="4797491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桶数量</w:t>
                  </w:r>
                </w:p>
                <w:p w14:paraId="11DB762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（个/a）</w:t>
                  </w:r>
                </w:p>
              </w:tc>
              <w:tc>
                <w:tcPr>
                  <w:tcW w:w="606" w:type="pct"/>
                  <w:vAlign w:val="center"/>
                </w:tcPr>
                <w:p w14:paraId="2B50B9F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重量</w:t>
                  </w:r>
                </w:p>
                <w:p w14:paraId="52FB25F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（kg/a）</w:t>
                  </w:r>
                </w:p>
              </w:tc>
            </w:tr>
            <w:tr w14:paraId="04528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restart"/>
                  <w:vAlign w:val="center"/>
                </w:tcPr>
                <w:p w14:paraId="1FD70D3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1176" w:type="pct"/>
                  <w:vMerge w:val="restart"/>
                  <w:vAlign w:val="center"/>
                </w:tcPr>
                <w:p w14:paraId="1821CCF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WE-2水性环氧防腐蚀涂料</w:t>
                  </w:r>
                </w:p>
              </w:tc>
              <w:tc>
                <w:tcPr>
                  <w:tcW w:w="522" w:type="pct"/>
                  <w:vAlign w:val="center"/>
                </w:tcPr>
                <w:p w14:paraId="63C11A7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基料</w:t>
                  </w:r>
                </w:p>
              </w:tc>
              <w:tc>
                <w:tcPr>
                  <w:tcW w:w="616" w:type="pct"/>
                  <w:vAlign w:val="center"/>
                </w:tcPr>
                <w:p w14:paraId="02210EF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1.45</w:t>
                  </w:r>
                </w:p>
              </w:tc>
              <w:tc>
                <w:tcPr>
                  <w:tcW w:w="624" w:type="pct"/>
                  <w:vAlign w:val="center"/>
                </w:tcPr>
                <w:p w14:paraId="4946E08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3F1FB47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c>
                <w:tcPr>
                  <w:tcW w:w="573" w:type="pct"/>
                  <w:vAlign w:val="center"/>
                </w:tcPr>
                <w:p w14:paraId="3E5B36E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58</w:t>
                  </w:r>
                </w:p>
              </w:tc>
              <w:tc>
                <w:tcPr>
                  <w:tcW w:w="606" w:type="pct"/>
                  <w:vAlign w:val="center"/>
                </w:tcPr>
                <w:p w14:paraId="4C556D6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58</w:t>
                  </w:r>
                </w:p>
              </w:tc>
            </w:tr>
            <w:tr w14:paraId="632BE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 w:type="pct"/>
                  <w:vMerge w:val="continue"/>
                  <w:vAlign w:val="center"/>
                </w:tcPr>
                <w:p w14:paraId="6D2E6BD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1176" w:type="pct"/>
                  <w:vMerge w:val="continue"/>
                  <w:vAlign w:val="center"/>
                </w:tcPr>
                <w:p w14:paraId="28ED40C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22" w:type="pct"/>
                  <w:vAlign w:val="center"/>
                </w:tcPr>
                <w:p w14:paraId="30DAC20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固化剂</w:t>
                  </w:r>
                </w:p>
              </w:tc>
              <w:tc>
                <w:tcPr>
                  <w:tcW w:w="616" w:type="pct"/>
                  <w:vAlign w:val="center"/>
                </w:tcPr>
                <w:p w14:paraId="53522EB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0.14</w:t>
                  </w:r>
                </w:p>
              </w:tc>
              <w:tc>
                <w:tcPr>
                  <w:tcW w:w="624" w:type="pct"/>
                  <w:vAlign w:val="center"/>
                </w:tcPr>
                <w:p w14:paraId="12D6970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c>
                <w:tcPr>
                  <w:tcW w:w="633" w:type="pct"/>
                  <w:vAlign w:val="center"/>
                </w:tcPr>
                <w:p w14:paraId="4D6C564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0.5</w:t>
                  </w:r>
                </w:p>
              </w:tc>
              <w:tc>
                <w:tcPr>
                  <w:tcW w:w="573" w:type="pct"/>
                  <w:vAlign w:val="center"/>
                </w:tcPr>
                <w:p w14:paraId="5037F71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56</w:t>
                  </w:r>
                </w:p>
              </w:tc>
              <w:tc>
                <w:tcPr>
                  <w:tcW w:w="606" w:type="pct"/>
                  <w:vAlign w:val="center"/>
                </w:tcPr>
                <w:p w14:paraId="0E0EA71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28</w:t>
                  </w:r>
                </w:p>
              </w:tc>
            </w:tr>
            <w:tr w14:paraId="1DA6E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4" w:type="pct"/>
                  <w:gridSpan w:val="7"/>
                  <w:vAlign w:val="center"/>
                </w:tcPr>
                <w:p w14:paraId="255A6B6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合计</w:t>
                  </w:r>
                </w:p>
              </w:tc>
              <w:tc>
                <w:tcPr>
                  <w:tcW w:w="606" w:type="pct"/>
                  <w:vAlign w:val="center"/>
                </w:tcPr>
                <w:p w14:paraId="18D77B6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86</w:t>
                  </w:r>
                </w:p>
              </w:tc>
            </w:tr>
          </w:tbl>
          <w:p w14:paraId="28090555">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由上表可知，废水性漆桶产生量为0.09t/a，根据《国家危险废物名录（2025年版）》和水性漆安全技术书，废水性漆桶无法直接判断固废属性，在进行危险废物属性鉴定之前，作为危险废物进行管理和处置（可参照</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7D1E55F5">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（9）</w:t>
            </w:r>
            <w:bookmarkStart w:id="28" w:name="OLE_LINK38"/>
            <w:r>
              <w:rPr>
                <w:rFonts w:hint="eastAsia" w:cs="宋体"/>
                <w:bCs/>
                <w:color w:val="0D0D0D" w:themeColor="text1" w:themeTint="F2"/>
                <w:spacing w:val="-10"/>
                <w:sz w:val="24"/>
                <w14:textFill>
                  <w14:solidFill>
                    <w14:schemeClr w14:val="tx1">
                      <w14:lumMod w14:val="95000"/>
                      <w14:lumOff w14:val="5000"/>
                    </w14:schemeClr>
                  </w14:solidFill>
                </w14:textFill>
              </w:rPr>
              <w:t>漆渣</w:t>
            </w:r>
            <w:bookmarkEnd w:id="28"/>
          </w:p>
          <w:p w14:paraId="3267BA02">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喷漆过程中会产生漆渣，包括喷漆房地面的漆渣和水帘柜废水中形成的漆渣。根据上文分析，喷漆房地面的漆渣产生量为1.14t/a。废气中漆雾去除量为0.48t/a，水帘柜+过滤棉组合工艺漆雾去除率为95%，其中水帘柜去除率为85%，本次评价按水帘柜去除漆雾全部形成漆渣计，即水帘柜漆渣产生量为0.41t/a，漆渣总产生量为1.55t/a。喷漆房地面漆渣和水帘柜漆渣每月清理收集一次，漆渣使用专用密闭容器收集后暂存。</w:t>
            </w:r>
          </w:p>
          <w:p w14:paraId="685ECC5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项目所用油漆包括油性漆和水性漆，漆渣产生过程无法单独收集，根据《国家危险废物名录（2025年版）》，漆渣属于危险废物，废物类别为HW12染料、涂料废物，废物代码为</w:t>
            </w:r>
            <w:r>
              <w:rPr>
                <w:rFonts w:cs="宋体"/>
                <w:bCs/>
                <w:color w:val="0D0D0D" w:themeColor="text1" w:themeTint="F2"/>
                <w:spacing w:val="-10"/>
                <w:sz w:val="24"/>
                <w14:textFill>
                  <w14:solidFill>
                    <w14:schemeClr w14:val="tx1">
                      <w14:lumMod w14:val="95000"/>
                      <w14:lumOff w14:val="5000"/>
                    </w14:schemeClr>
                  </w14:solidFill>
                </w14:textFill>
              </w:rPr>
              <w:t>900-252-12</w:t>
            </w:r>
            <w:r>
              <w:rPr>
                <w:rFonts w:hint="eastAsia" w:cs="宋体"/>
                <w:bCs/>
                <w:color w:val="0D0D0D" w:themeColor="text1" w:themeTint="F2"/>
                <w:spacing w:val="-10"/>
                <w:sz w:val="24"/>
                <w14:textFill>
                  <w14:solidFill>
                    <w14:schemeClr w14:val="tx1">
                      <w14:lumMod w14:val="95000"/>
                      <w14:lumOff w14:val="5000"/>
                    </w14:schemeClr>
                  </w14:solidFill>
                </w14:textFill>
              </w:rPr>
              <w:t>使用油漆（不包括水性漆）、有机溶剂进行喷漆、上漆过程中通过喷漆雾湿法捕集产生的漆渣，以及喷涂工位和管道清理过程中产生的落地漆渣，使用专用容器收集后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w:t>
            </w:r>
          </w:p>
          <w:p w14:paraId="17D1A20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（10）水帘柜喷漆废水</w:t>
            </w:r>
          </w:p>
          <w:p w14:paraId="60410B5B">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水帘柜喷淋用水循环使用，为保证污染物去除率，每季度更换一次，年更换次数为4次，更换量为8m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/a，即水帘柜喷漆废水产生量为8m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/a。</w:t>
            </w:r>
          </w:p>
          <w:p w14:paraId="3A5D79B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水帘柜喷漆废水含有油性漆、水性漆和稀释剂，根据《国家危险废物名录（2025年版）》，属于危险废物，废物类别为HW</w:t>
            </w:r>
            <w:r>
              <w:rPr>
                <w:rFonts w:cs="宋体"/>
                <w:bCs/>
                <w:color w:val="0D0D0D" w:themeColor="text1" w:themeTint="F2"/>
                <w:spacing w:val="-10"/>
                <w:sz w:val="24"/>
                <w14:textFill>
                  <w14:solidFill>
                    <w14:schemeClr w14:val="tx1">
                      <w14:lumMod w14:val="95000"/>
                      <w14:lumOff w14:val="5000"/>
                    </w14:schemeClr>
                  </w14:solidFill>
                </w14:textFill>
              </w:rPr>
              <w:t>09</w:t>
            </w:r>
            <w:r>
              <w:rPr>
                <w:rFonts w:hint="eastAsia" w:cs="宋体"/>
                <w:bCs/>
                <w:color w:val="0D0D0D" w:themeColor="text1" w:themeTint="F2"/>
                <w:spacing w:val="-10"/>
                <w:sz w:val="24"/>
                <w14:textFill>
                  <w14:solidFill>
                    <w14:schemeClr w14:val="tx1">
                      <w14:lumMod w14:val="95000"/>
                      <w14:lumOff w14:val="5000"/>
                    </w14:schemeClr>
                  </w14:solidFill>
                </w14:textFill>
              </w:rPr>
              <w:t>油/水、烃/水混合物或者乳化液，废物代码为</w:t>
            </w:r>
            <w:r>
              <w:rPr>
                <w:rFonts w:cs="宋体"/>
                <w:bCs/>
                <w:color w:val="0D0D0D" w:themeColor="text1" w:themeTint="F2"/>
                <w:spacing w:val="-10"/>
                <w:sz w:val="24"/>
                <w14:textFill>
                  <w14:solidFill>
                    <w14:schemeClr w14:val="tx1">
                      <w14:lumMod w14:val="95000"/>
                      <w14:lumOff w14:val="5000"/>
                    </w14:schemeClr>
                  </w14:solidFill>
                </w14:textFill>
              </w:rPr>
              <w:t>900-007-09</w:t>
            </w:r>
            <w:r>
              <w:rPr>
                <w:rFonts w:hint="eastAsia" w:cs="宋体"/>
                <w:bCs/>
                <w:color w:val="0D0D0D" w:themeColor="text1" w:themeTint="F2"/>
                <w:spacing w:val="-10"/>
                <w:sz w:val="24"/>
                <w14:textFill>
                  <w14:solidFill>
                    <w14:schemeClr w14:val="tx1">
                      <w14:lumMod w14:val="95000"/>
                      <w14:lumOff w14:val="5000"/>
                    </w14:schemeClr>
                  </w14:solidFill>
                </w14:textFill>
              </w:rPr>
              <w:t>其他工艺过程中产生的废弃的油/水、烃/水混合物或者乳化液，使用专用容器收集后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w:t>
            </w:r>
          </w:p>
          <w:p w14:paraId="2F139BF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（11）</w:t>
            </w:r>
            <w:bookmarkStart w:id="29" w:name="OLE_LINK39"/>
            <w:r>
              <w:rPr>
                <w:rFonts w:hint="eastAsia" w:cs="宋体"/>
                <w:bCs/>
                <w:color w:val="0D0D0D" w:themeColor="text1" w:themeTint="F2"/>
                <w:spacing w:val="-10"/>
                <w:sz w:val="24"/>
                <w14:textFill>
                  <w14:solidFill>
                    <w14:schemeClr w14:val="tx1">
                      <w14:lumMod w14:val="95000"/>
                      <w14:lumOff w14:val="5000"/>
                    </w14:schemeClr>
                  </w14:solidFill>
                </w14:textFill>
              </w:rPr>
              <w:t>废过滤棉</w:t>
            </w:r>
            <w:bookmarkEnd w:id="29"/>
          </w:p>
          <w:p w14:paraId="462E3FEA">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项目采用水帘柜+过滤棉组合工艺对漆雾进行处理，为保证废气治理效果，需要定期更换过滤棉，更换频率为每月1次，废气治理装置中过滤棉单次填充量为10kg，年更换次数为12次，则年更换的过滤棉为0.12t/a。</w:t>
            </w:r>
          </w:p>
          <w:p w14:paraId="09B94137">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前文分析，水帘柜+过滤棉组合工艺漆雾去除率为95%，其中水帘柜去除率为85%，漆雾总去除量为0.48t/a，其中水帘柜去除量为0.41t/a，则过滤棉漆雾去除量为0.07t/a。综上，废过滤棉（含吸附的漆雾）产生量为0.19t/a。</w:t>
            </w:r>
          </w:p>
          <w:p w14:paraId="230799C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废过滤棉沾染漆雾，根据《国家危险废物名录（2025年版）》，属于危险废物，废物类别为HW49其他废物，废物代码为</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含有或者沾染毒性、感染性危险废物的废弃的包装物、容器、过滤吸附介质，使用专用容器收集后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w:t>
            </w:r>
          </w:p>
          <w:p w14:paraId="75A2FCA5">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（12）</w:t>
            </w:r>
            <w:bookmarkStart w:id="30" w:name="OLE_LINK40"/>
            <w:r>
              <w:rPr>
                <w:rFonts w:hint="eastAsia" w:cs="宋体"/>
                <w:bCs/>
                <w:color w:val="0D0D0D" w:themeColor="text1" w:themeTint="F2"/>
                <w:spacing w:val="-10"/>
                <w:sz w:val="24"/>
                <w14:textFill>
                  <w14:solidFill>
                    <w14:schemeClr w14:val="tx1">
                      <w14:lumMod w14:val="95000"/>
                      <w14:lumOff w14:val="5000"/>
                    </w14:schemeClr>
                  </w14:solidFill>
                </w14:textFill>
              </w:rPr>
              <w:t>废活性炭</w:t>
            </w:r>
            <w:bookmarkEnd w:id="30"/>
          </w:p>
          <w:p w14:paraId="08C33D3B">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根据设计资料，单级活性炭吸附箱设计规格为2.5×2×1.3m，体积为6.5m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，二级活性炭吸附装置体积合计为13m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。考虑到设备实际运行等因素，本次评价二级活性炭吸附装置中活性炭填充系数按0.9计，实际填充体积为11.7m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。根据蜂窝活性炭参数，体积密度一般为0.4～0.5g/cm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，基于保守评估原则，本次评价从体积密度越大、活性炭用量越多的最不利情形考虑，即活性炭体积密度取0.5g/cm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（500kg/m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则二级活性炭吸附装置活性炭填充量为5.85t/a。为保证吸附效率，1＃二级活性炭吸附装置中的活性炭每季度更换一次，每年更换次数为4次，活性炭使用量为23.4t/a。根据前文分析，1＃二级活性炭吸附装置吸附的有机废气量为0.55t/a，则1＃二级活性炭吸附装置废活性炭产生量为23.95t/a。2＃二级活性炭吸附装置中的活性炭每年更换一次，每年更换次数为1次，活性炭使用量为5.85t/a，则2＃二级活性炭吸附装置废活性炭产生量为5.85t/a。综上，项目废活性炭产生量为29.8t/a。</w:t>
            </w:r>
          </w:p>
          <w:p w14:paraId="4510BA81">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根据《国家危险废物名录（2025年版）》，废活性炭属于危险废物，废物类别为</w:t>
            </w:r>
            <w:r>
              <w:rPr>
                <w:rFonts w:cs="宋体"/>
                <w:bCs/>
                <w:color w:val="0D0D0D" w:themeColor="text1" w:themeTint="F2"/>
                <w:spacing w:val="-10"/>
                <w:sz w:val="24"/>
                <w14:textFill>
                  <w14:solidFill>
                    <w14:schemeClr w14:val="tx1">
                      <w14:lumMod w14:val="95000"/>
                      <w14:lumOff w14:val="5000"/>
                    </w14:schemeClr>
                  </w14:solidFill>
                </w14:textFill>
              </w:rPr>
              <w:t>HW49</w:t>
            </w:r>
            <w:r>
              <w:rPr>
                <w:rFonts w:hint="eastAsia" w:cs="宋体"/>
                <w:bCs/>
                <w:color w:val="0D0D0D" w:themeColor="text1" w:themeTint="F2"/>
                <w:spacing w:val="-10"/>
                <w:sz w:val="24"/>
                <w14:textFill>
                  <w14:solidFill>
                    <w14:schemeClr w14:val="tx1">
                      <w14:lumMod w14:val="95000"/>
                      <w14:lumOff w14:val="5000"/>
                    </w14:schemeClr>
                  </w14:solidFill>
                </w14:textFill>
              </w:rPr>
              <w:t>其他废物，废物代码为</w:t>
            </w:r>
            <w:r>
              <w:rPr>
                <w:rFonts w:cs="宋体"/>
                <w:bCs/>
                <w:color w:val="0D0D0D" w:themeColor="text1" w:themeTint="F2"/>
                <w:spacing w:val="-10"/>
                <w:sz w:val="24"/>
                <w14:textFill>
                  <w14:solidFill>
                    <w14:schemeClr w14:val="tx1">
                      <w14:lumMod w14:val="95000"/>
                      <w14:lumOff w14:val="5000"/>
                    </w14:schemeClr>
                  </w14:solidFill>
                </w14:textFill>
              </w:rPr>
              <w:t>900-039-49</w:t>
            </w:r>
            <w:r>
              <w:rPr>
                <w:rFonts w:hint="eastAsia" w:cs="宋体"/>
                <w:bCs/>
                <w:color w:val="0D0D0D" w:themeColor="text1" w:themeTint="F2"/>
                <w:spacing w:val="-10"/>
                <w:sz w:val="24"/>
                <w14:textFill>
                  <w14:solidFill>
                    <w14:schemeClr w14:val="tx1">
                      <w14:lumMod w14:val="95000"/>
                      <w14:lumOff w14:val="5000"/>
                    </w14:schemeClr>
                  </w14:solidFill>
                </w14:textFill>
              </w:rPr>
              <w:t>烟气、VOCs治理过程（不包括餐饮行业油烟治理过程）产生的废活性炭，化学原料和化学制品脱色（不包括有机合成食品添加剂脱色）、除杂、净化过程产生的废活性炭（不包括900-405-06、772-005-18、261-053-29、265-002-29、384-003-29、387-001-29类危险废物），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w:t>
            </w:r>
          </w:p>
          <w:p w14:paraId="2DCFB7F0">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（13）</w:t>
            </w:r>
            <w:bookmarkStart w:id="31" w:name="OLE_LINK41"/>
            <w:r>
              <w:rPr>
                <w:rFonts w:hint="eastAsia" w:cs="宋体"/>
                <w:bCs/>
                <w:color w:val="0D0D0D" w:themeColor="text1" w:themeTint="F2"/>
                <w:spacing w:val="-10"/>
                <w:sz w:val="24"/>
                <w14:textFill>
                  <w14:solidFill>
                    <w14:schemeClr w14:val="tx1">
                      <w14:lumMod w14:val="95000"/>
                      <w14:lumOff w14:val="5000"/>
                    </w14:schemeClr>
                  </w14:solidFill>
                </w14:textFill>
              </w:rPr>
              <w:t>废机油</w:t>
            </w:r>
            <w:bookmarkEnd w:id="31"/>
          </w:p>
          <w:p w14:paraId="14D03A32">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为保证生产设备处于良好运行状态，根据建设单位提供的资料，项目生产设备每年需定期维护1次，使用机油对设备进行维护的过程中会产生废机油，产生量约为0.01t/a。</w:t>
            </w:r>
          </w:p>
          <w:p w14:paraId="135558F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根据《国家危险废物名录（2025年版）》，废机油属于危险废物，废物类别为HW08废矿物油与含矿物油废物，废物代码为</w:t>
            </w:r>
            <w:r>
              <w:rPr>
                <w:rFonts w:cs="宋体"/>
                <w:bCs/>
                <w:color w:val="0D0D0D" w:themeColor="text1" w:themeTint="F2"/>
                <w:spacing w:val="-10"/>
                <w:sz w:val="24"/>
                <w14:textFill>
                  <w14:solidFill>
                    <w14:schemeClr w14:val="tx1">
                      <w14:lumMod w14:val="95000"/>
                      <w14:lumOff w14:val="5000"/>
                    </w14:schemeClr>
                  </w14:solidFill>
                </w14:textFill>
              </w:rPr>
              <w:t>900-249-08</w:t>
            </w:r>
            <w:r>
              <w:rPr>
                <w:rFonts w:hint="eastAsia" w:cs="宋体"/>
                <w:bCs/>
                <w:color w:val="0D0D0D" w:themeColor="text1" w:themeTint="F2"/>
                <w:spacing w:val="-10"/>
                <w:sz w:val="24"/>
                <w14:textFill>
                  <w14:solidFill>
                    <w14:schemeClr w14:val="tx1">
                      <w14:lumMod w14:val="95000"/>
                      <w14:lumOff w14:val="5000"/>
                    </w14:schemeClr>
                  </w14:solidFill>
                </w14:textFill>
              </w:rPr>
              <w:t>其他生产、销售、使用过程中产生的废矿物油及沾染矿物油的废弃包装物，使用专用容器收集后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w:t>
            </w:r>
          </w:p>
          <w:p w14:paraId="4C43F76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（14）废机油桶</w:t>
            </w:r>
          </w:p>
          <w:p w14:paraId="66769F7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为保证生产设备处于良好运行状态，根据建设单位提供的资料，项目生产设备每年需定期维护1次，使用机油对设备进行维护的过程中会产生废机油桶，产生量约为0.01t/a。</w:t>
            </w:r>
          </w:p>
          <w:p w14:paraId="6FD0F797">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根据《国家危险废物名录（2025年版）》，废机油桶属于危险废物，废物类别为HW49其他废物，废物代码为</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含有或者沾染毒性、感染性危险废物的废弃的包装物、容器、过滤吸附介质，使用专用容器收集后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w:t>
            </w:r>
          </w:p>
          <w:p w14:paraId="3EB747C1">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（15）</w:t>
            </w:r>
            <w:bookmarkStart w:id="32" w:name="OLE_LINK42"/>
            <w:r>
              <w:rPr>
                <w:rFonts w:hint="eastAsia" w:cs="宋体"/>
                <w:bCs/>
                <w:color w:val="0D0D0D" w:themeColor="text1" w:themeTint="F2"/>
                <w:spacing w:val="-10"/>
                <w:sz w:val="24"/>
                <w14:textFill>
                  <w14:solidFill>
                    <w14:schemeClr w14:val="tx1">
                      <w14:lumMod w14:val="95000"/>
                      <w14:lumOff w14:val="5000"/>
                    </w14:schemeClr>
                  </w14:solidFill>
                </w14:textFill>
              </w:rPr>
              <w:t>废含油抹布</w:t>
            </w:r>
            <w:bookmarkEnd w:id="32"/>
          </w:p>
          <w:p w14:paraId="1848802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为保证生产设备处于良好运行状态，根据建设单位提供的资料，项目生产设备每年需定期维护1次，使用机油对设备进行维护的过程中会产生废含油抹布，产生量约为0.01t/a，本次评价要求对其进行分类收集。</w:t>
            </w:r>
          </w:p>
          <w:p w14:paraId="3069CF48">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根据《国家危险废物名录（2025年版）》，废含油抹布属于危险废物，废物类别为HW49其他废物，废物代码为</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含有或者沾染毒性、感染性危险废物的废弃的包装物、容器、过滤吸附介质，使用专用容器收集后</w:t>
            </w:r>
            <w:r>
              <w:rPr>
                <w:rFonts w:cs="宋体"/>
                <w:bCs/>
                <w:color w:val="0D0D0D" w:themeColor="text1" w:themeTint="F2"/>
                <w:spacing w:val="-10"/>
                <w:sz w:val="24"/>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14:textFill>
                  <w14:solidFill>
                    <w14:schemeClr w14:val="tx1">
                      <w14:lumMod w14:val="95000"/>
                      <w14:lumOff w14:val="5000"/>
                    </w14:schemeClr>
                  </w14:solidFill>
                </w14:textFill>
              </w:rPr>
              <w:t>于危废暂存间，暂存时长不超过1年，委托有资质单位清运处置。</w:t>
            </w:r>
          </w:p>
          <w:p w14:paraId="6641D8F1">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（16）生活垃圾</w:t>
            </w:r>
          </w:p>
          <w:p w14:paraId="072C82F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项目</w:t>
            </w:r>
            <w:r>
              <w:rPr>
                <w:rFonts w:hint="eastAsia" w:cs="宋体"/>
                <w:bCs/>
                <w:color w:val="0D0D0D" w:themeColor="text1" w:themeTint="F2"/>
                <w:spacing w:val="-10"/>
                <w:sz w:val="24"/>
                <w14:textFill>
                  <w14:solidFill>
                    <w14:schemeClr w14:val="tx1">
                      <w14:lumMod w14:val="95000"/>
                      <w14:lumOff w14:val="5000"/>
                    </w14:schemeClr>
                  </w14:solidFill>
                </w14:textFill>
              </w:rPr>
              <w:t>劳动定员150</w:t>
            </w:r>
            <w:r>
              <w:rPr>
                <w:rFonts w:cs="宋体"/>
                <w:bCs/>
                <w:color w:val="0D0D0D" w:themeColor="text1" w:themeTint="F2"/>
                <w:spacing w:val="-10"/>
                <w:sz w:val="24"/>
                <w14:textFill>
                  <w14:solidFill>
                    <w14:schemeClr w14:val="tx1">
                      <w14:lumMod w14:val="95000"/>
                      <w14:lumOff w14:val="5000"/>
                    </w14:schemeClr>
                  </w14:solidFill>
                </w14:textFill>
              </w:rPr>
              <w:t>人，生活垃圾</w:t>
            </w:r>
            <w:r>
              <w:rPr>
                <w:rFonts w:hint="eastAsia" w:cs="宋体"/>
                <w:bCs/>
                <w:color w:val="0D0D0D" w:themeColor="text1" w:themeTint="F2"/>
                <w:spacing w:val="-10"/>
                <w:sz w:val="24"/>
                <w14:textFill>
                  <w14:solidFill>
                    <w14:schemeClr w14:val="tx1">
                      <w14:lumMod w14:val="95000"/>
                      <w14:lumOff w14:val="5000"/>
                    </w14:schemeClr>
                  </w14:solidFill>
                </w14:textFill>
              </w:rPr>
              <w:t>产污系数</w:t>
            </w:r>
            <w:r>
              <w:rPr>
                <w:rFonts w:cs="宋体"/>
                <w:bCs/>
                <w:color w:val="0D0D0D" w:themeColor="text1" w:themeTint="F2"/>
                <w:spacing w:val="-10"/>
                <w:sz w:val="24"/>
                <w14:textFill>
                  <w14:solidFill>
                    <w14:schemeClr w14:val="tx1">
                      <w14:lumMod w14:val="95000"/>
                      <w14:lumOff w14:val="5000"/>
                    </w14:schemeClr>
                  </w14:solidFill>
                </w14:textFill>
              </w:rPr>
              <w:t>按0.5kg/人·d计</w:t>
            </w:r>
            <w:r>
              <w:rPr>
                <w:rFonts w:hint="eastAsia" w:cs="宋体"/>
                <w:bCs/>
                <w:color w:val="0D0D0D" w:themeColor="text1" w:themeTint="F2"/>
                <w:spacing w:val="-10"/>
                <w:sz w:val="24"/>
                <w14:textFill>
                  <w14:solidFill>
                    <w14:schemeClr w14:val="tx1">
                      <w14:lumMod w14:val="95000"/>
                      <w14:lumOff w14:val="5000"/>
                    </w14:schemeClr>
                  </w14:solidFill>
                </w14:textFill>
              </w:rPr>
              <w:t>，年作业时间为300天，</w:t>
            </w:r>
            <w:r>
              <w:rPr>
                <w:rFonts w:cs="宋体"/>
                <w:bCs/>
                <w:color w:val="0D0D0D" w:themeColor="text1" w:themeTint="F2"/>
                <w:spacing w:val="-10"/>
                <w:sz w:val="24"/>
                <w14:textFill>
                  <w14:solidFill>
                    <w14:schemeClr w14:val="tx1">
                      <w14:lumMod w14:val="95000"/>
                      <w14:lumOff w14:val="5000"/>
                    </w14:schemeClr>
                  </w14:solidFill>
                </w14:textFill>
              </w:rPr>
              <w:t>则生活垃圾</w:t>
            </w:r>
            <w:r>
              <w:rPr>
                <w:rFonts w:hint="eastAsia" w:cs="宋体"/>
                <w:bCs/>
                <w:color w:val="0D0D0D" w:themeColor="text1" w:themeTint="F2"/>
                <w:spacing w:val="-10"/>
                <w:sz w:val="24"/>
                <w14:textFill>
                  <w14:solidFill>
                    <w14:schemeClr w14:val="tx1">
                      <w14:lumMod w14:val="95000"/>
                      <w14:lumOff w14:val="5000"/>
                    </w14:schemeClr>
                  </w14:solidFill>
                </w14:textFill>
              </w:rPr>
              <w:t>产生</w:t>
            </w:r>
            <w:r>
              <w:rPr>
                <w:rFonts w:cs="宋体"/>
                <w:bCs/>
                <w:color w:val="0D0D0D" w:themeColor="text1" w:themeTint="F2"/>
                <w:spacing w:val="-10"/>
                <w:sz w:val="24"/>
                <w14:textFill>
                  <w14:solidFill>
                    <w14:schemeClr w14:val="tx1">
                      <w14:lumMod w14:val="95000"/>
                      <w14:lumOff w14:val="5000"/>
                    </w14:schemeClr>
                  </w14:solidFill>
                </w14:textFill>
              </w:rPr>
              <w:t>量</w:t>
            </w:r>
            <w:r>
              <w:rPr>
                <w:rFonts w:hint="eastAsia" w:cs="宋体"/>
                <w:bCs/>
                <w:color w:val="0D0D0D" w:themeColor="text1" w:themeTint="F2"/>
                <w:spacing w:val="-10"/>
                <w:sz w:val="24"/>
                <w14:textFill>
                  <w14:solidFill>
                    <w14:schemeClr w14:val="tx1">
                      <w14:lumMod w14:val="95000"/>
                      <w14:lumOff w14:val="5000"/>
                    </w14:schemeClr>
                  </w14:solidFill>
                </w14:textFill>
              </w:rPr>
              <w:t>为22.5t</w:t>
            </w:r>
            <w:r>
              <w:rPr>
                <w:rFonts w:cs="宋体"/>
                <w:bCs/>
                <w:color w:val="0D0D0D" w:themeColor="text1" w:themeTint="F2"/>
                <w:spacing w:val="-10"/>
                <w:sz w:val="24"/>
                <w14:textFill>
                  <w14:solidFill>
                    <w14:schemeClr w14:val="tx1">
                      <w14:lumMod w14:val="95000"/>
                      <w14:lumOff w14:val="5000"/>
                    </w14:schemeClr>
                  </w14:solidFill>
                </w14:textFill>
              </w:rPr>
              <w:t>/a</w:t>
            </w:r>
            <w:r>
              <w:rPr>
                <w:rFonts w:hint="eastAsia" w:cs="宋体"/>
                <w:bCs/>
                <w:color w:val="0D0D0D" w:themeColor="text1" w:themeTint="F2"/>
                <w:spacing w:val="-10"/>
                <w:sz w:val="24"/>
                <w14:textFill>
                  <w14:solidFill>
                    <w14:schemeClr w14:val="tx1">
                      <w14:lumMod w14:val="95000"/>
                      <w14:lumOff w14:val="5000"/>
                    </w14:schemeClr>
                  </w14:solidFill>
                </w14:textFill>
              </w:rPr>
              <w:t>，主要成分为果皮、纸屑、食品残余等</w:t>
            </w:r>
            <w:r>
              <w:rPr>
                <w:rFonts w:cs="宋体"/>
                <w:bCs/>
                <w:color w:val="0D0D0D" w:themeColor="text1" w:themeTint="F2"/>
                <w:spacing w:val="-10"/>
                <w:sz w:val="24"/>
                <w14:textFill>
                  <w14:solidFill>
                    <w14:schemeClr w14:val="tx1">
                      <w14:lumMod w14:val="95000"/>
                      <w14:lumOff w14:val="5000"/>
                    </w14:schemeClr>
                  </w14:solidFill>
                </w14:textFill>
              </w:rPr>
              <w:t>。生活垃圾</w:t>
            </w:r>
            <w:r>
              <w:rPr>
                <w:rFonts w:hint="eastAsia" w:cs="宋体"/>
                <w:bCs/>
                <w:color w:val="0D0D0D" w:themeColor="text1" w:themeTint="F2"/>
                <w:spacing w:val="-10"/>
                <w:sz w:val="24"/>
                <w14:textFill>
                  <w14:solidFill>
                    <w14:schemeClr w14:val="tx1">
                      <w14:lumMod w14:val="95000"/>
                      <w14:lumOff w14:val="5000"/>
                    </w14:schemeClr>
                  </w14:solidFill>
                </w14:textFill>
              </w:rPr>
              <w:t>集中分类</w:t>
            </w:r>
            <w:r>
              <w:rPr>
                <w:rFonts w:cs="宋体"/>
                <w:bCs/>
                <w:color w:val="0D0D0D" w:themeColor="text1" w:themeTint="F2"/>
                <w:spacing w:val="-10"/>
                <w:sz w:val="24"/>
                <w14:textFill>
                  <w14:solidFill>
                    <w14:schemeClr w14:val="tx1">
                      <w14:lumMod w14:val="95000"/>
                      <w14:lumOff w14:val="5000"/>
                    </w14:schemeClr>
                  </w14:solidFill>
                </w14:textFill>
              </w:rPr>
              <w:t>收集</w:t>
            </w:r>
            <w:r>
              <w:rPr>
                <w:rFonts w:hint="eastAsia" w:cs="宋体"/>
                <w:bCs/>
                <w:color w:val="0D0D0D" w:themeColor="text1" w:themeTint="F2"/>
                <w:spacing w:val="-10"/>
                <w:sz w:val="24"/>
                <w14:textFill>
                  <w14:solidFill>
                    <w14:schemeClr w14:val="tx1">
                      <w14:lumMod w14:val="95000"/>
                      <w14:lumOff w14:val="5000"/>
                    </w14:schemeClr>
                  </w14:solidFill>
                </w14:textFill>
              </w:rPr>
              <w:t>于垃圾桶，交</w:t>
            </w:r>
            <w:r>
              <w:rPr>
                <w:rFonts w:cs="宋体"/>
                <w:bCs/>
                <w:color w:val="0D0D0D" w:themeColor="text1" w:themeTint="F2"/>
                <w:spacing w:val="-10"/>
                <w:sz w:val="24"/>
                <w14:textFill>
                  <w14:solidFill>
                    <w14:schemeClr w14:val="tx1">
                      <w14:lumMod w14:val="95000"/>
                      <w14:lumOff w14:val="5000"/>
                    </w14:schemeClr>
                  </w14:solidFill>
                </w14:textFill>
              </w:rPr>
              <w:t>由环卫部门</w:t>
            </w:r>
            <w:r>
              <w:rPr>
                <w:rFonts w:hint="eastAsia" w:cs="宋体"/>
                <w:bCs/>
                <w:color w:val="0D0D0D" w:themeColor="text1" w:themeTint="F2"/>
                <w:spacing w:val="-10"/>
                <w:sz w:val="24"/>
                <w14:textFill>
                  <w14:solidFill>
                    <w14:schemeClr w14:val="tx1">
                      <w14:lumMod w14:val="95000"/>
                      <w14:lumOff w14:val="5000"/>
                    </w14:schemeClr>
                  </w14:solidFill>
                </w14:textFill>
              </w:rPr>
              <w:t>清运处置。</w:t>
            </w:r>
          </w:p>
          <w:p w14:paraId="51A85F3F">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项目固体废物鉴别分析汇总详见表4-23，项目危险废物汇总详见表4-24。</w:t>
            </w:r>
          </w:p>
          <w:p w14:paraId="435ACBDA">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表4-23</w:t>
            </w:r>
            <w:r>
              <w:rPr>
                <w:rFonts w:cs="宋体"/>
                <w:b/>
                <w:color w:val="0D0D0D" w:themeColor="text1" w:themeTint="F2"/>
                <w:spacing w:val="-10"/>
                <w:szCs w:val="21"/>
                <w14:textFill>
                  <w14:solidFill>
                    <w14:schemeClr w14:val="tx1">
                      <w14:lumMod w14:val="95000"/>
                      <w14:lumOff w14:val="5000"/>
                    </w14:schemeClr>
                  </w14:solidFill>
                </w14:textFill>
              </w:rPr>
              <w:t xml:space="preserve">  项目固体废物利用处置方式评价表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2"/>
              <w:gridCol w:w="1235"/>
              <w:gridCol w:w="990"/>
              <w:gridCol w:w="337"/>
              <w:gridCol w:w="546"/>
              <w:gridCol w:w="1171"/>
              <w:gridCol w:w="839"/>
              <w:gridCol w:w="858"/>
              <w:gridCol w:w="1587"/>
            </w:tblGrid>
            <w:tr w14:paraId="0953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0D4B4D7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名称</w:t>
                  </w:r>
                </w:p>
              </w:tc>
              <w:tc>
                <w:tcPr>
                  <w:tcW w:w="704" w:type="pct"/>
                  <w:vAlign w:val="center"/>
                </w:tcPr>
                <w:p w14:paraId="1CE80EA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类别/</w:t>
                  </w:r>
                </w:p>
                <w:p w14:paraId="0D86BB2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代码</w:t>
                  </w:r>
                </w:p>
              </w:tc>
              <w:tc>
                <w:tcPr>
                  <w:tcW w:w="564" w:type="pct"/>
                  <w:vAlign w:val="center"/>
                </w:tcPr>
                <w:p w14:paraId="04C71154">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产生量（t/a）</w:t>
                  </w:r>
                </w:p>
              </w:tc>
              <w:tc>
                <w:tcPr>
                  <w:tcW w:w="192" w:type="pct"/>
                  <w:vAlign w:val="center"/>
                </w:tcPr>
                <w:p w14:paraId="63F0798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产生</w:t>
                  </w:r>
                </w:p>
                <w:p w14:paraId="1B737B8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工序</w:t>
                  </w:r>
                </w:p>
              </w:tc>
              <w:tc>
                <w:tcPr>
                  <w:tcW w:w="311" w:type="pct"/>
                  <w:vAlign w:val="center"/>
                </w:tcPr>
                <w:p w14:paraId="3857909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物理性状</w:t>
                  </w:r>
                </w:p>
              </w:tc>
              <w:tc>
                <w:tcPr>
                  <w:tcW w:w="667" w:type="pct"/>
                  <w:vAlign w:val="center"/>
                </w:tcPr>
                <w:p w14:paraId="1252A575">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主要有毒有害物质名称</w:t>
                  </w:r>
                </w:p>
              </w:tc>
              <w:tc>
                <w:tcPr>
                  <w:tcW w:w="478" w:type="pct"/>
                  <w:vAlign w:val="center"/>
                </w:tcPr>
                <w:p w14:paraId="07A2409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环境危险特性</w:t>
                  </w:r>
                </w:p>
              </w:tc>
              <w:tc>
                <w:tcPr>
                  <w:tcW w:w="489" w:type="pct"/>
                  <w:vAlign w:val="center"/>
                </w:tcPr>
                <w:p w14:paraId="769588F8">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暂存</w:t>
                  </w:r>
                </w:p>
                <w:p w14:paraId="61B48C4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方式</w:t>
                  </w:r>
                </w:p>
              </w:tc>
              <w:tc>
                <w:tcPr>
                  <w:tcW w:w="904" w:type="pct"/>
                  <w:vAlign w:val="center"/>
                </w:tcPr>
                <w:p w14:paraId="667749B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处置方式</w:t>
                  </w:r>
                </w:p>
              </w:tc>
            </w:tr>
            <w:tr w14:paraId="439EB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5C10D0C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废边角料</w:t>
                  </w:r>
                </w:p>
              </w:tc>
              <w:tc>
                <w:tcPr>
                  <w:tcW w:w="704" w:type="pct"/>
                  <w:vAlign w:val="center"/>
                </w:tcPr>
                <w:p w14:paraId="0C25556E">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900-001-S17</w:t>
                  </w:r>
                </w:p>
              </w:tc>
              <w:tc>
                <w:tcPr>
                  <w:tcW w:w="564" w:type="pct"/>
                  <w:vAlign w:val="center"/>
                </w:tcPr>
                <w:p w14:paraId="0F4B243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0.86</w:t>
                  </w:r>
                </w:p>
              </w:tc>
              <w:tc>
                <w:tcPr>
                  <w:tcW w:w="192" w:type="pct"/>
                  <w:vAlign w:val="center"/>
                </w:tcPr>
                <w:p w14:paraId="50B9483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生产过程</w:t>
                  </w:r>
                </w:p>
              </w:tc>
              <w:tc>
                <w:tcPr>
                  <w:tcW w:w="311" w:type="pct"/>
                  <w:vAlign w:val="center"/>
                </w:tcPr>
                <w:p w14:paraId="6F1457F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固态</w:t>
                  </w:r>
                </w:p>
              </w:tc>
              <w:tc>
                <w:tcPr>
                  <w:tcW w:w="667" w:type="pct"/>
                  <w:vAlign w:val="center"/>
                </w:tcPr>
                <w:p w14:paraId="7A7EC35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78" w:type="pct"/>
                  <w:vAlign w:val="center"/>
                </w:tcPr>
                <w:p w14:paraId="6C17E38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89" w:type="pct"/>
                  <w:vMerge w:val="restart"/>
                  <w:vAlign w:val="center"/>
                </w:tcPr>
                <w:p w14:paraId="6B816C11">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一般固废暂存间</w:t>
                  </w:r>
                </w:p>
              </w:tc>
              <w:tc>
                <w:tcPr>
                  <w:tcW w:w="904" w:type="pct"/>
                  <w:vAlign w:val="center"/>
                </w:tcPr>
                <w:p w14:paraId="5F1BABE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外售废品回收站</w:t>
                  </w:r>
                </w:p>
              </w:tc>
            </w:tr>
            <w:tr w14:paraId="21FFD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3A712F7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除尘设备收集粉尘</w:t>
                  </w:r>
                </w:p>
              </w:tc>
              <w:tc>
                <w:tcPr>
                  <w:tcW w:w="704" w:type="pct"/>
                  <w:vAlign w:val="center"/>
                </w:tcPr>
                <w:p w14:paraId="23364A56">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900-099-S59</w:t>
                  </w:r>
                </w:p>
              </w:tc>
              <w:tc>
                <w:tcPr>
                  <w:tcW w:w="564" w:type="pct"/>
                  <w:vAlign w:val="center"/>
                </w:tcPr>
                <w:p w14:paraId="74CE8CD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2.68</w:t>
                  </w:r>
                </w:p>
              </w:tc>
              <w:tc>
                <w:tcPr>
                  <w:tcW w:w="192" w:type="pct"/>
                  <w:vAlign w:val="center"/>
                </w:tcPr>
                <w:p w14:paraId="32FF39B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废气处理</w:t>
                  </w:r>
                </w:p>
              </w:tc>
              <w:tc>
                <w:tcPr>
                  <w:tcW w:w="311" w:type="pct"/>
                  <w:vAlign w:val="center"/>
                </w:tcPr>
                <w:p w14:paraId="0456720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固态</w:t>
                  </w:r>
                </w:p>
              </w:tc>
              <w:tc>
                <w:tcPr>
                  <w:tcW w:w="667" w:type="pct"/>
                  <w:vAlign w:val="center"/>
                </w:tcPr>
                <w:p w14:paraId="03607D9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78" w:type="pct"/>
                  <w:vAlign w:val="center"/>
                </w:tcPr>
                <w:p w14:paraId="27BF9D1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89" w:type="pct"/>
                  <w:vMerge w:val="continue"/>
                  <w:vAlign w:val="center"/>
                </w:tcPr>
                <w:p w14:paraId="7CF97561">
                  <w:pPr>
                    <w:spacing w:after="0" w:line="240" w:lineRule="auto"/>
                    <w:rPr>
                      <w:color w:val="0D0D0D" w:themeColor="text1" w:themeTint="F2"/>
                      <w:szCs w:val="21"/>
                      <w14:textFill>
                        <w14:solidFill>
                          <w14:schemeClr w14:val="tx1">
                            <w14:lumMod w14:val="95000"/>
                            <w14:lumOff w14:val="5000"/>
                          </w14:schemeClr>
                        </w14:solidFill>
                      </w14:textFill>
                    </w:rPr>
                  </w:pPr>
                </w:p>
              </w:tc>
              <w:tc>
                <w:tcPr>
                  <w:tcW w:w="904" w:type="pct"/>
                  <w:vAlign w:val="center"/>
                </w:tcPr>
                <w:p w14:paraId="0919132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外售废品回收站</w:t>
                  </w:r>
                </w:p>
              </w:tc>
            </w:tr>
            <w:tr w14:paraId="6A738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6E6D07C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废焊接材料</w:t>
                  </w:r>
                </w:p>
              </w:tc>
              <w:tc>
                <w:tcPr>
                  <w:tcW w:w="704" w:type="pct"/>
                  <w:vAlign w:val="center"/>
                </w:tcPr>
                <w:p w14:paraId="67D0793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900-099-S59</w:t>
                  </w:r>
                </w:p>
              </w:tc>
              <w:tc>
                <w:tcPr>
                  <w:tcW w:w="564" w:type="pct"/>
                  <w:vAlign w:val="center"/>
                </w:tcPr>
                <w:p w14:paraId="43C7330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0.06</w:t>
                  </w:r>
                </w:p>
              </w:tc>
              <w:tc>
                <w:tcPr>
                  <w:tcW w:w="192" w:type="pct"/>
                  <w:vAlign w:val="center"/>
                </w:tcPr>
                <w:p w14:paraId="4BFDA40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生产过程</w:t>
                  </w:r>
                </w:p>
              </w:tc>
              <w:tc>
                <w:tcPr>
                  <w:tcW w:w="311" w:type="pct"/>
                  <w:vAlign w:val="center"/>
                </w:tcPr>
                <w:p w14:paraId="5C899BF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固态</w:t>
                  </w:r>
                </w:p>
              </w:tc>
              <w:tc>
                <w:tcPr>
                  <w:tcW w:w="667" w:type="pct"/>
                  <w:vAlign w:val="center"/>
                </w:tcPr>
                <w:p w14:paraId="2632531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78" w:type="pct"/>
                  <w:vAlign w:val="center"/>
                </w:tcPr>
                <w:p w14:paraId="73AB525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89" w:type="pct"/>
                  <w:vMerge w:val="continue"/>
                  <w:vAlign w:val="center"/>
                </w:tcPr>
                <w:p w14:paraId="0E8255B5">
                  <w:pPr>
                    <w:spacing w:after="0" w:line="240" w:lineRule="auto"/>
                    <w:rPr>
                      <w:color w:val="0D0D0D" w:themeColor="text1" w:themeTint="F2"/>
                      <w:szCs w:val="21"/>
                      <w14:textFill>
                        <w14:solidFill>
                          <w14:schemeClr w14:val="tx1">
                            <w14:lumMod w14:val="95000"/>
                            <w14:lumOff w14:val="5000"/>
                          </w14:schemeClr>
                        </w14:solidFill>
                      </w14:textFill>
                    </w:rPr>
                  </w:pPr>
                </w:p>
              </w:tc>
              <w:tc>
                <w:tcPr>
                  <w:tcW w:w="904" w:type="pct"/>
                  <w:vAlign w:val="center"/>
                </w:tcPr>
                <w:p w14:paraId="391EB78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外售废品回收站</w:t>
                  </w:r>
                </w:p>
              </w:tc>
            </w:tr>
            <w:tr w14:paraId="3B912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6D1ED16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废钢丸</w:t>
                  </w:r>
                </w:p>
              </w:tc>
              <w:tc>
                <w:tcPr>
                  <w:tcW w:w="704" w:type="pct"/>
                  <w:vAlign w:val="center"/>
                </w:tcPr>
                <w:p w14:paraId="5253A1AC">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900-099-S59</w:t>
                  </w:r>
                </w:p>
              </w:tc>
              <w:tc>
                <w:tcPr>
                  <w:tcW w:w="564" w:type="pct"/>
                  <w:vAlign w:val="center"/>
                </w:tcPr>
                <w:p w14:paraId="6D6E341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192" w:type="pct"/>
                  <w:vAlign w:val="center"/>
                </w:tcPr>
                <w:p w14:paraId="37D1A38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生产过程</w:t>
                  </w:r>
                </w:p>
              </w:tc>
              <w:tc>
                <w:tcPr>
                  <w:tcW w:w="311" w:type="pct"/>
                  <w:vAlign w:val="center"/>
                </w:tcPr>
                <w:p w14:paraId="007A98F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固态</w:t>
                  </w:r>
                </w:p>
              </w:tc>
              <w:tc>
                <w:tcPr>
                  <w:tcW w:w="667" w:type="pct"/>
                  <w:vAlign w:val="center"/>
                </w:tcPr>
                <w:p w14:paraId="7A4AA39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78" w:type="pct"/>
                  <w:vAlign w:val="center"/>
                </w:tcPr>
                <w:p w14:paraId="1C73386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89" w:type="pct"/>
                  <w:vMerge w:val="continue"/>
                  <w:vAlign w:val="center"/>
                </w:tcPr>
                <w:p w14:paraId="0B482E6D">
                  <w:pPr>
                    <w:spacing w:after="0" w:line="240" w:lineRule="auto"/>
                    <w:rPr>
                      <w:color w:val="0D0D0D" w:themeColor="text1" w:themeTint="F2"/>
                      <w:szCs w:val="21"/>
                      <w14:textFill>
                        <w14:solidFill>
                          <w14:schemeClr w14:val="tx1">
                            <w14:lumMod w14:val="95000"/>
                            <w14:lumOff w14:val="5000"/>
                          </w14:schemeClr>
                        </w14:solidFill>
                      </w14:textFill>
                    </w:rPr>
                  </w:pPr>
                </w:p>
              </w:tc>
              <w:tc>
                <w:tcPr>
                  <w:tcW w:w="904" w:type="pct"/>
                  <w:vAlign w:val="center"/>
                </w:tcPr>
                <w:p w14:paraId="6B29BEF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外售废品回收站</w:t>
                  </w:r>
                </w:p>
              </w:tc>
            </w:tr>
            <w:tr w14:paraId="6C65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4B932FF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废滤芯</w:t>
                  </w:r>
                </w:p>
              </w:tc>
              <w:tc>
                <w:tcPr>
                  <w:tcW w:w="704" w:type="pct"/>
                  <w:vAlign w:val="center"/>
                </w:tcPr>
                <w:p w14:paraId="68A45EA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900-099-S59</w:t>
                  </w:r>
                </w:p>
              </w:tc>
              <w:tc>
                <w:tcPr>
                  <w:tcW w:w="564" w:type="pct"/>
                  <w:vAlign w:val="center"/>
                </w:tcPr>
                <w:p w14:paraId="04CF84B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0.01</w:t>
                  </w:r>
                </w:p>
              </w:tc>
              <w:tc>
                <w:tcPr>
                  <w:tcW w:w="192" w:type="pct"/>
                  <w:vAlign w:val="center"/>
                </w:tcPr>
                <w:p w14:paraId="2823DAE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废气处理</w:t>
                  </w:r>
                </w:p>
              </w:tc>
              <w:tc>
                <w:tcPr>
                  <w:tcW w:w="311" w:type="pct"/>
                  <w:vAlign w:val="center"/>
                </w:tcPr>
                <w:p w14:paraId="0291385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固态</w:t>
                  </w:r>
                </w:p>
              </w:tc>
              <w:tc>
                <w:tcPr>
                  <w:tcW w:w="667" w:type="pct"/>
                  <w:vAlign w:val="center"/>
                </w:tcPr>
                <w:p w14:paraId="182A4CF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78" w:type="pct"/>
                  <w:vAlign w:val="center"/>
                </w:tcPr>
                <w:p w14:paraId="29D6D1B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w:t>
                  </w:r>
                </w:p>
              </w:tc>
              <w:tc>
                <w:tcPr>
                  <w:tcW w:w="489" w:type="pct"/>
                  <w:vMerge w:val="continue"/>
                  <w:vAlign w:val="center"/>
                </w:tcPr>
                <w:p w14:paraId="3138E068">
                  <w:pPr>
                    <w:spacing w:after="0" w:line="240" w:lineRule="auto"/>
                    <w:rPr>
                      <w:color w:val="0D0D0D" w:themeColor="text1" w:themeTint="F2"/>
                      <w:szCs w:val="21"/>
                      <w14:textFill>
                        <w14:solidFill>
                          <w14:schemeClr w14:val="tx1">
                            <w14:lumMod w14:val="95000"/>
                            <w14:lumOff w14:val="5000"/>
                          </w14:schemeClr>
                        </w14:solidFill>
                      </w14:textFill>
                    </w:rPr>
                  </w:pPr>
                </w:p>
              </w:tc>
              <w:tc>
                <w:tcPr>
                  <w:tcW w:w="904" w:type="pct"/>
                  <w:vAlign w:val="center"/>
                </w:tcPr>
                <w:p w14:paraId="6E05B7B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外售废品回收站</w:t>
                  </w:r>
                </w:p>
              </w:tc>
            </w:tr>
            <w:tr w14:paraId="098B7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1B9000AB">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喷枪清洗废液</w:t>
                  </w:r>
                </w:p>
              </w:tc>
              <w:tc>
                <w:tcPr>
                  <w:tcW w:w="704" w:type="pct"/>
                  <w:vAlign w:val="center"/>
                </w:tcPr>
                <w:p w14:paraId="7E7670F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900-007-09</w:t>
                  </w:r>
                </w:p>
                <w:p w14:paraId="20D8B38F">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（其中水性漆清洗废液需进行危废鉴定）</w:t>
                  </w:r>
                </w:p>
              </w:tc>
              <w:tc>
                <w:tcPr>
                  <w:tcW w:w="564" w:type="pct"/>
                  <w:vAlign w:val="center"/>
                </w:tcPr>
                <w:p w14:paraId="346D4A4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0.24</w:t>
                  </w:r>
                </w:p>
              </w:tc>
              <w:tc>
                <w:tcPr>
                  <w:tcW w:w="192" w:type="pct"/>
                  <w:vAlign w:val="center"/>
                </w:tcPr>
                <w:p w14:paraId="5FC7F4D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w:t>
                  </w:r>
                </w:p>
              </w:tc>
              <w:tc>
                <w:tcPr>
                  <w:tcW w:w="311" w:type="pct"/>
                  <w:vAlign w:val="center"/>
                </w:tcPr>
                <w:p w14:paraId="1507BA0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液体</w:t>
                  </w:r>
                </w:p>
              </w:tc>
              <w:tc>
                <w:tcPr>
                  <w:tcW w:w="667" w:type="pct"/>
                  <w:vAlign w:val="center"/>
                </w:tcPr>
                <w:p w14:paraId="6478C96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废清洗剂、清洗废液</w:t>
                  </w:r>
                </w:p>
              </w:tc>
              <w:tc>
                <w:tcPr>
                  <w:tcW w:w="478" w:type="pct"/>
                  <w:vAlign w:val="center"/>
                </w:tcPr>
                <w:p w14:paraId="08D26D7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w:t>
                  </w:r>
                </w:p>
              </w:tc>
              <w:tc>
                <w:tcPr>
                  <w:tcW w:w="489" w:type="pct"/>
                  <w:vMerge w:val="restart"/>
                  <w:vAlign w:val="center"/>
                </w:tcPr>
                <w:p w14:paraId="0BBE8FA1">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危废暂存间</w:t>
                  </w:r>
                </w:p>
              </w:tc>
              <w:tc>
                <w:tcPr>
                  <w:tcW w:w="904" w:type="pct"/>
                  <w:vMerge w:val="restart"/>
                  <w:vAlign w:val="center"/>
                </w:tcPr>
                <w:p w14:paraId="2898D0B5">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委托有资质单位清运处置</w:t>
                  </w:r>
                </w:p>
              </w:tc>
            </w:tr>
            <w:tr w14:paraId="07054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45B7E59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废油性漆桶</w:t>
                  </w:r>
                </w:p>
              </w:tc>
              <w:tc>
                <w:tcPr>
                  <w:tcW w:w="704" w:type="pct"/>
                  <w:vAlign w:val="center"/>
                </w:tcPr>
                <w:p w14:paraId="3AEFD0C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900-041</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49</w:t>
                  </w:r>
                </w:p>
              </w:tc>
              <w:tc>
                <w:tcPr>
                  <w:tcW w:w="564" w:type="pct"/>
                  <w:vAlign w:val="center"/>
                </w:tcPr>
                <w:p w14:paraId="1D297D5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0.38</w:t>
                  </w:r>
                </w:p>
              </w:tc>
              <w:tc>
                <w:tcPr>
                  <w:tcW w:w="192" w:type="pct"/>
                  <w:vAlign w:val="center"/>
                </w:tcPr>
                <w:p w14:paraId="5BB9858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w:t>
                  </w:r>
                </w:p>
              </w:tc>
              <w:tc>
                <w:tcPr>
                  <w:tcW w:w="311" w:type="pct"/>
                  <w:vAlign w:val="center"/>
                </w:tcPr>
                <w:p w14:paraId="7743BA7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7C5488A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废油漆</w:t>
                  </w:r>
                </w:p>
              </w:tc>
              <w:tc>
                <w:tcPr>
                  <w:tcW w:w="478" w:type="pct"/>
                  <w:vAlign w:val="center"/>
                </w:tcPr>
                <w:p w14:paraId="520BFFA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T/In</w:t>
                  </w:r>
                </w:p>
              </w:tc>
              <w:tc>
                <w:tcPr>
                  <w:tcW w:w="489" w:type="pct"/>
                  <w:vMerge w:val="continue"/>
                  <w:vAlign w:val="center"/>
                </w:tcPr>
                <w:p w14:paraId="315AB8E7">
                  <w:pPr>
                    <w:spacing w:after="0" w:line="240" w:lineRule="auto"/>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0074419A">
                  <w:pPr>
                    <w:spacing w:after="0" w:line="240" w:lineRule="auto"/>
                    <w:rPr>
                      <w:color w:val="0D0D0D" w:themeColor="text1" w:themeTint="F2"/>
                      <w:szCs w:val="21"/>
                      <w14:textFill>
                        <w14:solidFill>
                          <w14:schemeClr w14:val="tx1">
                            <w14:lumMod w14:val="95000"/>
                            <w14:lumOff w14:val="5000"/>
                          </w14:schemeClr>
                        </w14:solidFill>
                      </w14:textFill>
                    </w:rPr>
                  </w:pPr>
                </w:p>
              </w:tc>
            </w:tr>
            <w:tr w14:paraId="70EBC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71CB38D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废水性漆桶</w:t>
                  </w:r>
                </w:p>
              </w:tc>
              <w:tc>
                <w:tcPr>
                  <w:tcW w:w="704" w:type="pct"/>
                  <w:vAlign w:val="center"/>
                </w:tcPr>
                <w:p w14:paraId="1C512F92">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900-041</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49</w:t>
                  </w:r>
                </w:p>
                <w:p w14:paraId="719AB599">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（需进行危废鉴定）</w:t>
                  </w:r>
                </w:p>
              </w:tc>
              <w:tc>
                <w:tcPr>
                  <w:tcW w:w="564" w:type="pct"/>
                  <w:vAlign w:val="center"/>
                </w:tcPr>
                <w:p w14:paraId="5735AC5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0.09</w:t>
                  </w:r>
                </w:p>
              </w:tc>
              <w:tc>
                <w:tcPr>
                  <w:tcW w:w="192" w:type="pct"/>
                  <w:vAlign w:val="center"/>
                </w:tcPr>
                <w:p w14:paraId="41204B1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w:t>
                  </w:r>
                </w:p>
              </w:tc>
              <w:tc>
                <w:tcPr>
                  <w:tcW w:w="311" w:type="pct"/>
                  <w:vAlign w:val="center"/>
                </w:tcPr>
                <w:p w14:paraId="0EEE470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66282A9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废油漆</w:t>
                  </w:r>
                </w:p>
              </w:tc>
              <w:tc>
                <w:tcPr>
                  <w:tcW w:w="478" w:type="pct"/>
                  <w:vAlign w:val="center"/>
                </w:tcPr>
                <w:p w14:paraId="2DF7BD07">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T/In</w:t>
                  </w:r>
                </w:p>
              </w:tc>
              <w:tc>
                <w:tcPr>
                  <w:tcW w:w="489" w:type="pct"/>
                  <w:vMerge w:val="continue"/>
                  <w:vAlign w:val="center"/>
                </w:tcPr>
                <w:p w14:paraId="141B6FEA">
                  <w:pPr>
                    <w:spacing w:after="0" w:line="240" w:lineRule="auto"/>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7BA12A96">
                  <w:pPr>
                    <w:spacing w:after="0" w:line="240" w:lineRule="auto"/>
                    <w:rPr>
                      <w:color w:val="0D0D0D" w:themeColor="text1" w:themeTint="F2"/>
                      <w:szCs w:val="21"/>
                      <w14:textFill>
                        <w14:solidFill>
                          <w14:schemeClr w14:val="tx1">
                            <w14:lumMod w14:val="95000"/>
                            <w14:lumOff w14:val="5000"/>
                          </w14:schemeClr>
                        </w14:solidFill>
                      </w14:textFill>
                    </w:rPr>
                  </w:pPr>
                </w:p>
              </w:tc>
            </w:tr>
            <w:tr w14:paraId="3A2E1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1F4E036E">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漆渣</w:t>
                  </w:r>
                </w:p>
              </w:tc>
              <w:tc>
                <w:tcPr>
                  <w:tcW w:w="704" w:type="pct"/>
                  <w:vAlign w:val="center"/>
                </w:tcPr>
                <w:p w14:paraId="0EE654A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900-252-12</w:t>
                  </w:r>
                </w:p>
              </w:tc>
              <w:tc>
                <w:tcPr>
                  <w:tcW w:w="564" w:type="pct"/>
                  <w:vAlign w:val="center"/>
                </w:tcPr>
                <w:p w14:paraId="354B2FCA">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1.55</w:t>
                  </w:r>
                </w:p>
              </w:tc>
              <w:tc>
                <w:tcPr>
                  <w:tcW w:w="192" w:type="pct"/>
                  <w:vAlign w:val="center"/>
                </w:tcPr>
                <w:p w14:paraId="2075220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w:t>
                  </w:r>
                </w:p>
              </w:tc>
              <w:tc>
                <w:tcPr>
                  <w:tcW w:w="311" w:type="pct"/>
                  <w:vAlign w:val="center"/>
                </w:tcPr>
                <w:p w14:paraId="48A7A25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620AB83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废油漆</w:t>
                  </w:r>
                </w:p>
              </w:tc>
              <w:tc>
                <w:tcPr>
                  <w:tcW w:w="478" w:type="pct"/>
                  <w:vAlign w:val="center"/>
                </w:tcPr>
                <w:p w14:paraId="504B12EA">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T，I</w:t>
                  </w:r>
                </w:p>
              </w:tc>
              <w:tc>
                <w:tcPr>
                  <w:tcW w:w="489" w:type="pct"/>
                  <w:vMerge w:val="continue"/>
                  <w:vAlign w:val="center"/>
                </w:tcPr>
                <w:p w14:paraId="6B218687">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0032DBFD">
                  <w:pPr>
                    <w:spacing w:after="0" w:line="240" w:lineRule="auto"/>
                    <w:rPr>
                      <w:color w:val="0D0D0D" w:themeColor="text1" w:themeTint="F2"/>
                      <w:szCs w:val="21"/>
                      <w14:textFill>
                        <w14:solidFill>
                          <w14:schemeClr w14:val="tx1">
                            <w14:lumMod w14:val="95000"/>
                            <w14:lumOff w14:val="5000"/>
                          </w14:schemeClr>
                        </w14:solidFill>
                      </w14:textFill>
                    </w:rPr>
                  </w:pPr>
                </w:p>
              </w:tc>
            </w:tr>
            <w:tr w14:paraId="4641D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1658BB70">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水帘柜喷漆废水</w:t>
                  </w:r>
                </w:p>
              </w:tc>
              <w:tc>
                <w:tcPr>
                  <w:tcW w:w="704" w:type="pct"/>
                  <w:vAlign w:val="center"/>
                </w:tcPr>
                <w:p w14:paraId="651B701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900-007-09</w:t>
                  </w:r>
                </w:p>
              </w:tc>
              <w:tc>
                <w:tcPr>
                  <w:tcW w:w="564" w:type="pct"/>
                  <w:vAlign w:val="center"/>
                </w:tcPr>
                <w:p w14:paraId="68A8B364">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w:t>
                  </w:r>
                </w:p>
              </w:tc>
              <w:tc>
                <w:tcPr>
                  <w:tcW w:w="192" w:type="pct"/>
                  <w:vAlign w:val="center"/>
                </w:tcPr>
                <w:p w14:paraId="2AF6FFA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废气处理</w:t>
                  </w:r>
                </w:p>
              </w:tc>
              <w:tc>
                <w:tcPr>
                  <w:tcW w:w="311" w:type="pct"/>
                  <w:vAlign w:val="center"/>
                </w:tcPr>
                <w:p w14:paraId="60B9D0C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液体</w:t>
                  </w:r>
                </w:p>
              </w:tc>
              <w:tc>
                <w:tcPr>
                  <w:tcW w:w="667" w:type="pct"/>
                  <w:vAlign w:val="center"/>
                </w:tcPr>
                <w:p w14:paraId="538C385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w:t>
                  </w:r>
                </w:p>
              </w:tc>
              <w:tc>
                <w:tcPr>
                  <w:tcW w:w="478" w:type="pct"/>
                  <w:vAlign w:val="center"/>
                </w:tcPr>
                <w:p w14:paraId="455A42B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w:t>
                  </w:r>
                </w:p>
              </w:tc>
              <w:tc>
                <w:tcPr>
                  <w:tcW w:w="489" w:type="pct"/>
                  <w:vMerge w:val="continue"/>
                  <w:vAlign w:val="center"/>
                </w:tcPr>
                <w:p w14:paraId="32BE298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444C82C7">
                  <w:pPr>
                    <w:spacing w:after="0" w:line="240" w:lineRule="auto"/>
                    <w:rPr>
                      <w:color w:val="0D0D0D" w:themeColor="text1" w:themeTint="F2"/>
                      <w:szCs w:val="21"/>
                      <w14:textFill>
                        <w14:solidFill>
                          <w14:schemeClr w14:val="tx1">
                            <w14:lumMod w14:val="95000"/>
                            <w14:lumOff w14:val="5000"/>
                          </w14:schemeClr>
                        </w14:solidFill>
                      </w14:textFill>
                    </w:rPr>
                  </w:pPr>
                </w:p>
              </w:tc>
            </w:tr>
            <w:tr w14:paraId="4ECBA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671B4F8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废过滤棉</w:t>
                  </w:r>
                </w:p>
              </w:tc>
              <w:tc>
                <w:tcPr>
                  <w:tcW w:w="704" w:type="pct"/>
                  <w:vAlign w:val="center"/>
                </w:tcPr>
                <w:p w14:paraId="1DC80F79">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900-041</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49</w:t>
                  </w:r>
                </w:p>
              </w:tc>
              <w:tc>
                <w:tcPr>
                  <w:tcW w:w="564" w:type="pct"/>
                  <w:vAlign w:val="center"/>
                </w:tcPr>
                <w:p w14:paraId="1F06455D">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0.19</w:t>
                  </w:r>
                </w:p>
              </w:tc>
              <w:tc>
                <w:tcPr>
                  <w:tcW w:w="192" w:type="pct"/>
                  <w:vAlign w:val="center"/>
                </w:tcPr>
                <w:p w14:paraId="4E9FC14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废气处理</w:t>
                  </w:r>
                </w:p>
              </w:tc>
              <w:tc>
                <w:tcPr>
                  <w:tcW w:w="311" w:type="pct"/>
                  <w:vAlign w:val="center"/>
                </w:tcPr>
                <w:p w14:paraId="61C7698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3A27857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废过滤棉</w:t>
                  </w:r>
                </w:p>
              </w:tc>
              <w:tc>
                <w:tcPr>
                  <w:tcW w:w="478" w:type="pct"/>
                  <w:vAlign w:val="center"/>
                </w:tcPr>
                <w:p w14:paraId="19379C3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T/In</w:t>
                  </w:r>
                </w:p>
              </w:tc>
              <w:tc>
                <w:tcPr>
                  <w:tcW w:w="489" w:type="pct"/>
                  <w:vMerge w:val="continue"/>
                  <w:vAlign w:val="center"/>
                </w:tcPr>
                <w:p w14:paraId="056FD09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2DA284C1">
                  <w:pPr>
                    <w:spacing w:after="0" w:line="240" w:lineRule="auto"/>
                    <w:rPr>
                      <w:color w:val="0D0D0D" w:themeColor="text1" w:themeTint="F2"/>
                      <w:szCs w:val="21"/>
                      <w14:textFill>
                        <w14:solidFill>
                          <w14:schemeClr w14:val="tx1">
                            <w14:lumMod w14:val="95000"/>
                            <w14:lumOff w14:val="5000"/>
                          </w14:schemeClr>
                        </w14:solidFill>
                      </w14:textFill>
                    </w:rPr>
                  </w:pPr>
                </w:p>
              </w:tc>
            </w:tr>
            <w:tr w14:paraId="0DD49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76D22C8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废活性炭</w:t>
                  </w:r>
                </w:p>
              </w:tc>
              <w:tc>
                <w:tcPr>
                  <w:tcW w:w="704" w:type="pct"/>
                  <w:vAlign w:val="center"/>
                </w:tcPr>
                <w:p w14:paraId="7802DB6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900-039-49</w:t>
                  </w:r>
                </w:p>
              </w:tc>
              <w:tc>
                <w:tcPr>
                  <w:tcW w:w="564" w:type="pct"/>
                  <w:vAlign w:val="center"/>
                </w:tcPr>
                <w:p w14:paraId="20A71C30">
                  <w:pPr>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29.8</w:t>
                  </w:r>
                </w:p>
              </w:tc>
              <w:tc>
                <w:tcPr>
                  <w:tcW w:w="192" w:type="pct"/>
                  <w:vAlign w:val="center"/>
                </w:tcPr>
                <w:p w14:paraId="45F1325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废气处理</w:t>
                  </w:r>
                </w:p>
              </w:tc>
              <w:tc>
                <w:tcPr>
                  <w:tcW w:w="311" w:type="pct"/>
                  <w:vAlign w:val="center"/>
                </w:tcPr>
                <w:p w14:paraId="5124B90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08DA11D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废活性炭</w:t>
                  </w:r>
                </w:p>
              </w:tc>
              <w:tc>
                <w:tcPr>
                  <w:tcW w:w="478" w:type="pct"/>
                  <w:vAlign w:val="center"/>
                </w:tcPr>
                <w:p w14:paraId="30EB1A9B">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w:t>
                  </w:r>
                </w:p>
              </w:tc>
              <w:tc>
                <w:tcPr>
                  <w:tcW w:w="489" w:type="pct"/>
                  <w:vMerge w:val="continue"/>
                  <w:vAlign w:val="center"/>
                </w:tcPr>
                <w:p w14:paraId="46687A4F">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312905E9">
                  <w:pPr>
                    <w:spacing w:after="0" w:line="240" w:lineRule="auto"/>
                    <w:rPr>
                      <w:color w:val="0D0D0D" w:themeColor="text1" w:themeTint="F2"/>
                      <w:szCs w:val="21"/>
                      <w14:textFill>
                        <w14:solidFill>
                          <w14:schemeClr w14:val="tx1">
                            <w14:lumMod w14:val="95000"/>
                            <w14:lumOff w14:val="5000"/>
                          </w14:schemeClr>
                        </w14:solidFill>
                      </w14:textFill>
                    </w:rPr>
                  </w:pPr>
                </w:p>
              </w:tc>
            </w:tr>
            <w:tr w14:paraId="775D7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2F3E0A4E">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废机油</w:t>
                  </w:r>
                </w:p>
              </w:tc>
              <w:tc>
                <w:tcPr>
                  <w:tcW w:w="704" w:type="pct"/>
                  <w:vAlign w:val="center"/>
                </w:tcPr>
                <w:p w14:paraId="7A1E316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900-249-08</w:t>
                  </w:r>
                </w:p>
              </w:tc>
              <w:tc>
                <w:tcPr>
                  <w:tcW w:w="564" w:type="pct"/>
                  <w:vAlign w:val="center"/>
                </w:tcPr>
                <w:p w14:paraId="735AC2F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0.01</w:t>
                  </w:r>
                </w:p>
              </w:tc>
              <w:tc>
                <w:tcPr>
                  <w:tcW w:w="192" w:type="pct"/>
                  <w:vAlign w:val="center"/>
                </w:tcPr>
                <w:p w14:paraId="7BF6698D">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设备维护</w:t>
                  </w:r>
                </w:p>
              </w:tc>
              <w:tc>
                <w:tcPr>
                  <w:tcW w:w="311" w:type="pct"/>
                  <w:vAlign w:val="center"/>
                </w:tcPr>
                <w:p w14:paraId="373C2EC0">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液态</w:t>
                  </w:r>
                </w:p>
              </w:tc>
              <w:tc>
                <w:tcPr>
                  <w:tcW w:w="667" w:type="pct"/>
                  <w:vAlign w:val="center"/>
                </w:tcPr>
                <w:p w14:paraId="1ADA3E37">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矿物油</w:t>
                  </w:r>
                </w:p>
              </w:tc>
              <w:tc>
                <w:tcPr>
                  <w:tcW w:w="478" w:type="pct"/>
                  <w:vAlign w:val="center"/>
                </w:tcPr>
                <w:p w14:paraId="41917BE1">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T，I</w:t>
                  </w:r>
                </w:p>
              </w:tc>
              <w:tc>
                <w:tcPr>
                  <w:tcW w:w="489" w:type="pct"/>
                  <w:vMerge w:val="continue"/>
                  <w:vAlign w:val="center"/>
                </w:tcPr>
                <w:p w14:paraId="054A2D8D">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09C2204A">
                  <w:pPr>
                    <w:spacing w:after="0" w:line="240" w:lineRule="auto"/>
                    <w:rPr>
                      <w:color w:val="0D0D0D" w:themeColor="text1" w:themeTint="F2"/>
                      <w:szCs w:val="21"/>
                      <w14:textFill>
                        <w14:solidFill>
                          <w14:schemeClr w14:val="tx1">
                            <w14:lumMod w14:val="95000"/>
                            <w14:lumOff w14:val="5000"/>
                          </w14:schemeClr>
                        </w14:solidFill>
                      </w14:textFill>
                    </w:rPr>
                  </w:pPr>
                </w:p>
              </w:tc>
            </w:tr>
            <w:tr w14:paraId="47E77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57588AFD">
                  <w:pPr>
                    <w:spacing w:after="0" w:line="240" w:lineRule="auto"/>
                    <w:jc w:val="center"/>
                    <w:rPr>
                      <w:bCs/>
                      <w:color w:val="0D0D0D" w:themeColor="text1" w:themeTint="F2"/>
                      <w:spacing w:val="-10"/>
                      <w:szCs w:val="21"/>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废机油桶</w:t>
                  </w:r>
                </w:p>
              </w:tc>
              <w:tc>
                <w:tcPr>
                  <w:tcW w:w="704" w:type="pct"/>
                  <w:vAlign w:val="center"/>
                </w:tcPr>
                <w:p w14:paraId="7AD8E3F3">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900-041-49</w:t>
                  </w:r>
                </w:p>
              </w:tc>
              <w:tc>
                <w:tcPr>
                  <w:tcW w:w="564" w:type="pct"/>
                  <w:vAlign w:val="center"/>
                </w:tcPr>
                <w:p w14:paraId="6DADCB8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0.01</w:t>
                  </w:r>
                </w:p>
              </w:tc>
              <w:tc>
                <w:tcPr>
                  <w:tcW w:w="192" w:type="pct"/>
                  <w:vAlign w:val="center"/>
                </w:tcPr>
                <w:p w14:paraId="3F65C36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设备维护</w:t>
                  </w:r>
                </w:p>
              </w:tc>
              <w:tc>
                <w:tcPr>
                  <w:tcW w:w="311" w:type="pct"/>
                  <w:vAlign w:val="center"/>
                </w:tcPr>
                <w:p w14:paraId="3E05F34D">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0553A33F">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矿物油</w:t>
                  </w:r>
                </w:p>
              </w:tc>
              <w:tc>
                <w:tcPr>
                  <w:tcW w:w="478" w:type="pct"/>
                  <w:vAlign w:val="center"/>
                </w:tcPr>
                <w:p w14:paraId="74AA6C4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T/In</w:t>
                  </w:r>
                </w:p>
              </w:tc>
              <w:tc>
                <w:tcPr>
                  <w:tcW w:w="489" w:type="pct"/>
                  <w:vMerge w:val="continue"/>
                  <w:vAlign w:val="center"/>
                </w:tcPr>
                <w:p w14:paraId="4909733B">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0A966D30">
                  <w:pPr>
                    <w:spacing w:after="0" w:line="240" w:lineRule="auto"/>
                    <w:rPr>
                      <w:color w:val="0D0D0D" w:themeColor="text1" w:themeTint="F2"/>
                      <w:szCs w:val="21"/>
                      <w14:textFill>
                        <w14:solidFill>
                          <w14:schemeClr w14:val="tx1">
                            <w14:lumMod w14:val="95000"/>
                            <w14:lumOff w14:val="5000"/>
                          </w14:schemeClr>
                        </w14:solidFill>
                      </w14:textFill>
                    </w:rPr>
                  </w:pPr>
                </w:p>
              </w:tc>
            </w:tr>
            <w:tr w14:paraId="1F370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16497205">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废含油抹布</w:t>
                  </w:r>
                </w:p>
              </w:tc>
              <w:tc>
                <w:tcPr>
                  <w:tcW w:w="704" w:type="pct"/>
                  <w:vAlign w:val="center"/>
                </w:tcPr>
                <w:p w14:paraId="1AA7E6F6">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900-041-49</w:t>
                  </w:r>
                </w:p>
              </w:tc>
              <w:tc>
                <w:tcPr>
                  <w:tcW w:w="564" w:type="pct"/>
                  <w:vAlign w:val="center"/>
                </w:tcPr>
                <w:p w14:paraId="3654273C">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0.01</w:t>
                  </w:r>
                </w:p>
              </w:tc>
              <w:tc>
                <w:tcPr>
                  <w:tcW w:w="192" w:type="pct"/>
                  <w:vAlign w:val="center"/>
                </w:tcPr>
                <w:p w14:paraId="557207A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设备维护</w:t>
                  </w:r>
                </w:p>
              </w:tc>
              <w:tc>
                <w:tcPr>
                  <w:tcW w:w="311" w:type="pct"/>
                  <w:vAlign w:val="center"/>
                </w:tcPr>
                <w:p w14:paraId="129C903A">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1B55AC8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矿物油</w:t>
                  </w:r>
                </w:p>
              </w:tc>
              <w:tc>
                <w:tcPr>
                  <w:tcW w:w="478" w:type="pct"/>
                  <w:vAlign w:val="center"/>
                </w:tcPr>
                <w:p w14:paraId="40C89E5F">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T/In</w:t>
                  </w:r>
                </w:p>
              </w:tc>
              <w:tc>
                <w:tcPr>
                  <w:tcW w:w="489" w:type="pct"/>
                  <w:vMerge w:val="continue"/>
                  <w:vAlign w:val="center"/>
                </w:tcPr>
                <w:p w14:paraId="6B70687E">
                  <w:pPr>
                    <w:spacing w:after="0" w:line="240" w:lineRule="auto"/>
                    <w:jc w:val="center"/>
                    <w:rPr>
                      <w:color w:val="0D0D0D" w:themeColor="text1" w:themeTint="F2"/>
                      <w:szCs w:val="21"/>
                      <w14:textFill>
                        <w14:solidFill>
                          <w14:schemeClr w14:val="tx1">
                            <w14:lumMod w14:val="95000"/>
                            <w14:lumOff w14:val="5000"/>
                          </w14:schemeClr>
                        </w14:solidFill>
                      </w14:textFill>
                    </w:rPr>
                  </w:pPr>
                </w:p>
              </w:tc>
              <w:tc>
                <w:tcPr>
                  <w:tcW w:w="904" w:type="pct"/>
                  <w:vMerge w:val="continue"/>
                  <w:vAlign w:val="center"/>
                </w:tcPr>
                <w:p w14:paraId="52659CA3">
                  <w:pPr>
                    <w:spacing w:after="0" w:line="240" w:lineRule="auto"/>
                    <w:rPr>
                      <w:color w:val="0D0D0D" w:themeColor="text1" w:themeTint="F2"/>
                      <w:szCs w:val="21"/>
                      <w14:textFill>
                        <w14:solidFill>
                          <w14:schemeClr w14:val="tx1">
                            <w14:lumMod w14:val="95000"/>
                            <w14:lumOff w14:val="5000"/>
                          </w14:schemeClr>
                        </w14:solidFill>
                      </w14:textFill>
                    </w:rPr>
                  </w:pPr>
                </w:p>
              </w:tc>
            </w:tr>
            <w:tr w14:paraId="7A22A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1" w:type="pct"/>
                  <w:vAlign w:val="center"/>
                </w:tcPr>
                <w:p w14:paraId="1CB7D37F">
                  <w:pPr>
                    <w:spacing w:after="0" w:line="240" w:lineRule="auto"/>
                    <w:jc w:val="center"/>
                    <w:rPr>
                      <w:bCs/>
                      <w:color w:val="0D0D0D" w:themeColor="text1" w:themeTint="F2"/>
                      <w:spacing w:val="-10"/>
                      <w:szCs w:val="21"/>
                      <w14:textFill>
                        <w14:solidFill>
                          <w14:schemeClr w14:val="tx1">
                            <w14:lumMod w14:val="95000"/>
                            <w14:lumOff w14:val="5000"/>
                          </w14:schemeClr>
                        </w14:solidFill>
                      </w14:textFill>
                    </w:rPr>
                  </w:pPr>
                  <w:r>
                    <w:rPr>
                      <w:bCs/>
                      <w:color w:val="0D0D0D" w:themeColor="text1" w:themeTint="F2"/>
                      <w:spacing w:val="-10"/>
                      <w:szCs w:val="21"/>
                      <w14:textFill>
                        <w14:solidFill>
                          <w14:schemeClr w14:val="tx1">
                            <w14:lumMod w14:val="95000"/>
                            <w14:lumOff w14:val="5000"/>
                          </w14:schemeClr>
                        </w14:solidFill>
                      </w14:textFill>
                    </w:rPr>
                    <w:t>生活垃圾</w:t>
                  </w:r>
                </w:p>
              </w:tc>
              <w:tc>
                <w:tcPr>
                  <w:tcW w:w="704" w:type="pct"/>
                  <w:vAlign w:val="center"/>
                </w:tcPr>
                <w:p w14:paraId="53398348">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564" w:type="pct"/>
                  <w:vAlign w:val="center"/>
                </w:tcPr>
                <w:p w14:paraId="606E3A52">
                  <w:pPr>
                    <w:spacing w:after="0" w:line="240" w:lineRule="auto"/>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22.5</w:t>
                  </w:r>
                </w:p>
              </w:tc>
              <w:tc>
                <w:tcPr>
                  <w:tcW w:w="192" w:type="pct"/>
                  <w:vAlign w:val="center"/>
                </w:tcPr>
                <w:p w14:paraId="7FC03B78">
                  <w:pPr>
                    <w:spacing w:after="0" w:line="240" w:lineRule="auto"/>
                    <w:contextualSpacing/>
                    <w:jc w:val="center"/>
                    <w:rPr>
                      <w:bCs/>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职工</w:t>
                  </w:r>
                </w:p>
              </w:tc>
              <w:tc>
                <w:tcPr>
                  <w:tcW w:w="311" w:type="pct"/>
                  <w:vAlign w:val="center"/>
                </w:tcPr>
                <w:p w14:paraId="0CB66913">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固体</w:t>
                  </w:r>
                </w:p>
              </w:tc>
              <w:tc>
                <w:tcPr>
                  <w:tcW w:w="667" w:type="pct"/>
                  <w:vAlign w:val="center"/>
                </w:tcPr>
                <w:p w14:paraId="4CE9C8C1">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无</w:t>
                  </w:r>
                </w:p>
              </w:tc>
              <w:tc>
                <w:tcPr>
                  <w:tcW w:w="478" w:type="pct"/>
                  <w:vAlign w:val="center"/>
                </w:tcPr>
                <w:p w14:paraId="3FC77F90">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无</w:t>
                  </w:r>
                </w:p>
              </w:tc>
              <w:tc>
                <w:tcPr>
                  <w:tcW w:w="489" w:type="pct"/>
                  <w:vAlign w:val="center"/>
                </w:tcPr>
                <w:p w14:paraId="63757CEB">
                  <w:pPr>
                    <w:spacing w:after="0" w:line="240" w:lineRule="auto"/>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垃圾桶</w:t>
                  </w:r>
                </w:p>
              </w:tc>
              <w:tc>
                <w:tcPr>
                  <w:tcW w:w="904" w:type="pct"/>
                  <w:vAlign w:val="center"/>
                </w:tcPr>
                <w:p w14:paraId="2D4639C2">
                  <w:pPr>
                    <w:spacing w:after="0" w:line="240" w:lineRule="auto"/>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环卫部门清运处置</w:t>
                  </w:r>
                </w:p>
              </w:tc>
            </w:tr>
          </w:tbl>
          <w:p w14:paraId="1D87F29E">
            <w:pPr>
              <w:adjustRightInd w:val="0"/>
              <w:snapToGrid w:val="0"/>
              <w:spacing w:after="0"/>
              <w:ind w:firstLine="382" w:firstLineChars="200"/>
              <w:jc w:val="center"/>
              <w:rPr>
                <w:rFonts w:cs="宋体"/>
                <w:b/>
                <w:bCs/>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表4-24</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bCs/>
                <w:color w:val="0D0D0D" w:themeColor="text1" w:themeTint="F2"/>
                <w:spacing w:val="-10"/>
                <w:szCs w:val="21"/>
                <w14:textFill>
                  <w14:solidFill>
                    <w14:schemeClr w14:val="tx1">
                      <w14:lumMod w14:val="95000"/>
                      <w14:lumOff w14:val="5000"/>
                    </w14:schemeClr>
                  </w14:solidFill>
                </w14:textFill>
              </w:rPr>
              <w:t>项目危险废物汇总表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708"/>
              <w:gridCol w:w="908"/>
              <w:gridCol w:w="1196"/>
              <w:gridCol w:w="671"/>
              <w:gridCol w:w="636"/>
              <w:gridCol w:w="451"/>
              <w:gridCol w:w="665"/>
              <w:gridCol w:w="665"/>
              <w:gridCol w:w="523"/>
              <w:gridCol w:w="604"/>
              <w:gridCol w:w="1294"/>
            </w:tblGrid>
            <w:tr w14:paraId="50952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03735B10">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序号</w:t>
                  </w:r>
                </w:p>
              </w:tc>
              <w:tc>
                <w:tcPr>
                  <w:tcW w:w="407" w:type="pct"/>
                  <w:vAlign w:val="center"/>
                </w:tcPr>
                <w:p w14:paraId="7B79291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危险废物名称</w:t>
                  </w:r>
                </w:p>
              </w:tc>
              <w:tc>
                <w:tcPr>
                  <w:tcW w:w="520" w:type="pct"/>
                  <w:vAlign w:val="center"/>
                </w:tcPr>
                <w:p w14:paraId="722B0F21">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危险废物类别</w:t>
                  </w:r>
                </w:p>
              </w:tc>
              <w:tc>
                <w:tcPr>
                  <w:tcW w:w="649" w:type="pct"/>
                  <w:vAlign w:val="center"/>
                </w:tcPr>
                <w:p w14:paraId="78F05DD8">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危险废物代码</w:t>
                  </w:r>
                </w:p>
              </w:tc>
              <w:tc>
                <w:tcPr>
                  <w:tcW w:w="385" w:type="pct"/>
                  <w:vAlign w:val="center"/>
                </w:tcPr>
                <w:p w14:paraId="384D2739">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产生量t</w:t>
                  </w:r>
                  <w:r>
                    <w:rPr>
                      <w:color w:val="0D0D0D" w:themeColor="text1" w:themeTint="F2"/>
                      <w:sz w:val="21"/>
                      <w:szCs w:val="21"/>
                      <w:lang w:val="en-US"/>
                      <w14:textFill>
                        <w14:solidFill>
                          <w14:schemeClr w14:val="tx1">
                            <w14:lumMod w14:val="95000"/>
                            <w14:lumOff w14:val="5000"/>
                          </w14:schemeClr>
                        </w14:solidFill>
                      </w14:textFill>
                    </w:rPr>
                    <w:t>/a</w:t>
                  </w:r>
                </w:p>
              </w:tc>
              <w:tc>
                <w:tcPr>
                  <w:tcW w:w="365" w:type="pct"/>
                  <w:vAlign w:val="center"/>
                </w:tcPr>
                <w:p w14:paraId="02E6840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产生工序及装置</w:t>
                  </w:r>
                </w:p>
              </w:tc>
              <w:tc>
                <w:tcPr>
                  <w:tcW w:w="260" w:type="pct"/>
                  <w:vAlign w:val="center"/>
                </w:tcPr>
                <w:p w14:paraId="60631372">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形态</w:t>
                  </w:r>
                </w:p>
              </w:tc>
              <w:tc>
                <w:tcPr>
                  <w:tcW w:w="382" w:type="pct"/>
                  <w:vAlign w:val="center"/>
                </w:tcPr>
                <w:p w14:paraId="53EDEAA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主要成分</w:t>
                  </w:r>
                </w:p>
              </w:tc>
              <w:tc>
                <w:tcPr>
                  <w:tcW w:w="382" w:type="pct"/>
                  <w:vAlign w:val="center"/>
                </w:tcPr>
                <w:p w14:paraId="694F411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有害成分</w:t>
                  </w:r>
                </w:p>
              </w:tc>
              <w:tc>
                <w:tcPr>
                  <w:tcW w:w="301" w:type="pct"/>
                  <w:vAlign w:val="center"/>
                </w:tcPr>
                <w:p w14:paraId="2081BD78">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产生周期</w:t>
                  </w:r>
                </w:p>
              </w:tc>
              <w:tc>
                <w:tcPr>
                  <w:tcW w:w="347" w:type="pct"/>
                  <w:vAlign w:val="center"/>
                </w:tcPr>
                <w:p w14:paraId="2C4E6675">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危险</w:t>
                  </w:r>
                </w:p>
                <w:p w14:paraId="56BD6361">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特性</w:t>
                  </w:r>
                </w:p>
              </w:tc>
              <w:tc>
                <w:tcPr>
                  <w:tcW w:w="740" w:type="pct"/>
                  <w:vAlign w:val="center"/>
                </w:tcPr>
                <w:p w14:paraId="3A9A680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污染防治措施</w:t>
                  </w:r>
                </w:p>
              </w:tc>
            </w:tr>
            <w:tr w14:paraId="29D87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059AFA3F">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1</w:t>
                  </w:r>
                </w:p>
              </w:tc>
              <w:tc>
                <w:tcPr>
                  <w:tcW w:w="407" w:type="pct"/>
                  <w:vAlign w:val="center"/>
                </w:tcPr>
                <w:p w14:paraId="257EE3B5">
                  <w:pPr>
                    <w:pStyle w:val="54"/>
                    <w:spacing w:after="0" w:line="240" w:lineRule="auto"/>
                    <w:ind w:left="0" w:leftChars="0" w:firstLine="0"/>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喷枪清洗废</w:t>
                  </w:r>
                </w:p>
                <w:p w14:paraId="0FF25FAA">
                  <w:pPr>
                    <w:pStyle w:val="54"/>
                    <w:spacing w:after="0" w:line="240" w:lineRule="auto"/>
                    <w:ind w:left="0" w:leftChars="0" w:firstLine="0"/>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液</w:t>
                  </w:r>
                </w:p>
              </w:tc>
              <w:tc>
                <w:tcPr>
                  <w:tcW w:w="520" w:type="pct"/>
                  <w:vAlign w:val="center"/>
                </w:tcPr>
                <w:p w14:paraId="604CA61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HW09</w:t>
                  </w:r>
                </w:p>
              </w:tc>
              <w:tc>
                <w:tcPr>
                  <w:tcW w:w="649" w:type="pct"/>
                  <w:vAlign w:val="center"/>
                </w:tcPr>
                <w:p w14:paraId="778DB0ED">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lang w:val="en-US"/>
                      <w14:textFill>
                        <w14:solidFill>
                          <w14:schemeClr w14:val="tx1">
                            <w14:lumMod w14:val="95000"/>
                            <w14:lumOff w14:val="5000"/>
                          </w14:schemeClr>
                        </w14:solidFill>
                      </w14:textFill>
                    </w:rPr>
                    <w:t>900-007-09</w:t>
                  </w:r>
                  <w:r>
                    <w:rPr>
                      <w:rFonts w:hint="eastAsia"/>
                      <w:color w:val="0D0D0D" w:themeColor="text1" w:themeTint="F2"/>
                      <w:sz w:val="21"/>
                      <w:szCs w:val="21"/>
                      <w:lang w:val="en-US"/>
                      <w14:textFill>
                        <w14:solidFill>
                          <w14:schemeClr w14:val="tx1">
                            <w14:lumMod w14:val="95000"/>
                            <w14:lumOff w14:val="5000"/>
                          </w14:schemeClr>
                        </w14:solidFill>
                      </w14:textFill>
                    </w:rPr>
                    <w:t>（其中水性漆清洗废液需进行危废鉴定）</w:t>
                  </w:r>
                </w:p>
              </w:tc>
              <w:tc>
                <w:tcPr>
                  <w:tcW w:w="385" w:type="pct"/>
                  <w:vAlign w:val="center"/>
                </w:tcPr>
                <w:p w14:paraId="11C960BF">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0.24</w:t>
                  </w:r>
                </w:p>
              </w:tc>
              <w:tc>
                <w:tcPr>
                  <w:tcW w:w="365" w:type="pct"/>
                  <w:vAlign w:val="center"/>
                </w:tcPr>
                <w:p w14:paraId="7591418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喷涂</w:t>
                  </w:r>
                </w:p>
              </w:tc>
              <w:tc>
                <w:tcPr>
                  <w:tcW w:w="260" w:type="pct"/>
                  <w:vAlign w:val="center"/>
                </w:tcPr>
                <w:p w14:paraId="608C809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液体</w:t>
                  </w:r>
                </w:p>
              </w:tc>
              <w:tc>
                <w:tcPr>
                  <w:tcW w:w="382" w:type="pct"/>
                  <w:vAlign w:val="center"/>
                </w:tcPr>
                <w:p w14:paraId="092EB81E">
                  <w:pPr>
                    <w:pStyle w:val="54"/>
                    <w:spacing w:after="0" w:line="240" w:lineRule="auto"/>
                    <w:ind w:left="0" w:leftChars="0" w:firstLine="0"/>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废清洗剂、清洗废液</w:t>
                  </w:r>
                </w:p>
              </w:tc>
              <w:tc>
                <w:tcPr>
                  <w:tcW w:w="382" w:type="pct"/>
                  <w:vAlign w:val="center"/>
                </w:tcPr>
                <w:p w14:paraId="605A0966">
                  <w:pPr>
                    <w:pStyle w:val="54"/>
                    <w:spacing w:after="0" w:line="240" w:lineRule="auto"/>
                    <w:ind w:left="0" w:leftChars="0" w:firstLine="0"/>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油漆、清洗剂</w:t>
                  </w:r>
                </w:p>
              </w:tc>
              <w:tc>
                <w:tcPr>
                  <w:tcW w:w="301" w:type="pct"/>
                  <w:vAlign w:val="center"/>
                </w:tcPr>
                <w:p w14:paraId="7927783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每季度</w:t>
                  </w:r>
                </w:p>
              </w:tc>
              <w:tc>
                <w:tcPr>
                  <w:tcW w:w="347" w:type="pct"/>
                  <w:vAlign w:val="center"/>
                </w:tcPr>
                <w:p w14:paraId="7A3C31AB">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T</w:t>
                  </w:r>
                </w:p>
              </w:tc>
              <w:tc>
                <w:tcPr>
                  <w:tcW w:w="740" w:type="pct"/>
                  <w:vMerge w:val="restart"/>
                  <w:vAlign w:val="center"/>
                </w:tcPr>
                <w:p w14:paraId="724A5CD6">
                  <w:pPr>
                    <w:pStyle w:val="54"/>
                    <w:spacing w:after="0" w:line="240" w:lineRule="auto"/>
                    <w:ind w:left="0" w:leftChars="0" w:firstLine="0"/>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暂存于</w:t>
                  </w:r>
                  <w:r>
                    <w:rPr>
                      <w:color w:val="0D0D0D" w:themeColor="text1" w:themeTint="F2"/>
                      <w:sz w:val="21"/>
                      <w:szCs w:val="21"/>
                      <w:lang w:val="en-US"/>
                      <w14:textFill>
                        <w14:solidFill>
                          <w14:schemeClr w14:val="tx1">
                            <w14:lumMod w14:val="95000"/>
                            <w14:lumOff w14:val="5000"/>
                          </w14:schemeClr>
                        </w14:solidFill>
                      </w14:textFill>
                    </w:rPr>
                    <w:t>危废暂存间，</w:t>
                  </w:r>
                  <w:r>
                    <w:rPr>
                      <w:rFonts w:hint="eastAsia"/>
                      <w:color w:val="0D0D0D" w:themeColor="text1" w:themeTint="F2"/>
                      <w:sz w:val="21"/>
                      <w:szCs w:val="21"/>
                      <w:lang w:val="en-US"/>
                      <w14:textFill>
                        <w14:solidFill>
                          <w14:schemeClr w14:val="tx1">
                            <w14:lumMod w14:val="95000"/>
                            <w14:lumOff w14:val="5000"/>
                          </w14:schemeClr>
                        </w14:solidFill>
                      </w14:textFill>
                    </w:rPr>
                    <w:t>委托</w:t>
                  </w:r>
                  <w:r>
                    <w:rPr>
                      <w:color w:val="0D0D0D" w:themeColor="text1" w:themeTint="F2"/>
                      <w:sz w:val="21"/>
                      <w:szCs w:val="21"/>
                      <w:lang w:val="en-US"/>
                      <w14:textFill>
                        <w14:solidFill>
                          <w14:schemeClr w14:val="tx1">
                            <w14:lumMod w14:val="95000"/>
                            <w14:lumOff w14:val="5000"/>
                          </w14:schemeClr>
                        </w14:solidFill>
                      </w14:textFill>
                    </w:rPr>
                    <w:t>有资质单位</w:t>
                  </w:r>
                  <w:r>
                    <w:rPr>
                      <w:rFonts w:hint="eastAsia"/>
                      <w:color w:val="0D0D0D" w:themeColor="text1" w:themeTint="F2"/>
                      <w:sz w:val="21"/>
                      <w:szCs w:val="21"/>
                      <w:lang w:val="en-US"/>
                      <w14:textFill>
                        <w14:solidFill>
                          <w14:schemeClr w14:val="tx1">
                            <w14:lumMod w14:val="95000"/>
                            <w14:lumOff w14:val="5000"/>
                          </w14:schemeClr>
                        </w14:solidFill>
                      </w14:textFill>
                    </w:rPr>
                    <w:t>清运</w:t>
                  </w:r>
                  <w:r>
                    <w:rPr>
                      <w:color w:val="0D0D0D" w:themeColor="text1" w:themeTint="F2"/>
                      <w:sz w:val="21"/>
                      <w:szCs w:val="21"/>
                      <w:lang w:val="en-US"/>
                      <w14:textFill>
                        <w14:solidFill>
                          <w14:schemeClr w14:val="tx1">
                            <w14:lumMod w14:val="95000"/>
                            <w14:lumOff w14:val="5000"/>
                          </w14:schemeClr>
                        </w14:solidFill>
                      </w14:textFill>
                    </w:rPr>
                    <w:t>处置</w:t>
                  </w:r>
                </w:p>
              </w:tc>
            </w:tr>
            <w:tr w14:paraId="4C478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70678A0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2</w:t>
                  </w:r>
                </w:p>
              </w:tc>
              <w:tc>
                <w:tcPr>
                  <w:tcW w:w="407" w:type="pct"/>
                  <w:vAlign w:val="center"/>
                </w:tcPr>
                <w:p w14:paraId="4F279360">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废油性漆桶</w:t>
                  </w:r>
                </w:p>
              </w:tc>
              <w:tc>
                <w:tcPr>
                  <w:tcW w:w="520" w:type="pct"/>
                  <w:vAlign w:val="center"/>
                </w:tcPr>
                <w:p w14:paraId="3C4D9986">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49</w:t>
                  </w:r>
                </w:p>
              </w:tc>
              <w:tc>
                <w:tcPr>
                  <w:tcW w:w="649" w:type="pct"/>
                  <w:vAlign w:val="center"/>
                </w:tcPr>
                <w:p w14:paraId="080786BF">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900-041</w:t>
                  </w:r>
                  <w:r>
                    <w:rPr>
                      <w:rFonts w:hint="eastAsia"/>
                      <w:color w:val="0D0D0D" w:themeColor="text1" w:themeTint="F2"/>
                      <w:sz w:val="21"/>
                      <w:szCs w:val="21"/>
                      <w14:textFill>
                        <w14:solidFill>
                          <w14:schemeClr w14:val="tx1">
                            <w14:lumMod w14:val="95000"/>
                            <w14:lumOff w14:val="5000"/>
                          </w14:schemeClr>
                        </w14:solidFill>
                      </w14:textFill>
                    </w:rPr>
                    <w:t>-</w:t>
                  </w:r>
                  <w:r>
                    <w:rPr>
                      <w:color w:val="0D0D0D" w:themeColor="text1" w:themeTint="F2"/>
                      <w:sz w:val="21"/>
                      <w:szCs w:val="21"/>
                      <w14:textFill>
                        <w14:solidFill>
                          <w14:schemeClr w14:val="tx1">
                            <w14:lumMod w14:val="95000"/>
                            <w14:lumOff w14:val="5000"/>
                          </w14:schemeClr>
                        </w14:solidFill>
                      </w14:textFill>
                    </w:rPr>
                    <w:t>49</w:t>
                  </w:r>
                </w:p>
              </w:tc>
              <w:tc>
                <w:tcPr>
                  <w:tcW w:w="385" w:type="pct"/>
                  <w:vAlign w:val="center"/>
                </w:tcPr>
                <w:p w14:paraId="23C8F16E">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0.38</w:t>
                  </w:r>
                </w:p>
              </w:tc>
              <w:tc>
                <w:tcPr>
                  <w:tcW w:w="365" w:type="pct"/>
                  <w:vAlign w:val="center"/>
                </w:tcPr>
                <w:p w14:paraId="6EE2CA98">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喷涂</w:t>
                  </w:r>
                </w:p>
              </w:tc>
              <w:tc>
                <w:tcPr>
                  <w:tcW w:w="260" w:type="pct"/>
                  <w:vAlign w:val="center"/>
                </w:tcPr>
                <w:p w14:paraId="0D832DEC">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固体</w:t>
                  </w:r>
                </w:p>
              </w:tc>
              <w:tc>
                <w:tcPr>
                  <w:tcW w:w="382" w:type="pct"/>
                  <w:vAlign w:val="center"/>
                </w:tcPr>
                <w:p w14:paraId="7C855E38">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废油漆</w:t>
                  </w:r>
                </w:p>
              </w:tc>
              <w:tc>
                <w:tcPr>
                  <w:tcW w:w="382" w:type="pct"/>
                  <w:vAlign w:val="center"/>
                </w:tcPr>
                <w:p w14:paraId="237C7FFC">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废油漆</w:t>
                  </w:r>
                </w:p>
              </w:tc>
              <w:tc>
                <w:tcPr>
                  <w:tcW w:w="301" w:type="pct"/>
                  <w:vAlign w:val="center"/>
                </w:tcPr>
                <w:p w14:paraId="7A46A0E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每天</w:t>
                  </w:r>
                </w:p>
              </w:tc>
              <w:tc>
                <w:tcPr>
                  <w:tcW w:w="347" w:type="pct"/>
                  <w:vAlign w:val="center"/>
                </w:tcPr>
                <w:p w14:paraId="02981DF5">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T/In</w:t>
                  </w:r>
                </w:p>
              </w:tc>
              <w:tc>
                <w:tcPr>
                  <w:tcW w:w="740" w:type="pct"/>
                  <w:vMerge w:val="continue"/>
                  <w:vAlign w:val="center"/>
                </w:tcPr>
                <w:p w14:paraId="20C1F7A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2B075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6E0AC85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3</w:t>
                  </w:r>
                </w:p>
              </w:tc>
              <w:tc>
                <w:tcPr>
                  <w:tcW w:w="407" w:type="pct"/>
                  <w:vAlign w:val="center"/>
                </w:tcPr>
                <w:p w14:paraId="2EB418A8">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废水性漆桶</w:t>
                  </w:r>
                </w:p>
              </w:tc>
              <w:tc>
                <w:tcPr>
                  <w:tcW w:w="520" w:type="pct"/>
                  <w:vAlign w:val="center"/>
                </w:tcPr>
                <w:p w14:paraId="4E22AC4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49</w:t>
                  </w:r>
                </w:p>
              </w:tc>
              <w:tc>
                <w:tcPr>
                  <w:tcW w:w="649" w:type="pct"/>
                  <w:vAlign w:val="center"/>
                </w:tcPr>
                <w:p w14:paraId="233862C2">
                  <w:pPr>
                    <w:pStyle w:val="54"/>
                    <w:spacing w:after="0" w:line="240" w:lineRule="auto"/>
                    <w:ind w:left="0" w:leftChars="0" w:firstLine="0"/>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900-041</w:t>
                  </w:r>
                  <w:r>
                    <w:rPr>
                      <w:rFonts w:hint="eastAsia"/>
                      <w:color w:val="0D0D0D" w:themeColor="text1" w:themeTint="F2"/>
                      <w:sz w:val="21"/>
                      <w:szCs w:val="21"/>
                      <w14:textFill>
                        <w14:solidFill>
                          <w14:schemeClr w14:val="tx1">
                            <w14:lumMod w14:val="95000"/>
                            <w14:lumOff w14:val="5000"/>
                          </w14:schemeClr>
                        </w14:solidFill>
                      </w14:textFill>
                    </w:rPr>
                    <w:t>-</w:t>
                  </w:r>
                  <w:r>
                    <w:rPr>
                      <w:color w:val="0D0D0D" w:themeColor="text1" w:themeTint="F2"/>
                      <w:sz w:val="21"/>
                      <w:szCs w:val="21"/>
                      <w14:textFill>
                        <w14:solidFill>
                          <w14:schemeClr w14:val="tx1">
                            <w14:lumMod w14:val="95000"/>
                            <w14:lumOff w14:val="5000"/>
                          </w14:schemeClr>
                        </w14:solidFill>
                      </w14:textFill>
                    </w:rPr>
                    <w:t>49</w:t>
                  </w:r>
                  <w:r>
                    <w:rPr>
                      <w:rFonts w:hint="eastAsia"/>
                      <w:color w:val="0D0D0D" w:themeColor="text1" w:themeTint="F2"/>
                      <w:sz w:val="21"/>
                      <w:szCs w:val="21"/>
                      <w:lang w:val="en-US"/>
                      <w14:textFill>
                        <w14:solidFill>
                          <w14:schemeClr w14:val="tx1">
                            <w14:lumMod w14:val="95000"/>
                            <w14:lumOff w14:val="5000"/>
                          </w14:schemeClr>
                        </w14:solidFill>
                      </w14:textFill>
                    </w:rPr>
                    <w:t>（需进行危废鉴定）</w:t>
                  </w:r>
                </w:p>
              </w:tc>
              <w:tc>
                <w:tcPr>
                  <w:tcW w:w="385" w:type="pct"/>
                  <w:vAlign w:val="center"/>
                </w:tcPr>
                <w:p w14:paraId="45317814">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0.09</w:t>
                  </w:r>
                </w:p>
              </w:tc>
              <w:tc>
                <w:tcPr>
                  <w:tcW w:w="365" w:type="pct"/>
                  <w:vAlign w:val="center"/>
                </w:tcPr>
                <w:p w14:paraId="15D87BAC">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喷涂</w:t>
                  </w:r>
                </w:p>
              </w:tc>
              <w:tc>
                <w:tcPr>
                  <w:tcW w:w="260" w:type="pct"/>
                  <w:vAlign w:val="center"/>
                </w:tcPr>
                <w:p w14:paraId="2D0D383F">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固体</w:t>
                  </w:r>
                </w:p>
              </w:tc>
              <w:tc>
                <w:tcPr>
                  <w:tcW w:w="382" w:type="pct"/>
                  <w:vAlign w:val="center"/>
                </w:tcPr>
                <w:p w14:paraId="6F339CA7">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废油漆</w:t>
                  </w:r>
                </w:p>
              </w:tc>
              <w:tc>
                <w:tcPr>
                  <w:tcW w:w="382" w:type="pct"/>
                  <w:vAlign w:val="center"/>
                </w:tcPr>
                <w:p w14:paraId="2A0DB5B8">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废油漆</w:t>
                  </w:r>
                </w:p>
              </w:tc>
              <w:tc>
                <w:tcPr>
                  <w:tcW w:w="301" w:type="pct"/>
                  <w:vAlign w:val="center"/>
                </w:tcPr>
                <w:p w14:paraId="6B0121D8">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每天</w:t>
                  </w:r>
                </w:p>
              </w:tc>
              <w:tc>
                <w:tcPr>
                  <w:tcW w:w="347" w:type="pct"/>
                  <w:vAlign w:val="center"/>
                </w:tcPr>
                <w:p w14:paraId="257C38AE">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T/In</w:t>
                  </w:r>
                </w:p>
              </w:tc>
              <w:tc>
                <w:tcPr>
                  <w:tcW w:w="740" w:type="pct"/>
                  <w:vMerge w:val="continue"/>
                  <w:vAlign w:val="center"/>
                </w:tcPr>
                <w:p w14:paraId="2997438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25730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53C7174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4</w:t>
                  </w:r>
                </w:p>
              </w:tc>
              <w:tc>
                <w:tcPr>
                  <w:tcW w:w="407" w:type="pct"/>
                  <w:vAlign w:val="center"/>
                </w:tcPr>
                <w:p w14:paraId="17D478CD">
                  <w:pPr>
                    <w:pStyle w:val="54"/>
                    <w:spacing w:after="0" w:line="240" w:lineRule="auto"/>
                    <w:ind w:left="0" w:leftChars="0" w:firstLine="0"/>
                    <w:jc w:val="center"/>
                    <w:rPr>
                      <w:bCs/>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lang w:val="en-US"/>
                      <w14:textFill>
                        <w14:solidFill>
                          <w14:schemeClr w14:val="tx1">
                            <w14:lumMod w14:val="95000"/>
                            <w14:lumOff w14:val="5000"/>
                          </w14:schemeClr>
                        </w14:solidFill>
                      </w14:textFill>
                    </w:rPr>
                    <w:t>漆渣</w:t>
                  </w:r>
                </w:p>
              </w:tc>
              <w:tc>
                <w:tcPr>
                  <w:tcW w:w="520" w:type="pct"/>
                  <w:vAlign w:val="center"/>
                </w:tcPr>
                <w:p w14:paraId="4D2B15E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12</w:t>
                  </w:r>
                </w:p>
              </w:tc>
              <w:tc>
                <w:tcPr>
                  <w:tcW w:w="649" w:type="pct"/>
                  <w:vAlign w:val="center"/>
                </w:tcPr>
                <w:p w14:paraId="08F533E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lang w:val="en-US"/>
                      <w14:textFill>
                        <w14:solidFill>
                          <w14:schemeClr w14:val="tx1">
                            <w14:lumMod w14:val="95000"/>
                            <w14:lumOff w14:val="5000"/>
                          </w14:schemeClr>
                        </w14:solidFill>
                      </w14:textFill>
                    </w:rPr>
                    <w:t>900-252-12</w:t>
                  </w:r>
                </w:p>
              </w:tc>
              <w:tc>
                <w:tcPr>
                  <w:tcW w:w="385" w:type="pct"/>
                  <w:vAlign w:val="center"/>
                </w:tcPr>
                <w:p w14:paraId="41D5536D">
                  <w:pPr>
                    <w:pStyle w:val="54"/>
                    <w:spacing w:after="0" w:line="240" w:lineRule="auto"/>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14:textFill>
                        <w14:solidFill>
                          <w14:schemeClr w14:val="tx1">
                            <w14:lumMod w14:val="95000"/>
                            <w14:lumOff w14:val="5000"/>
                          </w14:schemeClr>
                        </w14:solidFill>
                      </w14:textFill>
                    </w:rPr>
                    <w:t>1.55</w:t>
                  </w:r>
                </w:p>
              </w:tc>
              <w:tc>
                <w:tcPr>
                  <w:tcW w:w="365" w:type="pct"/>
                  <w:vAlign w:val="center"/>
                </w:tcPr>
                <w:p w14:paraId="2FEE580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喷涂</w:t>
                  </w:r>
                </w:p>
              </w:tc>
              <w:tc>
                <w:tcPr>
                  <w:tcW w:w="260" w:type="pct"/>
                  <w:vAlign w:val="center"/>
                </w:tcPr>
                <w:p w14:paraId="65B335A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固体</w:t>
                  </w:r>
                </w:p>
              </w:tc>
              <w:tc>
                <w:tcPr>
                  <w:tcW w:w="382" w:type="pct"/>
                  <w:vAlign w:val="center"/>
                </w:tcPr>
                <w:p w14:paraId="271DCA8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废油漆</w:t>
                  </w:r>
                </w:p>
              </w:tc>
              <w:tc>
                <w:tcPr>
                  <w:tcW w:w="382" w:type="pct"/>
                  <w:vAlign w:val="center"/>
                </w:tcPr>
                <w:p w14:paraId="3CEF000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废油漆</w:t>
                  </w:r>
                </w:p>
              </w:tc>
              <w:tc>
                <w:tcPr>
                  <w:tcW w:w="301" w:type="pct"/>
                  <w:vAlign w:val="center"/>
                </w:tcPr>
                <w:p w14:paraId="37E19AE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每月</w:t>
                  </w:r>
                </w:p>
              </w:tc>
              <w:tc>
                <w:tcPr>
                  <w:tcW w:w="347" w:type="pct"/>
                  <w:vAlign w:val="center"/>
                </w:tcPr>
                <w:p w14:paraId="64FFB7BA">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T，I</w:t>
                  </w:r>
                </w:p>
              </w:tc>
              <w:tc>
                <w:tcPr>
                  <w:tcW w:w="740" w:type="pct"/>
                  <w:vMerge w:val="continue"/>
                  <w:vAlign w:val="center"/>
                </w:tcPr>
                <w:p w14:paraId="41383C6D">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36065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486C7A9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5</w:t>
                  </w:r>
                </w:p>
              </w:tc>
              <w:tc>
                <w:tcPr>
                  <w:tcW w:w="407" w:type="pct"/>
                  <w:vAlign w:val="center"/>
                </w:tcPr>
                <w:p w14:paraId="04A8CF5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水帘柜喷漆废水</w:t>
                  </w:r>
                </w:p>
              </w:tc>
              <w:tc>
                <w:tcPr>
                  <w:tcW w:w="520" w:type="pct"/>
                  <w:vAlign w:val="center"/>
                </w:tcPr>
                <w:p w14:paraId="5B275BE7">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HW09</w:t>
                  </w:r>
                </w:p>
              </w:tc>
              <w:tc>
                <w:tcPr>
                  <w:tcW w:w="649" w:type="pct"/>
                  <w:vAlign w:val="center"/>
                </w:tcPr>
                <w:p w14:paraId="0FFD8D3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lang w:val="en-US"/>
                      <w14:textFill>
                        <w14:solidFill>
                          <w14:schemeClr w14:val="tx1">
                            <w14:lumMod w14:val="95000"/>
                            <w14:lumOff w14:val="5000"/>
                          </w14:schemeClr>
                        </w14:solidFill>
                      </w14:textFill>
                    </w:rPr>
                    <w:t>900-007-09</w:t>
                  </w:r>
                </w:p>
              </w:tc>
              <w:tc>
                <w:tcPr>
                  <w:tcW w:w="385" w:type="pct"/>
                  <w:vAlign w:val="center"/>
                </w:tcPr>
                <w:p w14:paraId="0D1EC708">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8</w:t>
                  </w:r>
                </w:p>
              </w:tc>
              <w:tc>
                <w:tcPr>
                  <w:tcW w:w="365" w:type="pct"/>
                  <w:vAlign w:val="center"/>
                </w:tcPr>
                <w:p w14:paraId="70C627CA">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废气处理</w:t>
                  </w:r>
                </w:p>
              </w:tc>
              <w:tc>
                <w:tcPr>
                  <w:tcW w:w="260" w:type="pct"/>
                  <w:vAlign w:val="center"/>
                </w:tcPr>
                <w:p w14:paraId="7CF15ED3">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液体</w:t>
                  </w:r>
                </w:p>
              </w:tc>
              <w:tc>
                <w:tcPr>
                  <w:tcW w:w="382" w:type="pct"/>
                  <w:vAlign w:val="center"/>
                </w:tcPr>
                <w:p w14:paraId="52CFBAF7">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废水</w:t>
                  </w:r>
                </w:p>
              </w:tc>
              <w:tc>
                <w:tcPr>
                  <w:tcW w:w="382" w:type="pct"/>
                  <w:vAlign w:val="center"/>
                </w:tcPr>
                <w:p w14:paraId="06446861">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油漆</w:t>
                  </w:r>
                </w:p>
              </w:tc>
              <w:tc>
                <w:tcPr>
                  <w:tcW w:w="301" w:type="pct"/>
                  <w:vAlign w:val="center"/>
                </w:tcPr>
                <w:p w14:paraId="09651221">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每季度</w:t>
                  </w:r>
                </w:p>
              </w:tc>
              <w:tc>
                <w:tcPr>
                  <w:tcW w:w="347" w:type="pct"/>
                  <w:vAlign w:val="center"/>
                </w:tcPr>
                <w:p w14:paraId="05753B02">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T</w:t>
                  </w:r>
                </w:p>
              </w:tc>
              <w:tc>
                <w:tcPr>
                  <w:tcW w:w="740" w:type="pct"/>
                  <w:vMerge w:val="continue"/>
                  <w:vAlign w:val="center"/>
                </w:tcPr>
                <w:p w14:paraId="7D6565F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49F3C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2D89603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6</w:t>
                  </w:r>
                </w:p>
              </w:tc>
              <w:tc>
                <w:tcPr>
                  <w:tcW w:w="407" w:type="pct"/>
                  <w:vAlign w:val="center"/>
                </w:tcPr>
                <w:p w14:paraId="0A3D5E8D">
                  <w:pPr>
                    <w:pStyle w:val="54"/>
                    <w:spacing w:after="0" w:line="240" w:lineRule="auto"/>
                    <w:ind w:left="0" w:leftChars="0" w:firstLine="0"/>
                    <w:jc w:val="center"/>
                    <w:rPr>
                      <w:bCs/>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废过滤棉</w:t>
                  </w:r>
                </w:p>
              </w:tc>
              <w:tc>
                <w:tcPr>
                  <w:tcW w:w="520" w:type="pct"/>
                  <w:vAlign w:val="center"/>
                </w:tcPr>
                <w:p w14:paraId="6F60F3A7">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49</w:t>
                  </w:r>
                </w:p>
              </w:tc>
              <w:tc>
                <w:tcPr>
                  <w:tcW w:w="649" w:type="pct"/>
                  <w:vAlign w:val="center"/>
                </w:tcPr>
                <w:p w14:paraId="757042D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900-041</w:t>
                  </w:r>
                  <w:r>
                    <w:rPr>
                      <w:rFonts w:hint="eastAsia"/>
                      <w:color w:val="0D0D0D" w:themeColor="text1" w:themeTint="F2"/>
                      <w:sz w:val="21"/>
                      <w:szCs w:val="21"/>
                      <w14:textFill>
                        <w14:solidFill>
                          <w14:schemeClr w14:val="tx1">
                            <w14:lumMod w14:val="95000"/>
                            <w14:lumOff w14:val="5000"/>
                          </w14:schemeClr>
                        </w14:solidFill>
                      </w14:textFill>
                    </w:rPr>
                    <w:t>-</w:t>
                  </w:r>
                  <w:r>
                    <w:rPr>
                      <w:color w:val="0D0D0D" w:themeColor="text1" w:themeTint="F2"/>
                      <w:sz w:val="21"/>
                      <w:szCs w:val="21"/>
                      <w14:textFill>
                        <w14:solidFill>
                          <w14:schemeClr w14:val="tx1">
                            <w14:lumMod w14:val="95000"/>
                            <w14:lumOff w14:val="5000"/>
                          </w14:schemeClr>
                        </w14:solidFill>
                      </w14:textFill>
                    </w:rPr>
                    <w:t>49</w:t>
                  </w:r>
                </w:p>
              </w:tc>
              <w:tc>
                <w:tcPr>
                  <w:tcW w:w="385" w:type="pct"/>
                  <w:vAlign w:val="center"/>
                </w:tcPr>
                <w:p w14:paraId="6EC1A8B1">
                  <w:pPr>
                    <w:pStyle w:val="54"/>
                    <w:spacing w:after="0" w:line="240" w:lineRule="auto"/>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14:textFill>
                        <w14:solidFill>
                          <w14:schemeClr w14:val="tx1">
                            <w14:lumMod w14:val="95000"/>
                            <w14:lumOff w14:val="5000"/>
                          </w14:schemeClr>
                        </w14:solidFill>
                      </w14:textFill>
                    </w:rPr>
                    <w:t>0.19</w:t>
                  </w:r>
                </w:p>
              </w:tc>
              <w:tc>
                <w:tcPr>
                  <w:tcW w:w="365" w:type="pct"/>
                  <w:vAlign w:val="center"/>
                </w:tcPr>
                <w:p w14:paraId="1671861D">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废气处理</w:t>
                  </w:r>
                </w:p>
              </w:tc>
              <w:tc>
                <w:tcPr>
                  <w:tcW w:w="260" w:type="pct"/>
                  <w:vAlign w:val="center"/>
                </w:tcPr>
                <w:p w14:paraId="1C32CB19">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固体</w:t>
                  </w:r>
                </w:p>
              </w:tc>
              <w:tc>
                <w:tcPr>
                  <w:tcW w:w="382" w:type="pct"/>
                  <w:vAlign w:val="center"/>
                </w:tcPr>
                <w:p w14:paraId="63A63946">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废过滤棉</w:t>
                  </w:r>
                </w:p>
              </w:tc>
              <w:tc>
                <w:tcPr>
                  <w:tcW w:w="382" w:type="pct"/>
                  <w:vAlign w:val="center"/>
                </w:tcPr>
                <w:p w14:paraId="7AF01F4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废过滤棉</w:t>
                  </w:r>
                </w:p>
              </w:tc>
              <w:tc>
                <w:tcPr>
                  <w:tcW w:w="301" w:type="pct"/>
                  <w:vAlign w:val="center"/>
                </w:tcPr>
                <w:p w14:paraId="68EDA3E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每月</w:t>
                  </w:r>
                </w:p>
              </w:tc>
              <w:tc>
                <w:tcPr>
                  <w:tcW w:w="347" w:type="pct"/>
                  <w:vAlign w:val="center"/>
                </w:tcPr>
                <w:p w14:paraId="7FB53046">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T/In</w:t>
                  </w:r>
                </w:p>
              </w:tc>
              <w:tc>
                <w:tcPr>
                  <w:tcW w:w="740" w:type="pct"/>
                  <w:vMerge w:val="continue"/>
                  <w:vAlign w:val="center"/>
                </w:tcPr>
                <w:p w14:paraId="6509F47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16F14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27FC1EDD">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7</w:t>
                  </w:r>
                </w:p>
              </w:tc>
              <w:tc>
                <w:tcPr>
                  <w:tcW w:w="407" w:type="pct"/>
                  <w:vAlign w:val="center"/>
                </w:tcPr>
                <w:p w14:paraId="0E38C600">
                  <w:pPr>
                    <w:pStyle w:val="54"/>
                    <w:spacing w:after="0" w:line="240" w:lineRule="auto"/>
                    <w:ind w:left="0" w:leftChars="0" w:firstLine="0"/>
                    <w:jc w:val="center"/>
                    <w:rPr>
                      <w:bCs/>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废活性炭</w:t>
                  </w:r>
                </w:p>
              </w:tc>
              <w:tc>
                <w:tcPr>
                  <w:tcW w:w="520" w:type="pct"/>
                  <w:vAlign w:val="center"/>
                </w:tcPr>
                <w:p w14:paraId="3310ACF1">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49</w:t>
                  </w:r>
                </w:p>
              </w:tc>
              <w:tc>
                <w:tcPr>
                  <w:tcW w:w="649" w:type="pct"/>
                  <w:vAlign w:val="center"/>
                </w:tcPr>
                <w:p w14:paraId="21C76335">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900-039-49</w:t>
                  </w:r>
                </w:p>
              </w:tc>
              <w:tc>
                <w:tcPr>
                  <w:tcW w:w="385" w:type="pct"/>
                  <w:vAlign w:val="center"/>
                </w:tcPr>
                <w:p w14:paraId="7935B0EE">
                  <w:pPr>
                    <w:pStyle w:val="54"/>
                    <w:spacing w:after="0" w:line="240" w:lineRule="auto"/>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14:textFill>
                        <w14:solidFill>
                          <w14:schemeClr w14:val="tx1">
                            <w14:lumMod w14:val="95000"/>
                            <w14:lumOff w14:val="5000"/>
                          </w14:schemeClr>
                        </w14:solidFill>
                      </w14:textFill>
                    </w:rPr>
                    <w:t>29.8</w:t>
                  </w:r>
                </w:p>
              </w:tc>
              <w:tc>
                <w:tcPr>
                  <w:tcW w:w="365" w:type="pct"/>
                  <w:vAlign w:val="center"/>
                </w:tcPr>
                <w:p w14:paraId="1BD1A202">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废气处理</w:t>
                  </w:r>
                </w:p>
              </w:tc>
              <w:tc>
                <w:tcPr>
                  <w:tcW w:w="260" w:type="pct"/>
                  <w:vAlign w:val="center"/>
                </w:tcPr>
                <w:p w14:paraId="5440F0D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固体</w:t>
                  </w:r>
                </w:p>
              </w:tc>
              <w:tc>
                <w:tcPr>
                  <w:tcW w:w="382" w:type="pct"/>
                  <w:vAlign w:val="center"/>
                </w:tcPr>
                <w:p w14:paraId="5A63E781">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废活性炭</w:t>
                  </w:r>
                </w:p>
              </w:tc>
              <w:tc>
                <w:tcPr>
                  <w:tcW w:w="382" w:type="pct"/>
                  <w:vAlign w:val="center"/>
                </w:tcPr>
                <w:p w14:paraId="45B52EAF">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废活性炭</w:t>
                  </w:r>
                </w:p>
              </w:tc>
              <w:tc>
                <w:tcPr>
                  <w:tcW w:w="301" w:type="pct"/>
                  <w:vAlign w:val="center"/>
                </w:tcPr>
                <w:p w14:paraId="52CCBBDA">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每季度/年</w:t>
                  </w:r>
                </w:p>
              </w:tc>
              <w:tc>
                <w:tcPr>
                  <w:tcW w:w="347" w:type="pct"/>
                  <w:vAlign w:val="center"/>
                </w:tcPr>
                <w:p w14:paraId="134F7097">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T</w:t>
                  </w:r>
                </w:p>
              </w:tc>
              <w:tc>
                <w:tcPr>
                  <w:tcW w:w="740" w:type="pct"/>
                  <w:vMerge w:val="continue"/>
                  <w:vAlign w:val="center"/>
                </w:tcPr>
                <w:p w14:paraId="699F14E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2FD82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41161E7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8</w:t>
                  </w:r>
                </w:p>
              </w:tc>
              <w:tc>
                <w:tcPr>
                  <w:tcW w:w="407" w:type="pct"/>
                  <w:vAlign w:val="center"/>
                </w:tcPr>
                <w:p w14:paraId="089AF613">
                  <w:pPr>
                    <w:pStyle w:val="54"/>
                    <w:spacing w:after="0" w:line="240" w:lineRule="auto"/>
                    <w:ind w:left="0" w:leftChars="0" w:firstLine="0"/>
                    <w:jc w:val="center"/>
                    <w:rPr>
                      <w:rFonts w:cs="宋体"/>
                      <w:color w:val="0D0D0D" w:themeColor="text1" w:themeTint="F2"/>
                      <w:sz w:val="21"/>
                      <w:szCs w:val="21"/>
                      <w14:textFill>
                        <w14:solidFill>
                          <w14:schemeClr w14:val="tx1">
                            <w14:lumMod w14:val="95000"/>
                            <w14:lumOff w14:val="5000"/>
                          </w14:schemeClr>
                        </w14:solidFill>
                      </w14:textFill>
                    </w:rPr>
                  </w:pPr>
                  <w:r>
                    <w:rPr>
                      <w:rFonts w:hint="eastAsia"/>
                      <w:bCs/>
                      <w:color w:val="0D0D0D" w:themeColor="text1" w:themeTint="F2"/>
                      <w:spacing w:val="-10"/>
                      <w:sz w:val="21"/>
                      <w:szCs w:val="21"/>
                      <w14:textFill>
                        <w14:solidFill>
                          <w14:schemeClr w14:val="tx1">
                            <w14:lumMod w14:val="95000"/>
                            <w14:lumOff w14:val="5000"/>
                          </w14:schemeClr>
                        </w14:solidFill>
                      </w14:textFill>
                    </w:rPr>
                    <w:t>废机油</w:t>
                  </w:r>
                </w:p>
              </w:tc>
              <w:tc>
                <w:tcPr>
                  <w:tcW w:w="520" w:type="pct"/>
                  <w:vAlign w:val="center"/>
                </w:tcPr>
                <w:p w14:paraId="3BDEF7A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49</w:t>
                  </w:r>
                </w:p>
              </w:tc>
              <w:tc>
                <w:tcPr>
                  <w:tcW w:w="649" w:type="pct"/>
                  <w:vAlign w:val="center"/>
                </w:tcPr>
                <w:p w14:paraId="73CF2604">
                  <w:pPr>
                    <w:pStyle w:val="54"/>
                    <w:spacing w:after="0" w:line="240" w:lineRule="auto"/>
                    <w:ind w:left="0" w:leftChars="0" w:firstLine="0"/>
                    <w:jc w:val="center"/>
                    <w:rPr>
                      <w:rFonts w:cs="宋体"/>
                      <w:color w:val="0D0D0D" w:themeColor="text1" w:themeTint="F2"/>
                      <w:spacing w:val="-10"/>
                      <w:sz w:val="21"/>
                      <w:szCs w:val="21"/>
                      <w:lang w:val="en-US"/>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900-249-08</w:t>
                  </w:r>
                </w:p>
              </w:tc>
              <w:tc>
                <w:tcPr>
                  <w:tcW w:w="385" w:type="pct"/>
                  <w:vAlign w:val="center"/>
                </w:tcPr>
                <w:p w14:paraId="6CF266A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0.01</w:t>
                  </w:r>
                </w:p>
              </w:tc>
              <w:tc>
                <w:tcPr>
                  <w:tcW w:w="365" w:type="pct"/>
                  <w:vAlign w:val="center"/>
                </w:tcPr>
                <w:p w14:paraId="2A5A0B89">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设备维护</w:t>
                  </w:r>
                </w:p>
              </w:tc>
              <w:tc>
                <w:tcPr>
                  <w:tcW w:w="260" w:type="pct"/>
                  <w:vAlign w:val="center"/>
                </w:tcPr>
                <w:p w14:paraId="5B79570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液态</w:t>
                  </w:r>
                </w:p>
              </w:tc>
              <w:tc>
                <w:tcPr>
                  <w:tcW w:w="382" w:type="pct"/>
                  <w:vAlign w:val="center"/>
                </w:tcPr>
                <w:p w14:paraId="590C22E5">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矿物油</w:t>
                  </w:r>
                </w:p>
              </w:tc>
              <w:tc>
                <w:tcPr>
                  <w:tcW w:w="382" w:type="pct"/>
                  <w:vAlign w:val="center"/>
                </w:tcPr>
                <w:p w14:paraId="41A3A15B">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矿物油</w:t>
                  </w:r>
                </w:p>
              </w:tc>
              <w:tc>
                <w:tcPr>
                  <w:tcW w:w="301" w:type="pct"/>
                  <w:vAlign w:val="center"/>
                </w:tcPr>
                <w:p w14:paraId="3D71E4B2">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每天</w:t>
                  </w:r>
                </w:p>
              </w:tc>
              <w:tc>
                <w:tcPr>
                  <w:tcW w:w="347" w:type="pct"/>
                  <w:vAlign w:val="center"/>
                </w:tcPr>
                <w:p w14:paraId="555F42D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T，I</w:t>
                  </w:r>
                </w:p>
              </w:tc>
              <w:tc>
                <w:tcPr>
                  <w:tcW w:w="740" w:type="pct"/>
                  <w:vMerge w:val="continue"/>
                  <w:vAlign w:val="center"/>
                </w:tcPr>
                <w:p w14:paraId="42938167">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24A74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11DEC80C">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9</w:t>
                  </w:r>
                </w:p>
              </w:tc>
              <w:tc>
                <w:tcPr>
                  <w:tcW w:w="407" w:type="pct"/>
                  <w:vAlign w:val="center"/>
                </w:tcPr>
                <w:p w14:paraId="2AAD406A">
                  <w:pPr>
                    <w:pStyle w:val="54"/>
                    <w:spacing w:after="0" w:line="240" w:lineRule="auto"/>
                    <w:ind w:left="0" w:leftChars="0" w:firstLine="0"/>
                    <w:jc w:val="center"/>
                    <w:rPr>
                      <w:bCs/>
                      <w:color w:val="0D0D0D" w:themeColor="text1" w:themeTint="F2"/>
                      <w:spacing w:val="-10"/>
                      <w:sz w:val="21"/>
                      <w:szCs w:val="21"/>
                      <w14:textFill>
                        <w14:solidFill>
                          <w14:schemeClr w14:val="tx1">
                            <w14:lumMod w14:val="95000"/>
                            <w14:lumOff w14:val="5000"/>
                          </w14:schemeClr>
                        </w14:solidFill>
                      </w14:textFill>
                    </w:rPr>
                  </w:pPr>
                  <w:r>
                    <w:rPr>
                      <w:rFonts w:hint="eastAsia"/>
                      <w:bCs/>
                      <w:color w:val="0D0D0D" w:themeColor="text1" w:themeTint="F2"/>
                      <w:spacing w:val="-10"/>
                      <w:sz w:val="21"/>
                      <w:szCs w:val="21"/>
                      <w14:textFill>
                        <w14:solidFill>
                          <w14:schemeClr w14:val="tx1">
                            <w14:lumMod w14:val="95000"/>
                            <w14:lumOff w14:val="5000"/>
                          </w14:schemeClr>
                        </w14:solidFill>
                      </w14:textFill>
                    </w:rPr>
                    <w:t>废机油桶</w:t>
                  </w:r>
                </w:p>
              </w:tc>
              <w:tc>
                <w:tcPr>
                  <w:tcW w:w="520" w:type="pct"/>
                  <w:vAlign w:val="center"/>
                </w:tcPr>
                <w:p w14:paraId="538CE3FF">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49</w:t>
                  </w:r>
                </w:p>
              </w:tc>
              <w:tc>
                <w:tcPr>
                  <w:tcW w:w="649" w:type="pct"/>
                  <w:vAlign w:val="center"/>
                </w:tcPr>
                <w:p w14:paraId="5F137E09">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900-041-49</w:t>
                  </w:r>
                </w:p>
              </w:tc>
              <w:tc>
                <w:tcPr>
                  <w:tcW w:w="385" w:type="pct"/>
                  <w:vAlign w:val="center"/>
                </w:tcPr>
                <w:p w14:paraId="09D6F54A">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0.01</w:t>
                  </w:r>
                </w:p>
              </w:tc>
              <w:tc>
                <w:tcPr>
                  <w:tcW w:w="365" w:type="pct"/>
                  <w:vAlign w:val="center"/>
                </w:tcPr>
                <w:p w14:paraId="168CDF71">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设备维护</w:t>
                  </w:r>
                </w:p>
              </w:tc>
              <w:tc>
                <w:tcPr>
                  <w:tcW w:w="260" w:type="pct"/>
                  <w:vAlign w:val="center"/>
                </w:tcPr>
                <w:p w14:paraId="3564B76F">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固体</w:t>
                  </w:r>
                </w:p>
              </w:tc>
              <w:tc>
                <w:tcPr>
                  <w:tcW w:w="382" w:type="pct"/>
                  <w:vAlign w:val="center"/>
                </w:tcPr>
                <w:p w14:paraId="73DDFECE">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机油桶</w:t>
                  </w:r>
                </w:p>
              </w:tc>
              <w:tc>
                <w:tcPr>
                  <w:tcW w:w="382" w:type="pct"/>
                  <w:vAlign w:val="center"/>
                </w:tcPr>
                <w:p w14:paraId="26850ABE">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矿物油</w:t>
                  </w:r>
                </w:p>
              </w:tc>
              <w:tc>
                <w:tcPr>
                  <w:tcW w:w="301" w:type="pct"/>
                  <w:vAlign w:val="center"/>
                </w:tcPr>
                <w:p w14:paraId="58F9CFB2">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每天</w:t>
                  </w:r>
                </w:p>
              </w:tc>
              <w:tc>
                <w:tcPr>
                  <w:tcW w:w="347" w:type="pct"/>
                  <w:vAlign w:val="center"/>
                </w:tcPr>
                <w:p w14:paraId="02A1D41B">
                  <w:pPr>
                    <w:pStyle w:val="54"/>
                    <w:spacing w:after="0" w:line="240" w:lineRule="auto"/>
                    <w:ind w:left="0" w:leftChars="0" w:firstLine="0"/>
                    <w:jc w:val="center"/>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T/In</w:t>
                  </w:r>
                </w:p>
              </w:tc>
              <w:tc>
                <w:tcPr>
                  <w:tcW w:w="740" w:type="pct"/>
                  <w:vMerge w:val="continue"/>
                  <w:vAlign w:val="center"/>
                </w:tcPr>
                <w:p w14:paraId="1552CDA1">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r w14:paraId="56C5C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 w:type="pct"/>
                  <w:vAlign w:val="center"/>
                </w:tcPr>
                <w:p w14:paraId="4068F21B">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10</w:t>
                  </w:r>
                </w:p>
              </w:tc>
              <w:tc>
                <w:tcPr>
                  <w:tcW w:w="407" w:type="pct"/>
                  <w:vAlign w:val="center"/>
                </w:tcPr>
                <w:p w14:paraId="151CC84F">
                  <w:pPr>
                    <w:pStyle w:val="54"/>
                    <w:spacing w:after="0" w:line="240" w:lineRule="auto"/>
                    <w:ind w:left="0" w:leftChars="0" w:firstLine="0"/>
                    <w:jc w:val="center"/>
                    <w:rPr>
                      <w:rFonts w:cs="宋体"/>
                      <w:color w:val="0D0D0D" w:themeColor="text1" w:themeTint="F2"/>
                      <w:sz w:val="21"/>
                      <w:szCs w:val="21"/>
                      <w14:textFill>
                        <w14:solidFill>
                          <w14:schemeClr w14:val="tx1">
                            <w14:lumMod w14:val="95000"/>
                            <w14:lumOff w14:val="5000"/>
                          </w14:schemeClr>
                        </w14:solidFill>
                      </w14:textFill>
                    </w:rPr>
                  </w:pPr>
                  <w:r>
                    <w:rPr>
                      <w:rFonts w:hint="eastAsia"/>
                      <w:bCs/>
                      <w:color w:val="0D0D0D" w:themeColor="text1" w:themeTint="F2"/>
                      <w:spacing w:val="-10"/>
                      <w:sz w:val="21"/>
                      <w:szCs w:val="21"/>
                      <w14:textFill>
                        <w14:solidFill>
                          <w14:schemeClr w14:val="tx1">
                            <w14:lumMod w14:val="95000"/>
                            <w14:lumOff w14:val="5000"/>
                          </w14:schemeClr>
                        </w14:solidFill>
                      </w14:textFill>
                    </w:rPr>
                    <w:t>废含油抹布和劳保用品</w:t>
                  </w:r>
                </w:p>
              </w:tc>
              <w:tc>
                <w:tcPr>
                  <w:tcW w:w="520" w:type="pct"/>
                  <w:vAlign w:val="center"/>
                </w:tcPr>
                <w:p w14:paraId="0C3D31A7">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H</w:t>
                  </w:r>
                  <w:r>
                    <w:rPr>
                      <w:color w:val="0D0D0D" w:themeColor="text1" w:themeTint="F2"/>
                      <w:sz w:val="21"/>
                      <w:szCs w:val="21"/>
                      <w:lang w:val="en-US"/>
                      <w14:textFill>
                        <w14:solidFill>
                          <w14:schemeClr w14:val="tx1">
                            <w14:lumMod w14:val="95000"/>
                            <w14:lumOff w14:val="5000"/>
                          </w14:schemeClr>
                        </w14:solidFill>
                      </w14:textFill>
                    </w:rPr>
                    <w:t>W</w:t>
                  </w:r>
                  <w:r>
                    <w:rPr>
                      <w:rFonts w:hint="eastAsia"/>
                      <w:color w:val="0D0D0D" w:themeColor="text1" w:themeTint="F2"/>
                      <w:sz w:val="21"/>
                      <w:szCs w:val="21"/>
                      <w:lang w:val="en-US"/>
                      <w14:textFill>
                        <w14:solidFill>
                          <w14:schemeClr w14:val="tx1">
                            <w14:lumMod w14:val="95000"/>
                            <w14:lumOff w14:val="5000"/>
                          </w14:schemeClr>
                        </w14:solidFill>
                      </w14:textFill>
                    </w:rPr>
                    <w:t>49</w:t>
                  </w:r>
                </w:p>
              </w:tc>
              <w:tc>
                <w:tcPr>
                  <w:tcW w:w="649" w:type="pct"/>
                  <w:vAlign w:val="center"/>
                </w:tcPr>
                <w:p w14:paraId="22A69AED">
                  <w:pPr>
                    <w:pStyle w:val="54"/>
                    <w:spacing w:after="0" w:line="240" w:lineRule="auto"/>
                    <w:ind w:left="0" w:leftChars="0" w:firstLine="0"/>
                    <w:jc w:val="center"/>
                    <w:rPr>
                      <w:rFonts w:cs="宋体"/>
                      <w:color w:val="0D0D0D" w:themeColor="text1" w:themeTint="F2"/>
                      <w:spacing w:val="-10"/>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900-041-49</w:t>
                  </w:r>
                </w:p>
              </w:tc>
              <w:tc>
                <w:tcPr>
                  <w:tcW w:w="385" w:type="pct"/>
                  <w:vAlign w:val="center"/>
                </w:tcPr>
                <w:p w14:paraId="6C9245F8">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0.01</w:t>
                  </w:r>
                </w:p>
              </w:tc>
              <w:tc>
                <w:tcPr>
                  <w:tcW w:w="365" w:type="pct"/>
                  <w:vAlign w:val="center"/>
                </w:tcPr>
                <w:p w14:paraId="42932D0F">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设备维护</w:t>
                  </w:r>
                </w:p>
              </w:tc>
              <w:tc>
                <w:tcPr>
                  <w:tcW w:w="260" w:type="pct"/>
                  <w:vAlign w:val="center"/>
                </w:tcPr>
                <w:p w14:paraId="23347CE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固体</w:t>
                  </w:r>
                </w:p>
              </w:tc>
              <w:tc>
                <w:tcPr>
                  <w:tcW w:w="382" w:type="pct"/>
                  <w:vAlign w:val="center"/>
                </w:tcPr>
                <w:p w14:paraId="2FA98031">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抹布</w:t>
                  </w:r>
                </w:p>
              </w:tc>
              <w:tc>
                <w:tcPr>
                  <w:tcW w:w="382" w:type="pct"/>
                  <w:vAlign w:val="center"/>
                </w:tcPr>
                <w:p w14:paraId="14A7A774">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矿物油</w:t>
                  </w:r>
                </w:p>
              </w:tc>
              <w:tc>
                <w:tcPr>
                  <w:tcW w:w="301" w:type="pct"/>
                  <w:vAlign w:val="center"/>
                </w:tcPr>
                <w:p w14:paraId="7ECFC3D6">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rFonts w:hint="eastAsia"/>
                      <w:color w:val="0D0D0D" w:themeColor="text1" w:themeTint="F2"/>
                      <w:sz w:val="21"/>
                      <w:szCs w:val="21"/>
                      <w:lang w:val="en-US"/>
                      <w14:textFill>
                        <w14:solidFill>
                          <w14:schemeClr w14:val="tx1">
                            <w14:lumMod w14:val="95000"/>
                            <w14:lumOff w14:val="5000"/>
                          </w14:schemeClr>
                        </w14:solidFill>
                      </w14:textFill>
                    </w:rPr>
                    <w:t>每天</w:t>
                  </w:r>
                </w:p>
              </w:tc>
              <w:tc>
                <w:tcPr>
                  <w:tcW w:w="347" w:type="pct"/>
                  <w:vAlign w:val="center"/>
                </w:tcPr>
                <w:p w14:paraId="0398D983">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T/In</w:t>
                  </w:r>
                </w:p>
              </w:tc>
              <w:tc>
                <w:tcPr>
                  <w:tcW w:w="740" w:type="pct"/>
                  <w:vMerge w:val="continue"/>
                  <w:vAlign w:val="center"/>
                </w:tcPr>
                <w:p w14:paraId="19DD384E">
                  <w:pPr>
                    <w:pStyle w:val="54"/>
                    <w:spacing w:after="0" w:line="240" w:lineRule="auto"/>
                    <w:ind w:left="0" w:leftChars="0" w:firstLine="0"/>
                    <w:jc w:val="center"/>
                    <w:rPr>
                      <w:color w:val="0D0D0D" w:themeColor="text1" w:themeTint="F2"/>
                      <w:sz w:val="21"/>
                      <w:szCs w:val="21"/>
                      <w:lang w:val="en-US"/>
                      <w14:textFill>
                        <w14:solidFill>
                          <w14:schemeClr w14:val="tx1">
                            <w14:lumMod w14:val="95000"/>
                            <w14:lumOff w14:val="5000"/>
                          </w14:schemeClr>
                        </w14:solidFill>
                      </w14:textFill>
                    </w:rPr>
                  </w:pPr>
                </w:p>
              </w:tc>
            </w:tr>
          </w:tbl>
          <w:p w14:paraId="7C7AB872">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2.环境管理要求</w:t>
            </w:r>
          </w:p>
          <w:p w14:paraId="0B02DC76">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（1）生活垃圾</w:t>
            </w:r>
          </w:p>
          <w:p w14:paraId="07D055D7">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生活垃圾</w:t>
            </w:r>
            <w:r>
              <w:rPr>
                <w:rFonts w:hint="eastAsia" w:cs="宋体"/>
                <w:bCs/>
                <w:color w:val="0D0D0D" w:themeColor="text1" w:themeTint="F2"/>
                <w:spacing w:val="-10"/>
                <w:sz w:val="24"/>
                <w14:textFill>
                  <w14:solidFill>
                    <w14:schemeClr w14:val="tx1">
                      <w14:lumMod w14:val="95000"/>
                      <w14:lumOff w14:val="5000"/>
                    </w14:schemeClr>
                  </w14:solidFill>
                </w14:textFill>
              </w:rPr>
              <w:t>分类集中</w:t>
            </w:r>
            <w:r>
              <w:rPr>
                <w:rFonts w:cs="宋体"/>
                <w:bCs/>
                <w:color w:val="0D0D0D" w:themeColor="text1" w:themeTint="F2"/>
                <w:spacing w:val="-10"/>
                <w:sz w:val="24"/>
                <w14:textFill>
                  <w14:solidFill>
                    <w14:schemeClr w14:val="tx1">
                      <w14:lumMod w14:val="95000"/>
                      <w14:lumOff w14:val="5000"/>
                    </w14:schemeClr>
                  </w14:solidFill>
                </w14:textFill>
              </w:rPr>
              <w:t>收集后</w:t>
            </w:r>
            <w:r>
              <w:rPr>
                <w:rFonts w:hint="eastAsia" w:cs="宋体"/>
                <w:bCs/>
                <w:color w:val="0D0D0D" w:themeColor="text1" w:themeTint="F2"/>
                <w:spacing w:val="-10"/>
                <w:sz w:val="24"/>
                <w14:textFill>
                  <w14:solidFill>
                    <w14:schemeClr w14:val="tx1">
                      <w14:lumMod w14:val="95000"/>
                      <w14:lumOff w14:val="5000"/>
                    </w14:schemeClr>
                  </w14:solidFill>
                </w14:textFill>
              </w:rPr>
              <w:t>交</w:t>
            </w:r>
            <w:r>
              <w:rPr>
                <w:rFonts w:cs="宋体"/>
                <w:bCs/>
                <w:color w:val="0D0D0D" w:themeColor="text1" w:themeTint="F2"/>
                <w:spacing w:val="-10"/>
                <w:sz w:val="24"/>
                <w14:textFill>
                  <w14:solidFill>
                    <w14:schemeClr w14:val="tx1">
                      <w14:lumMod w14:val="95000"/>
                      <w14:lumOff w14:val="5000"/>
                    </w14:schemeClr>
                  </w14:solidFill>
                </w14:textFill>
              </w:rPr>
              <w:t>由环卫部门</w:t>
            </w:r>
            <w:r>
              <w:rPr>
                <w:rFonts w:hint="eastAsia" w:cs="宋体"/>
                <w:bCs/>
                <w:color w:val="0D0D0D" w:themeColor="text1" w:themeTint="F2"/>
                <w:spacing w:val="-10"/>
                <w:sz w:val="24"/>
                <w14:textFill>
                  <w14:solidFill>
                    <w14:schemeClr w14:val="tx1">
                      <w14:lumMod w14:val="95000"/>
                      <w14:lumOff w14:val="5000"/>
                    </w14:schemeClr>
                  </w14:solidFill>
                </w14:textFill>
              </w:rPr>
              <w:t>清运处置</w:t>
            </w:r>
            <w:r>
              <w:rPr>
                <w:rFonts w:cs="宋体"/>
                <w:bCs/>
                <w:color w:val="0D0D0D" w:themeColor="text1" w:themeTint="F2"/>
                <w:spacing w:val="-10"/>
                <w:sz w:val="24"/>
                <w14:textFill>
                  <w14:solidFill>
                    <w14:schemeClr w14:val="tx1">
                      <w14:lumMod w14:val="95000"/>
                      <w14:lumOff w14:val="5000"/>
                    </w14:schemeClr>
                  </w14:solidFill>
                </w14:textFill>
              </w:rPr>
              <w:t>。</w:t>
            </w:r>
          </w:p>
          <w:p w14:paraId="5E79CAB5">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（2）一般工业固废</w:t>
            </w:r>
          </w:p>
          <w:p w14:paraId="0162650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w:t>
            </w:r>
            <w:r>
              <w:rPr>
                <w:rFonts w:cs="宋体"/>
                <w:bCs/>
                <w:color w:val="0D0D0D" w:themeColor="text1" w:themeTint="F2"/>
                <w:spacing w:val="-10"/>
                <w:sz w:val="24"/>
                <w14:textFill>
                  <w14:solidFill>
                    <w14:schemeClr w14:val="tx1">
                      <w14:lumMod w14:val="95000"/>
                      <w14:lumOff w14:val="5000"/>
                    </w14:schemeClr>
                  </w14:solidFill>
                </w14:textFill>
              </w:rPr>
              <w:t>《中华人民共和国固体废物污染环境防治法》（2020年4月29日修订版），</w:t>
            </w:r>
            <w:r>
              <w:rPr>
                <w:rFonts w:hint="eastAsia" w:cs="宋体"/>
                <w:bCs/>
                <w:color w:val="0D0D0D" w:themeColor="text1" w:themeTint="F2"/>
                <w:spacing w:val="-10"/>
                <w:sz w:val="24"/>
                <w14:textFill>
                  <w14:solidFill>
                    <w14:schemeClr w14:val="tx1">
                      <w14:lumMod w14:val="95000"/>
                      <w14:lumOff w14:val="5000"/>
                    </w14:schemeClr>
                  </w14:solidFill>
                </w14:textFill>
              </w:rPr>
              <w:t>建设单位运营过程需</w:t>
            </w:r>
            <w:r>
              <w:rPr>
                <w:rFonts w:cs="宋体"/>
                <w:bCs/>
                <w:color w:val="0D0D0D" w:themeColor="text1" w:themeTint="F2"/>
                <w:spacing w:val="-10"/>
                <w:sz w:val="24"/>
                <w14:textFill>
                  <w14:solidFill>
                    <w14:schemeClr w14:val="tx1">
                      <w14:lumMod w14:val="95000"/>
                      <w14:lumOff w14:val="5000"/>
                    </w14:schemeClr>
                  </w14:solidFill>
                </w14:textFill>
              </w:rPr>
              <w:t>建立健全工业固体废物产生、收集、贮存、运输、利用、处置全过程的污染环境防治责任制度，建立工业固体废物管理台账，如实记录产生工业固体废物的种类、数量、流向、贮存、利用、处置等信息</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实现工业固体废物可追溯、可查询。应当对受托方的主体资格和技术能力进行核实，依法签订书面合同，在合同中约定污染防治要求。应当向所在地生态环境主管部门提供工业固体废物的种类、数量、流向、贮存、利用、处置等有关资料，以及减少工业固体废物产生、促进综合利用的具体措施，并执行排污许可管理制度的相关规定</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36CAD799">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根据《关于印发&lt;一般工业固体废物环境管理工作指南&gt;的通知》（环办固体函〔2026〕18号），项目一般固废暂存、管理执行《一般工业固体废物贮存和填埋污染控制标准》（GB18599-2020）、《环境保护图形标志  固体废物贮存（处置）场》（GB15562.2-1995）及其修改单相关要求。</w:t>
            </w:r>
            <w:r>
              <w:rPr>
                <w:rFonts w:cs="宋体"/>
                <w:bCs/>
                <w:color w:val="0D0D0D" w:themeColor="text1" w:themeTint="F2"/>
                <w:spacing w:val="-10"/>
                <w:sz w:val="24"/>
                <w14:textFill>
                  <w14:solidFill>
                    <w14:schemeClr w14:val="tx1">
                      <w14:lumMod w14:val="95000"/>
                      <w14:lumOff w14:val="5000"/>
                    </w14:schemeClr>
                  </w14:solidFill>
                </w14:textFill>
              </w:rPr>
              <w:t>项目对</w:t>
            </w:r>
            <w:r>
              <w:rPr>
                <w:rFonts w:hint="eastAsia" w:cs="宋体"/>
                <w:bCs/>
                <w:color w:val="0D0D0D" w:themeColor="text1" w:themeTint="F2"/>
                <w:spacing w:val="-10"/>
                <w:sz w:val="24"/>
                <w14:textFill>
                  <w14:solidFill>
                    <w14:schemeClr w14:val="tx1">
                      <w14:lumMod w14:val="95000"/>
                      <w14:lumOff w14:val="5000"/>
                    </w14:schemeClr>
                  </w14:solidFill>
                </w14:textFill>
              </w:rPr>
              <w:t>一般工业固体废物</w:t>
            </w:r>
            <w:r>
              <w:rPr>
                <w:rFonts w:cs="宋体"/>
                <w:bCs/>
                <w:color w:val="0D0D0D" w:themeColor="text1" w:themeTint="F2"/>
                <w:spacing w:val="-10"/>
                <w:sz w:val="24"/>
                <w14:textFill>
                  <w14:solidFill>
                    <w14:schemeClr w14:val="tx1">
                      <w14:lumMod w14:val="95000"/>
                      <w14:lumOff w14:val="5000"/>
                    </w14:schemeClr>
                  </w14:solidFill>
                </w14:textFill>
              </w:rPr>
              <w:t>的收集和暂存需采取</w:t>
            </w:r>
            <w:r>
              <w:rPr>
                <w:rFonts w:hint="eastAsia" w:cs="宋体"/>
                <w:bCs/>
                <w:color w:val="0D0D0D" w:themeColor="text1" w:themeTint="F2"/>
                <w:spacing w:val="-10"/>
                <w:sz w:val="24"/>
                <w14:textFill>
                  <w14:solidFill>
                    <w14:schemeClr w14:val="tx1">
                      <w14:lumMod w14:val="95000"/>
                      <w14:lumOff w14:val="5000"/>
                    </w14:schemeClr>
                  </w14:solidFill>
                </w14:textFill>
              </w:rPr>
              <w:t>以</w:t>
            </w:r>
            <w:r>
              <w:rPr>
                <w:rFonts w:cs="宋体"/>
                <w:bCs/>
                <w:color w:val="0D0D0D" w:themeColor="text1" w:themeTint="F2"/>
                <w:spacing w:val="-10"/>
                <w:sz w:val="24"/>
                <w14:textFill>
                  <w14:solidFill>
                    <w14:schemeClr w14:val="tx1">
                      <w14:lumMod w14:val="95000"/>
                      <w14:lumOff w14:val="5000"/>
                    </w14:schemeClr>
                  </w14:solidFill>
                </w14:textFill>
              </w:rPr>
              <w:t>下措施：</w:t>
            </w:r>
          </w:p>
          <w:p w14:paraId="1EBDCD72">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w:t>
            </w:r>
            <w:r>
              <w:rPr>
                <w:rFonts w:cs="宋体"/>
                <w:bCs/>
                <w:color w:val="0D0D0D" w:themeColor="text1" w:themeTint="F2"/>
                <w:spacing w:val="-10"/>
                <w:sz w:val="24"/>
                <w14:textFill>
                  <w14:solidFill>
                    <w14:schemeClr w14:val="tx1">
                      <w14:lumMod w14:val="95000"/>
                      <w14:lumOff w14:val="5000"/>
                    </w14:schemeClr>
                  </w14:solidFill>
                </w14:textFill>
              </w:rPr>
              <w:t>一般工业固体废物分类收集</w:t>
            </w:r>
            <w:r>
              <w:rPr>
                <w:rFonts w:hint="eastAsia" w:cs="宋体"/>
                <w:bCs/>
                <w:color w:val="0D0D0D" w:themeColor="text1" w:themeTint="F2"/>
                <w:spacing w:val="-10"/>
                <w:sz w:val="24"/>
                <w14:textFill>
                  <w14:solidFill>
                    <w14:schemeClr w14:val="tx1">
                      <w14:lumMod w14:val="95000"/>
                      <w14:lumOff w14:val="5000"/>
                    </w14:schemeClr>
                  </w14:solidFill>
                </w14:textFill>
              </w:rPr>
              <w:t>、储存，</w:t>
            </w:r>
            <w:r>
              <w:rPr>
                <w:rFonts w:cs="宋体"/>
                <w:bCs/>
                <w:color w:val="0D0D0D" w:themeColor="text1" w:themeTint="F2"/>
                <w:spacing w:val="-10"/>
                <w:sz w:val="24"/>
                <w14:textFill>
                  <w14:solidFill>
                    <w14:schemeClr w14:val="tx1">
                      <w14:lumMod w14:val="95000"/>
                      <w14:lumOff w14:val="5000"/>
                    </w14:schemeClr>
                  </w14:solidFill>
                </w14:textFill>
              </w:rPr>
              <w:t>不</w:t>
            </w:r>
            <w:r>
              <w:rPr>
                <w:rFonts w:hint="eastAsia" w:cs="宋体"/>
                <w:bCs/>
                <w:color w:val="0D0D0D" w:themeColor="text1" w:themeTint="F2"/>
                <w:spacing w:val="-10"/>
                <w:sz w:val="24"/>
                <w14:textFill>
                  <w14:solidFill>
                    <w14:schemeClr w14:val="tx1">
                      <w14:lumMod w14:val="95000"/>
                      <w14:lumOff w14:val="5000"/>
                    </w14:schemeClr>
                  </w14:solidFill>
                </w14:textFill>
              </w:rPr>
              <w:t>将</w:t>
            </w:r>
            <w:r>
              <w:rPr>
                <w:rFonts w:cs="宋体"/>
                <w:bCs/>
                <w:color w:val="0D0D0D" w:themeColor="text1" w:themeTint="F2"/>
                <w:spacing w:val="-10"/>
                <w:sz w:val="24"/>
                <w14:textFill>
                  <w14:solidFill>
                    <w14:schemeClr w14:val="tx1">
                      <w14:lumMod w14:val="95000"/>
                      <w14:lumOff w14:val="5000"/>
                    </w14:schemeClr>
                  </w14:solidFill>
                </w14:textFill>
              </w:rPr>
              <w:t>生活垃圾</w:t>
            </w:r>
            <w:r>
              <w:rPr>
                <w:rFonts w:hint="eastAsia" w:cs="宋体"/>
                <w:bCs/>
                <w:color w:val="0D0D0D" w:themeColor="text1" w:themeTint="F2"/>
                <w:spacing w:val="-10"/>
                <w:sz w:val="24"/>
                <w14:textFill>
                  <w14:solidFill>
                    <w14:schemeClr w14:val="tx1">
                      <w14:lumMod w14:val="95000"/>
                      <w14:lumOff w14:val="5000"/>
                    </w14:schemeClr>
                  </w14:solidFill>
                </w14:textFill>
              </w:rPr>
              <w:t>和危险废物</w:t>
            </w:r>
            <w:r>
              <w:rPr>
                <w:rFonts w:cs="宋体"/>
                <w:bCs/>
                <w:color w:val="0D0D0D" w:themeColor="text1" w:themeTint="F2"/>
                <w:spacing w:val="-10"/>
                <w:sz w:val="24"/>
                <w14:textFill>
                  <w14:solidFill>
                    <w14:schemeClr w14:val="tx1">
                      <w14:lumMod w14:val="95000"/>
                      <w14:lumOff w14:val="5000"/>
                    </w14:schemeClr>
                  </w14:solidFill>
                </w14:textFill>
              </w:rPr>
              <w:t>混入。</w:t>
            </w:r>
          </w:p>
          <w:p w14:paraId="727F4A9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w:t>
            </w:r>
            <w:r>
              <w:rPr>
                <w:rFonts w:cs="宋体"/>
                <w:bCs/>
                <w:color w:val="0D0D0D" w:themeColor="text1" w:themeTint="F2"/>
                <w:spacing w:val="-10"/>
                <w:sz w:val="24"/>
                <w14:textFill>
                  <w14:solidFill>
                    <w14:schemeClr w14:val="tx1">
                      <w14:lumMod w14:val="95000"/>
                      <w14:lumOff w14:val="5000"/>
                    </w14:schemeClr>
                  </w14:solidFill>
                </w14:textFill>
              </w:rPr>
              <w:t>尽量将可利用的一般工业固体废物回收、利用。</w:t>
            </w:r>
          </w:p>
          <w:p w14:paraId="185D0A80">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③贮存过程应满足防渗漏、防雨淋、防扬尘等环境保护要求</w:t>
            </w:r>
          </w:p>
          <w:p w14:paraId="4468985B">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项目设置有1间</w:t>
            </w:r>
            <w:r>
              <w:rPr>
                <w:rFonts w:cs="宋体"/>
                <w:bCs/>
                <w:color w:val="0D0D0D" w:themeColor="text1" w:themeTint="F2"/>
                <w:spacing w:val="-10"/>
                <w:sz w:val="24"/>
                <w14:textFill>
                  <w14:solidFill>
                    <w14:schemeClr w14:val="tx1">
                      <w14:lumMod w14:val="95000"/>
                      <w14:lumOff w14:val="5000"/>
                    </w14:schemeClr>
                  </w14:solidFill>
                </w14:textFill>
              </w:rPr>
              <w:t>一般</w:t>
            </w:r>
            <w:r>
              <w:rPr>
                <w:rFonts w:hint="eastAsia" w:cs="宋体"/>
                <w:bCs/>
                <w:color w:val="0D0D0D" w:themeColor="text1" w:themeTint="F2"/>
                <w:spacing w:val="-10"/>
                <w:sz w:val="24"/>
                <w14:textFill>
                  <w14:solidFill>
                    <w14:schemeClr w14:val="tx1">
                      <w14:lumMod w14:val="95000"/>
                      <w14:lumOff w14:val="5000"/>
                    </w14:schemeClr>
                  </w14:solidFill>
                </w14:textFill>
              </w:rPr>
              <w:t>固废暂存间，占地面积为30</w:t>
            </w:r>
            <w:r>
              <w:rPr>
                <w:rFonts w:cs="宋体"/>
                <w:bCs/>
                <w:color w:val="0D0D0D" w:themeColor="text1" w:themeTint="F2"/>
                <w:spacing w:val="-10"/>
                <w:sz w:val="24"/>
                <w14:textFill>
                  <w14:solidFill>
                    <w14:schemeClr w14:val="tx1">
                      <w14:lumMod w14:val="95000"/>
                      <w14:lumOff w14:val="5000"/>
                    </w14:schemeClr>
                  </w14:solidFill>
                </w14:textFill>
              </w:rPr>
              <w:t>m</w:t>
            </w:r>
            <w:r>
              <w:rPr>
                <w:rFonts w:cs="宋体"/>
                <w:bCs/>
                <w:color w:val="0D0D0D" w:themeColor="text1" w:themeTint="F2"/>
                <w:spacing w:val="-10"/>
                <w:sz w:val="24"/>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最大贮存量约</w:t>
            </w:r>
            <w:r>
              <w:rPr>
                <w:rFonts w:hint="eastAsia" w:cs="宋体"/>
                <w:bCs/>
                <w:color w:val="0D0D0D" w:themeColor="text1" w:themeTint="F2"/>
                <w:spacing w:val="-10"/>
                <w:sz w:val="24"/>
                <w14:textFill>
                  <w14:solidFill>
                    <w14:schemeClr w14:val="tx1">
                      <w14:lumMod w14:val="95000"/>
                      <w14:lumOff w14:val="5000"/>
                    </w14:schemeClr>
                  </w14:solidFill>
                </w14:textFill>
              </w:rPr>
              <w:t>为30</w:t>
            </w:r>
            <w:r>
              <w:rPr>
                <w:rFonts w:cs="宋体"/>
                <w:bCs/>
                <w:color w:val="0D0D0D" w:themeColor="text1" w:themeTint="F2"/>
                <w:spacing w:val="-10"/>
                <w:sz w:val="24"/>
                <w14:textFill>
                  <w14:solidFill>
                    <w14:schemeClr w14:val="tx1">
                      <w14:lumMod w14:val="95000"/>
                      <w14:lumOff w14:val="5000"/>
                    </w14:schemeClr>
                  </w14:solidFill>
                </w14:textFill>
              </w:rPr>
              <w:t>t，</w:t>
            </w:r>
            <w:r>
              <w:rPr>
                <w:rFonts w:hint="eastAsia" w:cs="宋体"/>
                <w:bCs/>
                <w:color w:val="0D0D0D" w:themeColor="text1" w:themeTint="F2"/>
                <w:spacing w:val="-10"/>
                <w:sz w:val="24"/>
                <w:u w:val="single"/>
                <w14:textFill>
                  <w14:solidFill>
                    <w14:schemeClr w14:val="tx1">
                      <w14:lumMod w14:val="95000"/>
                      <w14:lumOff w14:val="5000"/>
                    </w14:schemeClr>
                  </w14:solidFill>
                </w14:textFill>
              </w:rPr>
              <w:t>废边角料、除尘设备收集粉尘、废焊接材料、废钢丸和废滤芯产生量为5.61t/a，每季度定期外售废品回收站，最大暂存量为1.40t/a，</w:t>
            </w:r>
            <w:r>
              <w:rPr>
                <w:rFonts w:cs="宋体"/>
                <w:bCs/>
                <w:color w:val="0D0D0D" w:themeColor="text1" w:themeTint="F2"/>
                <w:spacing w:val="-10"/>
                <w:sz w:val="24"/>
                <w14:textFill>
                  <w14:solidFill>
                    <w14:schemeClr w14:val="tx1">
                      <w14:lumMod w14:val="95000"/>
                      <w14:lumOff w14:val="5000"/>
                    </w14:schemeClr>
                  </w14:solidFill>
                </w14:textFill>
              </w:rPr>
              <w:t>因此，一般</w:t>
            </w:r>
            <w:r>
              <w:rPr>
                <w:rFonts w:hint="eastAsia" w:cs="宋体"/>
                <w:bCs/>
                <w:color w:val="0D0D0D" w:themeColor="text1" w:themeTint="F2"/>
                <w:spacing w:val="-10"/>
                <w:sz w:val="24"/>
                <w14:textFill>
                  <w14:solidFill>
                    <w14:schemeClr w14:val="tx1">
                      <w14:lumMod w14:val="95000"/>
                      <w14:lumOff w14:val="5000"/>
                    </w14:schemeClr>
                  </w14:solidFill>
                </w14:textFill>
              </w:rPr>
              <w:t>固废暂存间</w:t>
            </w:r>
            <w:r>
              <w:rPr>
                <w:rFonts w:cs="宋体"/>
                <w:bCs/>
                <w:color w:val="0D0D0D" w:themeColor="text1" w:themeTint="F2"/>
                <w:spacing w:val="-10"/>
                <w:sz w:val="24"/>
                <w14:textFill>
                  <w14:solidFill>
                    <w14:schemeClr w14:val="tx1">
                      <w14:lumMod w14:val="95000"/>
                      <w14:lumOff w14:val="5000"/>
                    </w14:schemeClr>
                  </w14:solidFill>
                </w14:textFill>
              </w:rPr>
              <w:t>可满足</w:t>
            </w:r>
            <w:r>
              <w:rPr>
                <w:rFonts w:hint="eastAsia" w:cs="宋体"/>
                <w:bCs/>
                <w:color w:val="0D0D0D" w:themeColor="text1" w:themeTint="F2"/>
                <w:spacing w:val="-10"/>
                <w:sz w:val="24"/>
                <w14:textFill>
                  <w14:solidFill>
                    <w14:schemeClr w14:val="tx1">
                      <w14:lumMod w14:val="95000"/>
                      <w14:lumOff w14:val="5000"/>
                    </w14:schemeClr>
                  </w14:solidFill>
                </w14:textFill>
              </w:rPr>
              <w:t>一般固废</w:t>
            </w:r>
            <w:r>
              <w:rPr>
                <w:rFonts w:cs="宋体"/>
                <w:bCs/>
                <w:color w:val="0D0D0D" w:themeColor="text1" w:themeTint="F2"/>
                <w:spacing w:val="-10"/>
                <w:sz w:val="24"/>
                <w14:textFill>
                  <w14:solidFill>
                    <w14:schemeClr w14:val="tx1">
                      <w14:lumMod w14:val="95000"/>
                      <w14:lumOff w14:val="5000"/>
                    </w14:schemeClr>
                  </w14:solidFill>
                </w14:textFill>
              </w:rPr>
              <w:t>贮存</w:t>
            </w:r>
            <w:r>
              <w:rPr>
                <w:rFonts w:hint="eastAsia" w:cs="宋体"/>
                <w:bCs/>
                <w:color w:val="0D0D0D" w:themeColor="text1" w:themeTint="F2"/>
                <w:spacing w:val="-10"/>
                <w:sz w:val="24"/>
                <w14:textFill>
                  <w14:solidFill>
                    <w14:schemeClr w14:val="tx1">
                      <w14:lumMod w14:val="95000"/>
                      <w14:lumOff w14:val="5000"/>
                    </w14:schemeClr>
                  </w14:solidFill>
                </w14:textFill>
              </w:rPr>
              <w:t>需求</w:t>
            </w:r>
            <w:r>
              <w:rPr>
                <w:rFonts w:cs="宋体"/>
                <w:bCs/>
                <w:color w:val="0D0D0D" w:themeColor="text1" w:themeTint="F2"/>
                <w:spacing w:val="-10"/>
                <w:sz w:val="24"/>
                <w14:textFill>
                  <w14:solidFill>
                    <w14:schemeClr w14:val="tx1">
                      <w14:lumMod w14:val="95000"/>
                      <w14:lumOff w14:val="5000"/>
                    </w14:schemeClr>
                  </w14:solidFill>
                </w14:textFill>
              </w:rPr>
              <w:t>。</w:t>
            </w:r>
          </w:p>
          <w:p w14:paraId="7BA9BC50">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（3）危险废物</w:t>
            </w:r>
          </w:p>
          <w:p w14:paraId="39AA406D">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项目设置2间危废暂存间，占地面积均为54</w:t>
            </w:r>
            <w:r>
              <w:rPr>
                <w:rFonts w:cs="宋体"/>
                <w:bCs/>
                <w:color w:val="0D0D0D" w:themeColor="text1" w:themeTint="F2"/>
                <w:spacing w:val="-10"/>
                <w:sz w:val="24"/>
                <w:u w:val="single"/>
                <w14:textFill>
                  <w14:solidFill>
                    <w14:schemeClr w14:val="tx1">
                      <w14:lumMod w14:val="95000"/>
                      <w14:lumOff w14:val="5000"/>
                    </w14:schemeClr>
                  </w14:solidFill>
                </w14:textFill>
              </w:rPr>
              <w:t>m</w:t>
            </w:r>
            <w:r>
              <w:rPr>
                <w:rFonts w:cs="宋体"/>
                <w:bCs/>
                <w:color w:val="0D0D0D" w:themeColor="text1" w:themeTint="F2"/>
                <w:spacing w:val="-10"/>
                <w:sz w:val="24"/>
                <w:u w:val="single"/>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，危废暂存间</w:t>
            </w:r>
            <w:r>
              <w:rPr>
                <w:rFonts w:cs="宋体"/>
                <w:bCs/>
                <w:color w:val="0D0D0D" w:themeColor="text1" w:themeTint="F2"/>
                <w:spacing w:val="-10"/>
                <w:sz w:val="24"/>
                <w:u w:val="single"/>
                <w14:textFill>
                  <w14:solidFill>
                    <w14:schemeClr w14:val="tx1">
                      <w14:lumMod w14:val="95000"/>
                      <w14:lumOff w14:val="5000"/>
                    </w14:schemeClr>
                  </w14:solidFill>
                </w14:textFill>
              </w:rPr>
              <w:t>最大贮存</w:t>
            </w:r>
            <w:r>
              <w:rPr>
                <w:rFonts w:hint="eastAsia" w:cs="宋体"/>
                <w:bCs/>
                <w:color w:val="0D0D0D" w:themeColor="text1" w:themeTint="F2"/>
                <w:spacing w:val="-10"/>
                <w:sz w:val="24"/>
                <w:u w:val="single"/>
                <w14:textFill>
                  <w14:solidFill>
                    <w14:schemeClr w14:val="tx1">
                      <w14:lumMod w14:val="95000"/>
                      <w14:lumOff w14:val="5000"/>
                    </w14:schemeClr>
                  </w14:solidFill>
                </w14:textFill>
              </w:rPr>
              <w:t>总</w:t>
            </w:r>
            <w:r>
              <w:rPr>
                <w:rFonts w:cs="宋体"/>
                <w:bCs/>
                <w:color w:val="0D0D0D" w:themeColor="text1" w:themeTint="F2"/>
                <w:spacing w:val="-10"/>
                <w:sz w:val="24"/>
                <w:u w:val="single"/>
                <w14:textFill>
                  <w14:solidFill>
                    <w14:schemeClr w14:val="tx1">
                      <w14:lumMod w14:val="95000"/>
                      <w14:lumOff w14:val="5000"/>
                    </w14:schemeClr>
                  </w14:solidFill>
                </w14:textFill>
              </w:rPr>
              <w:t>量约</w:t>
            </w:r>
            <w:r>
              <w:rPr>
                <w:rFonts w:hint="eastAsia" w:cs="宋体"/>
                <w:bCs/>
                <w:color w:val="0D0D0D" w:themeColor="text1" w:themeTint="F2"/>
                <w:spacing w:val="-10"/>
                <w:sz w:val="24"/>
                <w:u w:val="single"/>
                <w14:textFill>
                  <w14:solidFill>
                    <w14:schemeClr w14:val="tx1">
                      <w14:lumMod w14:val="95000"/>
                      <w14:lumOff w14:val="5000"/>
                    </w14:schemeClr>
                  </w14:solidFill>
                </w14:textFill>
              </w:rPr>
              <w:t>为108</w:t>
            </w:r>
            <w:r>
              <w:rPr>
                <w:rFonts w:cs="宋体"/>
                <w:bCs/>
                <w:color w:val="0D0D0D" w:themeColor="text1" w:themeTint="F2"/>
                <w:spacing w:val="-10"/>
                <w:sz w:val="24"/>
                <w:u w:val="single"/>
                <w14:textFill>
                  <w14:solidFill>
                    <w14:schemeClr w14:val="tx1">
                      <w14:lumMod w14:val="95000"/>
                      <w14:lumOff w14:val="5000"/>
                    </w14:schemeClr>
                  </w14:solidFill>
                </w14:textFill>
              </w:rPr>
              <w:t>t，项目危废产生</w:t>
            </w:r>
            <w:r>
              <w:rPr>
                <w:rFonts w:hint="eastAsia" w:cs="宋体"/>
                <w:bCs/>
                <w:color w:val="0D0D0D" w:themeColor="text1" w:themeTint="F2"/>
                <w:spacing w:val="-10"/>
                <w:sz w:val="24"/>
                <w:u w:val="single"/>
                <w14:textFill>
                  <w14:solidFill>
                    <w14:schemeClr w14:val="tx1">
                      <w14:lumMod w14:val="95000"/>
                      <w14:lumOff w14:val="5000"/>
                    </w14:schemeClr>
                  </w14:solidFill>
                </w14:textFill>
              </w:rPr>
              <w:t>总</w:t>
            </w:r>
            <w:r>
              <w:rPr>
                <w:rFonts w:cs="宋体"/>
                <w:bCs/>
                <w:color w:val="0D0D0D" w:themeColor="text1" w:themeTint="F2"/>
                <w:spacing w:val="-10"/>
                <w:sz w:val="24"/>
                <w:u w:val="single"/>
                <w14:textFill>
                  <w14:solidFill>
                    <w14:schemeClr w14:val="tx1">
                      <w14:lumMod w14:val="95000"/>
                      <w14:lumOff w14:val="5000"/>
                    </w14:schemeClr>
                  </w14:solidFill>
                </w14:textFill>
              </w:rPr>
              <w:t>量</w:t>
            </w:r>
            <w:r>
              <w:rPr>
                <w:rFonts w:hint="eastAsia" w:cs="宋体"/>
                <w:bCs/>
                <w:color w:val="0D0D0D" w:themeColor="text1" w:themeTint="F2"/>
                <w:spacing w:val="-10"/>
                <w:sz w:val="24"/>
                <w:u w:val="single"/>
                <w14:textFill>
                  <w14:solidFill>
                    <w14:schemeClr w14:val="tx1">
                      <w14:lumMod w14:val="95000"/>
                      <w14:lumOff w14:val="5000"/>
                    </w14:schemeClr>
                  </w14:solidFill>
                </w14:textFill>
              </w:rPr>
              <w:t>（含未鉴定属性的喷枪清洗废液和废水性漆桶）</w:t>
            </w:r>
            <w:r>
              <w:rPr>
                <w:rFonts w:cs="宋体"/>
                <w:bCs/>
                <w:color w:val="0D0D0D" w:themeColor="text1" w:themeTint="F2"/>
                <w:spacing w:val="-10"/>
                <w:sz w:val="24"/>
                <w:u w:val="single"/>
                <w14:textFill>
                  <w14:solidFill>
                    <w14:schemeClr w14:val="tx1">
                      <w14:lumMod w14:val="95000"/>
                      <w14:lumOff w14:val="5000"/>
                    </w14:schemeClr>
                  </w14:solidFill>
                </w14:textFill>
              </w:rPr>
              <w:t>为</w:t>
            </w:r>
            <w:r>
              <w:rPr>
                <w:rFonts w:hint="eastAsia" w:cs="宋体"/>
                <w:bCs/>
                <w:color w:val="0D0D0D" w:themeColor="text1" w:themeTint="F2"/>
                <w:spacing w:val="-10"/>
                <w:sz w:val="24"/>
                <w:u w:val="single"/>
                <w14:textFill>
                  <w14:solidFill>
                    <w14:schemeClr w14:val="tx1">
                      <w14:lumMod w14:val="95000"/>
                      <w14:lumOff w14:val="5000"/>
                    </w14:schemeClr>
                  </w14:solidFill>
                </w14:textFill>
              </w:rPr>
              <w:t>40.2</w:t>
            </w:r>
            <w:r>
              <w:rPr>
                <w:rFonts w:cs="宋体"/>
                <w:bCs/>
                <w:color w:val="0D0D0D" w:themeColor="text1" w:themeTint="F2"/>
                <w:spacing w:val="-10"/>
                <w:sz w:val="24"/>
                <w:u w:val="single"/>
                <w14:textFill>
                  <w14:solidFill>
                    <w14:schemeClr w14:val="tx1">
                      <w14:lumMod w14:val="95000"/>
                      <w14:lumOff w14:val="5000"/>
                    </w14:schemeClr>
                  </w14:solidFill>
                </w14:textFill>
              </w:rPr>
              <w:t>t/a，</w:t>
            </w:r>
            <w:r>
              <w:rPr>
                <w:rFonts w:hint="eastAsia" w:cs="宋体"/>
                <w:bCs/>
                <w:color w:val="0D0D0D" w:themeColor="text1" w:themeTint="F2"/>
                <w:spacing w:val="-10"/>
                <w:sz w:val="24"/>
                <w:u w:val="single"/>
                <w14:textFill>
                  <w14:solidFill>
                    <w14:schemeClr w14:val="tx1">
                      <w14:lumMod w14:val="95000"/>
                      <w14:lumOff w14:val="5000"/>
                    </w14:schemeClr>
                  </w14:solidFill>
                </w14:textFill>
              </w:rPr>
              <w:t>使用专用容器收集后</w:t>
            </w:r>
            <w:r>
              <w:rPr>
                <w:rFonts w:cs="宋体"/>
                <w:bCs/>
                <w:color w:val="0D0D0D" w:themeColor="text1" w:themeTint="F2"/>
                <w:spacing w:val="-10"/>
                <w:sz w:val="24"/>
                <w:u w:val="single"/>
                <w14:textFill>
                  <w14:solidFill>
                    <w14:schemeClr w14:val="tx1">
                      <w14:lumMod w14:val="95000"/>
                      <w14:lumOff w14:val="5000"/>
                    </w14:schemeClr>
                  </w14:solidFill>
                </w14:textFill>
              </w:rPr>
              <w:t>按特性分区暂存</w:t>
            </w:r>
            <w:r>
              <w:rPr>
                <w:rFonts w:hint="eastAsia" w:cs="宋体"/>
                <w:bCs/>
                <w:color w:val="0D0D0D" w:themeColor="text1" w:themeTint="F2"/>
                <w:spacing w:val="-10"/>
                <w:sz w:val="24"/>
                <w:u w:val="single"/>
                <w14:textFill>
                  <w14:solidFill>
                    <w14:schemeClr w14:val="tx1">
                      <w14:lumMod w14:val="95000"/>
                      <w14:lumOff w14:val="5000"/>
                    </w14:schemeClr>
                  </w14:solidFill>
                </w14:textFill>
              </w:rPr>
              <w:t>于危废暂存间，暂存时长不超过1年，委托有资质单位清运处置，</w:t>
            </w:r>
            <w:r>
              <w:rPr>
                <w:rFonts w:cs="宋体"/>
                <w:bCs/>
                <w:color w:val="0D0D0D" w:themeColor="text1" w:themeTint="F2"/>
                <w:spacing w:val="-10"/>
                <w:sz w:val="24"/>
                <w:u w:val="single"/>
                <w14:textFill>
                  <w14:solidFill>
                    <w14:schemeClr w14:val="tx1">
                      <w14:lumMod w14:val="95000"/>
                      <w14:lumOff w14:val="5000"/>
                    </w14:schemeClr>
                  </w14:solidFill>
                </w14:textFill>
              </w:rPr>
              <w:t>危废最大暂存量为</w:t>
            </w:r>
            <w:r>
              <w:rPr>
                <w:rFonts w:hint="eastAsia" w:cs="宋体"/>
                <w:bCs/>
                <w:color w:val="0D0D0D" w:themeColor="text1" w:themeTint="F2"/>
                <w:spacing w:val="-10"/>
                <w:sz w:val="24"/>
                <w:u w:val="single"/>
                <w14:textFill>
                  <w14:solidFill>
                    <w14:schemeClr w14:val="tx1">
                      <w14:lumMod w14:val="95000"/>
                      <w14:lumOff w14:val="5000"/>
                    </w14:schemeClr>
                  </w14:solidFill>
                </w14:textFill>
              </w:rPr>
              <w:t>40.2</w:t>
            </w:r>
            <w:r>
              <w:rPr>
                <w:rFonts w:cs="宋体"/>
                <w:bCs/>
                <w:color w:val="0D0D0D" w:themeColor="text1" w:themeTint="F2"/>
                <w:spacing w:val="-10"/>
                <w:sz w:val="24"/>
                <w:u w:val="single"/>
                <w14:textFill>
                  <w14:solidFill>
                    <w14:schemeClr w14:val="tx1">
                      <w14:lumMod w14:val="95000"/>
                      <w14:lumOff w14:val="5000"/>
                    </w14:schemeClr>
                  </w14:solidFill>
                </w14:textFill>
              </w:rPr>
              <w:t>t/a，因此</w:t>
            </w:r>
            <w:r>
              <w:rPr>
                <w:rFonts w:hint="eastAsia" w:cs="宋体"/>
                <w:bCs/>
                <w:color w:val="0D0D0D" w:themeColor="text1" w:themeTint="F2"/>
                <w:spacing w:val="-10"/>
                <w:sz w:val="24"/>
                <w:u w:val="single"/>
                <w14:textFill>
                  <w14:solidFill>
                    <w14:schemeClr w14:val="tx1">
                      <w14:lumMod w14:val="95000"/>
                      <w14:lumOff w14:val="5000"/>
                    </w14:schemeClr>
                  </w14:solidFill>
                </w14:textFill>
              </w:rPr>
              <w:t>，危废暂存间</w:t>
            </w:r>
            <w:r>
              <w:rPr>
                <w:rFonts w:cs="宋体"/>
                <w:bCs/>
                <w:color w:val="0D0D0D" w:themeColor="text1" w:themeTint="F2"/>
                <w:spacing w:val="-10"/>
                <w:sz w:val="24"/>
                <w:u w:val="single"/>
                <w14:textFill>
                  <w14:solidFill>
                    <w14:schemeClr w14:val="tx1">
                      <w14:lumMod w14:val="95000"/>
                      <w14:lumOff w14:val="5000"/>
                    </w14:schemeClr>
                  </w14:solidFill>
                </w14:textFill>
              </w:rPr>
              <w:t>可满足</w:t>
            </w:r>
            <w:r>
              <w:rPr>
                <w:rFonts w:hint="eastAsia" w:cs="宋体"/>
                <w:bCs/>
                <w:color w:val="0D0D0D" w:themeColor="text1" w:themeTint="F2"/>
                <w:spacing w:val="-10"/>
                <w:sz w:val="24"/>
                <w:u w:val="single"/>
                <w14:textFill>
                  <w14:solidFill>
                    <w14:schemeClr w14:val="tx1">
                      <w14:lumMod w14:val="95000"/>
                      <w14:lumOff w14:val="5000"/>
                    </w14:schemeClr>
                  </w14:solidFill>
                </w14:textFill>
              </w:rPr>
              <w:t>危险废物</w:t>
            </w:r>
            <w:r>
              <w:rPr>
                <w:rFonts w:cs="宋体"/>
                <w:bCs/>
                <w:color w:val="0D0D0D" w:themeColor="text1" w:themeTint="F2"/>
                <w:spacing w:val="-10"/>
                <w:sz w:val="24"/>
                <w:u w:val="single"/>
                <w14:textFill>
                  <w14:solidFill>
                    <w14:schemeClr w14:val="tx1">
                      <w14:lumMod w14:val="95000"/>
                      <w14:lumOff w14:val="5000"/>
                    </w14:schemeClr>
                  </w14:solidFill>
                </w14:textFill>
              </w:rPr>
              <w:t>贮存</w:t>
            </w:r>
            <w:r>
              <w:rPr>
                <w:rFonts w:hint="eastAsia" w:cs="宋体"/>
                <w:bCs/>
                <w:color w:val="0D0D0D" w:themeColor="text1" w:themeTint="F2"/>
                <w:spacing w:val="-10"/>
                <w:sz w:val="24"/>
                <w:u w:val="single"/>
                <w14:textFill>
                  <w14:solidFill>
                    <w14:schemeClr w14:val="tx1">
                      <w14:lumMod w14:val="95000"/>
                      <w14:lumOff w14:val="5000"/>
                    </w14:schemeClr>
                  </w14:solidFill>
                </w14:textFill>
              </w:rPr>
              <w:t>需求</w:t>
            </w:r>
            <w:r>
              <w:rPr>
                <w:rFonts w:cs="宋体"/>
                <w:bCs/>
                <w:color w:val="0D0D0D" w:themeColor="text1" w:themeTint="F2"/>
                <w:spacing w:val="-10"/>
                <w:sz w:val="24"/>
                <w:u w:val="single"/>
                <w14:textFill>
                  <w14:solidFill>
                    <w14:schemeClr w14:val="tx1">
                      <w14:lumMod w14:val="95000"/>
                      <w14:lumOff w14:val="5000"/>
                    </w14:schemeClr>
                  </w14:solidFill>
                </w14:textFill>
              </w:rPr>
              <w:t>。</w:t>
            </w:r>
          </w:p>
          <w:p w14:paraId="537656B6">
            <w:pPr>
              <w:adjustRightInd w:val="0"/>
              <w:snapToGrid w:val="0"/>
              <w:spacing w:after="0"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收集：</w:t>
            </w:r>
          </w:p>
          <w:p w14:paraId="390A5129">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根据《危险废物贮存污染控制标准》（GB18597-20</w:t>
            </w:r>
            <w:r>
              <w:rPr>
                <w:rFonts w:cs="宋体"/>
                <w:bCs/>
                <w:color w:val="0D0D0D" w:themeColor="text1" w:themeTint="F2"/>
                <w:spacing w:val="-10"/>
                <w:sz w:val="24"/>
                <w:u w:val="single"/>
                <w14:textFill>
                  <w14:solidFill>
                    <w14:schemeClr w14:val="tx1">
                      <w14:lumMod w14:val="95000"/>
                      <w14:lumOff w14:val="5000"/>
                    </w14:schemeClr>
                  </w14:solidFill>
                </w14:textFill>
              </w:rPr>
              <w:t>23</w:t>
            </w:r>
            <w:r>
              <w:rPr>
                <w:rFonts w:hint="eastAsia" w:cs="宋体"/>
                <w:bCs/>
                <w:color w:val="0D0D0D" w:themeColor="text1" w:themeTint="F2"/>
                <w:spacing w:val="-10"/>
                <w:sz w:val="24"/>
                <w:u w:val="single"/>
                <w14:textFill>
                  <w14:solidFill>
                    <w14:schemeClr w14:val="tx1">
                      <w14:lumMod w14:val="95000"/>
                      <w14:lumOff w14:val="5000"/>
                    </w14:schemeClr>
                  </w14:solidFill>
                </w14:textFill>
              </w:rPr>
              <w:t>），“4.3贮存危险废物应根据危险废物的类别、形态、物理化学性质和污染防治要求进行分类贮存，且应避免危险废物与不相容的物质或材料接触。4.5危险废物贮存过程产生的液态废物和固态废物应分类收集，按环境管理要求妥善处理”。</w:t>
            </w:r>
          </w:p>
          <w:p w14:paraId="41E76482">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因此，</w:t>
            </w:r>
            <w:r>
              <w:rPr>
                <w:rFonts w:cs="宋体"/>
                <w:bCs/>
                <w:color w:val="0D0D0D" w:themeColor="text1" w:themeTint="F2"/>
                <w:spacing w:val="-10"/>
                <w:sz w:val="24"/>
                <w:u w:val="single"/>
                <w14:textFill>
                  <w14:solidFill>
                    <w14:schemeClr w14:val="tx1">
                      <w14:lumMod w14:val="95000"/>
                      <w14:lumOff w14:val="5000"/>
                    </w14:schemeClr>
                  </w14:solidFill>
                </w14:textFill>
              </w:rPr>
              <w:t>项目运营期产生的</w:t>
            </w:r>
            <w:r>
              <w:rPr>
                <w:rFonts w:hint="eastAsia" w:cs="宋体"/>
                <w:bCs/>
                <w:color w:val="0D0D0D" w:themeColor="text1" w:themeTint="F2"/>
                <w:spacing w:val="-10"/>
                <w:sz w:val="24"/>
                <w:u w:val="single"/>
                <w14:textFill>
                  <w14:solidFill>
                    <w14:schemeClr w14:val="tx1">
                      <w14:lumMod w14:val="95000"/>
                      <w14:lumOff w14:val="5000"/>
                    </w14:schemeClr>
                  </w14:solidFill>
                </w14:textFill>
              </w:rPr>
              <w:t>危险废物应</w:t>
            </w:r>
            <w:r>
              <w:rPr>
                <w:rFonts w:cs="宋体"/>
                <w:bCs/>
                <w:color w:val="0D0D0D" w:themeColor="text1" w:themeTint="F2"/>
                <w:spacing w:val="-10"/>
                <w:sz w:val="24"/>
                <w:u w:val="single"/>
                <w14:textFill>
                  <w14:solidFill>
                    <w14:schemeClr w14:val="tx1">
                      <w14:lumMod w14:val="95000"/>
                      <w14:lumOff w14:val="5000"/>
                    </w14:schemeClr>
                  </w14:solidFill>
                </w14:textFill>
              </w:rPr>
              <w:t>分类收集，用</w:t>
            </w:r>
            <w:r>
              <w:rPr>
                <w:rFonts w:hint="eastAsia" w:cs="宋体"/>
                <w:bCs/>
                <w:color w:val="0D0D0D" w:themeColor="text1" w:themeTint="F2"/>
                <w:spacing w:val="-10"/>
                <w:sz w:val="24"/>
                <w:u w:val="single"/>
                <w14:textFill>
                  <w14:solidFill>
                    <w14:schemeClr w14:val="tx1">
                      <w14:lumMod w14:val="95000"/>
                      <w14:lumOff w14:val="5000"/>
                    </w14:schemeClr>
                  </w14:solidFill>
                </w14:textFill>
              </w:rPr>
              <w:t>专用容器桶</w:t>
            </w:r>
            <w:r>
              <w:rPr>
                <w:rFonts w:cs="宋体"/>
                <w:bCs/>
                <w:color w:val="0D0D0D" w:themeColor="text1" w:themeTint="F2"/>
                <w:spacing w:val="-10"/>
                <w:sz w:val="24"/>
                <w:u w:val="single"/>
                <w14:textFill>
                  <w14:solidFill>
                    <w14:schemeClr w14:val="tx1">
                      <w14:lumMod w14:val="95000"/>
                      <w14:lumOff w14:val="5000"/>
                    </w14:schemeClr>
                  </w14:solidFill>
                </w14:textFill>
              </w:rPr>
              <w:t>储存，并在包装的明显位置附上危险废物标签，所有包装容器应足够安全，并经过周密检查，严防在装载、搬移或运输途中出现渗漏、溢出、抛洒或挥发等情况。</w:t>
            </w:r>
          </w:p>
          <w:p w14:paraId="6F737EC9">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根据《危险废物贮存污染控制标准》（GB18597-20</w:t>
            </w:r>
            <w:r>
              <w:rPr>
                <w:rFonts w:cs="宋体"/>
                <w:bCs/>
                <w:color w:val="0D0D0D" w:themeColor="text1" w:themeTint="F2"/>
                <w:spacing w:val="-10"/>
                <w:sz w:val="24"/>
                <w:u w:val="single"/>
                <w14:textFill>
                  <w14:solidFill>
                    <w14:schemeClr w14:val="tx1">
                      <w14:lumMod w14:val="95000"/>
                      <w14:lumOff w14:val="5000"/>
                    </w14:schemeClr>
                  </w14:solidFill>
                </w14:textFill>
              </w:rPr>
              <w:t>23</w:t>
            </w:r>
            <w:r>
              <w:rPr>
                <w:rFonts w:hint="eastAsia" w:cs="宋体"/>
                <w:bCs/>
                <w:color w:val="0D0D0D" w:themeColor="text1" w:themeTint="F2"/>
                <w:spacing w:val="-10"/>
                <w:sz w:val="24"/>
                <w:u w:val="single"/>
                <w14:textFill>
                  <w14:solidFill>
                    <w14:schemeClr w14:val="tx1">
                      <w14:lumMod w14:val="95000"/>
                      <w14:lumOff w14:val="5000"/>
                    </w14:schemeClr>
                  </w14:solidFill>
                </w14:textFill>
              </w:rPr>
              <w:t>），设置的危险暂存间应满足以下要求：</w:t>
            </w:r>
          </w:p>
          <w:p w14:paraId="3CD3C5AD">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①根据危险废物的形态、物理化学性质、包装形式和污染物迁移途径，</w:t>
            </w:r>
            <w:r>
              <w:rPr>
                <w:rFonts w:cs="宋体"/>
                <w:bCs/>
                <w:color w:val="0D0D0D" w:themeColor="text1" w:themeTint="F2"/>
                <w:spacing w:val="-10"/>
                <w:sz w:val="24"/>
                <w:u w:val="single"/>
                <w14:textFill>
                  <w14:solidFill>
                    <w14:schemeClr w14:val="tx1">
                      <w14:lumMod w14:val="95000"/>
                      <w14:lumOff w14:val="5000"/>
                    </w14:schemeClr>
                  </w14:solidFill>
                </w14:textFill>
              </w:rPr>
              <w:t>采取必要的防风、防晒、防雨、防漏、防渗、防腐以及其他环境污染防治措施，不应露天堆放危险废物。</w:t>
            </w:r>
          </w:p>
          <w:p w14:paraId="235363FA">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②根据危险废物的类别、数量、形态、物理化学性质和污染防治等要求</w:t>
            </w:r>
            <w:r>
              <w:rPr>
                <w:rFonts w:cs="宋体"/>
                <w:bCs/>
                <w:color w:val="0D0D0D" w:themeColor="text1" w:themeTint="F2"/>
                <w:spacing w:val="-10"/>
                <w:sz w:val="24"/>
                <w:u w:val="single"/>
                <w14:textFill>
                  <w14:solidFill>
                    <w14:schemeClr w14:val="tx1">
                      <w14:lumMod w14:val="95000"/>
                      <w14:lumOff w14:val="5000"/>
                    </w14:schemeClr>
                  </w14:solidFill>
                </w14:textFill>
              </w:rPr>
              <w:t>设置必要的贮存分区，避免不相容的危险废物接触、混合。</w:t>
            </w:r>
          </w:p>
          <w:p w14:paraId="512F3766">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③</w:t>
            </w:r>
            <w:r>
              <w:rPr>
                <w:rFonts w:cs="宋体"/>
                <w:bCs/>
                <w:color w:val="0D0D0D" w:themeColor="text1" w:themeTint="F2"/>
                <w:spacing w:val="-10"/>
                <w:sz w:val="24"/>
                <w:u w:val="single"/>
                <w14:textFill>
                  <w14:solidFill>
                    <w14:schemeClr w14:val="tx1">
                      <w14:lumMod w14:val="95000"/>
                      <w14:lumOff w14:val="5000"/>
                    </w14:schemeClr>
                  </w14:solidFill>
                </w14:textFill>
              </w:rPr>
              <w:t>地面、墙面裙脚、堵截泄漏的围堰、接触危险废物的隔板和墙体等采用坚固的材料建造，表面无裂缝。</w:t>
            </w:r>
          </w:p>
          <w:p w14:paraId="1B6D2C22">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④</w:t>
            </w:r>
            <w:r>
              <w:rPr>
                <w:rFonts w:cs="宋体"/>
                <w:bCs/>
                <w:color w:val="0D0D0D" w:themeColor="text1" w:themeTint="F2"/>
                <w:spacing w:val="-10"/>
                <w:sz w:val="24"/>
                <w:u w:val="single"/>
                <w14:textFill>
                  <w14:solidFill>
                    <w14:schemeClr w14:val="tx1">
                      <w14:lumMod w14:val="95000"/>
                      <w14:lumOff w14:val="5000"/>
                    </w14:schemeClr>
                  </w14:solidFill>
                </w14:textFill>
              </w:rPr>
              <w:t>贮存设施地面与裙脚采取表面防渗措施；表面防渗材料应与所接触的物料或污染物相容，采用至少2mm厚高密度聚乙烯膜等人工防渗材料（渗透系数不大于10</w:t>
            </w:r>
            <w:r>
              <w:rPr>
                <w:rFonts w:cs="宋体"/>
                <w:bCs/>
                <w:color w:val="0D0D0D" w:themeColor="text1" w:themeTint="F2"/>
                <w:spacing w:val="-10"/>
                <w:sz w:val="24"/>
                <w:u w:val="single"/>
                <w:vertAlign w:val="superscript"/>
                <w14:textFill>
                  <w14:solidFill>
                    <w14:schemeClr w14:val="tx1">
                      <w14:lumMod w14:val="95000"/>
                      <w14:lumOff w14:val="5000"/>
                    </w14:schemeClr>
                  </w14:solidFill>
                </w14:textFill>
              </w:rPr>
              <w:t>-10</w:t>
            </w:r>
            <w:r>
              <w:rPr>
                <w:rFonts w:cs="宋体"/>
                <w:bCs/>
                <w:color w:val="0D0D0D" w:themeColor="text1" w:themeTint="F2"/>
                <w:spacing w:val="-10"/>
                <w:sz w:val="24"/>
                <w:u w:val="single"/>
                <w14:textFill>
                  <w14:solidFill>
                    <w14:schemeClr w14:val="tx1">
                      <w14:lumMod w14:val="95000"/>
                      <w14:lumOff w14:val="5000"/>
                    </w14:schemeClr>
                  </w14:solidFill>
                </w14:textFill>
              </w:rPr>
              <w:t>cm/s），或其他防渗性能等效的材料。</w:t>
            </w:r>
          </w:p>
          <w:p w14:paraId="4642D34B">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⑤</w:t>
            </w:r>
            <w:r>
              <w:rPr>
                <w:rFonts w:cs="宋体"/>
                <w:bCs/>
                <w:color w:val="0D0D0D" w:themeColor="text1" w:themeTint="F2"/>
                <w:spacing w:val="-10"/>
                <w:sz w:val="24"/>
                <w:u w:val="single"/>
                <w14:textFill>
                  <w14:solidFill>
                    <w14:schemeClr w14:val="tx1">
                      <w14:lumMod w14:val="95000"/>
                      <w14:lumOff w14:val="5000"/>
                    </w14:schemeClr>
                  </w14:solidFill>
                </w14:textFill>
              </w:rPr>
              <w:t>采取技术和管理措施防止无关人员进入</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p>
          <w:p w14:paraId="0CB0ADE7">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⑥不同贮存分区之间应采取隔离措施。隔离措施可根据危险废物特性采用过道、隔板或隔墙等方式。</w:t>
            </w:r>
          </w:p>
          <w:p w14:paraId="710C3F99">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⑦设置</w:t>
            </w:r>
            <w:r>
              <w:rPr>
                <w:rFonts w:cs="宋体"/>
                <w:bCs/>
                <w:color w:val="0D0D0D" w:themeColor="text1" w:themeTint="F2"/>
                <w:spacing w:val="-10"/>
                <w:sz w:val="24"/>
                <w:u w:val="single"/>
                <w14:textFill>
                  <w14:solidFill>
                    <w14:schemeClr w14:val="tx1">
                      <w14:lumMod w14:val="95000"/>
                      <w14:lumOff w14:val="5000"/>
                    </w14:schemeClr>
                  </w14:solidFill>
                </w14:textFill>
              </w:rPr>
              <w:t>液体泄漏堵截设施，堵截设施最小容积不应低于对应贮存区域最大液态废物容器容积或液态废物总储量1/10（二者取较大者）。</w:t>
            </w:r>
          </w:p>
          <w:p w14:paraId="7DF0B1C3">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⑧设置气体收集装置和气体净化设施。</w:t>
            </w:r>
          </w:p>
          <w:p w14:paraId="15E0764F">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cs="宋体"/>
                <w:bCs/>
                <w:color w:val="0D0D0D" w:themeColor="text1" w:themeTint="F2"/>
                <w:spacing w:val="-10"/>
                <w:sz w:val="24"/>
                <w:u w:val="single"/>
                <w14:textFill>
                  <w14:solidFill>
                    <w14:schemeClr w14:val="tx1">
                      <w14:lumMod w14:val="95000"/>
                      <w14:lumOff w14:val="5000"/>
                    </w14:schemeClr>
                  </w14:solidFill>
                </w14:textFill>
              </w:rPr>
              <w:t>危废暂存间基本情况详见表4-</w:t>
            </w:r>
            <w:r>
              <w:rPr>
                <w:rFonts w:hint="eastAsia" w:cs="宋体"/>
                <w:bCs/>
                <w:color w:val="0D0D0D" w:themeColor="text1" w:themeTint="F2"/>
                <w:spacing w:val="-10"/>
                <w:sz w:val="24"/>
                <w:u w:val="single"/>
                <w14:textFill>
                  <w14:solidFill>
                    <w14:schemeClr w14:val="tx1">
                      <w14:lumMod w14:val="95000"/>
                      <w14:lumOff w14:val="5000"/>
                    </w14:schemeClr>
                  </w14:solidFill>
                </w14:textFill>
              </w:rPr>
              <w:t>25</w:t>
            </w:r>
            <w:r>
              <w:rPr>
                <w:rFonts w:cs="宋体"/>
                <w:bCs/>
                <w:color w:val="0D0D0D" w:themeColor="text1" w:themeTint="F2"/>
                <w:spacing w:val="-10"/>
                <w:sz w:val="24"/>
                <w:u w:val="single"/>
                <w14:textFill>
                  <w14:solidFill>
                    <w14:schemeClr w14:val="tx1">
                      <w14:lumMod w14:val="95000"/>
                      <w14:lumOff w14:val="5000"/>
                    </w14:schemeClr>
                  </w14:solidFill>
                </w14:textFill>
              </w:rPr>
              <w:t>。</w:t>
            </w:r>
          </w:p>
          <w:p w14:paraId="5F2780E6">
            <w:pPr>
              <w:adjustRightInd w:val="0"/>
              <w:snapToGrid w:val="0"/>
              <w:spacing w:after="0" w:line="24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Cs w:val="21"/>
                <w14:textFill>
                  <w14:solidFill>
                    <w14:schemeClr w14:val="tx1">
                      <w14:lumMod w14:val="95000"/>
                      <w14:lumOff w14:val="5000"/>
                    </w14:schemeClr>
                  </w14:solidFill>
                </w14:textFill>
              </w:rPr>
              <w:t>表4-25  企业危险废物贮存场所（设施）基本情况表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
              <w:gridCol w:w="1192"/>
              <w:gridCol w:w="1055"/>
              <w:gridCol w:w="865"/>
              <w:gridCol w:w="1325"/>
              <w:gridCol w:w="1436"/>
              <w:gridCol w:w="779"/>
              <w:gridCol w:w="523"/>
              <w:gridCol w:w="555"/>
              <w:gridCol w:w="523"/>
            </w:tblGrid>
            <w:tr w14:paraId="1F87C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0988ED5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序号</w:t>
                  </w:r>
                </w:p>
              </w:tc>
              <w:tc>
                <w:tcPr>
                  <w:tcW w:w="679" w:type="pct"/>
                  <w:vAlign w:val="center"/>
                </w:tcPr>
                <w:p w14:paraId="6506111F">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贮存场所（设施）</w:t>
                  </w:r>
                </w:p>
                <w:p w14:paraId="34CBCF65">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名称</w:t>
                  </w:r>
                </w:p>
              </w:tc>
              <w:tc>
                <w:tcPr>
                  <w:tcW w:w="601" w:type="pct"/>
                  <w:vAlign w:val="center"/>
                </w:tcPr>
                <w:p w14:paraId="09E01635">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危险废物名称</w:t>
                  </w:r>
                </w:p>
              </w:tc>
              <w:tc>
                <w:tcPr>
                  <w:tcW w:w="493" w:type="pct"/>
                  <w:vAlign w:val="center"/>
                </w:tcPr>
                <w:p w14:paraId="74C0B1CA">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危险废物类别</w:t>
                  </w:r>
                </w:p>
              </w:tc>
              <w:tc>
                <w:tcPr>
                  <w:tcW w:w="755" w:type="pct"/>
                  <w:vAlign w:val="center"/>
                </w:tcPr>
                <w:p w14:paraId="1F71779D">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危险废物代码</w:t>
                  </w:r>
                </w:p>
              </w:tc>
              <w:tc>
                <w:tcPr>
                  <w:tcW w:w="818" w:type="pct"/>
                  <w:vAlign w:val="center"/>
                </w:tcPr>
                <w:p w14:paraId="5F0684CB">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位置</w:t>
                  </w:r>
                </w:p>
              </w:tc>
              <w:tc>
                <w:tcPr>
                  <w:tcW w:w="444" w:type="pct"/>
                  <w:vAlign w:val="center"/>
                </w:tcPr>
                <w:p w14:paraId="182159E2">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占地</w:t>
                  </w:r>
                </w:p>
                <w:p w14:paraId="5281E96C">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面积</w:t>
                  </w:r>
                </w:p>
                <w:p w14:paraId="5CE4C886">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（m</w:t>
                  </w:r>
                  <w:r>
                    <w:rPr>
                      <w:rFonts w:hint="eastAsia"/>
                      <w:color w:val="0D0D0D" w:themeColor="text1" w:themeTint="F2"/>
                      <w:kern w:val="0"/>
                      <w:szCs w:val="21"/>
                      <w:u w:val="single"/>
                      <w:vertAlign w:val="superscript"/>
                      <w14:textFill>
                        <w14:solidFill>
                          <w14:schemeClr w14:val="tx1">
                            <w14:lumMod w14:val="95000"/>
                            <w14:lumOff w14:val="5000"/>
                          </w14:schemeClr>
                        </w14:solidFill>
                      </w14:textFill>
                    </w:rPr>
                    <w:t>2</w:t>
                  </w:r>
                  <w:r>
                    <w:rPr>
                      <w:rFonts w:hint="eastAsia"/>
                      <w:color w:val="0D0D0D" w:themeColor="text1" w:themeTint="F2"/>
                      <w:kern w:val="0"/>
                      <w:szCs w:val="21"/>
                      <w:u w:val="single"/>
                      <w14:textFill>
                        <w14:solidFill>
                          <w14:schemeClr w14:val="tx1">
                            <w14:lumMod w14:val="95000"/>
                            <w14:lumOff w14:val="5000"/>
                          </w14:schemeClr>
                        </w14:solidFill>
                      </w14:textFill>
                    </w:rPr>
                    <w:t>）</w:t>
                  </w:r>
                </w:p>
              </w:tc>
              <w:tc>
                <w:tcPr>
                  <w:tcW w:w="298" w:type="pct"/>
                  <w:vAlign w:val="center"/>
                </w:tcPr>
                <w:p w14:paraId="4FED92EC">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贮存</w:t>
                  </w:r>
                </w:p>
                <w:p w14:paraId="682A4432">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方式</w:t>
                  </w:r>
                </w:p>
              </w:tc>
              <w:tc>
                <w:tcPr>
                  <w:tcW w:w="316" w:type="pct"/>
                  <w:vAlign w:val="center"/>
                </w:tcPr>
                <w:p w14:paraId="3887118C">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贮存</w:t>
                  </w:r>
                </w:p>
                <w:p w14:paraId="30B90A7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能力</w:t>
                  </w:r>
                </w:p>
              </w:tc>
              <w:tc>
                <w:tcPr>
                  <w:tcW w:w="298" w:type="pct"/>
                  <w:vAlign w:val="center"/>
                </w:tcPr>
                <w:p w14:paraId="45D3529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贮存</w:t>
                  </w:r>
                </w:p>
                <w:p w14:paraId="57136EA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周期</w:t>
                  </w:r>
                </w:p>
              </w:tc>
            </w:tr>
            <w:tr w14:paraId="3E3E5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36702502">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1</w:t>
                  </w:r>
                </w:p>
              </w:tc>
              <w:tc>
                <w:tcPr>
                  <w:tcW w:w="679" w:type="pct"/>
                  <w:vMerge w:val="restart"/>
                  <w:vAlign w:val="center"/>
                </w:tcPr>
                <w:p w14:paraId="07488FC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危废暂存间</w:t>
                  </w:r>
                </w:p>
              </w:tc>
              <w:tc>
                <w:tcPr>
                  <w:tcW w:w="601" w:type="pct"/>
                  <w:vAlign w:val="center"/>
                </w:tcPr>
                <w:p w14:paraId="05C074CD">
                  <w:pPr>
                    <w:pStyle w:val="54"/>
                    <w:spacing w:after="0" w:line="240" w:lineRule="auto"/>
                    <w:ind w:left="0" w:leftChars="0" w:firstLine="0"/>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喷枪清洗废液</w:t>
                  </w:r>
                </w:p>
              </w:tc>
              <w:tc>
                <w:tcPr>
                  <w:tcW w:w="493" w:type="pct"/>
                  <w:vAlign w:val="center"/>
                </w:tcPr>
                <w:p w14:paraId="434D961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HW09</w:t>
                  </w:r>
                </w:p>
              </w:tc>
              <w:tc>
                <w:tcPr>
                  <w:tcW w:w="755" w:type="pct"/>
                  <w:vAlign w:val="center"/>
                </w:tcPr>
                <w:p w14:paraId="1283E459">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900-007-09</w:t>
                  </w:r>
                  <w:r>
                    <w:rPr>
                      <w:rFonts w:hint="eastAsia"/>
                      <w:color w:val="0D0D0D" w:themeColor="text1" w:themeTint="F2"/>
                      <w:szCs w:val="21"/>
                      <w14:textFill>
                        <w14:solidFill>
                          <w14:schemeClr w14:val="tx1">
                            <w14:lumMod w14:val="95000"/>
                            <w14:lumOff w14:val="5000"/>
                          </w14:schemeClr>
                        </w14:solidFill>
                      </w14:textFill>
                    </w:rPr>
                    <w:t>（其中水性漆清洗废液需进行危废鉴定）</w:t>
                  </w:r>
                </w:p>
              </w:tc>
              <w:tc>
                <w:tcPr>
                  <w:tcW w:w="818" w:type="pct"/>
                  <w:vAlign w:val="center"/>
                </w:tcPr>
                <w:p w14:paraId="68DBE4B3">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喷枪清洗废液</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56E193F9">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26F6955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5CCC1B4C">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1D4013A5">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45688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7983EFAB">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kern w:val="0"/>
                      <w:szCs w:val="21"/>
                      <w:u w:val="single"/>
                      <w14:textFill>
                        <w14:solidFill>
                          <w14:schemeClr w14:val="tx1">
                            <w14:lumMod w14:val="95000"/>
                            <w14:lumOff w14:val="5000"/>
                          </w14:schemeClr>
                        </w14:solidFill>
                      </w14:textFill>
                    </w:rPr>
                    <w:t>2</w:t>
                  </w:r>
                </w:p>
              </w:tc>
              <w:tc>
                <w:tcPr>
                  <w:tcW w:w="679" w:type="pct"/>
                  <w:vMerge w:val="continue"/>
                  <w:vAlign w:val="center"/>
                </w:tcPr>
                <w:p w14:paraId="558E655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52D18102">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废油性漆桶</w:t>
                  </w:r>
                </w:p>
              </w:tc>
              <w:tc>
                <w:tcPr>
                  <w:tcW w:w="493" w:type="pct"/>
                  <w:vAlign w:val="center"/>
                </w:tcPr>
                <w:p w14:paraId="4A4F067D">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49</w:t>
                  </w:r>
                </w:p>
              </w:tc>
              <w:tc>
                <w:tcPr>
                  <w:tcW w:w="755" w:type="pct"/>
                  <w:vAlign w:val="center"/>
                </w:tcPr>
                <w:p w14:paraId="54B8BE4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900-041</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49</w:t>
                  </w:r>
                </w:p>
              </w:tc>
              <w:tc>
                <w:tcPr>
                  <w:tcW w:w="818" w:type="pct"/>
                  <w:vAlign w:val="center"/>
                </w:tcPr>
                <w:p w14:paraId="4E698875">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废油性漆桶</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41A4CD5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6A665E7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7442EF9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46EE776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5C84C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574E5CBB">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679" w:type="pct"/>
                  <w:vMerge w:val="continue"/>
                  <w:vAlign w:val="center"/>
                </w:tcPr>
                <w:p w14:paraId="74485104">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1558F38D">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废水性漆桶</w:t>
                  </w:r>
                </w:p>
              </w:tc>
              <w:tc>
                <w:tcPr>
                  <w:tcW w:w="493" w:type="pct"/>
                  <w:vAlign w:val="center"/>
                </w:tcPr>
                <w:p w14:paraId="10842DAF">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49</w:t>
                  </w:r>
                </w:p>
              </w:tc>
              <w:tc>
                <w:tcPr>
                  <w:tcW w:w="755" w:type="pct"/>
                  <w:vAlign w:val="center"/>
                </w:tcPr>
                <w:p w14:paraId="39D954A9">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900-041</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49</w:t>
                  </w:r>
                  <w:r>
                    <w:rPr>
                      <w:rFonts w:hint="eastAsia"/>
                      <w:color w:val="0D0D0D" w:themeColor="text1" w:themeTint="F2"/>
                      <w:szCs w:val="21"/>
                      <w14:textFill>
                        <w14:solidFill>
                          <w14:schemeClr w14:val="tx1">
                            <w14:lumMod w14:val="95000"/>
                            <w14:lumOff w14:val="5000"/>
                          </w14:schemeClr>
                        </w14:solidFill>
                      </w14:textFill>
                    </w:rPr>
                    <w:t>（需进行危废鉴定）</w:t>
                  </w:r>
                </w:p>
              </w:tc>
              <w:tc>
                <w:tcPr>
                  <w:tcW w:w="818" w:type="pct"/>
                  <w:vAlign w:val="center"/>
                </w:tcPr>
                <w:p w14:paraId="6191B92D">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废水性漆桶</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2E79CEC3">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11FDD966">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5289C744">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0AAE51CD">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05846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6DD1A77A">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4</w:t>
                  </w:r>
                </w:p>
              </w:tc>
              <w:tc>
                <w:tcPr>
                  <w:tcW w:w="679" w:type="pct"/>
                  <w:vMerge w:val="continue"/>
                  <w:vAlign w:val="center"/>
                </w:tcPr>
                <w:p w14:paraId="1F12D52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308901E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漆渣</w:t>
                  </w:r>
                </w:p>
              </w:tc>
              <w:tc>
                <w:tcPr>
                  <w:tcW w:w="493" w:type="pct"/>
                  <w:vAlign w:val="center"/>
                </w:tcPr>
                <w:p w14:paraId="1319E91C">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12</w:t>
                  </w:r>
                </w:p>
              </w:tc>
              <w:tc>
                <w:tcPr>
                  <w:tcW w:w="755" w:type="pct"/>
                  <w:vAlign w:val="center"/>
                </w:tcPr>
                <w:p w14:paraId="64109EE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900-252-12</w:t>
                  </w:r>
                </w:p>
              </w:tc>
              <w:tc>
                <w:tcPr>
                  <w:tcW w:w="818" w:type="pct"/>
                  <w:vAlign w:val="center"/>
                </w:tcPr>
                <w:p w14:paraId="6CABF10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漆渣</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1B4BA5B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5</w:t>
                  </w:r>
                </w:p>
              </w:tc>
              <w:tc>
                <w:tcPr>
                  <w:tcW w:w="298" w:type="pct"/>
                  <w:vAlign w:val="center"/>
                </w:tcPr>
                <w:p w14:paraId="402037AA">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2F044FB9">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5</w:t>
                  </w:r>
                </w:p>
              </w:tc>
              <w:tc>
                <w:tcPr>
                  <w:tcW w:w="298" w:type="pct"/>
                  <w:vAlign w:val="center"/>
                </w:tcPr>
                <w:p w14:paraId="5373335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305EA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443DFFA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5</w:t>
                  </w:r>
                </w:p>
              </w:tc>
              <w:tc>
                <w:tcPr>
                  <w:tcW w:w="679" w:type="pct"/>
                  <w:vMerge w:val="continue"/>
                  <w:vAlign w:val="center"/>
                </w:tcPr>
                <w:p w14:paraId="1984A725">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110D004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水帘柜喷漆废水</w:t>
                  </w:r>
                </w:p>
              </w:tc>
              <w:tc>
                <w:tcPr>
                  <w:tcW w:w="493" w:type="pct"/>
                  <w:vAlign w:val="center"/>
                </w:tcPr>
                <w:p w14:paraId="3ACF478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HW09</w:t>
                  </w:r>
                </w:p>
              </w:tc>
              <w:tc>
                <w:tcPr>
                  <w:tcW w:w="755" w:type="pct"/>
                  <w:vAlign w:val="center"/>
                </w:tcPr>
                <w:p w14:paraId="3CF6F8C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900-007-09</w:t>
                  </w:r>
                </w:p>
              </w:tc>
              <w:tc>
                <w:tcPr>
                  <w:tcW w:w="818" w:type="pct"/>
                  <w:vAlign w:val="center"/>
                </w:tcPr>
                <w:p w14:paraId="69B3C19D">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水帘柜喷漆废水</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30178884">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20</w:t>
                  </w:r>
                </w:p>
              </w:tc>
              <w:tc>
                <w:tcPr>
                  <w:tcW w:w="298" w:type="pct"/>
                  <w:vAlign w:val="center"/>
                </w:tcPr>
                <w:p w14:paraId="11DCF9B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65637E39">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20</w:t>
                  </w:r>
                </w:p>
              </w:tc>
              <w:tc>
                <w:tcPr>
                  <w:tcW w:w="298" w:type="pct"/>
                  <w:vAlign w:val="center"/>
                </w:tcPr>
                <w:p w14:paraId="34EE2DC5">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74013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3A851A1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6</w:t>
                  </w:r>
                </w:p>
              </w:tc>
              <w:tc>
                <w:tcPr>
                  <w:tcW w:w="679" w:type="pct"/>
                  <w:vMerge w:val="continue"/>
                  <w:vAlign w:val="center"/>
                </w:tcPr>
                <w:p w14:paraId="1F46E90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7E678BDC">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废过滤棉</w:t>
                  </w:r>
                </w:p>
              </w:tc>
              <w:tc>
                <w:tcPr>
                  <w:tcW w:w="493" w:type="pct"/>
                  <w:vAlign w:val="center"/>
                </w:tcPr>
                <w:p w14:paraId="656D659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49</w:t>
                  </w:r>
                </w:p>
              </w:tc>
              <w:tc>
                <w:tcPr>
                  <w:tcW w:w="755" w:type="pct"/>
                  <w:vAlign w:val="center"/>
                </w:tcPr>
                <w:p w14:paraId="30DF36A3">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900-041</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49</w:t>
                  </w:r>
                </w:p>
              </w:tc>
              <w:tc>
                <w:tcPr>
                  <w:tcW w:w="818" w:type="pct"/>
                  <w:vAlign w:val="center"/>
                </w:tcPr>
                <w:p w14:paraId="7E3FCA73">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废过滤棉</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7046A9AA">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5</w:t>
                  </w:r>
                </w:p>
              </w:tc>
              <w:tc>
                <w:tcPr>
                  <w:tcW w:w="298" w:type="pct"/>
                  <w:vAlign w:val="center"/>
                </w:tcPr>
                <w:p w14:paraId="61E7E3C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18194CD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5</w:t>
                  </w:r>
                </w:p>
              </w:tc>
              <w:tc>
                <w:tcPr>
                  <w:tcW w:w="298" w:type="pct"/>
                  <w:vAlign w:val="center"/>
                </w:tcPr>
                <w:p w14:paraId="1DA592E6">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5667E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6E98775A">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7</w:t>
                  </w:r>
                </w:p>
              </w:tc>
              <w:tc>
                <w:tcPr>
                  <w:tcW w:w="679" w:type="pct"/>
                  <w:vMerge w:val="continue"/>
                  <w:vAlign w:val="center"/>
                </w:tcPr>
                <w:p w14:paraId="6A27982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0C03FB24">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废活性炭</w:t>
                  </w:r>
                </w:p>
              </w:tc>
              <w:tc>
                <w:tcPr>
                  <w:tcW w:w="493" w:type="pct"/>
                  <w:vAlign w:val="center"/>
                </w:tcPr>
                <w:p w14:paraId="0FC63CB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49</w:t>
                  </w:r>
                </w:p>
              </w:tc>
              <w:tc>
                <w:tcPr>
                  <w:tcW w:w="755" w:type="pct"/>
                  <w:vAlign w:val="center"/>
                </w:tcPr>
                <w:p w14:paraId="43131703">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900-039-49</w:t>
                  </w:r>
                </w:p>
              </w:tc>
              <w:tc>
                <w:tcPr>
                  <w:tcW w:w="818" w:type="pct"/>
                  <w:vAlign w:val="center"/>
                </w:tcPr>
                <w:p w14:paraId="4E66973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废活性炭</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50C423F9">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60</w:t>
                  </w:r>
                </w:p>
              </w:tc>
              <w:tc>
                <w:tcPr>
                  <w:tcW w:w="298" w:type="pct"/>
                  <w:vAlign w:val="center"/>
                </w:tcPr>
                <w:p w14:paraId="0FA4DF2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4310960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60</w:t>
                  </w:r>
                </w:p>
              </w:tc>
              <w:tc>
                <w:tcPr>
                  <w:tcW w:w="298" w:type="pct"/>
                  <w:vAlign w:val="center"/>
                </w:tcPr>
                <w:p w14:paraId="6E588EB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39630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3E8EA49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8</w:t>
                  </w:r>
                </w:p>
              </w:tc>
              <w:tc>
                <w:tcPr>
                  <w:tcW w:w="679" w:type="pct"/>
                  <w:vMerge w:val="continue"/>
                  <w:vAlign w:val="center"/>
                </w:tcPr>
                <w:p w14:paraId="014E237C">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2DB3F69C">
                  <w:pPr>
                    <w:topLinePunct/>
                    <w:adjustRightInd w:val="0"/>
                    <w:snapToGrid w:val="0"/>
                    <w:spacing w:after="0" w:line="240" w:lineRule="auto"/>
                    <w:jc w:val="center"/>
                    <w:rPr>
                      <w:bCs/>
                      <w:color w:val="0D0D0D" w:themeColor="text1" w:themeTint="F2"/>
                      <w:spacing w:val="-10"/>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废机油</w:t>
                  </w:r>
                </w:p>
              </w:tc>
              <w:tc>
                <w:tcPr>
                  <w:tcW w:w="493" w:type="pct"/>
                  <w:vAlign w:val="center"/>
                </w:tcPr>
                <w:p w14:paraId="6C0878BD">
                  <w:pPr>
                    <w:topLinePunct/>
                    <w:adjustRightInd w:val="0"/>
                    <w:snapToGrid w:val="0"/>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49</w:t>
                  </w:r>
                </w:p>
              </w:tc>
              <w:tc>
                <w:tcPr>
                  <w:tcW w:w="755" w:type="pct"/>
                  <w:vAlign w:val="center"/>
                </w:tcPr>
                <w:p w14:paraId="1C0CED9A">
                  <w:pPr>
                    <w:topLinePunct/>
                    <w:adjustRightInd w:val="0"/>
                    <w:snapToGrid w:val="0"/>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900-249-08</w:t>
                  </w:r>
                </w:p>
              </w:tc>
              <w:tc>
                <w:tcPr>
                  <w:tcW w:w="818" w:type="pct"/>
                  <w:vAlign w:val="center"/>
                </w:tcPr>
                <w:p w14:paraId="3703DD46">
                  <w:pPr>
                    <w:topLinePunct/>
                    <w:adjustRightInd w:val="0"/>
                    <w:snapToGrid w:val="0"/>
                    <w:spacing w:after="0" w:line="240" w:lineRule="auto"/>
                    <w:jc w:val="center"/>
                    <w:rPr>
                      <w:bCs/>
                      <w:color w:val="0D0D0D" w:themeColor="text1" w:themeTint="F2"/>
                      <w:spacing w:val="-10"/>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废机油</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2A4CA657">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59961E43">
                  <w:pPr>
                    <w:topLinePunct/>
                    <w:adjustRightInd w:val="0"/>
                    <w:snapToGrid w:val="0"/>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6F13D531">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tcPr>
                <w:p w14:paraId="66E6A55F">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3ED5A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0D83349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9</w:t>
                  </w:r>
                </w:p>
              </w:tc>
              <w:tc>
                <w:tcPr>
                  <w:tcW w:w="679" w:type="pct"/>
                  <w:vMerge w:val="continue"/>
                  <w:vAlign w:val="center"/>
                </w:tcPr>
                <w:p w14:paraId="7D85577F">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7F7AB0BF">
                  <w:pPr>
                    <w:topLinePunct/>
                    <w:adjustRightInd w:val="0"/>
                    <w:snapToGrid w:val="0"/>
                    <w:spacing w:after="0" w:line="240" w:lineRule="auto"/>
                    <w:jc w:val="center"/>
                    <w:rPr>
                      <w:bCs/>
                      <w:color w:val="0D0D0D" w:themeColor="text1" w:themeTint="F2"/>
                      <w:spacing w:val="-10"/>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废机油桶</w:t>
                  </w:r>
                </w:p>
              </w:tc>
              <w:tc>
                <w:tcPr>
                  <w:tcW w:w="493" w:type="pct"/>
                  <w:vAlign w:val="center"/>
                </w:tcPr>
                <w:p w14:paraId="20DB9B48">
                  <w:pPr>
                    <w:topLinePunct/>
                    <w:adjustRightInd w:val="0"/>
                    <w:snapToGrid w:val="0"/>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49</w:t>
                  </w:r>
                </w:p>
              </w:tc>
              <w:tc>
                <w:tcPr>
                  <w:tcW w:w="755" w:type="pct"/>
                  <w:vAlign w:val="center"/>
                </w:tcPr>
                <w:p w14:paraId="23E0D16E">
                  <w:pPr>
                    <w:topLinePunct/>
                    <w:adjustRightInd w:val="0"/>
                    <w:snapToGrid w:val="0"/>
                    <w:spacing w:after="0" w:line="240" w:lineRule="auto"/>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900-041-49</w:t>
                  </w:r>
                </w:p>
              </w:tc>
              <w:tc>
                <w:tcPr>
                  <w:tcW w:w="818" w:type="pct"/>
                  <w:vAlign w:val="center"/>
                </w:tcPr>
                <w:p w14:paraId="02CF2C40">
                  <w:pPr>
                    <w:topLinePunct/>
                    <w:adjustRightInd w:val="0"/>
                    <w:snapToGrid w:val="0"/>
                    <w:spacing w:after="0" w:line="240" w:lineRule="auto"/>
                    <w:jc w:val="center"/>
                    <w:rPr>
                      <w:bCs/>
                      <w:color w:val="0D0D0D" w:themeColor="text1" w:themeTint="F2"/>
                      <w:spacing w:val="-10"/>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废机油桶</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60E14B12">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3E09D7BE">
                  <w:pPr>
                    <w:topLinePunct/>
                    <w:adjustRightInd w:val="0"/>
                    <w:snapToGrid w:val="0"/>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1AA67B94">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tcPr>
                <w:p w14:paraId="7FDF9149">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r w14:paraId="2D0FD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8" w:type="pct"/>
                  <w:vAlign w:val="center"/>
                </w:tcPr>
                <w:p w14:paraId="6BDD6C1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10</w:t>
                  </w:r>
                </w:p>
              </w:tc>
              <w:tc>
                <w:tcPr>
                  <w:tcW w:w="679" w:type="pct"/>
                  <w:vMerge w:val="continue"/>
                  <w:vAlign w:val="center"/>
                </w:tcPr>
                <w:p w14:paraId="2889A3F3">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p>
              </w:tc>
              <w:tc>
                <w:tcPr>
                  <w:tcW w:w="601" w:type="pct"/>
                  <w:vAlign w:val="center"/>
                </w:tcPr>
                <w:p w14:paraId="43636E3B">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废含油抹布和劳保用品</w:t>
                  </w:r>
                </w:p>
              </w:tc>
              <w:tc>
                <w:tcPr>
                  <w:tcW w:w="493" w:type="pct"/>
                  <w:vAlign w:val="center"/>
                </w:tcPr>
                <w:p w14:paraId="588895D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H</w:t>
                  </w:r>
                  <w:r>
                    <w:rPr>
                      <w:color w:val="0D0D0D" w:themeColor="text1" w:themeTint="F2"/>
                      <w:szCs w:val="21"/>
                      <w14:textFill>
                        <w14:solidFill>
                          <w14:schemeClr w14:val="tx1">
                            <w14:lumMod w14:val="95000"/>
                            <w14:lumOff w14:val="5000"/>
                          </w14:schemeClr>
                        </w14:solidFill>
                      </w14:textFill>
                    </w:rPr>
                    <w:t>W</w:t>
                  </w:r>
                  <w:r>
                    <w:rPr>
                      <w:rFonts w:hint="eastAsia"/>
                      <w:color w:val="0D0D0D" w:themeColor="text1" w:themeTint="F2"/>
                      <w:szCs w:val="21"/>
                      <w14:textFill>
                        <w14:solidFill>
                          <w14:schemeClr w14:val="tx1">
                            <w14:lumMod w14:val="95000"/>
                            <w14:lumOff w14:val="5000"/>
                          </w14:schemeClr>
                        </w14:solidFill>
                      </w14:textFill>
                    </w:rPr>
                    <w:t>49</w:t>
                  </w:r>
                </w:p>
              </w:tc>
              <w:tc>
                <w:tcPr>
                  <w:tcW w:w="755" w:type="pct"/>
                  <w:vAlign w:val="center"/>
                </w:tcPr>
                <w:p w14:paraId="0AE8383D">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900-041-49</w:t>
                  </w:r>
                </w:p>
              </w:tc>
              <w:tc>
                <w:tcPr>
                  <w:tcW w:w="818" w:type="pct"/>
                  <w:vAlign w:val="center"/>
                </w:tcPr>
                <w:p w14:paraId="09C23050">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14:textFill>
                        <w14:solidFill>
                          <w14:schemeClr w14:val="tx1">
                            <w14:lumMod w14:val="95000"/>
                            <w14:lumOff w14:val="5000"/>
                          </w14:schemeClr>
                        </w14:solidFill>
                      </w14:textFill>
                    </w:rPr>
                    <w:t>废含油抹布和劳保用品</w:t>
                  </w:r>
                  <w:r>
                    <w:rPr>
                      <w:rFonts w:hint="eastAsia"/>
                      <w:color w:val="0D0D0D" w:themeColor="text1" w:themeTint="F2"/>
                      <w:kern w:val="0"/>
                      <w:szCs w:val="21"/>
                      <w:u w:val="single"/>
                      <w14:textFill>
                        <w14:solidFill>
                          <w14:schemeClr w14:val="tx1">
                            <w14:lumMod w14:val="95000"/>
                            <w14:lumOff w14:val="5000"/>
                          </w14:schemeClr>
                        </w14:solidFill>
                      </w14:textFill>
                    </w:rPr>
                    <w:t>暂存区</w:t>
                  </w:r>
                </w:p>
              </w:tc>
              <w:tc>
                <w:tcPr>
                  <w:tcW w:w="444" w:type="pct"/>
                  <w:vAlign w:val="center"/>
                </w:tcPr>
                <w:p w14:paraId="79C430B8">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768E03DE">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贮存</w:t>
                  </w:r>
                </w:p>
              </w:tc>
              <w:tc>
                <w:tcPr>
                  <w:tcW w:w="316" w:type="pct"/>
                  <w:vAlign w:val="center"/>
                </w:tcPr>
                <w:p w14:paraId="413753C2">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3</w:t>
                  </w:r>
                </w:p>
              </w:tc>
              <w:tc>
                <w:tcPr>
                  <w:tcW w:w="298" w:type="pct"/>
                  <w:vAlign w:val="center"/>
                </w:tcPr>
                <w:p w14:paraId="029519EA">
                  <w:pPr>
                    <w:topLinePunct/>
                    <w:adjustRightInd w:val="0"/>
                    <w:snapToGrid w:val="0"/>
                    <w:spacing w:after="0" w:line="240" w:lineRule="auto"/>
                    <w:jc w:val="center"/>
                    <w:rPr>
                      <w:color w:val="0D0D0D" w:themeColor="text1" w:themeTint="F2"/>
                      <w:kern w:val="0"/>
                      <w:szCs w:val="21"/>
                      <w:u w:val="single"/>
                      <w14:textFill>
                        <w14:solidFill>
                          <w14:schemeClr w14:val="tx1">
                            <w14:lumMod w14:val="95000"/>
                            <w14:lumOff w14:val="5000"/>
                          </w14:schemeClr>
                        </w14:solidFill>
                      </w14:textFill>
                    </w:rPr>
                  </w:pPr>
                  <w:r>
                    <w:rPr>
                      <w:rFonts w:hint="eastAsia"/>
                      <w:color w:val="0D0D0D" w:themeColor="text1" w:themeTint="F2"/>
                      <w:kern w:val="0"/>
                      <w:szCs w:val="21"/>
                      <w:u w:val="single"/>
                      <w14:textFill>
                        <w14:solidFill>
                          <w14:schemeClr w14:val="tx1">
                            <w14:lumMod w14:val="95000"/>
                            <w14:lumOff w14:val="5000"/>
                          </w14:schemeClr>
                        </w14:solidFill>
                      </w14:textFill>
                    </w:rPr>
                    <w:t>1年</w:t>
                  </w:r>
                </w:p>
              </w:tc>
            </w:tr>
          </w:tbl>
          <w:p w14:paraId="748220F8">
            <w:pPr>
              <w:adjustRightInd w:val="0"/>
              <w:snapToGrid w:val="0"/>
              <w:spacing w:after="0"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危险废物转运管理要求：</w:t>
            </w:r>
          </w:p>
          <w:p w14:paraId="3CB2895B">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w:t>
            </w:r>
            <w:r>
              <w:rPr>
                <w:rFonts w:cs="宋体"/>
                <w:bCs/>
                <w:color w:val="0D0D0D" w:themeColor="text1" w:themeTint="F2"/>
                <w:spacing w:val="-10"/>
                <w:sz w:val="24"/>
                <w:u w:val="single"/>
                <w14:textFill>
                  <w14:solidFill>
                    <w14:schemeClr w14:val="tx1">
                      <w14:lumMod w14:val="95000"/>
                      <w14:lumOff w14:val="5000"/>
                    </w14:schemeClr>
                  </w14:solidFill>
                </w14:textFill>
              </w:rPr>
              <w:t>对危险废物的转移运输要实行《危险废物转移管理办法》，实行五联单制度。</w:t>
            </w:r>
          </w:p>
          <w:p w14:paraId="284C40C7">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w:t>
            </w:r>
            <w:r>
              <w:rPr>
                <w:rFonts w:cs="宋体"/>
                <w:bCs/>
                <w:color w:val="0D0D0D" w:themeColor="text1" w:themeTint="F2"/>
                <w:spacing w:val="-10"/>
                <w:sz w:val="24"/>
                <w:u w:val="single"/>
                <w14:textFill>
                  <w14:solidFill>
                    <w14:schemeClr w14:val="tx1">
                      <w14:lumMod w14:val="95000"/>
                      <w14:lumOff w14:val="5000"/>
                    </w14:schemeClr>
                  </w14:solidFill>
                </w14:textFill>
              </w:rPr>
              <w:t>建设单位在转移危险废物前，须按照国家有关规定报批危险废物转移计划；经批准后，产生单位应当向移出地</w:t>
            </w:r>
            <w:r>
              <w:rPr>
                <w:rFonts w:hint="eastAsia" w:cs="宋体"/>
                <w:bCs/>
                <w:color w:val="0D0D0D" w:themeColor="text1" w:themeTint="F2"/>
                <w:spacing w:val="-10"/>
                <w:sz w:val="24"/>
                <w:u w:val="single"/>
                <w14:textFill>
                  <w14:solidFill>
                    <w14:schemeClr w14:val="tx1">
                      <w14:lumMod w14:val="95000"/>
                      <w14:lumOff w14:val="5000"/>
                    </w14:schemeClr>
                  </w14:solidFill>
                </w14:textFill>
              </w:rPr>
              <w:t>生态环境</w:t>
            </w:r>
            <w:r>
              <w:rPr>
                <w:rFonts w:cs="宋体"/>
                <w:bCs/>
                <w:color w:val="0D0D0D" w:themeColor="text1" w:themeTint="F2"/>
                <w:spacing w:val="-10"/>
                <w:sz w:val="24"/>
                <w:u w:val="single"/>
                <w14:textFill>
                  <w14:solidFill>
                    <w14:schemeClr w14:val="tx1">
                      <w14:lumMod w14:val="95000"/>
                      <w14:lumOff w14:val="5000"/>
                    </w14:schemeClr>
                  </w14:solidFill>
                </w14:textFill>
              </w:rPr>
              <w:t>行政主管部门申请领取联单。</w:t>
            </w:r>
          </w:p>
          <w:p w14:paraId="105DC82B">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③</w:t>
            </w:r>
            <w:r>
              <w:rPr>
                <w:rFonts w:cs="宋体"/>
                <w:bCs/>
                <w:color w:val="0D0D0D" w:themeColor="text1" w:themeTint="F2"/>
                <w:spacing w:val="-10"/>
                <w:sz w:val="24"/>
                <w:u w:val="single"/>
                <w14:textFill>
                  <w14:solidFill>
                    <w14:schemeClr w14:val="tx1">
                      <w14:lumMod w14:val="95000"/>
                      <w14:lumOff w14:val="5000"/>
                    </w14:schemeClr>
                  </w14:solidFill>
                </w14:textFill>
              </w:rPr>
              <w:t>建设单位应当在危险废物转移前三日内报告移出地</w:t>
            </w:r>
            <w:r>
              <w:rPr>
                <w:rFonts w:hint="eastAsia" w:cs="宋体"/>
                <w:bCs/>
                <w:color w:val="0D0D0D" w:themeColor="text1" w:themeTint="F2"/>
                <w:spacing w:val="-10"/>
                <w:sz w:val="24"/>
                <w:u w:val="single"/>
                <w14:textFill>
                  <w14:solidFill>
                    <w14:schemeClr w14:val="tx1">
                      <w14:lumMod w14:val="95000"/>
                      <w14:lumOff w14:val="5000"/>
                    </w14:schemeClr>
                  </w14:solidFill>
                </w14:textFill>
              </w:rPr>
              <w:t>生态环境</w:t>
            </w:r>
            <w:r>
              <w:rPr>
                <w:rFonts w:cs="宋体"/>
                <w:bCs/>
                <w:color w:val="0D0D0D" w:themeColor="text1" w:themeTint="F2"/>
                <w:spacing w:val="-10"/>
                <w:sz w:val="24"/>
                <w:u w:val="single"/>
                <w14:textFill>
                  <w14:solidFill>
                    <w14:schemeClr w14:val="tx1">
                      <w14:lumMod w14:val="95000"/>
                      <w14:lumOff w14:val="5000"/>
                    </w14:schemeClr>
                  </w14:solidFill>
                </w14:textFill>
              </w:rPr>
              <w:t>行政主管部门，并同时将预期到达时间报告</w:t>
            </w:r>
            <w:r>
              <w:rPr>
                <w:rFonts w:hint="eastAsia" w:cs="宋体"/>
                <w:bCs/>
                <w:color w:val="0D0D0D" w:themeColor="text1" w:themeTint="F2"/>
                <w:spacing w:val="-10"/>
                <w:sz w:val="24"/>
                <w:u w:val="single"/>
                <w:lang w:eastAsia="zh-CN"/>
                <w14:textFill>
                  <w14:solidFill>
                    <w14:schemeClr w14:val="tx1">
                      <w14:lumMod w14:val="95000"/>
                      <w14:lumOff w14:val="5000"/>
                    </w14:schemeClr>
                  </w14:solidFill>
                </w14:textFill>
              </w:rPr>
              <w:t>接收</w:t>
            </w:r>
            <w:r>
              <w:rPr>
                <w:rFonts w:cs="宋体"/>
                <w:bCs/>
                <w:color w:val="0D0D0D" w:themeColor="text1" w:themeTint="F2"/>
                <w:spacing w:val="-10"/>
                <w:sz w:val="24"/>
                <w:u w:val="single"/>
                <w14:textFill>
                  <w14:solidFill>
                    <w14:schemeClr w14:val="tx1">
                      <w14:lumMod w14:val="95000"/>
                      <w14:lumOff w14:val="5000"/>
                    </w14:schemeClr>
                  </w14:solidFill>
                </w14:textFill>
              </w:rPr>
              <w:t>地</w:t>
            </w:r>
            <w:r>
              <w:rPr>
                <w:rFonts w:hint="eastAsia" w:cs="宋体"/>
                <w:bCs/>
                <w:color w:val="0D0D0D" w:themeColor="text1" w:themeTint="F2"/>
                <w:spacing w:val="-10"/>
                <w:sz w:val="24"/>
                <w:u w:val="single"/>
                <w14:textFill>
                  <w14:solidFill>
                    <w14:schemeClr w14:val="tx1">
                      <w14:lumMod w14:val="95000"/>
                      <w14:lumOff w14:val="5000"/>
                    </w14:schemeClr>
                  </w14:solidFill>
                </w14:textFill>
              </w:rPr>
              <w:t>生态环境</w:t>
            </w:r>
            <w:r>
              <w:rPr>
                <w:rFonts w:cs="宋体"/>
                <w:bCs/>
                <w:color w:val="0D0D0D" w:themeColor="text1" w:themeTint="F2"/>
                <w:spacing w:val="-10"/>
                <w:sz w:val="24"/>
                <w:u w:val="single"/>
                <w14:textFill>
                  <w14:solidFill>
                    <w14:schemeClr w14:val="tx1">
                      <w14:lumMod w14:val="95000"/>
                      <w14:lumOff w14:val="5000"/>
                    </w14:schemeClr>
                  </w14:solidFill>
                </w14:textFill>
              </w:rPr>
              <w:t>行政主管部门。</w:t>
            </w:r>
          </w:p>
          <w:p w14:paraId="78D4E419">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④</w:t>
            </w:r>
            <w:r>
              <w:rPr>
                <w:rFonts w:cs="宋体"/>
                <w:bCs/>
                <w:color w:val="0D0D0D" w:themeColor="text1" w:themeTint="F2"/>
                <w:spacing w:val="-10"/>
                <w:sz w:val="24"/>
                <w:u w:val="single"/>
                <w14:textFill>
                  <w14:solidFill>
                    <w14:schemeClr w14:val="tx1">
                      <w14:lumMod w14:val="95000"/>
                      <w14:lumOff w14:val="5000"/>
                    </w14:schemeClr>
                  </w14:solidFill>
                </w14:textFill>
              </w:rPr>
              <w:t>建设单位应当如实填写联单中产生单位栏目，并加盖公章，经交付有资质单位核实</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验收签字后，将联单第一联副联自留存档，将联单第二联交移出地</w:t>
            </w:r>
            <w:r>
              <w:rPr>
                <w:rFonts w:hint="eastAsia" w:cs="宋体"/>
                <w:bCs/>
                <w:color w:val="0D0D0D" w:themeColor="text1" w:themeTint="F2"/>
                <w:spacing w:val="-10"/>
                <w:sz w:val="24"/>
                <w:u w:val="single"/>
                <w14:textFill>
                  <w14:solidFill>
                    <w14:schemeClr w14:val="tx1">
                      <w14:lumMod w14:val="95000"/>
                      <w14:lumOff w14:val="5000"/>
                    </w14:schemeClr>
                  </w14:solidFill>
                </w14:textFill>
              </w:rPr>
              <w:t>生态环境</w:t>
            </w:r>
            <w:r>
              <w:rPr>
                <w:rFonts w:cs="宋体"/>
                <w:bCs/>
                <w:color w:val="0D0D0D" w:themeColor="text1" w:themeTint="F2"/>
                <w:spacing w:val="-10"/>
                <w:sz w:val="24"/>
                <w:u w:val="single"/>
                <w14:textFill>
                  <w14:solidFill>
                    <w14:schemeClr w14:val="tx1">
                      <w14:lumMod w14:val="95000"/>
                      <w14:lumOff w14:val="5000"/>
                    </w14:schemeClr>
                  </w14:solidFill>
                </w14:textFill>
              </w:rPr>
              <w:t>行政主管部门，联单第一联正联及其余各联交付运输单位随危险废物转移运行。</w:t>
            </w:r>
          </w:p>
          <w:p w14:paraId="1A3F820E">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⑤</w:t>
            </w:r>
            <w:r>
              <w:rPr>
                <w:rFonts w:cs="宋体"/>
                <w:bCs/>
                <w:color w:val="0D0D0D" w:themeColor="text1" w:themeTint="F2"/>
                <w:spacing w:val="-10"/>
                <w:sz w:val="24"/>
                <w:u w:val="single"/>
                <w14:textFill>
                  <w14:solidFill>
                    <w14:schemeClr w14:val="tx1">
                      <w14:lumMod w14:val="95000"/>
                      <w14:lumOff w14:val="5000"/>
                    </w14:schemeClr>
                  </w14:solidFill>
                </w14:textFill>
              </w:rPr>
              <w:t>建设单位应委托有危险废物运输资质的单位进行运输，该单位运输车辆需有特殊标志。保证危险废物的运输要求安全可靠，要严格按照危险废物运输的管理规定进行危险废物的运输，减少运输过程中的二次污染和可能造成的环境风险。</w:t>
            </w:r>
          </w:p>
          <w:p w14:paraId="116D0704">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根据钦州市生态环境局公布的钦州市危险废物经营许可情况，项目周边的危险废物处置单位为广西地山环保技术有限公司，该企业位于钦州市钦南区黎合江工业集中区，许可编号为</w:t>
            </w:r>
            <w:r>
              <w:rPr>
                <w:rFonts w:cs="宋体"/>
                <w:bCs/>
                <w:color w:val="0D0D0D" w:themeColor="text1" w:themeTint="F2"/>
                <w:spacing w:val="-10"/>
                <w:sz w:val="24"/>
                <w:u w:val="single"/>
                <w14:textFill>
                  <w14:solidFill>
                    <w14:schemeClr w14:val="tx1">
                      <w14:lumMod w14:val="95000"/>
                      <w14:lumOff w14:val="5000"/>
                    </w14:schemeClr>
                  </w14:solidFill>
                </w14:textFill>
              </w:rPr>
              <w:t>GXQZ2022002</w:t>
            </w:r>
            <w:r>
              <w:rPr>
                <w:rFonts w:hint="eastAsia" w:cs="宋体"/>
                <w:bCs/>
                <w:color w:val="0D0D0D" w:themeColor="text1" w:themeTint="F2"/>
                <w:spacing w:val="-10"/>
                <w:sz w:val="24"/>
                <w:u w:val="single"/>
                <w14:textFill>
                  <w14:solidFill>
                    <w14:schemeClr w14:val="tx1">
                      <w14:lumMod w14:val="95000"/>
                      <w14:lumOff w14:val="5000"/>
                    </w14:schemeClr>
                  </w14:solidFill>
                </w14:textFill>
              </w:rPr>
              <w:t>，发证机关为广西壮族自治区生态环境厅，核准经营危险废物类别及规模为：收集、贮存HW02-05、HW08-09、HW11-13、HW16-17、HW31、HW34-35、HW39、HW49-50共17个大类142个小类危险废物，规模为1.8万吨/年，许可证有效期至2027年12月12日，联系人及联系方式为马端波0777-2399219。项目危险废物种类为HW09、HW12和HW49，该企业具有接收处置项目危险废物的资质，因此，项目危险废物可委托广西地山环保技术有限公司进行清运处置。</w:t>
            </w:r>
          </w:p>
          <w:p w14:paraId="6A56171A">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综上所述，</w:t>
            </w:r>
            <w:r>
              <w:rPr>
                <w:rFonts w:hint="eastAsia" w:cs="宋体"/>
                <w:bCs/>
                <w:color w:val="0D0D0D" w:themeColor="text1" w:themeTint="F2"/>
                <w:spacing w:val="-10"/>
                <w:sz w:val="24"/>
                <w14:textFill>
                  <w14:solidFill>
                    <w14:schemeClr w14:val="tx1">
                      <w14:lumMod w14:val="95000"/>
                      <w14:lumOff w14:val="5000"/>
                    </w14:schemeClr>
                  </w14:solidFill>
                </w14:textFill>
              </w:rPr>
              <w:t>在采取上述措施后</w:t>
            </w:r>
            <w:r>
              <w:rPr>
                <w:rFonts w:cs="宋体"/>
                <w:bCs/>
                <w:color w:val="0D0D0D" w:themeColor="text1" w:themeTint="F2"/>
                <w:spacing w:val="-10"/>
                <w:sz w:val="24"/>
                <w14:textFill>
                  <w14:solidFill>
                    <w14:schemeClr w14:val="tx1">
                      <w14:lumMod w14:val="95000"/>
                      <w14:lumOff w14:val="5000"/>
                    </w14:schemeClr>
                  </w14:solidFill>
                </w14:textFill>
              </w:rPr>
              <w:t>本项目</w:t>
            </w:r>
            <w:r>
              <w:rPr>
                <w:rFonts w:hint="eastAsia" w:cs="宋体"/>
                <w:bCs/>
                <w:color w:val="0D0D0D" w:themeColor="text1" w:themeTint="F2"/>
                <w:spacing w:val="-10"/>
                <w:sz w:val="24"/>
                <w14:textFill>
                  <w14:solidFill>
                    <w14:schemeClr w14:val="tx1">
                      <w14:lumMod w14:val="95000"/>
                      <w14:lumOff w14:val="5000"/>
                    </w14:schemeClr>
                  </w14:solidFill>
                </w14:textFill>
              </w:rPr>
              <w:t>产生的</w:t>
            </w:r>
            <w:r>
              <w:rPr>
                <w:rFonts w:cs="宋体"/>
                <w:bCs/>
                <w:color w:val="0D0D0D" w:themeColor="text1" w:themeTint="F2"/>
                <w:spacing w:val="-10"/>
                <w:sz w:val="24"/>
                <w14:textFill>
                  <w14:solidFill>
                    <w14:schemeClr w14:val="tx1">
                      <w14:lumMod w14:val="95000"/>
                      <w14:lumOff w14:val="5000"/>
                    </w14:schemeClr>
                  </w14:solidFill>
                </w14:textFill>
              </w:rPr>
              <w:t>固体废物</w:t>
            </w:r>
            <w:r>
              <w:rPr>
                <w:rFonts w:hint="eastAsia" w:cs="宋体"/>
                <w:bCs/>
                <w:color w:val="0D0D0D" w:themeColor="text1" w:themeTint="F2"/>
                <w:spacing w:val="-10"/>
                <w:sz w:val="24"/>
                <w14:textFill>
                  <w14:solidFill>
                    <w14:schemeClr w14:val="tx1">
                      <w14:lumMod w14:val="95000"/>
                      <w14:lumOff w14:val="5000"/>
                    </w14:schemeClr>
                  </w14:solidFill>
                </w14:textFill>
              </w:rPr>
              <w:t>均可得到妥善、合理地处置</w:t>
            </w:r>
            <w:r>
              <w:rPr>
                <w:rFonts w:cs="宋体"/>
                <w:bCs/>
                <w:color w:val="0D0D0D" w:themeColor="text1" w:themeTint="F2"/>
                <w:spacing w:val="-10"/>
                <w:sz w:val="24"/>
                <w14:textFill>
                  <w14:solidFill>
                    <w14:schemeClr w14:val="tx1">
                      <w14:lumMod w14:val="95000"/>
                      <w14:lumOff w14:val="5000"/>
                    </w14:schemeClr>
                  </w14:solidFill>
                </w14:textFill>
              </w:rPr>
              <w:t>，符合国家对固体废物处置的</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减量化、资源化和无害化</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的基本原则，处置率达100%，对周围环境的影响较小</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03C12D2C">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五、土壤和地下水</w:t>
            </w:r>
          </w:p>
          <w:p w14:paraId="24EE939A">
            <w:pPr>
              <w:adjustRightInd w:val="0"/>
              <w:snapToGrid w:val="0"/>
              <w:spacing w:after="0"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1.污染途径</w:t>
            </w:r>
          </w:p>
          <w:p w14:paraId="6FA151A2">
            <w:pPr>
              <w:adjustRightInd w:val="0"/>
              <w:snapToGrid w:val="0"/>
              <w:spacing w:after="0"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项目运营期大气污染物主要为颗粒物、非甲烷总烃、二甲苯和臭气浓度，不会通过大气沉降等方式对土壤和地下水环境造成影响。</w:t>
            </w:r>
            <w:r>
              <w:rPr>
                <w:rFonts w:hint="eastAsia"/>
                <w:bCs/>
                <w:color w:val="0D0D0D" w:themeColor="text1" w:themeTint="F2"/>
                <w:sz w:val="24"/>
                <w:u w:val="single"/>
                <w14:textFill>
                  <w14:solidFill>
                    <w14:schemeClr w14:val="tx1">
                      <w14:lumMod w14:val="95000"/>
                      <w14:lumOff w14:val="5000"/>
                    </w14:schemeClr>
                  </w14:solidFill>
                </w14:textFill>
              </w:rPr>
              <w:t>实行雨污分流，初期雨水经初期雨水池收集后用于厂区降尘等</w:t>
            </w:r>
            <w:r>
              <w:rPr>
                <w:rFonts w:hint="eastAsia"/>
                <w:bCs/>
                <w:color w:val="0D0D0D" w:themeColor="text1" w:themeTint="F2"/>
                <w:sz w:val="24"/>
                <w14:textFill>
                  <w14:solidFill>
                    <w14:schemeClr w14:val="tx1">
                      <w14:lumMod w14:val="95000"/>
                      <w14:lumOff w14:val="5000"/>
                    </w14:schemeClr>
                  </w14:solidFill>
                </w14:textFill>
              </w:rPr>
              <w:t>；无生产废水产生；生活污水经三级化粪池预处理后使用吸污车清运至钦州市大榄坪污水处理厂进一步处理，</w:t>
            </w:r>
            <w:r>
              <w:rPr>
                <w:rFonts w:hint="eastAsia"/>
                <w:bCs/>
                <w:color w:val="0D0D0D" w:themeColor="text1" w:themeTint="F2"/>
                <w:sz w:val="24"/>
                <w:u w:val="single"/>
                <w14:textFill>
                  <w14:solidFill>
                    <w14:schemeClr w14:val="tx1">
                      <w14:lumMod w14:val="95000"/>
                      <w14:lumOff w14:val="5000"/>
                    </w14:schemeClr>
                  </w14:solidFill>
                </w14:textFill>
              </w:rPr>
              <w:t>初期雨水池和</w:t>
            </w:r>
            <w:r>
              <w:rPr>
                <w:bCs/>
                <w:color w:val="0D0D0D" w:themeColor="text1" w:themeTint="F2"/>
                <w:sz w:val="24"/>
                <w:u w:val="single"/>
                <w14:textFill>
                  <w14:solidFill>
                    <w14:schemeClr w14:val="tx1">
                      <w14:lumMod w14:val="95000"/>
                      <w14:lumOff w14:val="5000"/>
                    </w14:schemeClr>
                  </w14:solidFill>
                </w14:textFill>
              </w:rPr>
              <w:t>三级化粪池</w:t>
            </w:r>
            <w:r>
              <w:rPr>
                <w:rFonts w:hint="eastAsia"/>
                <w:bCs/>
                <w:color w:val="0D0D0D" w:themeColor="text1" w:themeTint="F2"/>
                <w:sz w:val="24"/>
                <w:u w:val="single"/>
                <w14:textFill>
                  <w14:solidFill>
                    <w14:schemeClr w14:val="tx1">
                      <w14:lumMod w14:val="95000"/>
                      <w14:lumOff w14:val="5000"/>
                    </w14:schemeClr>
                  </w14:solidFill>
                </w14:textFill>
              </w:rPr>
              <w:t>采取水泥混凝土硬化等防渗措施</w:t>
            </w:r>
            <w:r>
              <w:rPr>
                <w:rFonts w:hint="eastAsia"/>
                <w:bCs/>
                <w:color w:val="0D0D0D" w:themeColor="text1" w:themeTint="F2"/>
                <w:sz w:val="24"/>
                <w14:textFill>
                  <w14:solidFill>
                    <w14:schemeClr w14:val="tx1">
                      <w14:lumMod w14:val="95000"/>
                      <w14:lumOff w14:val="5000"/>
                    </w14:schemeClr>
                  </w14:solidFill>
                </w14:textFill>
              </w:rPr>
              <w:t>。危险废物使用专用容器暂存于危废暂存间，危废暂存间按照《危险废物贮存污染控制标准》（GB18597-2023）建设和管理，采取水泥硬化和铺设2mm厚的高密度聚乙烯（HDPE）防渗层的防渗措施。在做好各项防渗措施和加强厂区环境管理的基础上，正常工况下，项目不存在地下水和土壤污染途径，不会对地下水和土壤环境产生影响</w:t>
            </w:r>
            <w:r>
              <w:rPr>
                <w:rFonts w:cs="宋体"/>
                <w:color w:val="0D0D0D" w:themeColor="text1" w:themeTint="F2"/>
                <w:spacing w:val="-10"/>
                <w:sz w:val="24"/>
                <w14:textFill>
                  <w14:solidFill>
                    <w14:schemeClr w14:val="tx1">
                      <w14:lumMod w14:val="95000"/>
                      <w14:lumOff w14:val="5000"/>
                    </w14:schemeClr>
                  </w14:solidFill>
                </w14:textFill>
              </w:rPr>
              <w:t>。</w:t>
            </w:r>
          </w:p>
          <w:p w14:paraId="1AC5BA20">
            <w:pPr>
              <w:adjustRightInd w:val="0"/>
              <w:snapToGrid w:val="0"/>
              <w:spacing w:after="0"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2.防控措施</w:t>
            </w:r>
          </w:p>
          <w:p w14:paraId="2E822449">
            <w:pPr>
              <w:adjustRightInd w:val="0"/>
              <w:snapToGrid w:val="0"/>
              <w:spacing w:after="0"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hint="eastAsia" w:cs="宋体"/>
                <w:color w:val="0D0D0D" w:themeColor="text1" w:themeTint="F2"/>
                <w:spacing w:val="-10"/>
                <w:sz w:val="24"/>
                <w14:textFill>
                  <w14:solidFill>
                    <w14:schemeClr w14:val="tx1">
                      <w14:lumMod w14:val="95000"/>
                      <w14:lumOff w14:val="5000"/>
                    </w14:schemeClr>
                  </w14:solidFill>
                </w14:textFill>
              </w:rPr>
              <w:t>根据</w:t>
            </w:r>
            <w:r>
              <w:rPr>
                <w:rFonts w:cs="宋体"/>
                <w:color w:val="0D0D0D" w:themeColor="text1" w:themeTint="F2"/>
                <w:spacing w:val="-10"/>
                <w:sz w:val="24"/>
                <w14:textFill>
                  <w14:solidFill>
                    <w14:schemeClr w14:val="tx1">
                      <w14:lumMod w14:val="95000"/>
                      <w14:lumOff w14:val="5000"/>
                    </w14:schemeClr>
                  </w14:solidFill>
                </w14:textFill>
              </w:rPr>
              <w:t>《环境影响评价技术导则  地下水环境》（HJ610-2016），将厂区划分为</w:t>
            </w:r>
            <w:r>
              <w:rPr>
                <w:rFonts w:hint="eastAsia" w:cs="宋体"/>
                <w:color w:val="0D0D0D" w:themeColor="text1" w:themeTint="F2"/>
                <w:spacing w:val="-10"/>
                <w:sz w:val="24"/>
                <w14:textFill>
                  <w14:solidFill>
                    <w14:schemeClr w14:val="tx1">
                      <w14:lumMod w14:val="95000"/>
                      <w14:lumOff w14:val="5000"/>
                    </w14:schemeClr>
                  </w14:solidFill>
                </w14:textFill>
              </w:rPr>
              <w:t>重点防渗区、一般防渗区和</w:t>
            </w:r>
            <w:r>
              <w:rPr>
                <w:rFonts w:cs="宋体"/>
                <w:color w:val="0D0D0D" w:themeColor="text1" w:themeTint="F2"/>
                <w:spacing w:val="-10"/>
                <w:sz w:val="24"/>
                <w14:textFill>
                  <w14:solidFill>
                    <w14:schemeClr w14:val="tx1">
                      <w14:lumMod w14:val="95000"/>
                      <w14:lumOff w14:val="5000"/>
                    </w14:schemeClr>
                  </w14:solidFill>
                </w14:textFill>
              </w:rPr>
              <w:t>简单防渗区，</w:t>
            </w:r>
            <w:r>
              <w:rPr>
                <w:rFonts w:hint="eastAsia" w:cs="宋体"/>
                <w:color w:val="0D0D0D" w:themeColor="text1" w:themeTint="F2"/>
                <w:spacing w:val="-10"/>
                <w:sz w:val="24"/>
                <w14:textFill>
                  <w14:solidFill>
                    <w14:schemeClr w14:val="tx1">
                      <w14:lumMod w14:val="95000"/>
                      <w14:lumOff w14:val="5000"/>
                    </w14:schemeClr>
                  </w14:solidFill>
                </w14:textFill>
              </w:rPr>
              <w:t>采取分区</w:t>
            </w:r>
            <w:r>
              <w:rPr>
                <w:rFonts w:cs="宋体"/>
                <w:color w:val="0D0D0D" w:themeColor="text1" w:themeTint="F2"/>
                <w:spacing w:val="-10"/>
                <w:sz w:val="24"/>
                <w14:textFill>
                  <w14:solidFill>
                    <w14:schemeClr w14:val="tx1">
                      <w14:lumMod w14:val="95000"/>
                      <w14:lumOff w14:val="5000"/>
                    </w14:schemeClr>
                  </w14:solidFill>
                </w14:textFill>
              </w:rPr>
              <w:t>防渗措施。</w:t>
            </w:r>
          </w:p>
          <w:p w14:paraId="51B6C302">
            <w:pPr>
              <w:adjustRightInd w:val="0"/>
              <w:snapToGrid w:val="0"/>
              <w:spacing w:after="0"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cs="宋体"/>
                <w:color w:val="0D0D0D" w:themeColor="text1" w:themeTint="F2"/>
                <w:spacing w:val="-10"/>
                <w:sz w:val="24"/>
                <w14:textFill>
                  <w14:solidFill>
                    <w14:schemeClr w14:val="tx1">
                      <w14:lumMod w14:val="95000"/>
                      <w14:lumOff w14:val="5000"/>
                    </w14:schemeClr>
                  </w14:solidFill>
                </w14:textFill>
              </w:rPr>
              <w:t>本次</w:t>
            </w:r>
            <w:r>
              <w:rPr>
                <w:rFonts w:hint="eastAsia" w:cs="宋体"/>
                <w:color w:val="0D0D0D" w:themeColor="text1" w:themeTint="F2"/>
                <w:spacing w:val="-10"/>
                <w:sz w:val="24"/>
                <w14:textFill>
                  <w14:solidFill>
                    <w14:schemeClr w14:val="tx1">
                      <w14:lumMod w14:val="95000"/>
                      <w14:lumOff w14:val="5000"/>
                    </w14:schemeClr>
                  </w14:solidFill>
                </w14:textFill>
              </w:rPr>
              <w:t>评价</w:t>
            </w:r>
            <w:r>
              <w:rPr>
                <w:rFonts w:cs="宋体"/>
                <w:color w:val="0D0D0D" w:themeColor="text1" w:themeTint="F2"/>
                <w:spacing w:val="-10"/>
                <w:sz w:val="24"/>
                <w14:textFill>
                  <w14:solidFill>
                    <w14:schemeClr w14:val="tx1">
                      <w14:lumMod w14:val="95000"/>
                      <w14:lumOff w14:val="5000"/>
                    </w14:schemeClr>
                  </w14:solidFill>
                </w14:textFill>
              </w:rPr>
              <w:t>将</w:t>
            </w:r>
            <w:r>
              <w:rPr>
                <w:rFonts w:hint="eastAsia" w:cs="宋体"/>
                <w:color w:val="0D0D0D" w:themeColor="text1" w:themeTint="F2"/>
                <w:spacing w:val="-10"/>
                <w:sz w:val="24"/>
                <w14:textFill>
                  <w14:solidFill>
                    <w14:schemeClr w14:val="tx1">
                      <w14:lumMod w14:val="95000"/>
                      <w14:lumOff w14:val="5000"/>
                    </w14:schemeClr>
                  </w14:solidFill>
                </w14:textFill>
              </w:rPr>
              <w:t>危废暂存间、油漆库和喷漆房划分为重点防渗区，初期雨水池、三级</w:t>
            </w:r>
            <w:r>
              <w:rPr>
                <w:rFonts w:cs="宋体"/>
                <w:color w:val="0D0D0D" w:themeColor="text1" w:themeTint="F2"/>
                <w:spacing w:val="-10"/>
                <w:sz w:val="24"/>
                <w14:textFill>
                  <w14:solidFill>
                    <w14:schemeClr w14:val="tx1">
                      <w14:lumMod w14:val="95000"/>
                      <w14:lumOff w14:val="5000"/>
                    </w14:schemeClr>
                  </w14:solidFill>
                </w14:textFill>
              </w:rPr>
              <w:t>化粪池</w:t>
            </w:r>
            <w:r>
              <w:rPr>
                <w:rFonts w:hint="eastAsia" w:cs="宋体"/>
                <w:color w:val="0D0D0D" w:themeColor="text1" w:themeTint="F2"/>
                <w:spacing w:val="-10"/>
                <w:sz w:val="24"/>
                <w14:textFill>
                  <w14:solidFill>
                    <w14:schemeClr w14:val="tx1">
                      <w14:lumMod w14:val="95000"/>
                      <w14:lumOff w14:val="5000"/>
                    </w14:schemeClr>
                  </w14:solidFill>
                </w14:textFill>
              </w:rPr>
              <w:t>和一般固废暂存间划分</w:t>
            </w:r>
            <w:r>
              <w:rPr>
                <w:rFonts w:cs="宋体"/>
                <w:color w:val="0D0D0D" w:themeColor="text1" w:themeTint="F2"/>
                <w:spacing w:val="-10"/>
                <w:sz w:val="24"/>
                <w14:textFill>
                  <w14:solidFill>
                    <w14:schemeClr w14:val="tx1">
                      <w14:lumMod w14:val="95000"/>
                      <w14:lumOff w14:val="5000"/>
                    </w14:schemeClr>
                  </w14:solidFill>
                </w14:textFill>
              </w:rPr>
              <w:t>为一般防渗区，厂内其他区域</w:t>
            </w:r>
            <w:r>
              <w:rPr>
                <w:rFonts w:hint="eastAsia" w:cs="宋体"/>
                <w:color w:val="0D0D0D" w:themeColor="text1" w:themeTint="F2"/>
                <w:spacing w:val="-10"/>
                <w:sz w:val="24"/>
                <w14:textFill>
                  <w14:solidFill>
                    <w14:schemeClr w14:val="tx1">
                      <w14:lumMod w14:val="95000"/>
                      <w14:lumOff w14:val="5000"/>
                    </w14:schemeClr>
                  </w14:solidFill>
                </w14:textFill>
              </w:rPr>
              <w:t>如生产车间、原料区、半成品区、成品区、气瓶库和道路等</w:t>
            </w:r>
            <w:r>
              <w:rPr>
                <w:rFonts w:cs="宋体"/>
                <w:color w:val="0D0D0D" w:themeColor="text1" w:themeTint="F2"/>
                <w:spacing w:val="-10"/>
                <w:sz w:val="24"/>
                <w14:textFill>
                  <w14:solidFill>
                    <w14:schemeClr w14:val="tx1">
                      <w14:lumMod w14:val="95000"/>
                      <w14:lumOff w14:val="5000"/>
                    </w14:schemeClr>
                  </w14:solidFill>
                </w14:textFill>
              </w:rPr>
              <w:t>划分为简单防渗区。</w:t>
            </w:r>
          </w:p>
          <w:p w14:paraId="6B64104C">
            <w:pPr>
              <w:adjustRightInd w:val="0"/>
              <w:snapToGrid w:val="0"/>
              <w:spacing w:after="0"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hint="eastAsia" w:cs="宋体"/>
                <w:color w:val="0D0D0D" w:themeColor="text1" w:themeTint="F2"/>
                <w:spacing w:val="-10"/>
                <w:sz w:val="24"/>
                <w14:textFill>
                  <w14:solidFill>
                    <w14:schemeClr w14:val="tx1">
                      <w14:lumMod w14:val="95000"/>
                      <w14:lumOff w14:val="5000"/>
                    </w14:schemeClr>
                  </w14:solidFill>
                </w14:textFill>
              </w:rPr>
              <w:t>项目防渗要求详见表4</w:t>
            </w:r>
            <w:r>
              <w:rPr>
                <w:rFonts w:cs="宋体"/>
                <w:color w:val="0D0D0D" w:themeColor="text1" w:themeTint="F2"/>
                <w:spacing w:val="-10"/>
                <w:sz w:val="24"/>
                <w14:textFill>
                  <w14:solidFill>
                    <w14:schemeClr w14:val="tx1">
                      <w14:lumMod w14:val="95000"/>
                      <w14:lumOff w14:val="5000"/>
                    </w14:schemeClr>
                  </w14:solidFill>
                </w14:textFill>
              </w:rPr>
              <w:t>-</w:t>
            </w:r>
            <w:r>
              <w:rPr>
                <w:rFonts w:hint="eastAsia" w:cs="宋体"/>
                <w:color w:val="0D0D0D" w:themeColor="text1" w:themeTint="F2"/>
                <w:spacing w:val="-10"/>
                <w:sz w:val="24"/>
                <w14:textFill>
                  <w14:solidFill>
                    <w14:schemeClr w14:val="tx1">
                      <w14:lumMod w14:val="95000"/>
                      <w14:lumOff w14:val="5000"/>
                    </w14:schemeClr>
                  </w14:solidFill>
                </w14:textFill>
              </w:rPr>
              <w:t>26。</w:t>
            </w:r>
          </w:p>
          <w:p w14:paraId="78D21503">
            <w:pPr>
              <w:adjustRightInd w:val="0"/>
              <w:snapToGrid w:val="0"/>
              <w:spacing w:after="0"/>
              <w:jc w:val="center"/>
              <w:rPr>
                <w:rFonts w:cs="宋体"/>
                <w:b/>
                <w:bCs/>
                <w:color w:val="0D0D0D" w:themeColor="text1" w:themeTint="F2"/>
                <w:spacing w:val="-10"/>
                <w:szCs w:val="21"/>
                <w14:textFill>
                  <w14:solidFill>
                    <w14:schemeClr w14:val="tx1">
                      <w14:lumMod w14:val="95000"/>
                      <w14:lumOff w14:val="5000"/>
                    </w14:schemeClr>
                  </w14:solidFill>
                </w14:textFill>
              </w:rPr>
            </w:pPr>
            <w:r>
              <w:rPr>
                <w:rFonts w:hint="eastAsia" w:cs="宋体"/>
                <w:b/>
                <w:bCs/>
                <w:color w:val="0D0D0D" w:themeColor="text1" w:themeTint="F2"/>
                <w:spacing w:val="-10"/>
                <w:szCs w:val="21"/>
                <w14:textFill>
                  <w14:solidFill>
                    <w14:schemeClr w14:val="tx1">
                      <w14:lumMod w14:val="95000"/>
                      <w14:lumOff w14:val="5000"/>
                    </w14:schemeClr>
                  </w14:solidFill>
                </w14:textFill>
              </w:rPr>
              <w:t>表4</w:t>
            </w:r>
            <w:r>
              <w:rPr>
                <w:rFonts w:cs="宋体"/>
                <w:b/>
                <w:bCs/>
                <w:color w:val="0D0D0D" w:themeColor="text1" w:themeTint="F2"/>
                <w:spacing w:val="-10"/>
                <w:szCs w:val="21"/>
                <w14:textFill>
                  <w14:solidFill>
                    <w14:schemeClr w14:val="tx1">
                      <w14:lumMod w14:val="95000"/>
                      <w14:lumOff w14:val="5000"/>
                    </w14:schemeClr>
                  </w14:solidFill>
                </w14:textFill>
              </w:rPr>
              <w:t>-</w:t>
            </w:r>
            <w:r>
              <w:rPr>
                <w:rFonts w:hint="eastAsia" w:cs="宋体"/>
                <w:b/>
                <w:bCs/>
                <w:color w:val="0D0D0D" w:themeColor="text1" w:themeTint="F2"/>
                <w:spacing w:val="-10"/>
                <w:szCs w:val="21"/>
                <w14:textFill>
                  <w14:solidFill>
                    <w14:schemeClr w14:val="tx1">
                      <w14:lumMod w14:val="95000"/>
                      <w14:lumOff w14:val="5000"/>
                    </w14:schemeClr>
                  </w14:solidFill>
                </w14:textFill>
              </w:rPr>
              <w:t>26</w:t>
            </w:r>
            <w:r>
              <w:rPr>
                <w:rFonts w:cs="宋体"/>
                <w:b/>
                <w:bCs/>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bCs/>
                <w:color w:val="0D0D0D" w:themeColor="text1" w:themeTint="F2"/>
                <w:spacing w:val="-10"/>
                <w:szCs w:val="21"/>
                <w14:textFill>
                  <w14:solidFill>
                    <w14:schemeClr w14:val="tx1">
                      <w14:lumMod w14:val="95000"/>
                      <w14:lumOff w14:val="5000"/>
                    </w14:schemeClr>
                  </w14:solidFill>
                </w14:textFill>
              </w:rPr>
              <w:t>防渗措施一览表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1862"/>
              <w:gridCol w:w="3266"/>
              <w:gridCol w:w="2957"/>
            </w:tblGrid>
            <w:tr w14:paraId="6481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3" w:type="pct"/>
                  <w:vAlign w:val="center"/>
                </w:tcPr>
                <w:p w14:paraId="2E7D1964">
                  <w:pPr>
                    <w:adjustRightInd w:val="0"/>
                    <w:snapToGrid w:val="0"/>
                    <w:spacing w:after="0" w:line="240" w:lineRule="auto"/>
                    <w:jc w:val="center"/>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防渗分区</w:t>
                  </w:r>
                </w:p>
              </w:tc>
              <w:tc>
                <w:tcPr>
                  <w:tcW w:w="1061" w:type="pct"/>
                  <w:vAlign w:val="center"/>
                </w:tcPr>
                <w:p w14:paraId="1043CA34">
                  <w:pPr>
                    <w:adjustRightInd w:val="0"/>
                    <w:snapToGrid w:val="0"/>
                    <w:spacing w:after="0" w:line="240" w:lineRule="auto"/>
                    <w:jc w:val="center"/>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防渗单元</w:t>
                  </w:r>
                </w:p>
              </w:tc>
              <w:tc>
                <w:tcPr>
                  <w:tcW w:w="1861" w:type="pct"/>
                  <w:vAlign w:val="center"/>
                </w:tcPr>
                <w:p w14:paraId="13B0DB33">
                  <w:pPr>
                    <w:adjustRightInd w:val="0"/>
                    <w:snapToGrid w:val="0"/>
                    <w:spacing w:after="0" w:line="240" w:lineRule="auto"/>
                    <w:jc w:val="center"/>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防渗结构</w:t>
                  </w:r>
                </w:p>
              </w:tc>
              <w:tc>
                <w:tcPr>
                  <w:tcW w:w="1685" w:type="pct"/>
                  <w:vAlign w:val="center"/>
                </w:tcPr>
                <w:p w14:paraId="02D5F0BF">
                  <w:pPr>
                    <w:adjustRightInd w:val="0"/>
                    <w:snapToGrid w:val="0"/>
                    <w:spacing w:after="0" w:line="240" w:lineRule="auto"/>
                    <w:jc w:val="center"/>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防渗技术要求</w:t>
                  </w:r>
                </w:p>
              </w:tc>
            </w:tr>
            <w:tr w14:paraId="02FA2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3" w:type="pct"/>
                  <w:vAlign w:val="center"/>
                </w:tcPr>
                <w:p w14:paraId="59D36F72">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重点防渗区</w:t>
                  </w:r>
                </w:p>
              </w:tc>
              <w:tc>
                <w:tcPr>
                  <w:tcW w:w="1061" w:type="pct"/>
                  <w:vAlign w:val="center"/>
                </w:tcPr>
                <w:p w14:paraId="1F6757FC">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危废暂存间、油漆库和喷漆房</w:t>
                  </w:r>
                </w:p>
              </w:tc>
              <w:tc>
                <w:tcPr>
                  <w:tcW w:w="1861" w:type="pct"/>
                  <w:vAlign w:val="center"/>
                </w:tcPr>
                <w:p w14:paraId="5AA723C8">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铺设10～15cm的水泥进行硬化，最后铺设2mm厚的高密度聚乙烯（HDPE）防渗层</w:t>
                  </w:r>
                </w:p>
              </w:tc>
              <w:tc>
                <w:tcPr>
                  <w:tcW w:w="1685" w:type="pct"/>
                  <w:vAlign w:val="center"/>
                </w:tcPr>
                <w:p w14:paraId="59148333">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等效黏土防渗层Mb≥6.0，渗透系数K≤1×10</w:t>
                  </w:r>
                  <w:r>
                    <w:rPr>
                      <w:rFonts w:hint="eastAsia" w:cs="宋体"/>
                      <w:color w:val="0D0D0D" w:themeColor="text1" w:themeTint="F2"/>
                      <w:spacing w:val="-10"/>
                      <w:szCs w:val="21"/>
                      <w:u w:val="single"/>
                      <w:vertAlign w:val="superscript"/>
                      <w14:textFill>
                        <w14:solidFill>
                          <w14:schemeClr w14:val="tx1">
                            <w14:lumMod w14:val="95000"/>
                            <w14:lumOff w14:val="5000"/>
                          </w14:schemeClr>
                        </w14:solidFill>
                      </w14:textFill>
                    </w:rPr>
                    <w:t>-7</w:t>
                  </w:r>
                  <w:r>
                    <w:rPr>
                      <w:rFonts w:hint="eastAsia" w:cs="宋体"/>
                      <w:color w:val="0D0D0D" w:themeColor="text1" w:themeTint="F2"/>
                      <w:spacing w:val="-10"/>
                      <w:szCs w:val="21"/>
                      <w:u w:val="single"/>
                      <w14:textFill>
                        <w14:solidFill>
                          <w14:schemeClr w14:val="tx1">
                            <w14:lumMod w14:val="95000"/>
                            <w14:lumOff w14:val="5000"/>
                          </w14:schemeClr>
                        </w14:solidFill>
                      </w14:textFill>
                    </w:rPr>
                    <w:t>cm/s；或参照GB18598执行</w:t>
                  </w:r>
                </w:p>
              </w:tc>
            </w:tr>
            <w:tr w14:paraId="0D289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93" w:type="pct"/>
                  <w:vAlign w:val="center"/>
                </w:tcPr>
                <w:p w14:paraId="521D85C6">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一般防渗区</w:t>
                  </w:r>
                </w:p>
              </w:tc>
              <w:tc>
                <w:tcPr>
                  <w:tcW w:w="1061" w:type="pct"/>
                  <w:vAlign w:val="center"/>
                </w:tcPr>
                <w:p w14:paraId="51A1D20D">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初期雨水池、三级</w:t>
                  </w:r>
                  <w:r>
                    <w:rPr>
                      <w:rFonts w:cs="宋体"/>
                      <w:color w:val="0D0D0D" w:themeColor="text1" w:themeTint="F2"/>
                      <w:spacing w:val="-10"/>
                      <w:szCs w:val="21"/>
                      <w:u w:val="single"/>
                      <w14:textFill>
                        <w14:solidFill>
                          <w14:schemeClr w14:val="tx1">
                            <w14:lumMod w14:val="95000"/>
                            <w14:lumOff w14:val="5000"/>
                          </w14:schemeClr>
                        </w14:solidFill>
                      </w14:textFill>
                    </w:rPr>
                    <w:t>化粪池</w:t>
                  </w:r>
                  <w:r>
                    <w:rPr>
                      <w:rFonts w:hint="eastAsia" w:cs="宋体"/>
                      <w:color w:val="0D0D0D" w:themeColor="text1" w:themeTint="F2"/>
                      <w:spacing w:val="-10"/>
                      <w:szCs w:val="21"/>
                      <w:u w:val="single"/>
                      <w14:textFill>
                        <w14:solidFill>
                          <w14:schemeClr w14:val="tx1">
                            <w14:lumMod w14:val="95000"/>
                            <w14:lumOff w14:val="5000"/>
                          </w14:schemeClr>
                        </w14:solidFill>
                      </w14:textFill>
                    </w:rPr>
                    <w:t>、一般固废暂存间</w:t>
                  </w:r>
                </w:p>
              </w:tc>
              <w:tc>
                <w:tcPr>
                  <w:tcW w:w="1861" w:type="pct"/>
                  <w:vAlign w:val="center"/>
                </w:tcPr>
                <w:p w14:paraId="48041463">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cs="宋体"/>
                      <w:color w:val="0D0D0D" w:themeColor="text1" w:themeTint="F2"/>
                      <w:spacing w:val="-10"/>
                      <w:szCs w:val="21"/>
                      <w:u w:val="single"/>
                      <w14:textFill>
                        <w14:solidFill>
                          <w14:schemeClr w14:val="tx1">
                            <w14:lumMod w14:val="95000"/>
                            <w14:lumOff w14:val="5000"/>
                          </w14:schemeClr>
                        </w14:solidFill>
                      </w14:textFill>
                    </w:rPr>
                    <w:t>采取粘土铺底，再在上层铺10</w:t>
                  </w:r>
                  <w:r>
                    <w:rPr>
                      <w:rFonts w:hint="eastAsia" w:cs="宋体"/>
                      <w:color w:val="0D0D0D" w:themeColor="text1" w:themeTint="F2"/>
                      <w:spacing w:val="-10"/>
                      <w:szCs w:val="21"/>
                      <w:u w:val="single"/>
                      <w14:textFill>
                        <w14:solidFill>
                          <w14:schemeClr w14:val="tx1">
                            <w14:lumMod w14:val="95000"/>
                            <w14:lumOff w14:val="5000"/>
                          </w14:schemeClr>
                        </w14:solidFill>
                      </w14:textFill>
                    </w:rPr>
                    <w:t>～</w:t>
                  </w:r>
                  <w:r>
                    <w:rPr>
                      <w:rFonts w:cs="宋体"/>
                      <w:color w:val="0D0D0D" w:themeColor="text1" w:themeTint="F2"/>
                      <w:spacing w:val="-10"/>
                      <w:szCs w:val="21"/>
                      <w:u w:val="single"/>
                      <w14:textFill>
                        <w14:solidFill>
                          <w14:schemeClr w14:val="tx1">
                            <w14:lumMod w14:val="95000"/>
                            <w14:lumOff w14:val="5000"/>
                          </w14:schemeClr>
                        </w14:solidFill>
                      </w14:textFill>
                    </w:rPr>
                    <w:t>15cm的水泥进行硬化。</w:t>
                  </w:r>
                </w:p>
              </w:tc>
              <w:tc>
                <w:tcPr>
                  <w:tcW w:w="1685" w:type="pct"/>
                  <w:vAlign w:val="center"/>
                </w:tcPr>
                <w:p w14:paraId="5F8F07BC">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cs="宋体"/>
                      <w:color w:val="0D0D0D" w:themeColor="text1" w:themeTint="F2"/>
                      <w:spacing w:val="-10"/>
                      <w:szCs w:val="21"/>
                      <w:u w:val="single"/>
                      <w14:textFill>
                        <w14:solidFill>
                          <w14:schemeClr w14:val="tx1">
                            <w14:lumMod w14:val="95000"/>
                            <w14:lumOff w14:val="5000"/>
                          </w14:schemeClr>
                        </w14:solidFill>
                      </w14:textFill>
                    </w:rPr>
                    <w:t>等效黏土防渗层Mb≥1.5，渗透系数K≤1×10</w:t>
                  </w:r>
                  <w:r>
                    <w:rPr>
                      <w:rFonts w:cs="宋体"/>
                      <w:color w:val="0D0D0D" w:themeColor="text1" w:themeTint="F2"/>
                      <w:spacing w:val="-10"/>
                      <w:szCs w:val="21"/>
                      <w:u w:val="single"/>
                      <w:vertAlign w:val="superscript"/>
                      <w14:textFill>
                        <w14:solidFill>
                          <w14:schemeClr w14:val="tx1">
                            <w14:lumMod w14:val="95000"/>
                            <w14:lumOff w14:val="5000"/>
                          </w14:schemeClr>
                        </w14:solidFill>
                      </w14:textFill>
                    </w:rPr>
                    <w:t>-7</w:t>
                  </w:r>
                  <w:r>
                    <w:rPr>
                      <w:rFonts w:cs="宋体"/>
                      <w:color w:val="0D0D0D" w:themeColor="text1" w:themeTint="F2"/>
                      <w:spacing w:val="-10"/>
                      <w:szCs w:val="21"/>
                      <w:u w:val="single"/>
                      <w14:textFill>
                        <w14:solidFill>
                          <w14:schemeClr w14:val="tx1">
                            <w14:lumMod w14:val="95000"/>
                            <w14:lumOff w14:val="5000"/>
                          </w14:schemeClr>
                        </w14:solidFill>
                      </w14:textFill>
                    </w:rPr>
                    <w:t>cm/s；或参照GB16889执行</w:t>
                  </w:r>
                </w:p>
              </w:tc>
            </w:tr>
            <w:tr w14:paraId="5C75E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93" w:type="pct"/>
                  <w:vAlign w:val="center"/>
                </w:tcPr>
                <w:p w14:paraId="68ED1688">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简单防渗区</w:t>
                  </w:r>
                </w:p>
              </w:tc>
              <w:tc>
                <w:tcPr>
                  <w:tcW w:w="1061" w:type="pct"/>
                  <w:vAlign w:val="center"/>
                </w:tcPr>
                <w:p w14:paraId="6A86448F">
                  <w:pPr>
                    <w:adjustRightInd w:val="0"/>
                    <w:snapToGrid w:val="0"/>
                    <w:spacing w:after="0" w:line="240" w:lineRule="auto"/>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生产车间、原料区、半成品区、成品区、气瓶库和道路等</w:t>
                  </w:r>
                </w:p>
              </w:tc>
              <w:tc>
                <w:tcPr>
                  <w:tcW w:w="1861" w:type="pct"/>
                  <w:vAlign w:val="center"/>
                </w:tcPr>
                <w:p w14:paraId="3C010408">
                  <w:pPr>
                    <w:adjustRightInd w:val="0"/>
                    <w:snapToGrid w:val="0"/>
                    <w:spacing w:after="0" w:line="240" w:lineRule="auto"/>
                    <w:jc w:val="center"/>
                    <w:rPr>
                      <w:rFonts w:cs="宋体"/>
                      <w:color w:val="0D0D0D" w:themeColor="text1" w:themeTint="F2"/>
                      <w:spacing w:val="-10"/>
                      <w:szCs w:val="21"/>
                      <w:u w:val="single"/>
                      <w14:textFill>
                        <w14:solidFill>
                          <w14:schemeClr w14:val="tx1">
                            <w14:lumMod w14:val="95000"/>
                            <w14:lumOff w14:val="5000"/>
                          </w14:schemeClr>
                        </w14:solidFill>
                      </w14:textFill>
                    </w:rPr>
                  </w:pPr>
                  <w:r>
                    <w:rPr>
                      <w:rFonts w:cs="宋体"/>
                      <w:color w:val="0D0D0D" w:themeColor="text1" w:themeTint="F2"/>
                      <w:spacing w:val="-10"/>
                      <w:szCs w:val="21"/>
                      <w:u w:val="single"/>
                      <w14:textFill>
                        <w14:solidFill>
                          <w14:schemeClr w14:val="tx1">
                            <w14:lumMod w14:val="95000"/>
                            <w14:lumOff w14:val="5000"/>
                          </w14:schemeClr>
                        </w14:solidFill>
                      </w14:textFill>
                    </w:rPr>
                    <w:t>水泥混凝土硬化</w:t>
                  </w:r>
                </w:p>
              </w:tc>
              <w:tc>
                <w:tcPr>
                  <w:tcW w:w="1685" w:type="pct"/>
                  <w:vAlign w:val="center"/>
                </w:tcPr>
                <w:p w14:paraId="0E0477D5">
                  <w:pPr>
                    <w:adjustRightInd w:val="0"/>
                    <w:snapToGrid w:val="0"/>
                    <w:spacing w:after="0" w:line="240" w:lineRule="auto"/>
                    <w:jc w:val="center"/>
                    <w:rPr>
                      <w:rFonts w:cs="宋体"/>
                      <w:color w:val="0D0D0D" w:themeColor="text1" w:themeTint="F2"/>
                      <w:spacing w:val="-10"/>
                      <w:szCs w:val="21"/>
                      <w:u w:val="single"/>
                      <w14:textFill>
                        <w14:solidFill>
                          <w14:schemeClr w14:val="tx1">
                            <w14:lumMod w14:val="95000"/>
                            <w14:lumOff w14:val="5000"/>
                          </w14:schemeClr>
                        </w14:solidFill>
                      </w14:textFill>
                    </w:rPr>
                  </w:pPr>
                  <w:r>
                    <w:rPr>
                      <w:rFonts w:hint="eastAsia" w:cs="宋体"/>
                      <w:color w:val="0D0D0D" w:themeColor="text1" w:themeTint="F2"/>
                      <w:spacing w:val="-10"/>
                      <w:szCs w:val="21"/>
                      <w:u w:val="single"/>
                      <w14:textFill>
                        <w14:solidFill>
                          <w14:schemeClr w14:val="tx1">
                            <w14:lumMod w14:val="95000"/>
                            <w14:lumOff w14:val="5000"/>
                          </w14:schemeClr>
                        </w14:solidFill>
                      </w14:textFill>
                    </w:rPr>
                    <w:t>一般地面硬化</w:t>
                  </w:r>
                </w:p>
              </w:tc>
            </w:tr>
          </w:tbl>
          <w:p w14:paraId="31306CDA">
            <w:pPr>
              <w:adjustRightInd w:val="0"/>
              <w:snapToGrid w:val="0"/>
              <w:spacing w:after="0"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hint="eastAsia" w:cs="宋体"/>
                <w:color w:val="0D0D0D" w:themeColor="text1" w:themeTint="F2"/>
                <w:spacing w:val="-10"/>
                <w:sz w:val="24"/>
                <w14:textFill>
                  <w14:solidFill>
                    <w14:schemeClr w14:val="tx1">
                      <w14:lumMod w14:val="95000"/>
                      <w14:lumOff w14:val="5000"/>
                    </w14:schemeClr>
                  </w14:solidFill>
                </w14:textFill>
              </w:rPr>
              <w:t>项目</w:t>
            </w:r>
            <w:r>
              <w:rPr>
                <w:rFonts w:cs="宋体"/>
                <w:color w:val="0D0D0D" w:themeColor="text1" w:themeTint="F2"/>
                <w:spacing w:val="-10"/>
                <w:sz w:val="24"/>
                <w14:textFill>
                  <w14:solidFill>
                    <w14:schemeClr w14:val="tx1">
                      <w14:lumMod w14:val="95000"/>
                      <w14:lumOff w14:val="5000"/>
                    </w14:schemeClr>
                  </w14:solidFill>
                </w14:textFill>
              </w:rPr>
              <w:t>在采取分区防渗措施后可有效防止污染物污染区域土壤</w:t>
            </w:r>
            <w:r>
              <w:rPr>
                <w:rFonts w:hint="eastAsia" w:cs="宋体"/>
                <w:color w:val="0D0D0D" w:themeColor="text1" w:themeTint="F2"/>
                <w:spacing w:val="-10"/>
                <w:sz w:val="24"/>
                <w14:textFill>
                  <w14:solidFill>
                    <w14:schemeClr w14:val="tx1">
                      <w14:lumMod w14:val="95000"/>
                      <w14:lumOff w14:val="5000"/>
                    </w14:schemeClr>
                  </w14:solidFill>
                </w14:textFill>
              </w:rPr>
              <w:t>和</w:t>
            </w:r>
            <w:r>
              <w:rPr>
                <w:rFonts w:cs="宋体"/>
                <w:color w:val="0D0D0D" w:themeColor="text1" w:themeTint="F2"/>
                <w:spacing w:val="-10"/>
                <w:sz w:val="24"/>
                <w14:textFill>
                  <w14:solidFill>
                    <w14:schemeClr w14:val="tx1">
                      <w14:lumMod w14:val="95000"/>
                      <w14:lumOff w14:val="5000"/>
                    </w14:schemeClr>
                  </w14:solidFill>
                </w14:textFill>
              </w:rPr>
              <w:t>地下水环境，对区域土壤</w:t>
            </w:r>
            <w:r>
              <w:rPr>
                <w:rFonts w:hint="eastAsia" w:cs="宋体"/>
                <w:color w:val="0D0D0D" w:themeColor="text1" w:themeTint="F2"/>
                <w:spacing w:val="-10"/>
                <w:sz w:val="24"/>
                <w14:textFill>
                  <w14:solidFill>
                    <w14:schemeClr w14:val="tx1">
                      <w14:lumMod w14:val="95000"/>
                      <w14:lumOff w14:val="5000"/>
                    </w14:schemeClr>
                  </w14:solidFill>
                </w14:textFill>
              </w:rPr>
              <w:t>和</w:t>
            </w:r>
            <w:r>
              <w:rPr>
                <w:rFonts w:cs="宋体"/>
                <w:color w:val="0D0D0D" w:themeColor="text1" w:themeTint="F2"/>
                <w:spacing w:val="-10"/>
                <w:sz w:val="24"/>
                <w14:textFill>
                  <w14:solidFill>
                    <w14:schemeClr w14:val="tx1">
                      <w14:lumMod w14:val="95000"/>
                      <w14:lumOff w14:val="5000"/>
                    </w14:schemeClr>
                  </w14:solidFill>
                </w14:textFill>
              </w:rPr>
              <w:t>地下水环境影响较小。</w:t>
            </w:r>
          </w:p>
          <w:p w14:paraId="29CCAF34">
            <w:pPr>
              <w:adjustRightInd w:val="0"/>
              <w:snapToGrid w:val="0"/>
              <w:spacing w:after="0"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3.</w:t>
            </w:r>
            <w:r>
              <w:rPr>
                <w:rFonts w:cs="宋体"/>
                <w:b/>
                <w:bCs/>
                <w:color w:val="0D0D0D" w:themeColor="text1" w:themeTint="F2"/>
                <w:spacing w:val="-10"/>
                <w:sz w:val="24"/>
                <w14:textFill>
                  <w14:solidFill>
                    <w14:schemeClr w14:val="tx1">
                      <w14:lumMod w14:val="95000"/>
                      <w14:lumOff w14:val="5000"/>
                    </w14:schemeClr>
                  </w14:solidFill>
                </w14:textFill>
              </w:rPr>
              <w:t>跟踪监测要求</w:t>
            </w:r>
          </w:p>
          <w:p w14:paraId="2C6A26B9">
            <w:pPr>
              <w:adjustRightInd w:val="0"/>
              <w:snapToGrid w:val="0"/>
              <w:spacing w:after="0"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cs="宋体"/>
                <w:color w:val="0D0D0D" w:themeColor="text1" w:themeTint="F2"/>
                <w:spacing w:val="-10"/>
                <w:sz w:val="24"/>
                <w14:textFill>
                  <w14:solidFill>
                    <w14:schemeClr w14:val="tx1">
                      <w14:lumMod w14:val="95000"/>
                      <w14:lumOff w14:val="5000"/>
                    </w14:schemeClr>
                  </w14:solidFill>
                </w14:textFill>
              </w:rPr>
              <w:t>根据以上分析结果，并根据行业</w:t>
            </w:r>
            <w:r>
              <w:rPr>
                <w:rFonts w:hint="eastAsia" w:cs="宋体"/>
                <w:color w:val="0D0D0D" w:themeColor="text1" w:themeTint="F2"/>
                <w:spacing w:val="-10"/>
                <w:sz w:val="24"/>
                <w14:textFill>
                  <w14:solidFill>
                    <w14:schemeClr w14:val="tx1">
                      <w14:lumMod w14:val="95000"/>
                      <w14:lumOff w14:val="5000"/>
                    </w14:schemeClr>
                  </w14:solidFill>
                </w14:textFill>
              </w:rPr>
              <w:t>特点</w:t>
            </w:r>
            <w:r>
              <w:rPr>
                <w:rFonts w:cs="宋体"/>
                <w:color w:val="0D0D0D" w:themeColor="text1" w:themeTint="F2"/>
                <w:spacing w:val="-10"/>
                <w:sz w:val="24"/>
                <w14:textFill>
                  <w14:solidFill>
                    <w14:schemeClr w14:val="tx1">
                      <w14:lumMod w14:val="95000"/>
                      <w14:lumOff w14:val="5000"/>
                    </w14:schemeClr>
                  </w14:solidFill>
                </w14:textFill>
              </w:rPr>
              <w:t>，项目无需开展地下水</w:t>
            </w:r>
            <w:r>
              <w:rPr>
                <w:rFonts w:hint="eastAsia" w:cs="宋体"/>
                <w:color w:val="0D0D0D" w:themeColor="text1" w:themeTint="F2"/>
                <w:spacing w:val="-10"/>
                <w:sz w:val="24"/>
                <w14:textFill>
                  <w14:solidFill>
                    <w14:schemeClr w14:val="tx1">
                      <w14:lumMod w14:val="95000"/>
                      <w14:lumOff w14:val="5000"/>
                    </w14:schemeClr>
                  </w14:solidFill>
                </w14:textFill>
              </w:rPr>
              <w:t>和</w:t>
            </w:r>
            <w:r>
              <w:rPr>
                <w:rFonts w:cs="宋体"/>
                <w:color w:val="0D0D0D" w:themeColor="text1" w:themeTint="F2"/>
                <w:spacing w:val="-10"/>
                <w:sz w:val="24"/>
                <w14:textFill>
                  <w14:solidFill>
                    <w14:schemeClr w14:val="tx1">
                      <w14:lumMod w14:val="95000"/>
                      <w14:lumOff w14:val="5000"/>
                    </w14:schemeClr>
                  </w14:solidFill>
                </w14:textFill>
              </w:rPr>
              <w:t>土壤跟踪监测</w:t>
            </w:r>
            <w:r>
              <w:rPr>
                <w:rFonts w:hint="eastAsia" w:cs="宋体"/>
                <w:color w:val="0D0D0D" w:themeColor="text1" w:themeTint="F2"/>
                <w:spacing w:val="-10"/>
                <w:sz w:val="24"/>
                <w14:textFill>
                  <w14:solidFill>
                    <w14:schemeClr w14:val="tx1">
                      <w14:lumMod w14:val="95000"/>
                      <w14:lumOff w14:val="5000"/>
                    </w14:schemeClr>
                  </w14:solidFill>
                </w14:textFill>
              </w:rPr>
              <w:t>，</w:t>
            </w:r>
            <w:r>
              <w:rPr>
                <w:rFonts w:cs="宋体"/>
                <w:color w:val="0D0D0D" w:themeColor="text1" w:themeTint="F2"/>
                <w:spacing w:val="-10"/>
                <w:sz w:val="24"/>
                <w14:textFill>
                  <w14:solidFill>
                    <w14:schemeClr w14:val="tx1">
                      <w14:lumMod w14:val="95000"/>
                      <w14:lumOff w14:val="5000"/>
                    </w14:schemeClr>
                  </w14:solidFill>
                </w14:textFill>
              </w:rPr>
              <w:t>建议建设单位加强日常环境管理。</w:t>
            </w:r>
          </w:p>
          <w:p w14:paraId="7F5C4FF5">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六、环境风险</w:t>
            </w:r>
          </w:p>
          <w:p w14:paraId="13747885">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1.风险源调查</w:t>
            </w:r>
          </w:p>
          <w:p w14:paraId="3E8C18AC">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建设项目环境风险评价技术导则》（HJ169-2018）附录B重点关注的危险物质及临界量，项目涉及有毒、有害及危险品的主要为油漆、稀释剂、丙烷和废机油，环境风险物质主要为油漆及稀释剂（临界量为50t）、丙烷（临界量为10t）和油类物质（临界量为2500t），在运输、使用、贮存的过程中发生泄漏等，会对环境和人体产生危害。</w:t>
            </w:r>
          </w:p>
          <w:p w14:paraId="1BBED259">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2.风险潜势初判</w:t>
            </w:r>
          </w:p>
          <w:p w14:paraId="0298614D">
            <w:pPr>
              <w:spacing w:after="0" w:line="360" w:lineRule="auto"/>
              <w:ind w:firstLine="468"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pacing w:val="-3"/>
                <w:sz w:val="24"/>
                <w14:textFill>
                  <w14:solidFill>
                    <w14:schemeClr w14:val="tx1">
                      <w14:lumMod w14:val="95000"/>
                      <w14:lumOff w14:val="5000"/>
                    </w14:schemeClr>
                  </w14:solidFill>
                </w14:textFill>
              </w:rPr>
              <w:t>分析建设项目生产、使用、储存过程中涉及的有毒有害、易燃易爆物质，参见导则附录B</w:t>
            </w:r>
            <w:r>
              <w:rPr>
                <w:color w:val="0D0D0D" w:themeColor="text1" w:themeTint="F2"/>
                <w:spacing w:val="-18"/>
                <w:sz w:val="24"/>
                <w14:textFill>
                  <w14:solidFill>
                    <w14:schemeClr w14:val="tx1">
                      <w14:lumMod w14:val="95000"/>
                      <w14:lumOff w14:val="5000"/>
                    </w14:schemeClr>
                  </w14:solidFill>
                </w14:textFill>
              </w:rPr>
              <w:t>确定危险物质的临界量。定量分析危险物质数量与临界量的比值</w:t>
            </w:r>
            <w:r>
              <w:rPr>
                <w:color w:val="0D0D0D" w:themeColor="text1" w:themeTint="F2"/>
                <w:sz w:val="24"/>
                <w14:textFill>
                  <w14:solidFill>
                    <w14:schemeClr w14:val="tx1">
                      <w14:lumMod w14:val="95000"/>
                      <w14:lumOff w14:val="5000"/>
                    </w14:schemeClr>
                  </w14:solidFill>
                </w14:textFill>
              </w:rPr>
              <w:t>（Q）</w:t>
            </w:r>
            <w:r>
              <w:rPr>
                <w:color w:val="0D0D0D" w:themeColor="text1" w:themeTint="F2"/>
                <w:spacing w:val="-4"/>
                <w:sz w:val="24"/>
                <w14:textFill>
                  <w14:solidFill>
                    <w14:schemeClr w14:val="tx1">
                      <w14:lumMod w14:val="95000"/>
                      <w14:lumOff w14:val="5000"/>
                    </w14:schemeClr>
                  </w14:solidFill>
                </w14:textFill>
              </w:rPr>
              <w:t>和所属行业及生产工艺特点</w:t>
            </w:r>
            <w:r>
              <w:rPr>
                <w:color w:val="0D0D0D" w:themeColor="text1" w:themeTint="F2"/>
                <w:spacing w:val="-8"/>
                <w:sz w:val="24"/>
                <w14:textFill>
                  <w14:solidFill>
                    <w14:schemeClr w14:val="tx1">
                      <w14:lumMod w14:val="95000"/>
                      <w14:lumOff w14:val="5000"/>
                    </w14:schemeClr>
                  </w14:solidFill>
                </w14:textFill>
              </w:rPr>
              <w:t>（M）</w:t>
            </w:r>
            <w:r>
              <w:rPr>
                <w:color w:val="0D0D0D" w:themeColor="text1" w:themeTint="F2"/>
                <w:spacing w:val="-3"/>
                <w:sz w:val="24"/>
                <w14:textFill>
                  <w14:solidFill>
                    <w14:schemeClr w14:val="tx1">
                      <w14:lumMod w14:val="95000"/>
                      <w14:lumOff w14:val="5000"/>
                    </w14:schemeClr>
                  </w14:solidFill>
                </w14:textFill>
              </w:rPr>
              <w:t>，按</w:t>
            </w:r>
            <w:r>
              <w:rPr>
                <w:rFonts w:hint="eastAsia"/>
                <w:color w:val="0D0D0D" w:themeColor="text1" w:themeTint="F2"/>
                <w:spacing w:val="-3"/>
                <w:sz w:val="24"/>
                <w14:textFill>
                  <w14:solidFill>
                    <w14:schemeClr w14:val="tx1">
                      <w14:lumMod w14:val="95000"/>
                      <w14:lumOff w14:val="5000"/>
                    </w14:schemeClr>
                  </w14:solidFill>
                </w14:textFill>
              </w:rPr>
              <w:t>《建设项目环境风险评价技术导则》（HJ169-2018）</w:t>
            </w:r>
            <w:r>
              <w:rPr>
                <w:color w:val="0D0D0D" w:themeColor="text1" w:themeTint="F2"/>
                <w:spacing w:val="-3"/>
                <w:sz w:val="24"/>
                <w14:textFill>
                  <w14:solidFill>
                    <w14:schemeClr w14:val="tx1">
                      <w14:lumMod w14:val="95000"/>
                      <w14:lumOff w14:val="5000"/>
                    </w14:schemeClr>
                  </w14:solidFill>
                </w14:textFill>
              </w:rPr>
              <w:t>附录C对危险物质及工艺系统危险性</w:t>
            </w:r>
            <w:r>
              <w:rPr>
                <w:color w:val="0D0D0D" w:themeColor="text1" w:themeTint="F2"/>
                <w:sz w:val="24"/>
                <w14:textFill>
                  <w14:solidFill>
                    <w14:schemeClr w14:val="tx1">
                      <w14:lumMod w14:val="95000"/>
                      <w14:lumOff w14:val="5000"/>
                    </w14:schemeClr>
                  </w14:solidFill>
                </w14:textFill>
              </w:rPr>
              <w:t>（P）等级进行判断。</w:t>
            </w:r>
          </w:p>
          <w:p w14:paraId="2AD96698">
            <w:pPr>
              <w:autoSpaceDE w:val="0"/>
              <w:autoSpaceDN w:val="0"/>
              <w:adjustRightInd w:val="0"/>
              <w:spacing w:after="0"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rFonts w:hint="eastAsia"/>
                <w:color w:val="0D0D0D" w:themeColor="text1" w:themeTint="F2"/>
                <w:sz w:val="24"/>
                <w:lang w:bidi="ar"/>
                <w14:textFill>
                  <w14:solidFill>
                    <w14:schemeClr w14:val="tx1">
                      <w14:lumMod w14:val="95000"/>
                      <w14:lumOff w14:val="5000"/>
                    </w14:schemeClr>
                  </w14:solidFill>
                </w14:textFill>
              </w:rPr>
              <w:t>当只涉及一种危险物质时，计算该物质的总量与其临界量比值，即为Q；</w:t>
            </w:r>
          </w:p>
          <w:p w14:paraId="7141A1B8">
            <w:pPr>
              <w:autoSpaceDE w:val="0"/>
              <w:autoSpaceDN w:val="0"/>
              <w:adjustRightInd w:val="0"/>
              <w:spacing w:after="0"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当存在多种危险物质时，按下式计算物质总量与其临界量比值（Q）：</w:t>
            </w:r>
          </w:p>
          <w:p w14:paraId="7DE61224">
            <w:pPr>
              <w:spacing w:after="0" w:line="360" w:lineRule="auto"/>
              <w:ind w:firstLine="480" w:firstLineChars="200"/>
              <w:jc w:val="center"/>
              <w:rPr>
                <w:color w:val="0D0D0D" w:themeColor="text1" w:themeTint="F2"/>
                <w:sz w:val="24"/>
                <w14:textFill>
                  <w14:solidFill>
                    <w14:schemeClr w14:val="tx1">
                      <w14:lumMod w14:val="95000"/>
                      <w14:lumOff w14:val="5000"/>
                    </w14:schemeClr>
                  </w14:solidFill>
                </w14:textFill>
              </w:rPr>
            </w:pPr>
            <w:r>
              <w:rPr>
                <w:color w:val="0D0D0D" w:themeColor="text1" w:themeTint="F2"/>
                <w:position w:val="-30"/>
                <w:sz w:val="24"/>
                <w14:textFill>
                  <w14:solidFill>
                    <w14:schemeClr w14:val="tx1">
                      <w14:lumMod w14:val="95000"/>
                      <w14:lumOff w14:val="5000"/>
                    </w14:schemeClr>
                  </w14:solidFill>
                </w14:textFill>
              </w:rPr>
              <w:object>
                <v:shape id="_x0000_i1027" o:spt="75" type="#_x0000_t75" style="height:36.55pt;width:101pt;" o:ole="t" filled="f" o:preferrelative="t" stroked="f" coordsize="21600,21600">
                  <v:path/>
                  <v:fill on="f" focussize="0,0"/>
                  <v:stroke on="f" joinstyle="miter"/>
                  <v:imagedata r:id="rId21" o:title=""/>
                  <o:lock v:ext="edit" aspectratio="t"/>
                  <w10:wrap type="none"/>
                  <w10:anchorlock/>
                </v:shape>
                <o:OLEObject Type="Embed" ProgID="Equation.3" ShapeID="_x0000_i1027" DrawAspect="Content" ObjectID="_1468075727" r:id="rId20">
                  <o:LockedField>false</o:LockedField>
                </o:OLEObject>
              </w:object>
            </w:r>
          </w:p>
          <w:p w14:paraId="7E52EA7B">
            <w:pPr>
              <w:autoSpaceDE w:val="0"/>
              <w:autoSpaceDN w:val="0"/>
              <w:adjustRightInd w:val="0"/>
              <w:spacing w:after="0"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式中：q</w:t>
            </w:r>
            <w:r>
              <w:rPr>
                <w:color w:val="0D0D0D" w:themeColor="text1" w:themeTint="F2"/>
                <w:sz w:val="24"/>
                <w:vertAlign w:val="subscript"/>
                <w:lang w:bidi="ar"/>
                <w14:textFill>
                  <w14:solidFill>
                    <w14:schemeClr w14:val="tx1">
                      <w14:lumMod w14:val="95000"/>
                      <w14:lumOff w14:val="5000"/>
                    </w14:schemeClr>
                  </w14:solidFill>
                </w14:textFill>
              </w:rPr>
              <w:t>1</w:t>
            </w: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2……</w:t>
            </w: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n</w:t>
            </w:r>
            <w:r>
              <w:rPr>
                <w:color w:val="0D0D0D" w:themeColor="text1" w:themeTint="F2"/>
                <w:sz w:val="24"/>
                <w:lang w:bidi="ar"/>
                <w14:textFill>
                  <w14:solidFill>
                    <w14:schemeClr w14:val="tx1">
                      <w14:lumMod w14:val="95000"/>
                      <w14:lumOff w14:val="5000"/>
                    </w14:schemeClr>
                  </w14:solidFill>
                </w14:textFill>
              </w:rPr>
              <w:t>—每种危险物质的最大存在总量，t；</w:t>
            </w:r>
          </w:p>
          <w:p w14:paraId="4DFA772E">
            <w:pPr>
              <w:spacing w:after="0" w:line="360" w:lineRule="auto"/>
              <w:ind w:firstLine="1200" w:firstLineChars="5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1</w:t>
            </w: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2……</w:t>
            </w:r>
            <w:r>
              <w:rPr>
                <w:color w:val="0D0D0D" w:themeColor="text1" w:themeTint="F2"/>
                <w:sz w:val="24"/>
                <w:lang w:bidi="ar"/>
                <w14:textFill>
                  <w14:solidFill>
                    <w14:schemeClr w14:val="tx1">
                      <w14:lumMod w14:val="95000"/>
                      <w14:lumOff w14:val="5000"/>
                    </w14:schemeClr>
                  </w14:solidFill>
                </w14:textFill>
              </w:rPr>
              <w:t>Qn—每种危险物质的临界量，t。</w:t>
            </w:r>
          </w:p>
          <w:p w14:paraId="1CBAFB5A">
            <w:pPr>
              <w:spacing w:after="0"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当Q＜1时，该项目环境风险潜势为</w:t>
            </w:r>
            <w:r>
              <w:rPr>
                <w:rFonts w:hint="eastAsia"/>
                <w:color w:val="0D0D0D" w:themeColor="text1" w:themeTint="F2"/>
                <w:sz w:val="24"/>
                <w:lang w:bidi="ar"/>
                <w14:textFill>
                  <w14:solidFill>
                    <w14:schemeClr w14:val="tx1">
                      <w14:lumMod w14:val="95000"/>
                      <w14:lumOff w14:val="5000"/>
                    </w14:schemeClr>
                  </w14:solidFill>
                </w14:textFill>
              </w:rPr>
              <w:t>Ⅰ</w:t>
            </w:r>
            <w:r>
              <w:rPr>
                <w:color w:val="0D0D0D" w:themeColor="text1" w:themeTint="F2"/>
                <w:sz w:val="24"/>
                <w:lang w:bidi="ar"/>
                <w14:textFill>
                  <w14:solidFill>
                    <w14:schemeClr w14:val="tx1">
                      <w14:lumMod w14:val="95000"/>
                      <w14:lumOff w14:val="5000"/>
                    </w14:schemeClr>
                  </w14:solidFill>
                </w14:textFill>
              </w:rPr>
              <w:t>；</w:t>
            </w:r>
          </w:p>
          <w:p w14:paraId="4C4964CA">
            <w:pPr>
              <w:spacing w:after="0"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当Q≥1时，将Q值划分为：1≤Q＜10；10≤Q＜100；Q≥100。</w:t>
            </w:r>
          </w:p>
          <w:p w14:paraId="36AC82F5">
            <w:pPr>
              <w:autoSpaceDE w:val="0"/>
              <w:autoSpaceDN w:val="0"/>
              <w:adjustRightInd w:val="0"/>
              <w:spacing w:after="0"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项目Q值确定值</w:t>
            </w:r>
            <w:r>
              <w:rPr>
                <w:rFonts w:hint="eastAsia"/>
                <w:color w:val="0D0D0D" w:themeColor="text1" w:themeTint="F2"/>
                <w:sz w:val="24"/>
                <w:lang w:bidi="ar"/>
                <w14:textFill>
                  <w14:solidFill>
                    <w14:schemeClr w14:val="tx1">
                      <w14:lumMod w14:val="95000"/>
                      <w14:lumOff w14:val="5000"/>
                    </w14:schemeClr>
                  </w14:solidFill>
                </w14:textFill>
              </w:rPr>
              <w:t>详</w:t>
            </w:r>
            <w:r>
              <w:rPr>
                <w:color w:val="0D0D0D" w:themeColor="text1" w:themeTint="F2"/>
                <w:sz w:val="24"/>
                <w:lang w:bidi="ar"/>
                <w14:textFill>
                  <w14:solidFill>
                    <w14:schemeClr w14:val="tx1">
                      <w14:lumMod w14:val="95000"/>
                      <w14:lumOff w14:val="5000"/>
                    </w14:schemeClr>
                  </w14:solidFill>
                </w14:textFill>
              </w:rPr>
              <w:t>见表4-</w:t>
            </w:r>
            <w:r>
              <w:rPr>
                <w:rFonts w:hint="eastAsia"/>
                <w:color w:val="0D0D0D" w:themeColor="text1" w:themeTint="F2"/>
                <w:sz w:val="24"/>
                <w:lang w:bidi="ar"/>
                <w14:textFill>
                  <w14:solidFill>
                    <w14:schemeClr w14:val="tx1">
                      <w14:lumMod w14:val="95000"/>
                      <w14:lumOff w14:val="5000"/>
                    </w14:schemeClr>
                  </w14:solidFill>
                </w14:textFill>
              </w:rPr>
              <w:t>27</w:t>
            </w:r>
            <w:r>
              <w:rPr>
                <w:color w:val="0D0D0D" w:themeColor="text1" w:themeTint="F2"/>
                <w:sz w:val="24"/>
                <w:lang w:bidi="ar"/>
                <w14:textFill>
                  <w14:solidFill>
                    <w14:schemeClr w14:val="tx1">
                      <w14:lumMod w14:val="95000"/>
                      <w14:lumOff w14:val="5000"/>
                    </w14:schemeClr>
                  </w14:solidFill>
                </w14:textFill>
              </w:rPr>
              <w:t>。</w:t>
            </w:r>
          </w:p>
          <w:p w14:paraId="1328C839">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表4-27  项目Q值核算一览表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834"/>
              <w:gridCol w:w="1104"/>
              <w:gridCol w:w="2262"/>
              <w:gridCol w:w="1537"/>
              <w:gridCol w:w="1248"/>
            </w:tblGrid>
            <w:tr w14:paraId="354F8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Align w:val="center"/>
                </w:tcPr>
                <w:p w14:paraId="1E95F6AB">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序号</w:t>
                  </w:r>
                </w:p>
              </w:tc>
              <w:tc>
                <w:tcPr>
                  <w:tcW w:w="1045" w:type="pct"/>
                  <w:vAlign w:val="center"/>
                </w:tcPr>
                <w:p w14:paraId="7A24CE4B">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危险物质</w:t>
                  </w:r>
                </w:p>
              </w:tc>
              <w:tc>
                <w:tcPr>
                  <w:tcW w:w="629" w:type="pct"/>
                  <w:vAlign w:val="center"/>
                </w:tcPr>
                <w:p w14:paraId="710AFAB8">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CAS号</w:t>
                  </w:r>
                </w:p>
              </w:tc>
              <w:tc>
                <w:tcPr>
                  <w:tcW w:w="1289" w:type="pct"/>
                  <w:vAlign w:val="center"/>
                </w:tcPr>
                <w:p w14:paraId="4D415F33">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最大存在总量q</w:t>
                  </w:r>
                  <w:r>
                    <w:rPr>
                      <w:color w:val="0D0D0D" w:themeColor="text1" w:themeTint="F2"/>
                      <w:u w:val="single"/>
                      <w:vertAlign w:val="subscript"/>
                      <w:lang w:bidi="ar"/>
                      <w14:textFill>
                        <w14:solidFill>
                          <w14:schemeClr w14:val="tx1">
                            <w14:lumMod w14:val="95000"/>
                            <w14:lumOff w14:val="5000"/>
                          </w14:schemeClr>
                        </w14:solidFill>
                      </w14:textFill>
                    </w:rPr>
                    <w:t>n</w:t>
                  </w:r>
                  <w:r>
                    <w:rPr>
                      <w:color w:val="0D0D0D" w:themeColor="text1" w:themeTint="F2"/>
                      <w:u w:val="single"/>
                      <w:lang w:bidi="ar"/>
                      <w14:textFill>
                        <w14:solidFill>
                          <w14:schemeClr w14:val="tx1">
                            <w14:lumMod w14:val="95000"/>
                            <w14:lumOff w14:val="5000"/>
                          </w14:schemeClr>
                        </w14:solidFill>
                      </w14:textFill>
                    </w:rPr>
                    <w:t>/t</w:t>
                  </w:r>
                </w:p>
              </w:tc>
              <w:tc>
                <w:tcPr>
                  <w:tcW w:w="876" w:type="pct"/>
                  <w:vAlign w:val="center"/>
                </w:tcPr>
                <w:p w14:paraId="5FEE1931">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临界量Q</w:t>
                  </w:r>
                  <w:r>
                    <w:rPr>
                      <w:color w:val="0D0D0D" w:themeColor="text1" w:themeTint="F2"/>
                      <w:u w:val="single"/>
                      <w:vertAlign w:val="subscript"/>
                      <w:lang w:bidi="ar"/>
                      <w14:textFill>
                        <w14:solidFill>
                          <w14:schemeClr w14:val="tx1">
                            <w14:lumMod w14:val="95000"/>
                            <w14:lumOff w14:val="5000"/>
                          </w14:schemeClr>
                        </w14:solidFill>
                      </w14:textFill>
                    </w:rPr>
                    <w:t>n</w:t>
                  </w:r>
                  <w:r>
                    <w:rPr>
                      <w:color w:val="0D0D0D" w:themeColor="text1" w:themeTint="F2"/>
                      <w:u w:val="single"/>
                      <w:lang w:bidi="ar"/>
                      <w14:textFill>
                        <w14:solidFill>
                          <w14:schemeClr w14:val="tx1">
                            <w14:lumMod w14:val="95000"/>
                            <w14:lumOff w14:val="5000"/>
                          </w14:schemeClr>
                        </w14:solidFill>
                      </w14:textFill>
                    </w:rPr>
                    <w:t>/t</w:t>
                  </w:r>
                </w:p>
              </w:tc>
              <w:tc>
                <w:tcPr>
                  <w:tcW w:w="711" w:type="pct"/>
                  <w:vAlign w:val="center"/>
                </w:tcPr>
                <w:p w14:paraId="4C495BB2">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Q值</w:t>
                  </w:r>
                </w:p>
              </w:tc>
            </w:tr>
            <w:tr w14:paraId="64BC8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Align w:val="center"/>
                </w:tcPr>
                <w:p w14:paraId="482A52EA">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1</w:t>
                  </w:r>
                </w:p>
              </w:tc>
              <w:tc>
                <w:tcPr>
                  <w:tcW w:w="1045" w:type="pct"/>
                  <w:vAlign w:val="center"/>
                </w:tcPr>
                <w:p w14:paraId="1ABBC5C9">
                  <w:pPr>
                    <w:spacing w:after="0" w:line="240" w:lineRule="auto"/>
                    <w:jc w:val="center"/>
                    <w:rPr>
                      <w:color w:val="0D0D0D" w:themeColor="text1" w:themeTint="F2"/>
                      <w:u w:val="single"/>
                      <w14:textFill>
                        <w14:solidFill>
                          <w14:schemeClr w14:val="tx1">
                            <w14:lumMod w14:val="95000"/>
                            <w14:lumOff w14:val="5000"/>
                          </w14:schemeClr>
                        </w14:solidFill>
                      </w14:textFill>
                    </w:rPr>
                  </w:pPr>
                  <w:bookmarkStart w:id="33" w:name="OLE_LINK43"/>
                  <w:r>
                    <w:rPr>
                      <w:rFonts w:hint="eastAsia"/>
                      <w:color w:val="0D0D0D" w:themeColor="text1" w:themeTint="F2"/>
                      <w:u w:val="single"/>
                      <w14:textFill>
                        <w14:solidFill>
                          <w14:schemeClr w14:val="tx1">
                            <w14:lumMod w14:val="95000"/>
                            <w14:lumOff w14:val="5000"/>
                          </w14:schemeClr>
                        </w14:solidFill>
                      </w14:textFill>
                    </w:rPr>
                    <w:t>油漆、稀释剂</w:t>
                  </w:r>
                  <w:bookmarkEnd w:id="33"/>
                </w:p>
              </w:tc>
              <w:tc>
                <w:tcPr>
                  <w:tcW w:w="629" w:type="pct"/>
                  <w:vAlign w:val="center"/>
                </w:tcPr>
                <w:p w14:paraId="309F5D47">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w:t>
                  </w:r>
                </w:p>
              </w:tc>
              <w:tc>
                <w:tcPr>
                  <w:tcW w:w="1289" w:type="pct"/>
                  <w:vAlign w:val="center"/>
                </w:tcPr>
                <w:p w14:paraId="6CCA3B8A">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4.24</w:t>
                  </w:r>
                </w:p>
              </w:tc>
              <w:tc>
                <w:tcPr>
                  <w:tcW w:w="876" w:type="pct"/>
                  <w:vAlign w:val="center"/>
                </w:tcPr>
                <w:p w14:paraId="255B19AA">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50</w:t>
                  </w:r>
                </w:p>
              </w:tc>
              <w:tc>
                <w:tcPr>
                  <w:tcW w:w="711" w:type="pct"/>
                  <w:vAlign w:val="center"/>
                </w:tcPr>
                <w:p w14:paraId="32F46467">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0.0848</w:t>
                  </w:r>
                </w:p>
              </w:tc>
            </w:tr>
            <w:tr w14:paraId="7B559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Align w:val="center"/>
                </w:tcPr>
                <w:p w14:paraId="382F5804">
                  <w:pPr>
                    <w:spacing w:after="0" w:line="240" w:lineRule="auto"/>
                    <w:jc w:val="center"/>
                    <w:rPr>
                      <w:color w:val="0D0D0D" w:themeColor="text1" w:themeTint="F2"/>
                      <w:u w:val="single"/>
                      <w:lang w:bidi="ar"/>
                      <w14:textFill>
                        <w14:solidFill>
                          <w14:schemeClr w14:val="tx1">
                            <w14:lumMod w14:val="95000"/>
                            <w14:lumOff w14:val="5000"/>
                          </w14:schemeClr>
                        </w14:solidFill>
                      </w14:textFill>
                    </w:rPr>
                  </w:pPr>
                  <w:r>
                    <w:rPr>
                      <w:rFonts w:hint="eastAsia"/>
                      <w:color w:val="0D0D0D" w:themeColor="text1" w:themeTint="F2"/>
                      <w:u w:val="single"/>
                      <w:lang w:bidi="ar"/>
                      <w14:textFill>
                        <w14:solidFill>
                          <w14:schemeClr w14:val="tx1">
                            <w14:lumMod w14:val="95000"/>
                            <w14:lumOff w14:val="5000"/>
                          </w14:schemeClr>
                        </w14:solidFill>
                      </w14:textFill>
                    </w:rPr>
                    <w:t>2</w:t>
                  </w:r>
                </w:p>
              </w:tc>
              <w:tc>
                <w:tcPr>
                  <w:tcW w:w="1045" w:type="pct"/>
                  <w:vAlign w:val="center"/>
                </w:tcPr>
                <w:p w14:paraId="0B5055DE">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丙烷</w:t>
                  </w:r>
                </w:p>
              </w:tc>
              <w:tc>
                <w:tcPr>
                  <w:tcW w:w="629" w:type="pct"/>
                  <w:vAlign w:val="center"/>
                </w:tcPr>
                <w:p w14:paraId="23FAD2E8">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74-98-6</w:t>
                  </w:r>
                </w:p>
              </w:tc>
              <w:tc>
                <w:tcPr>
                  <w:tcW w:w="1289" w:type="pct"/>
                  <w:vAlign w:val="center"/>
                </w:tcPr>
                <w:p w14:paraId="6879DD07">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0.00046</w:t>
                  </w:r>
                </w:p>
              </w:tc>
              <w:tc>
                <w:tcPr>
                  <w:tcW w:w="876" w:type="pct"/>
                  <w:vAlign w:val="center"/>
                </w:tcPr>
                <w:p w14:paraId="26215213">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10</w:t>
                  </w:r>
                </w:p>
              </w:tc>
              <w:tc>
                <w:tcPr>
                  <w:tcW w:w="711" w:type="pct"/>
                  <w:vAlign w:val="center"/>
                </w:tcPr>
                <w:p w14:paraId="67567865">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0.000046</w:t>
                  </w:r>
                </w:p>
              </w:tc>
            </w:tr>
            <w:tr w14:paraId="452CB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Align w:val="center"/>
                </w:tcPr>
                <w:p w14:paraId="30B37820">
                  <w:pPr>
                    <w:spacing w:after="0" w:line="240" w:lineRule="auto"/>
                    <w:jc w:val="center"/>
                    <w:rPr>
                      <w:color w:val="0D0D0D" w:themeColor="text1" w:themeTint="F2"/>
                      <w:u w:val="single"/>
                      <w:lang w:bidi="ar"/>
                      <w14:textFill>
                        <w14:solidFill>
                          <w14:schemeClr w14:val="tx1">
                            <w14:lumMod w14:val="95000"/>
                            <w14:lumOff w14:val="5000"/>
                          </w14:schemeClr>
                        </w14:solidFill>
                      </w14:textFill>
                    </w:rPr>
                  </w:pPr>
                  <w:r>
                    <w:rPr>
                      <w:rFonts w:hint="eastAsia"/>
                      <w:color w:val="0D0D0D" w:themeColor="text1" w:themeTint="F2"/>
                      <w:u w:val="single"/>
                      <w:lang w:bidi="ar"/>
                      <w14:textFill>
                        <w14:solidFill>
                          <w14:schemeClr w14:val="tx1">
                            <w14:lumMod w14:val="95000"/>
                            <w14:lumOff w14:val="5000"/>
                          </w14:schemeClr>
                        </w14:solidFill>
                      </w14:textFill>
                    </w:rPr>
                    <w:t>3</w:t>
                  </w:r>
                </w:p>
              </w:tc>
              <w:tc>
                <w:tcPr>
                  <w:tcW w:w="1045" w:type="pct"/>
                  <w:vAlign w:val="center"/>
                </w:tcPr>
                <w:p w14:paraId="7014433B">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废机油</w:t>
                  </w:r>
                </w:p>
              </w:tc>
              <w:tc>
                <w:tcPr>
                  <w:tcW w:w="629" w:type="pct"/>
                  <w:vAlign w:val="center"/>
                </w:tcPr>
                <w:p w14:paraId="546425F1">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w:t>
                  </w:r>
                </w:p>
              </w:tc>
              <w:tc>
                <w:tcPr>
                  <w:tcW w:w="1289" w:type="pct"/>
                  <w:vAlign w:val="center"/>
                </w:tcPr>
                <w:p w14:paraId="211083F7">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0.01</w:t>
                  </w:r>
                </w:p>
              </w:tc>
              <w:tc>
                <w:tcPr>
                  <w:tcW w:w="876" w:type="pct"/>
                  <w:vAlign w:val="center"/>
                </w:tcPr>
                <w:p w14:paraId="11A36669">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2500</w:t>
                  </w:r>
                </w:p>
              </w:tc>
              <w:tc>
                <w:tcPr>
                  <w:tcW w:w="711" w:type="pct"/>
                  <w:vAlign w:val="center"/>
                </w:tcPr>
                <w:p w14:paraId="449C8F27">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0.000004</w:t>
                  </w:r>
                </w:p>
              </w:tc>
            </w:tr>
            <w:tr w14:paraId="1506B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9" w:type="pct"/>
                  <w:gridSpan w:val="5"/>
                  <w:vAlign w:val="center"/>
                </w:tcPr>
                <w:p w14:paraId="5E6F5C21">
                  <w:pPr>
                    <w:spacing w:after="0" w:line="240" w:lineRule="auto"/>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项目Q值∑</w:t>
                  </w:r>
                </w:p>
              </w:tc>
              <w:tc>
                <w:tcPr>
                  <w:tcW w:w="711" w:type="pct"/>
                  <w:vAlign w:val="center"/>
                </w:tcPr>
                <w:p w14:paraId="712E3726">
                  <w:pPr>
                    <w:spacing w:after="0" w:line="240" w:lineRule="auto"/>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0.08485</w:t>
                  </w:r>
                </w:p>
              </w:tc>
            </w:tr>
            <w:tr w14:paraId="671D8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vAlign w:val="center"/>
                </w:tcPr>
                <w:p w14:paraId="7DE57745">
                  <w:pPr>
                    <w:spacing w:after="0" w:line="240" w:lineRule="auto"/>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lang w:bidi="ar"/>
                      <w14:textFill>
                        <w14:solidFill>
                          <w14:schemeClr w14:val="tx1">
                            <w14:lumMod w14:val="95000"/>
                            <w14:lumOff w14:val="5000"/>
                          </w14:schemeClr>
                        </w14:solidFill>
                      </w14:textFill>
                    </w:rPr>
                    <w:t>注：丙烷最大储存量为25瓶，规格为10L/瓶，最大存在量为250L，丙烷密度约为1.83kg/m</w:t>
                  </w:r>
                  <w:r>
                    <w:rPr>
                      <w:rFonts w:hint="eastAsia"/>
                      <w:color w:val="0D0D0D" w:themeColor="text1" w:themeTint="F2"/>
                      <w:u w:val="single"/>
                      <w:vertAlign w:val="superscript"/>
                      <w:lang w:bidi="ar"/>
                      <w14:textFill>
                        <w14:solidFill>
                          <w14:schemeClr w14:val="tx1">
                            <w14:lumMod w14:val="95000"/>
                            <w14:lumOff w14:val="5000"/>
                          </w14:schemeClr>
                        </w14:solidFill>
                      </w14:textFill>
                    </w:rPr>
                    <w:t>3</w:t>
                  </w:r>
                  <w:r>
                    <w:rPr>
                      <w:rFonts w:hint="eastAsia"/>
                      <w:color w:val="0D0D0D" w:themeColor="text1" w:themeTint="F2"/>
                      <w:u w:val="single"/>
                      <w:lang w:bidi="ar"/>
                      <w14:textFill>
                        <w14:solidFill>
                          <w14:schemeClr w14:val="tx1">
                            <w14:lumMod w14:val="95000"/>
                            <w14:lumOff w14:val="5000"/>
                          </w14:schemeClr>
                        </w14:solidFill>
                      </w14:textFill>
                    </w:rPr>
                    <w:t>，质量为0.00046t。</w:t>
                  </w:r>
                </w:p>
              </w:tc>
            </w:tr>
          </w:tbl>
          <w:p w14:paraId="3D082D63">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由上表可知，项目危险物质数量与临界量比值Q为0.08485，Q＜1，</w:t>
            </w:r>
            <w:r>
              <w:rPr>
                <w:rFonts w:hint="eastAsia" w:cs="宋体"/>
                <w:bCs/>
                <w:color w:val="0D0D0D" w:themeColor="text1" w:themeTint="F2"/>
                <w:spacing w:val="-10"/>
                <w:sz w:val="24"/>
                <w14:textFill>
                  <w14:solidFill>
                    <w14:schemeClr w14:val="tx1">
                      <w14:lumMod w14:val="95000"/>
                      <w14:lumOff w14:val="5000"/>
                    </w14:schemeClr>
                  </w14:solidFill>
                </w14:textFill>
              </w:rPr>
              <w:t>环境风险潜势为I，环境风险等级为简单分析，根据《建设项目环境影响报告表编制技术指南（污染影响类）（试行）》（环办环评〔2020〕33号），环境风险评价过程明确有毒有害和易燃易爆等危险物质和风险源分布情况及可能影响途径，并提出相应环境风险防范措施即可。</w:t>
            </w:r>
          </w:p>
          <w:p w14:paraId="7DC200C8">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3.风险影响及途径</w:t>
            </w:r>
          </w:p>
          <w:p w14:paraId="7D5963D7">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油漆、稀释剂、丙烷和废机油存放过程中若出现泄漏事故，遇明火等可能引发火灾、爆炸等事故。事故过程中会产生浓烟及有毒气体，会随风扩散，影响周围的环境空气。另外事故发生后也会产生消防废水，会对周边水体环境造成污染。</w:t>
            </w:r>
          </w:p>
          <w:p w14:paraId="53F14A64">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4.风险防范措施</w:t>
            </w:r>
          </w:p>
          <w:p w14:paraId="5E25853D">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（1）物料贮存风险防范措施</w:t>
            </w:r>
          </w:p>
          <w:p w14:paraId="60755105">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为防止风险物质发生泄漏而污染周围环境，加强控制和管理是杜绝、减轻和避免环境风险的最有效办法。</w:t>
            </w:r>
          </w:p>
          <w:p w14:paraId="0FB2212F">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结合项目特点，提出以下几点环境风险管理要求：</w:t>
            </w:r>
          </w:p>
          <w:p w14:paraId="3FAFBEEC">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①分区分类贮存，仓库、气瓶库和危废暂存间严格按照防火规范进行设计，各物料应分区存放。</w:t>
            </w:r>
          </w:p>
          <w:p w14:paraId="543C3C13">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②泄漏与围堵措施，液体物料存放区设置围堰或防泄漏托盘，有效容积不小于单桶/单罐最大容积的110%。库房地面做防渗处理，并设置导流槽和收集池，确保泄漏物料可有效收集。</w:t>
            </w:r>
          </w:p>
          <w:p w14:paraId="25D984AA">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③火源与静电控制，贮存区严禁烟火，设置“严禁烟火”“当心火灾”等明显警示标识。进入人员须穿防静电工作服，禁止使用非防爆电气设备。气瓶库应设置可燃气体报警装置、机械通风系统。</w:t>
            </w:r>
          </w:p>
          <w:p w14:paraId="24C3267B">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④危废暂存间严格按照《危险废物贮存污染控制标准》（GB18597-2023）建设和管理。</w:t>
            </w:r>
          </w:p>
          <w:p w14:paraId="6DA8036A">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⑤加强员工的事故安全知识教育，要求全体人员了解事故处理的程序，事故处理器材的使用方法，一旦出现事故可以立即停产，控制事故的危害范围和程度。</w:t>
            </w:r>
          </w:p>
          <w:p w14:paraId="6197E554">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（2）生产装置风险防范措施</w:t>
            </w:r>
          </w:p>
          <w:p w14:paraId="1B45B00B">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①生产装置及管道选材按照《生产设备安全卫生设计  总则》（GB5083）进行选择，选用的通用机械和电气设备符合国家或行业技术标准。</w:t>
            </w:r>
          </w:p>
          <w:p w14:paraId="5B7F5862">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②建立设备台账与预防性维护计划，对易泄漏部位开展日常巡检+定期检测。发现腐蚀、老化、密封失效等问题，立即停用维修，严禁设备“带病运行”。</w:t>
            </w:r>
          </w:p>
          <w:p w14:paraId="3F6E7EE5">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③制定各工序的安全操作规程，严格按工艺规程进行计量、计速、计时，并对出现各种异常情况制定详细的安全处理措施，现场备有合适的灭火剂和应急救援设施。</w:t>
            </w:r>
          </w:p>
          <w:p w14:paraId="0D06E220">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（3）火灾风险防范措施</w:t>
            </w:r>
          </w:p>
          <w:p w14:paraId="5C1D8B50">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①建立健全各种有关消防与安全生产的规章制度，建立岗位责任制。生产厂房内严禁明火。生产车间、气瓶库和危废暂存间等场所配置足量的泡沫、干粉等灭火器，并保持完好状态。</w:t>
            </w:r>
          </w:p>
          <w:p w14:paraId="747663E9">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②生产厂房内预留足够的消防通道，设置消防给水管道和消防栓。进行定期的应急培训和演练，对有火灾危险的场所设置自动报警系统，一旦发生火灾，立即作出应急反应。</w:t>
            </w:r>
          </w:p>
          <w:p w14:paraId="7CE3D867">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（4）固体废物事故风险防范措施</w:t>
            </w:r>
          </w:p>
          <w:p w14:paraId="4BF1E3E0">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各种固废分类收集，存放，临时存放于室内固定场所，不被雨淋、风吹，专车运送，所有固体废物都得到合适的处置或综合利用，危险废物委托有资质单位清运处置，生活垃圾由环卫部门统一收集处理，固体废物实现“零排放”是有保证的，不会对环境产生二次污染。</w:t>
            </w:r>
          </w:p>
          <w:p w14:paraId="19BFD6FA">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为避免危废对环境的危害，建议采用以下措施：</w:t>
            </w:r>
          </w:p>
          <w:p w14:paraId="6FA6FD0C">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①在收集过程中要根据各种危险废物的性质进行分类、分别收集和临时贮存。</w:t>
            </w:r>
          </w:p>
          <w:p w14:paraId="7446B975">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②按要求设置危废暂存间，避免危废在露天堆放过程中产生的泄漏、渗透、蒸发、雨淋以及大风吹扬等产生二次污染。</w:t>
            </w:r>
          </w:p>
          <w:p w14:paraId="5845A055">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③运输过程中危废包装容器要注意密闭，以免在运输途中发生危险废物的泄漏，从而产生二次污染。</w:t>
            </w:r>
          </w:p>
          <w:p w14:paraId="65861824">
            <w:pPr>
              <w:adjustRightInd w:val="0"/>
              <w:snapToGrid w:val="0"/>
              <w:spacing w:after="0" w:line="360" w:lineRule="auto"/>
              <w:ind w:firstLine="442" w:firstLineChars="200"/>
              <w:rPr>
                <w:rFonts w:cs="宋体"/>
                <w:b/>
                <w:color w:val="0D0D0D" w:themeColor="text1" w:themeTint="F2"/>
                <w:spacing w:val="-10"/>
                <w:sz w:val="24"/>
                <w:u w:val="single"/>
                <w14:textFill>
                  <w14:solidFill>
                    <w14:schemeClr w14:val="tx1">
                      <w14:lumMod w14:val="95000"/>
                      <w14:lumOff w14:val="5000"/>
                    </w14:schemeClr>
                  </w14:solidFill>
                </w14:textFill>
              </w:rPr>
            </w:pPr>
            <w:r>
              <w:rPr>
                <w:rFonts w:hint="eastAsia" w:cs="宋体"/>
                <w:b/>
                <w:color w:val="0D0D0D" w:themeColor="text1" w:themeTint="F2"/>
                <w:spacing w:val="-10"/>
                <w:sz w:val="24"/>
                <w:u w:val="single"/>
                <w14:textFill>
                  <w14:solidFill>
                    <w14:schemeClr w14:val="tx1">
                      <w14:lumMod w14:val="95000"/>
                      <w14:lumOff w14:val="5000"/>
                    </w14:schemeClr>
                  </w14:solidFill>
                </w14:textFill>
              </w:rPr>
              <w:t>5.突发环境事件应急预案</w:t>
            </w:r>
          </w:p>
          <w:p w14:paraId="6459030E">
            <w:pPr>
              <w:adjustRightInd w:val="0"/>
              <w:snapToGrid w:val="0"/>
              <w:spacing w:after="0"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为保证企业及人民生命财产的安全，防止突发性重大环境突发事故发生</w:t>
            </w:r>
            <w:bookmarkStart w:id="38" w:name="_GoBack"/>
            <w:r>
              <w:rPr>
                <w:rFonts w:hint="eastAsia" w:cs="宋体"/>
                <w:bCs/>
                <w:color w:val="0D0D0D" w:themeColor="text1" w:themeTint="F2"/>
                <w:spacing w:val="-10"/>
                <w:sz w:val="24"/>
                <w:u w:val="single"/>
                <w14:textFill>
                  <w14:solidFill>
                    <w14:schemeClr w14:val="tx1">
                      <w14:lumMod w14:val="95000"/>
                      <w14:lumOff w14:val="5000"/>
                    </w14:schemeClr>
                  </w14:solidFill>
                </w14:textFill>
              </w:rPr>
              <w:t>，并</w:t>
            </w:r>
            <w:bookmarkEnd w:id="38"/>
            <w:r>
              <w:rPr>
                <w:rFonts w:hint="eastAsia" w:cs="宋体"/>
                <w:bCs/>
                <w:color w:val="0D0D0D" w:themeColor="text1" w:themeTint="F2"/>
                <w:spacing w:val="-10"/>
                <w:sz w:val="24"/>
                <w:u w:val="single"/>
                <w14:textFill>
                  <w14:solidFill>
                    <w14:schemeClr w14:val="tx1">
                      <w14:lumMod w14:val="95000"/>
                      <w14:lumOff w14:val="5000"/>
                    </w14:schemeClr>
                  </w14:solidFill>
                </w14:textFill>
              </w:rPr>
              <w:t>发生事故时，能迅速有序地开展救援工作，尽最大努力减少事故的危害和损失，建设单位应编制突发环境事件应急预案并进行备案。</w:t>
            </w:r>
          </w:p>
          <w:p w14:paraId="2820DD24">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6.评价结论</w:t>
            </w:r>
          </w:p>
          <w:p w14:paraId="0FD07A5C">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在各项环境风险防范措施落实到位的情况下，项目环境风险可大大降低，最大程度减少对环境可能造成的危害，项目环境风险处于可接受水平。</w:t>
            </w:r>
          </w:p>
          <w:p w14:paraId="4BF2CB73">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七、生态环境</w:t>
            </w:r>
          </w:p>
          <w:p w14:paraId="3C73E52D">
            <w:pPr>
              <w:adjustRightInd w:val="0"/>
              <w:snapToGrid w:val="0"/>
              <w:spacing w:after="0"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项目所在地属于已开发区域，在采取本环评提出的污染防治措施后，各项污染物均能达标排放或得到妥善处置，因此，项目建设对周边生态环境影响不大。</w:t>
            </w:r>
          </w:p>
          <w:p w14:paraId="72CFBFCD">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八、电磁辐射</w:t>
            </w:r>
          </w:p>
          <w:p w14:paraId="26FE1109">
            <w:pPr>
              <w:adjustRightInd w:val="0"/>
              <w:snapToGrid w:val="0"/>
              <w:spacing w:after="0" w:line="360" w:lineRule="auto"/>
              <w:ind w:firstLine="440" w:firstLineChars="200"/>
              <w:rPr>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项目不涉及。</w:t>
            </w:r>
          </w:p>
          <w:p w14:paraId="2F9B8520">
            <w:pPr>
              <w:adjustRightInd w:val="0"/>
              <w:snapToGrid w:val="0"/>
              <w:spacing w:after="0"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九、环保投资</w:t>
            </w:r>
          </w:p>
          <w:p w14:paraId="7C4ED844">
            <w:pPr>
              <w:adjustRightInd w:val="0"/>
              <w:snapToGrid w:val="0"/>
              <w:spacing w:after="0"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项目环保投资情况详见表4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28。</w:t>
            </w:r>
          </w:p>
          <w:p w14:paraId="77CB9904">
            <w:pPr>
              <w:adjustRightInd w:val="0"/>
              <w:snapToGrid w:val="0"/>
              <w:spacing w:after="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表4-28</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 xml:space="preserve">环保投资一览表 </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单位：万元</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9"/>
              <w:gridCol w:w="570"/>
              <w:gridCol w:w="7067"/>
              <w:gridCol w:w="569"/>
            </w:tblGrid>
            <w:tr w14:paraId="1FE53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Align w:val="center"/>
                </w:tcPr>
                <w:p w14:paraId="58BA397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工期</w:t>
                  </w:r>
                </w:p>
              </w:tc>
              <w:tc>
                <w:tcPr>
                  <w:tcW w:w="325" w:type="pct"/>
                  <w:vAlign w:val="center"/>
                </w:tcPr>
                <w:p w14:paraId="7B3AA22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类别</w:t>
                  </w:r>
                </w:p>
              </w:tc>
              <w:tc>
                <w:tcPr>
                  <w:tcW w:w="4027" w:type="pct"/>
                  <w:vAlign w:val="center"/>
                </w:tcPr>
                <w:p w14:paraId="136BA6E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措施</w:t>
                  </w:r>
                </w:p>
              </w:tc>
              <w:tc>
                <w:tcPr>
                  <w:tcW w:w="324" w:type="pct"/>
                  <w:vAlign w:val="center"/>
                </w:tcPr>
                <w:p w14:paraId="23EEEC1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金额</w:t>
                  </w:r>
                </w:p>
              </w:tc>
            </w:tr>
            <w:tr w14:paraId="76514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restart"/>
                  <w:vAlign w:val="center"/>
                </w:tcPr>
                <w:p w14:paraId="36DFD43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施</w:t>
                  </w:r>
                </w:p>
                <w:p w14:paraId="43DD103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工</w:t>
                  </w:r>
                </w:p>
                <w:p w14:paraId="12C38D0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期</w:t>
                  </w:r>
                </w:p>
              </w:tc>
              <w:tc>
                <w:tcPr>
                  <w:tcW w:w="325" w:type="pct"/>
                  <w:vAlign w:val="center"/>
                </w:tcPr>
                <w:p w14:paraId="730551B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废气</w:t>
                  </w:r>
                </w:p>
              </w:tc>
              <w:tc>
                <w:tcPr>
                  <w:tcW w:w="4027" w:type="pct"/>
                  <w:vAlign w:val="center"/>
                </w:tcPr>
                <w:p w14:paraId="2E1C474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场地围挡、洒水抑尘等</w:t>
                  </w:r>
                </w:p>
              </w:tc>
              <w:tc>
                <w:tcPr>
                  <w:tcW w:w="324" w:type="pct"/>
                  <w:vAlign w:val="center"/>
                </w:tcPr>
                <w:p w14:paraId="0DE71D0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r>
            <w:tr w14:paraId="78B63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27D571B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Align w:val="center"/>
                </w:tcPr>
                <w:p w14:paraId="4277E0D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废水</w:t>
                  </w:r>
                </w:p>
              </w:tc>
              <w:tc>
                <w:tcPr>
                  <w:tcW w:w="4027" w:type="pct"/>
                  <w:vAlign w:val="center"/>
                </w:tcPr>
                <w:p w14:paraId="0BF9081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临时隔油沉淀池、三级</w:t>
                  </w:r>
                  <w:r>
                    <w:rPr>
                      <w:rFonts w:cs="宋体"/>
                      <w:bCs/>
                      <w:color w:val="0D0D0D" w:themeColor="text1" w:themeTint="F2"/>
                      <w:spacing w:val="-10"/>
                      <w:szCs w:val="21"/>
                      <w14:textFill>
                        <w14:solidFill>
                          <w14:schemeClr w14:val="tx1">
                            <w14:lumMod w14:val="95000"/>
                            <w14:lumOff w14:val="5000"/>
                          </w14:schemeClr>
                        </w14:solidFill>
                      </w14:textFill>
                    </w:rPr>
                    <w:t>化粪池等</w:t>
                  </w:r>
                </w:p>
              </w:tc>
              <w:tc>
                <w:tcPr>
                  <w:tcW w:w="324" w:type="pct"/>
                  <w:vAlign w:val="center"/>
                </w:tcPr>
                <w:p w14:paraId="6BB7795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w:t>
                  </w:r>
                </w:p>
              </w:tc>
            </w:tr>
            <w:tr w14:paraId="42104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0150D6D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Align w:val="center"/>
                </w:tcPr>
                <w:p w14:paraId="154DF6F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噪声</w:t>
                  </w:r>
                </w:p>
              </w:tc>
              <w:tc>
                <w:tcPr>
                  <w:tcW w:w="4027" w:type="pct"/>
                  <w:vAlign w:val="center"/>
                </w:tcPr>
                <w:p w14:paraId="6B07BF1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厂房围挡</w:t>
                  </w:r>
                  <w:r>
                    <w:rPr>
                      <w:rFonts w:cs="宋体"/>
                      <w:bCs/>
                      <w:color w:val="0D0D0D" w:themeColor="text1" w:themeTint="F2"/>
                      <w:spacing w:val="-10"/>
                      <w:szCs w:val="21"/>
                      <w14:textFill>
                        <w14:solidFill>
                          <w14:schemeClr w14:val="tx1">
                            <w14:lumMod w14:val="95000"/>
                            <w14:lumOff w14:val="5000"/>
                          </w14:schemeClr>
                        </w14:solidFill>
                      </w14:textFill>
                    </w:rPr>
                    <w:t>等</w:t>
                  </w:r>
                </w:p>
              </w:tc>
              <w:tc>
                <w:tcPr>
                  <w:tcW w:w="324" w:type="pct"/>
                  <w:vAlign w:val="center"/>
                </w:tcPr>
                <w:p w14:paraId="233BA40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r>
            <w:tr w14:paraId="0BD4C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064EE2A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Align w:val="center"/>
                </w:tcPr>
                <w:p w14:paraId="1B5B04F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固废</w:t>
                  </w:r>
                </w:p>
              </w:tc>
              <w:tc>
                <w:tcPr>
                  <w:tcW w:w="4027" w:type="pct"/>
                  <w:vAlign w:val="center"/>
                </w:tcPr>
                <w:p w14:paraId="0DD9D30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建筑垃圾、</w:t>
                  </w:r>
                  <w:r>
                    <w:rPr>
                      <w:rFonts w:cs="宋体"/>
                      <w:bCs/>
                      <w:color w:val="0D0D0D" w:themeColor="text1" w:themeTint="F2"/>
                      <w:spacing w:val="-10"/>
                      <w:szCs w:val="21"/>
                      <w14:textFill>
                        <w14:solidFill>
                          <w14:schemeClr w14:val="tx1">
                            <w14:lumMod w14:val="95000"/>
                            <w14:lumOff w14:val="5000"/>
                          </w14:schemeClr>
                        </w14:solidFill>
                      </w14:textFill>
                    </w:rPr>
                    <w:t>生活垃圾处置</w:t>
                  </w:r>
                </w:p>
              </w:tc>
              <w:tc>
                <w:tcPr>
                  <w:tcW w:w="324" w:type="pct"/>
                  <w:vAlign w:val="center"/>
                </w:tcPr>
                <w:p w14:paraId="78811A2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r>
            <w:tr w14:paraId="3B067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restart"/>
                  <w:vAlign w:val="center"/>
                </w:tcPr>
                <w:p w14:paraId="7C03BCF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运</w:t>
                  </w:r>
                </w:p>
                <w:p w14:paraId="3675B6A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营</w:t>
                  </w:r>
                </w:p>
                <w:p w14:paraId="5CED4457">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期</w:t>
                  </w:r>
                </w:p>
              </w:tc>
              <w:tc>
                <w:tcPr>
                  <w:tcW w:w="325" w:type="pct"/>
                  <w:vMerge w:val="restart"/>
                  <w:vAlign w:val="center"/>
                </w:tcPr>
                <w:p w14:paraId="15639A5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废气</w:t>
                  </w:r>
                </w:p>
              </w:tc>
              <w:tc>
                <w:tcPr>
                  <w:tcW w:w="4027" w:type="pct"/>
                  <w:vAlign w:val="center"/>
                </w:tcPr>
                <w:p w14:paraId="2925DD0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切割粉尘：设置5套移动式烟尘净化器</w:t>
                  </w:r>
                </w:p>
              </w:tc>
              <w:tc>
                <w:tcPr>
                  <w:tcW w:w="324" w:type="pct"/>
                  <w:vAlign w:val="center"/>
                </w:tcPr>
                <w:p w14:paraId="2C9DC11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w:t>
                  </w:r>
                </w:p>
              </w:tc>
            </w:tr>
            <w:tr w14:paraId="17B0A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0252A02A">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Merge w:val="continue"/>
                  <w:vAlign w:val="center"/>
                </w:tcPr>
                <w:p w14:paraId="36D712E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027" w:type="pct"/>
                  <w:vAlign w:val="center"/>
                </w:tcPr>
                <w:p w14:paraId="73FCB867">
                  <w:pPr>
                    <w:adjustRightInd w:val="0"/>
                    <w:snapToGrid w:val="0"/>
                    <w:spacing w:after="0" w:line="240" w:lineRule="auto"/>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焊接烟尘：设置5套移动式烟尘净化器</w:t>
                  </w:r>
                </w:p>
              </w:tc>
              <w:tc>
                <w:tcPr>
                  <w:tcW w:w="324" w:type="pct"/>
                  <w:vAlign w:val="center"/>
                </w:tcPr>
                <w:p w14:paraId="413B36C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w:t>
                  </w:r>
                </w:p>
              </w:tc>
            </w:tr>
            <w:tr w14:paraId="703F4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324" w:type="pct"/>
                  <w:vMerge w:val="continue"/>
                  <w:vAlign w:val="center"/>
                </w:tcPr>
                <w:p w14:paraId="7003DA0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Merge w:val="continue"/>
                  <w:vAlign w:val="center"/>
                </w:tcPr>
                <w:p w14:paraId="5ED12FD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027" w:type="pct"/>
                  <w:vAlign w:val="center"/>
                </w:tcPr>
                <w:p w14:paraId="1A2616F7">
                  <w:pPr>
                    <w:adjustRightInd w:val="0"/>
                    <w:snapToGrid w:val="0"/>
                    <w:spacing w:after="0" w:line="240" w:lineRule="auto"/>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抛丸粉尘：2套滤筒除尘器+20m排气筒（DA001和DA002）、采样平台等</w:t>
                  </w:r>
                </w:p>
              </w:tc>
              <w:tc>
                <w:tcPr>
                  <w:tcW w:w="324" w:type="pct"/>
                  <w:vAlign w:val="center"/>
                </w:tcPr>
                <w:p w14:paraId="424BC7D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15</w:t>
                  </w:r>
                </w:p>
              </w:tc>
            </w:tr>
            <w:tr w14:paraId="46C35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4615F34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Merge w:val="continue"/>
                  <w:vAlign w:val="center"/>
                </w:tcPr>
                <w:p w14:paraId="53223046">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027" w:type="pct"/>
                  <w:vAlign w:val="center"/>
                </w:tcPr>
                <w:p w14:paraId="61A2CC96">
                  <w:pPr>
                    <w:adjustRightInd w:val="0"/>
                    <w:snapToGrid w:val="0"/>
                    <w:spacing w:after="0" w:line="240" w:lineRule="auto"/>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喷漆废气：水帘柜+过滤棉+1＃二级活性炭吸附装置+20m排气筒（DA003）、采样平台等</w:t>
                  </w:r>
                </w:p>
              </w:tc>
              <w:tc>
                <w:tcPr>
                  <w:tcW w:w="324" w:type="pct"/>
                  <w:vAlign w:val="center"/>
                </w:tcPr>
                <w:p w14:paraId="3D8F8A8E">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20</w:t>
                  </w:r>
                </w:p>
              </w:tc>
            </w:tr>
            <w:tr w14:paraId="18A1C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4E12465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Merge w:val="continue"/>
                  <w:vAlign w:val="center"/>
                </w:tcPr>
                <w:p w14:paraId="2E217C3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027" w:type="pct"/>
                  <w:vAlign w:val="center"/>
                </w:tcPr>
                <w:p w14:paraId="55A7AA3D">
                  <w:pPr>
                    <w:adjustRightInd w:val="0"/>
                    <w:snapToGrid w:val="0"/>
                    <w:spacing w:after="0" w:line="240" w:lineRule="auto"/>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危废暂存间废气：2＃二级活性炭吸附装置+20m排气筒（DA004）、采样平台等</w:t>
                  </w:r>
                </w:p>
              </w:tc>
              <w:tc>
                <w:tcPr>
                  <w:tcW w:w="324" w:type="pct"/>
                  <w:vAlign w:val="center"/>
                </w:tcPr>
                <w:p w14:paraId="1C3AD8F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w:t>
                  </w:r>
                </w:p>
              </w:tc>
            </w:tr>
            <w:tr w14:paraId="038DB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114D0A78">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Merge w:val="restart"/>
                  <w:vAlign w:val="center"/>
                </w:tcPr>
                <w:p w14:paraId="53974F1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废水</w:t>
                  </w:r>
                </w:p>
              </w:tc>
              <w:tc>
                <w:tcPr>
                  <w:tcW w:w="4027" w:type="pct"/>
                  <w:vAlign w:val="center"/>
                </w:tcPr>
                <w:p w14:paraId="6EC33492">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生活污水：</w:t>
                  </w:r>
                  <w:r>
                    <w:rPr>
                      <w:color w:val="0D0D0D" w:themeColor="text1" w:themeTint="F2"/>
                      <w14:textFill>
                        <w14:solidFill>
                          <w14:schemeClr w14:val="tx1">
                            <w14:lumMod w14:val="95000"/>
                            <w14:lumOff w14:val="5000"/>
                          </w14:schemeClr>
                        </w14:solidFill>
                      </w14:textFill>
                    </w:rPr>
                    <w:t>1</w:t>
                  </w:r>
                  <w:r>
                    <w:rPr>
                      <w:rFonts w:hint="eastAsia"/>
                      <w:color w:val="0D0D0D" w:themeColor="text1" w:themeTint="F2"/>
                      <w14:textFill>
                        <w14:solidFill>
                          <w14:schemeClr w14:val="tx1">
                            <w14:lumMod w14:val="95000"/>
                            <w14:lumOff w14:val="5000"/>
                          </w14:schemeClr>
                        </w14:solidFill>
                      </w14:textFill>
                    </w:rPr>
                    <w:t>个三级化粪池</w:t>
                  </w:r>
                </w:p>
              </w:tc>
              <w:tc>
                <w:tcPr>
                  <w:tcW w:w="324" w:type="pct"/>
                  <w:vAlign w:val="center"/>
                </w:tcPr>
                <w:p w14:paraId="51C4BCD9">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5993F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0FEBEF5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Merge w:val="continue"/>
                  <w:vAlign w:val="center"/>
                </w:tcPr>
                <w:p w14:paraId="694A88B1">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4027" w:type="pct"/>
                  <w:vAlign w:val="center"/>
                </w:tcPr>
                <w:p w14:paraId="6B6ADA32">
                  <w:pPr>
                    <w:adjustRightInd w:val="0"/>
                    <w:snapToGrid w:val="0"/>
                    <w:spacing w:after="0" w:line="240" w:lineRule="auto"/>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雨污分流，1个150m</w:t>
                  </w:r>
                  <w:r>
                    <w:rPr>
                      <w:rFonts w:hint="eastAsia"/>
                      <w:color w:val="0D0D0D" w:themeColor="text1" w:themeTint="F2"/>
                      <w:u w:val="single"/>
                      <w:vertAlign w:val="superscript"/>
                      <w14:textFill>
                        <w14:solidFill>
                          <w14:schemeClr w14:val="tx1">
                            <w14:lumMod w14:val="95000"/>
                            <w14:lumOff w14:val="5000"/>
                          </w14:schemeClr>
                        </w14:solidFill>
                      </w14:textFill>
                    </w:rPr>
                    <w:t>3</w:t>
                  </w:r>
                  <w:r>
                    <w:rPr>
                      <w:rFonts w:hint="eastAsia"/>
                      <w:color w:val="0D0D0D" w:themeColor="text1" w:themeTint="F2"/>
                      <w:u w:val="single"/>
                      <w14:textFill>
                        <w14:solidFill>
                          <w14:schemeClr w14:val="tx1">
                            <w14:lumMod w14:val="95000"/>
                            <w14:lumOff w14:val="5000"/>
                          </w14:schemeClr>
                        </w14:solidFill>
                      </w14:textFill>
                    </w:rPr>
                    <w:t>的初期雨水池</w:t>
                  </w:r>
                </w:p>
              </w:tc>
              <w:tc>
                <w:tcPr>
                  <w:tcW w:w="324" w:type="pct"/>
                  <w:vAlign w:val="center"/>
                </w:tcPr>
                <w:p w14:paraId="7D419F9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20</w:t>
                  </w:r>
                </w:p>
              </w:tc>
            </w:tr>
            <w:tr w14:paraId="471B4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6F68BCA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Align w:val="center"/>
                </w:tcPr>
                <w:p w14:paraId="201AD8F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噪声</w:t>
                  </w:r>
                </w:p>
              </w:tc>
              <w:tc>
                <w:tcPr>
                  <w:tcW w:w="4027" w:type="pct"/>
                  <w:vAlign w:val="center"/>
                </w:tcPr>
                <w:p w14:paraId="41035F44">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基础减震、隔声等</w:t>
                  </w:r>
                </w:p>
              </w:tc>
              <w:tc>
                <w:tcPr>
                  <w:tcW w:w="324" w:type="pct"/>
                  <w:vAlign w:val="center"/>
                </w:tcPr>
                <w:p w14:paraId="396A891F">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r>
            <w:tr w14:paraId="37F0E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vMerge w:val="continue"/>
                  <w:vAlign w:val="center"/>
                </w:tcPr>
                <w:p w14:paraId="7C77E67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25" w:type="pct"/>
                  <w:vAlign w:val="center"/>
                </w:tcPr>
                <w:p w14:paraId="1ED11B5B">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固废</w:t>
                  </w:r>
                </w:p>
              </w:tc>
              <w:tc>
                <w:tcPr>
                  <w:tcW w:w="4027" w:type="pct"/>
                  <w:vAlign w:val="center"/>
                </w:tcPr>
                <w:p w14:paraId="5713277B">
                  <w:pPr>
                    <w:adjustRightInd w:val="0"/>
                    <w:snapToGrid w:val="0"/>
                    <w:spacing w:after="0" w:line="240" w:lineRule="auto"/>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生活垃圾桶若干、1个30m</w:t>
                  </w:r>
                  <w:r>
                    <w:rPr>
                      <w:rFonts w:hint="eastAsia"/>
                      <w:color w:val="0D0D0D" w:themeColor="text1" w:themeTint="F2"/>
                      <w:vertAlign w:val="superscript"/>
                      <w14:textFill>
                        <w14:solidFill>
                          <w14:schemeClr w14:val="tx1">
                            <w14:lumMod w14:val="95000"/>
                            <w14:lumOff w14:val="5000"/>
                          </w14:schemeClr>
                        </w14:solidFill>
                      </w14:textFill>
                    </w:rPr>
                    <w:t>2</w:t>
                  </w:r>
                  <w:r>
                    <w:rPr>
                      <w:rFonts w:hint="eastAsia"/>
                      <w:color w:val="0D0D0D" w:themeColor="text1" w:themeTint="F2"/>
                      <w14:textFill>
                        <w14:solidFill>
                          <w14:schemeClr w14:val="tx1">
                            <w14:lumMod w14:val="95000"/>
                            <w14:lumOff w14:val="5000"/>
                          </w14:schemeClr>
                        </w14:solidFill>
                      </w14:textFill>
                    </w:rPr>
                    <w:t>的一般固废暂存间、2个54m</w:t>
                  </w:r>
                  <w:r>
                    <w:rPr>
                      <w:rFonts w:hint="eastAsia"/>
                      <w:color w:val="0D0D0D" w:themeColor="text1" w:themeTint="F2"/>
                      <w:vertAlign w:val="superscript"/>
                      <w14:textFill>
                        <w14:solidFill>
                          <w14:schemeClr w14:val="tx1">
                            <w14:lumMod w14:val="95000"/>
                            <w14:lumOff w14:val="5000"/>
                          </w14:schemeClr>
                        </w14:solidFill>
                      </w14:textFill>
                    </w:rPr>
                    <w:t>2</w:t>
                  </w:r>
                  <w:r>
                    <w:rPr>
                      <w:rFonts w:hint="eastAsia"/>
                      <w:color w:val="0D0D0D" w:themeColor="text1" w:themeTint="F2"/>
                      <w14:textFill>
                        <w14:solidFill>
                          <w14:schemeClr w14:val="tx1">
                            <w14:lumMod w14:val="95000"/>
                            <w14:lumOff w14:val="5000"/>
                          </w14:schemeClr>
                        </w14:solidFill>
                      </w14:textFill>
                    </w:rPr>
                    <w:t>的危废暂存间、活性炭首年更换费用</w:t>
                  </w:r>
                </w:p>
              </w:tc>
              <w:tc>
                <w:tcPr>
                  <w:tcW w:w="324" w:type="pct"/>
                  <w:vAlign w:val="center"/>
                </w:tcPr>
                <w:p w14:paraId="14DE8715">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30</w:t>
                  </w:r>
                </w:p>
              </w:tc>
            </w:tr>
            <w:tr w14:paraId="30271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6" w:type="pct"/>
                  <w:gridSpan w:val="3"/>
                  <w:vAlign w:val="center"/>
                </w:tcPr>
                <w:p w14:paraId="308B248D">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合计</w:t>
                  </w:r>
                </w:p>
              </w:tc>
              <w:tc>
                <w:tcPr>
                  <w:tcW w:w="324" w:type="pct"/>
                  <w:vAlign w:val="center"/>
                </w:tcPr>
                <w:p w14:paraId="6505F223">
                  <w:pPr>
                    <w:adjustRightInd w:val="0"/>
                    <w:snapToGrid w:val="0"/>
                    <w:spacing w:after="0" w:line="240" w:lineRule="auto"/>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110</w:t>
                  </w:r>
                </w:p>
              </w:tc>
            </w:tr>
          </w:tbl>
          <w:p w14:paraId="0A300EF1">
            <w:pPr>
              <w:autoSpaceDE w:val="0"/>
              <w:autoSpaceDN w:val="0"/>
              <w:snapToGrid w:val="0"/>
              <w:spacing w:after="0"/>
              <w:jc w:val="center"/>
              <w:rPr>
                <w:rFonts w:cs="宋体"/>
                <w:bCs/>
                <w:color w:val="0D0D0D" w:themeColor="text1" w:themeTint="F2"/>
                <w:spacing w:val="-10"/>
                <w:sz w:val="24"/>
                <w14:textFill>
                  <w14:solidFill>
                    <w14:schemeClr w14:val="tx1">
                      <w14:lumMod w14:val="95000"/>
                      <w14:lumOff w14:val="5000"/>
                    </w14:schemeClr>
                  </w14:solidFill>
                </w14:textFill>
              </w:rPr>
            </w:pPr>
          </w:p>
        </w:tc>
      </w:tr>
    </w:tbl>
    <w:p w14:paraId="25DB407D">
      <w:pPr>
        <w:adjustRightInd w:val="0"/>
        <w:snapToGrid w:val="0"/>
        <w:spacing w:after="0" w:line="360" w:lineRule="auto"/>
        <w:rPr>
          <w:rFonts w:cs="宋体"/>
          <w:b/>
          <w:color w:val="0D0D0D" w:themeColor="text1" w:themeTint="F2"/>
          <w:kern w:val="0"/>
          <w:sz w:val="28"/>
          <w:szCs w:val="28"/>
          <w14:textFill>
            <w14:solidFill>
              <w14:schemeClr w14:val="tx1">
                <w14:lumMod w14:val="95000"/>
                <w14:lumOff w14:val="5000"/>
              </w14:schemeClr>
            </w14:solidFill>
          </w14:textFill>
        </w:rPr>
        <w:sectPr>
          <w:pgSz w:w="11907" w:h="16840"/>
          <w:pgMar w:top="1701" w:right="1531" w:bottom="2127" w:left="1531" w:header="851" w:footer="851" w:gutter="0"/>
          <w:cols w:space="720" w:num="1"/>
          <w:docGrid w:linePitch="312" w:charSpace="0"/>
        </w:sectPr>
      </w:pPr>
    </w:p>
    <w:p w14:paraId="6745B494">
      <w:pPr>
        <w:pStyle w:val="19"/>
        <w:spacing w:before="0" w:beforeAutospacing="0" w:after="0" w:afterAutospacing="0"/>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34" w:name="_Toc136522027"/>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五、</w:t>
      </w:r>
      <w:bookmarkStart w:id="35" w:name="_Hlk54167917"/>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环境保护措施监督检查清单</w:t>
      </w:r>
      <w:bookmarkEnd w:id="34"/>
      <w:bookmarkEnd w:id="35"/>
    </w:p>
    <w:tbl>
      <w:tblPr>
        <w:tblStyle w:val="22"/>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35"/>
        <w:gridCol w:w="1602"/>
        <w:gridCol w:w="1455"/>
        <w:gridCol w:w="1892"/>
        <w:gridCol w:w="2376"/>
      </w:tblGrid>
      <w:tr w14:paraId="6F67C0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tcBorders>
              <w:tl2br w:val="single" w:color="auto" w:sz="4" w:space="0"/>
            </w:tcBorders>
            <w:vAlign w:val="center"/>
          </w:tcPr>
          <w:p w14:paraId="782D824E">
            <w:pPr>
              <w:adjustRightInd w:val="0"/>
              <w:snapToGrid w:val="0"/>
              <w:spacing w:after="0"/>
              <w:ind w:firstLine="1050" w:firstLineChars="500"/>
              <w:jc w:val="right"/>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内容</w:t>
            </w:r>
          </w:p>
          <w:p w14:paraId="04ECE3CC">
            <w:pPr>
              <w:adjustRightInd w:val="0"/>
              <w:snapToGrid w:val="0"/>
              <w:spacing w:after="0"/>
              <w:jc w:val="left"/>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要素</w:t>
            </w:r>
          </w:p>
        </w:tc>
        <w:tc>
          <w:tcPr>
            <w:tcW w:w="1602" w:type="dxa"/>
            <w:vAlign w:val="center"/>
          </w:tcPr>
          <w:p w14:paraId="0EEBCD86">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排放口（编号、名称）/污染源</w:t>
            </w:r>
          </w:p>
        </w:tc>
        <w:tc>
          <w:tcPr>
            <w:tcW w:w="1455" w:type="dxa"/>
            <w:vAlign w:val="center"/>
          </w:tcPr>
          <w:p w14:paraId="07383AF1">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污染物项目</w:t>
            </w:r>
          </w:p>
        </w:tc>
        <w:tc>
          <w:tcPr>
            <w:tcW w:w="1892" w:type="dxa"/>
            <w:vAlign w:val="center"/>
          </w:tcPr>
          <w:p w14:paraId="1339D7F1">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环境保护措施</w:t>
            </w:r>
          </w:p>
        </w:tc>
        <w:tc>
          <w:tcPr>
            <w:tcW w:w="2376" w:type="dxa"/>
            <w:vAlign w:val="center"/>
          </w:tcPr>
          <w:p w14:paraId="2D1DE85B">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执行标准</w:t>
            </w:r>
          </w:p>
        </w:tc>
      </w:tr>
      <w:tr w14:paraId="1106EA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Merge w:val="restart"/>
            <w:vAlign w:val="center"/>
          </w:tcPr>
          <w:p w14:paraId="7A52C4B9">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大气环境</w:t>
            </w:r>
          </w:p>
        </w:tc>
        <w:tc>
          <w:tcPr>
            <w:tcW w:w="1602" w:type="dxa"/>
            <w:vAlign w:val="center"/>
          </w:tcPr>
          <w:p w14:paraId="5451F5CD">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切割粉尘</w:t>
            </w:r>
          </w:p>
        </w:tc>
        <w:tc>
          <w:tcPr>
            <w:tcW w:w="1455" w:type="dxa"/>
            <w:vAlign w:val="center"/>
          </w:tcPr>
          <w:p w14:paraId="674F9868">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颗粒物</w:t>
            </w:r>
          </w:p>
        </w:tc>
        <w:tc>
          <w:tcPr>
            <w:tcW w:w="1892" w:type="dxa"/>
            <w:vAlign w:val="center"/>
          </w:tcPr>
          <w:p w14:paraId="7396ACF0">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移动式烟尘净化器处理后无组织排放</w:t>
            </w:r>
          </w:p>
        </w:tc>
        <w:tc>
          <w:tcPr>
            <w:tcW w:w="2376" w:type="dxa"/>
            <w:vAlign w:val="center"/>
          </w:tcPr>
          <w:p w14:paraId="76756740">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《大气污染物综合排放标准》（GB16297-1996）表2新污染源大气污染物无组织排放监控浓度限值</w:t>
            </w:r>
          </w:p>
        </w:tc>
      </w:tr>
      <w:tr w14:paraId="49BE16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Merge w:val="continue"/>
            <w:vAlign w:val="center"/>
          </w:tcPr>
          <w:p w14:paraId="514CD80C">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p>
        </w:tc>
        <w:tc>
          <w:tcPr>
            <w:tcW w:w="1602" w:type="dxa"/>
            <w:vAlign w:val="center"/>
          </w:tcPr>
          <w:p w14:paraId="0C092578">
            <w:pPr>
              <w:adjustRightInd w:val="0"/>
              <w:snapToGrid w:val="0"/>
              <w:spacing w:after="0"/>
              <w:jc w:val="center"/>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焊接烟尘</w:t>
            </w:r>
          </w:p>
        </w:tc>
        <w:tc>
          <w:tcPr>
            <w:tcW w:w="1455" w:type="dxa"/>
            <w:vAlign w:val="center"/>
          </w:tcPr>
          <w:p w14:paraId="55EF2FA7">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颗粒物</w:t>
            </w:r>
          </w:p>
        </w:tc>
        <w:tc>
          <w:tcPr>
            <w:tcW w:w="1892" w:type="dxa"/>
            <w:vAlign w:val="center"/>
          </w:tcPr>
          <w:p w14:paraId="5404094F">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移动式烟尘净化器处理后无组织排放</w:t>
            </w:r>
          </w:p>
        </w:tc>
        <w:tc>
          <w:tcPr>
            <w:tcW w:w="2376" w:type="dxa"/>
            <w:vAlign w:val="center"/>
          </w:tcPr>
          <w:p w14:paraId="39E60E44">
            <w:pPr>
              <w:adjustRightInd w:val="0"/>
              <w:snapToGrid w:val="0"/>
              <w:spacing w:after="0"/>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《大气污染物综合排放标准》（GB16297-1996）表2新污染源大气污染物无组织排放监控浓度限值</w:t>
            </w:r>
          </w:p>
        </w:tc>
      </w:tr>
      <w:tr w14:paraId="31C7D0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Merge w:val="continue"/>
            <w:vAlign w:val="center"/>
          </w:tcPr>
          <w:p w14:paraId="1C63B826">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p>
        </w:tc>
        <w:tc>
          <w:tcPr>
            <w:tcW w:w="1602" w:type="dxa"/>
            <w:vAlign w:val="center"/>
          </w:tcPr>
          <w:p w14:paraId="389C3A36">
            <w:pPr>
              <w:adjustRightInd w:val="0"/>
              <w:snapToGrid w:val="0"/>
              <w:spacing w:after="0"/>
              <w:jc w:val="center"/>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抛丸粉尘</w:t>
            </w:r>
          </w:p>
        </w:tc>
        <w:tc>
          <w:tcPr>
            <w:tcW w:w="1455" w:type="dxa"/>
            <w:vAlign w:val="center"/>
          </w:tcPr>
          <w:p w14:paraId="5C71EA21">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颗粒物</w:t>
            </w:r>
          </w:p>
        </w:tc>
        <w:tc>
          <w:tcPr>
            <w:tcW w:w="1892" w:type="dxa"/>
            <w:vAlign w:val="center"/>
          </w:tcPr>
          <w:p w14:paraId="192FDCE4">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滤筒除尘器+20m排气筒（DA001和DA002）</w:t>
            </w:r>
          </w:p>
        </w:tc>
        <w:tc>
          <w:tcPr>
            <w:tcW w:w="2376" w:type="dxa"/>
            <w:vAlign w:val="center"/>
          </w:tcPr>
          <w:p w14:paraId="5C39D5B1">
            <w:pPr>
              <w:adjustRightInd w:val="0"/>
              <w:snapToGrid w:val="0"/>
              <w:spacing w:after="0"/>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766A84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Merge w:val="continue"/>
            <w:vAlign w:val="center"/>
          </w:tcPr>
          <w:p w14:paraId="5990D97F">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p>
        </w:tc>
        <w:tc>
          <w:tcPr>
            <w:tcW w:w="1602" w:type="dxa"/>
            <w:vAlign w:val="center"/>
          </w:tcPr>
          <w:p w14:paraId="24F4BDF2">
            <w:pPr>
              <w:adjustRightInd w:val="0"/>
              <w:snapToGrid w:val="0"/>
              <w:spacing w:after="0"/>
              <w:jc w:val="center"/>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喷漆废气</w:t>
            </w:r>
          </w:p>
        </w:tc>
        <w:tc>
          <w:tcPr>
            <w:tcW w:w="1455" w:type="dxa"/>
            <w:vAlign w:val="center"/>
          </w:tcPr>
          <w:p w14:paraId="5C27BA77">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颗粒物、非甲烷总烃、二甲苯</w:t>
            </w:r>
          </w:p>
        </w:tc>
        <w:tc>
          <w:tcPr>
            <w:tcW w:w="1892" w:type="dxa"/>
            <w:vAlign w:val="center"/>
          </w:tcPr>
          <w:p w14:paraId="7B2940FE">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水帘柜+过滤棉+1＃二级活性炭吸附装置+20m排气筒（DA003）</w:t>
            </w:r>
          </w:p>
        </w:tc>
        <w:tc>
          <w:tcPr>
            <w:tcW w:w="2376" w:type="dxa"/>
            <w:vAlign w:val="center"/>
          </w:tcPr>
          <w:p w14:paraId="78AF4156">
            <w:pPr>
              <w:adjustRightInd w:val="0"/>
              <w:snapToGrid w:val="0"/>
              <w:spacing w:after="0"/>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343125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Merge w:val="continue"/>
            <w:vAlign w:val="center"/>
          </w:tcPr>
          <w:p w14:paraId="6F5E20B1">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p>
        </w:tc>
        <w:tc>
          <w:tcPr>
            <w:tcW w:w="1602" w:type="dxa"/>
            <w:vAlign w:val="center"/>
          </w:tcPr>
          <w:p w14:paraId="09191EDD">
            <w:pPr>
              <w:adjustRightInd w:val="0"/>
              <w:snapToGrid w:val="0"/>
              <w:spacing w:after="0"/>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危废暂存间废气</w:t>
            </w:r>
          </w:p>
        </w:tc>
        <w:tc>
          <w:tcPr>
            <w:tcW w:w="1455" w:type="dxa"/>
            <w:vAlign w:val="center"/>
          </w:tcPr>
          <w:p w14:paraId="23C1C1CE">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非甲烷总烃、二甲苯</w:t>
            </w:r>
          </w:p>
        </w:tc>
        <w:tc>
          <w:tcPr>
            <w:tcW w:w="1892" w:type="dxa"/>
            <w:vAlign w:val="center"/>
          </w:tcPr>
          <w:p w14:paraId="5B34B42E">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2＃二级活性炭吸附装置+20m排气筒（DA004）</w:t>
            </w:r>
          </w:p>
        </w:tc>
        <w:tc>
          <w:tcPr>
            <w:tcW w:w="2376" w:type="dxa"/>
            <w:vAlign w:val="center"/>
          </w:tcPr>
          <w:p w14:paraId="0FF13955">
            <w:pPr>
              <w:adjustRightInd w:val="0"/>
              <w:snapToGrid w:val="0"/>
              <w:spacing w:after="0"/>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107EDE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Merge w:val="restart"/>
            <w:vAlign w:val="center"/>
          </w:tcPr>
          <w:p w14:paraId="5C7B8557">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地表水环境</w:t>
            </w:r>
          </w:p>
        </w:tc>
        <w:tc>
          <w:tcPr>
            <w:tcW w:w="1602" w:type="dxa"/>
            <w:vAlign w:val="center"/>
          </w:tcPr>
          <w:p w14:paraId="09B74E00">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生活污水</w:t>
            </w:r>
          </w:p>
        </w:tc>
        <w:tc>
          <w:tcPr>
            <w:tcW w:w="1455" w:type="dxa"/>
            <w:vAlign w:val="center"/>
          </w:tcPr>
          <w:p w14:paraId="5837FEFC">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cs="宋体"/>
                <w:color w:val="0D0D0D" w:themeColor="text1" w:themeTint="F2"/>
                <w:szCs w:val="21"/>
                <w14:textFill>
                  <w14:solidFill>
                    <w14:schemeClr w14:val="tx1">
                      <w14:lumMod w14:val="95000"/>
                      <w14:lumOff w14:val="5000"/>
                    </w14:schemeClr>
                  </w14:solidFill>
                </w14:textFill>
              </w:rPr>
              <w:t>COD</w:t>
            </w:r>
            <w:r>
              <w:rPr>
                <w:rFonts w:hint="eastAsia" w:cs="宋体"/>
                <w:color w:val="0D0D0D" w:themeColor="text1" w:themeTint="F2"/>
                <w:szCs w:val="21"/>
                <w14:textFill>
                  <w14:solidFill>
                    <w14:schemeClr w14:val="tx1">
                      <w14:lumMod w14:val="95000"/>
                      <w14:lumOff w14:val="5000"/>
                    </w14:schemeClr>
                  </w14:solidFill>
                </w14:textFill>
              </w:rPr>
              <w:t>cr</w:t>
            </w:r>
            <w:r>
              <w:rPr>
                <w:rFonts w:cs="宋体"/>
                <w:color w:val="0D0D0D" w:themeColor="text1" w:themeTint="F2"/>
                <w:szCs w:val="21"/>
                <w14:textFill>
                  <w14:solidFill>
                    <w14:schemeClr w14:val="tx1">
                      <w14:lumMod w14:val="95000"/>
                      <w14:lumOff w14:val="5000"/>
                    </w14:schemeClr>
                  </w14:solidFill>
                </w14:textFill>
              </w:rPr>
              <w:t>、BOD</w:t>
            </w:r>
            <w:r>
              <w:rPr>
                <w:rFonts w:cs="宋体"/>
                <w:color w:val="0D0D0D" w:themeColor="text1" w:themeTint="F2"/>
                <w:szCs w:val="21"/>
                <w:vertAlign w:val="subscript"/>
                <w14:textFill>
                  <w14:solidFill>
                    <w14:schemeClr w14:val="tx1">
                      <w14:lumMod w14:val="95000"/>
                      <w14:lumOff w14:val="5000"/>
                    </w14:schemeClr>
                  </w14:solidFill>
                </w14:textFill>
              </w:rPr>
              <w:t>5</w:t>
            </w:r>
            <w:r>
              <w:rPr>
                <w:rFonts w:cs="宋体"/>
                <w:color w:val="0D0D0D" w:themeColor="text1" w:themeTint="F2"/>
                <w:szCs w:val="21"/>
                <w14:textFill>
                  <w14:solidFill>
                    <w14:schemeClr w14:val="tx1">
                      <w14:lumMod w14:val="95000"/>
                      <w14:lumOff w14:val="5000"/>
                    </w14:schemeClr>
                  </w14:solidFill>
                </w14:textFill>
              </w:rPr>
              <w:t>、SS、NH</w:t>
            </w:r>
            <w:r>
              <w:rPr>
                <w:rFonts w:cs="宋体"/>
                <w:color w:val="0D0D0D" w:themeColor="text1" w:themeTint="F2"/>
                <w:szCs w:val="21"/>
                <w:vertAlign w:val="subscript"/>
                <w14:textFill>
                  <w14:solidFill>
                    <w14:schemeClr w14:val="tx1">
                      <w14:lumMod w14:val="95000"/>
                      <w14:lumOff w14:val="5000"/>
                    </w14:schemeClr>
                  </w14:solidFill>
                </w14:textFill>
              </w:rPr>
              <w:t>3</w:t>
            </w:r>
            <w:r>
              <w:rPr>
                <w:rFonts w:cs="宋体"/>
                <w:color w:val="0D0D0D" w:themeColor="text1" w:themeTint="F2"/>
                <w:szCs w:val="21"/>
                <w14:textFill>
                  <w14:solidFill>
                    <w14:schemeClr w14:val="tx1">
                      <w14:lumMod w14:val="95000"/>
                      <w14:lumOff w14:val="5000"/>
                    </w14:schemeClr>
                  </w14:solidFill>
                </w14:textFill>
              </w:rPr>
              <w:t>-N</w:t>
            </w:r>
          </w:p>
        </w:tc>
        <w:tc>
          <w:tcPr>
            <w:tcW w:w="1892" w:type="dxa"/>
            <w:vAlign w:val="center"/>
          </w:tcPr>
          <w:p w14:paraId="773DF118">
            <w:pPr>
              <w:adjustRightInd w:val="0"/>
              <w:snapToGrid w:val="0"/>
              <w:spacing w:after="0"/>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经三级化粪池预处理后使用吸污车清运至钦州市大榄坪污水处理厂进一步处理</w:t>
            </w:r>
          </w:p>
        </w:tc>
        <w:tc>
          <w:tcPr>
            <w:tcW w:w="2376" w:type="dxa"/>
            <w:vAlign w:val="center"/>
          </w:tcPr>
          <w:p w14:paraId="1E5726F9">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《污水综合排放标准》（GB8978-1996）三级标准和</w:t>
            </w:r>
            <w:r>
              <w:rPr>
                <w:rFonts w:hint="eastAsia"/>
                <w:bCs/>
                <w:color w:val="0D0D0D" w:themeColor="text1" w:themeTint="F2"/>
                <w:szCs w:val="21"/>
                <w14:textFill>
                  <w14:solidFill>
                    <w14:schemeClr w14:val="tx1">
                      <w14:lumMod w14:val="95000"/>
                      <w14:lumOff w14:val="5000"/>
                    </w14:schemeClr>
                  </w14:solidFill>
                </w14:textFill>
              </w:rPr>
              <w:t>钦州市大榄坪污水处理厂</w:t>
            </w:r>
            <w:r>
              <w:rPr>
                <w:rFonts w:hint="eastAsia" w:cs="宋体"/>
                <w:color w:val="0D0D0D" w:themeColor="text1" w:themeTint="F2"/>
                <w:szCs w:val="21"/>
                <w14:textFill>
                  <w14:solidFill>
                    <w14:schemeClr w14:val="tx1">
                      <w14:lumMod w14:val="95000"/>
                      <w14:lumOff w14:val="5000"/>
                    </w14:schemeClr>
                  </w14:solidFill>
                </w14:textFill>
              </w:rPr>
              <w:t>纳管要求较严值</w:t>
            </w:r>
          </w:p>
        </w:tc>
      </w:tr>
      <w:tr w14:paraId="0F4C91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Merge w:val="continue"/>
            <w:vAlign w:val="center"/>
          </w:tcPr>
          <w:p w14:paraId="1C2092E1">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p>
        </w:tc>
        <w:tc>
          <w:tcPr>
            <w:tcW w:w="1602" w:type="dxa"/>
            <w:vAlign w:val="center"/>
          </w:tcPr>
          <w:p w14:paraId="28AF8CF8">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u w:val="single"/>
                <w14:textFill>
                  <w14:solidFill>
                    <w14:schemeClr w14:val="tx1">
                      <w14:lumMod w14:val="95000"/>
                      <w14:lumOff w14:val="5000"/>
                    </w14:schemeClr>
                  </w14:solidFill>
                </w14:textFill>
              </w:rPr>
              <w:t>初期雨水</w:t>
            </w:r>
          </w:p>
        </w:tc>
        <w:tc>
          <w:tcPr>
            <w:tcW w:w="1455" w:type="dxa"/>
            <w:vAlign w:val="center"/>
          </w:tcPr>
          <w:p w14:paraId="71BFC7A7">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u w:val="single"/>
                <w14:textFill>
                  <w14:solidFill>
                    <w14:schemeClr w14:val="tx1">
                      <w14:lumMod w14:val="95000"/>
                      <w14:lumOff w14:val="5000"/>
                    </w14:schemeClr>
                  </w14:solidFill>
                </w14:textFill>
              </w:rPr>
              <w:t>SS</w:t>
            </w:r>
          </w:p>
        </w:tc>
        <w:tc>
          <w:tcPr>
            <w:tcW w:w="1892" w:type="dxa"/>
            <w:vAlign w:val="center"/>
          </w:tcPr>
          <w:p w14:paraId="655B4F65">
            <w:pPr>
              <w:adjustRightInd w:val="0"/>
              <w:snapToGrid w:val="0"/>
              <w:spacing w:after="0"/>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经初期雨水池收集后用于厂区降尘等</w:t>
            </w:r>
          </w:p>
        </w:tc>
        <w:tc>
          <w:tcPr>
            <w:tcW w:w="2376" w:type="dxa"/>
            <w:vAlign w:val="center"/>
          </w:tcPr>
          <w:p w14:paraId="7B01CE19">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u w:val="single"/>
                <w14:textFill>
                  <w14:solidFill>
                    <w14:schemeClr w14:val="tx1">
                      <w14:lumMod w14:val="95000"/>
                      <w14:lumOff w14:val="5000"/>
                    </w14:schemeClr>
                  </w14:solidFill>
                </w14:textFill>
              </w:rPr>
              <w:t>落实情况</w:t>
            </w:r>
          </w:p>
        </w:tc>
      </w:tr>
      <w:tr w14:paraId="054D0C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Align w:val="center"/>
          </w:tcPr>
          <w:p w14:paraId="6E313982">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声环境</w:t>
            </w:r>
          </w:p>
        </w:tc>
        <w:tc>
          <w:tcPr>
            <w:tcW w:w="1602" w:type="dxa"/>
            <w:vAlign w:val="center"/>
          </w:tcPr>
          <w:p w14:paraId="717825F0">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生产设备</w:t>
            </w:r>
          </w:p>
        </w:tc>
        <w:tc>
          <w:tcPr>
            <w:tcW w:w="1455" w:type="dxa"/>
            <w:vAlign w:val="center"/>
          </w:tcPr>
          <w:p w14:paraId="29544FD1">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等效连续A声级</w:t>
            </w:r>
          </w:p>
        </w:tc>
        <w:tc>
          <w:tcPr>
            <w:tcW w:w="1892" w:type="dxa"/>
            <w:vAlign w:val="center"/>
          </w:tcPr>
          <w:p w14:paraId="2286C07F">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厂房隔声等</w:t>
            </w:r>
          </w:p>
        </w:tc>
        <w:tc>
          <w:tcPr>
            <w:tcW w:w="2376" w:type="dxa"/>
            <w:vAlign w:val="center"/>
          </w:tcPr>
          <w:p w14:paraId="26938B20">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r>
              <w:rPr>
                <w:rFonts w:cs="宋体"/>
                <w:color w:val="0D0D0D" w:themeColor="text1" w:themeTint="F2"/>
                <w:szCs w:val="21"/>
                <w14:textFill>
                  <w14:solidFill>
                    <w14:schemeClr w14:val="tx1">
                      <w14:lumMod w14:val="95000"/>
                      <w14:lumOff w14:val="5000"/>
                    </w14:schemeClr>
                  </w14:solidFill>
                </w14:textFill>
              </w:rPr>
              <w:t>工业企业厂界环境噪声排放标准》（GB12348-2008）</w:t>
            </w:r>
            <w:r>
              <w:rPr>
                <w:rFonts w:hint="eastAsia" w:cs="宋体"/>
                <w:color w:val="0D0D0D" w:themeColor="text1" w:themeTint="F2"/>
                <w:szCs w:val="21"/>
                <w14:textFill>
                  <w14:solidFill>
                    <w14:schemeClr w14:val="tx1">
                      <w14:lumMod w14:val="95000"/>
                      <w14:lumOff w14:val="5000"/>
                    </w14:schemeClr>
                  </w14:solidFill>
                </w14:textFill>
              </w:rPr>
              <w:t>3</w:t>
            </w:r>
            <w:r>
              <w:rPr>
                <w:rFonts w:cs="宋体"/>
                <w:color w:val="0D0D0D" w:themeColor="text1" w:themeTint="F2"/>
                <w:szCs w:val="21"/>
                <w14:textFill>
                  <w14:solidFill>
                    <w14:schemeClr w14:val="tx1">
                      <w14:lumMod w14:val="95000"/>
                      <w14:lumOff w14:val="5000"/>
                    </w14:schemeClr>
                  </w14:solidFill>
                </w14:textFill>
              </w:rPr>
              <w:t>类</w:t>
            </w:r>
            <w:r>
              <w:rPr>
                <w:rFonts w:hint="eastAsia" w:cs="宋体"/>
                <w:color w:val="0D0D0D" w:themeColor="text1" w:themeTint="F2"/>
                <w:szCs w:val="21"/>
                <w14:textFill>
                  <w14:solidFill>
                    <w14:schemeClr w14:val="tx1">
                      <w14:lumMod w14:val="95000"/>
                      <w14:lumOff w14:val="5000"/>
                    </w14:schemeClr>
                  </w14:solidFill>
                </w14:textFill>
              </w:rPr>
              <w:t>和4类</w:t>
            </w:r>
            <w:r>
              <w:rPr>
                <w:rFonts w:cs="宋体"/>
                <w:color w:val="0D0D0D" w:themeColor="text1" w:themeTint="F2"/>
                <w:szCs w:val="21"/>
                <w14:textFill>
                  <w14:solidFill>
                    <w14:schemeClr w14:val="tx1">
                      <w14:lumMod w14:val="95000"/>
                      <w14:lumOff w14:val="5000"/>
                    </w14:schemeClr>
                  </w14:solidFill>
                </w14:textFill>
              </w:rPr>
              <w:t>标准</w:t>
            </w:r>
          </w:p>
        </w:tc>
      </w:tr>
      <w:tr w14:paraId="2FA7E7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Align w:val="center"/>
          </w:tcPr>
          <w:p w14:paraId="77F62382">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电磁辐射</w:t>
            </w:r>
          </w:p>
        </w:tc>
        <w:tc>
          <w:tcPr>
            <w:tcW w:w="1602" w:type="dxa"/>
            <w:vAlign w:val="center"/>
          </w:tcPr>
          <w:p w14:paraId="38BD27A4">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c>
          <w:tcPr>
            <w:tcW w:w="1455" w:type="dxa"/>
            <w:vAlign w:val="center"/>
          </w:tcPr>
          <w:p w14:paraId="4BA68A55">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c>
          <w:tcPr>
            <w:tcW w:w="1892" w:type="dxa"/>
            <w:vAlign w:val="center"/>
          </w:tcPr>
          <w:p w14:paraId="4F15AADB">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c>
          <w:tcPr>
            <w:tcW w:w="2376" w:type="dxa"/>
            <w:vAlign w:val="center"/>
          </w:tcPr>
          <w:p w14:paraId="0D487472">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r>
      <w:tr w14:paraId="206525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Align w:val="center"/>
          </w:tcPr>
          <w:p w14:paraId="576BA1AE">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固体废物</w:t>
            </w:r>
          </w:p>
        </w:tc>
        <w:tc>
          <w:tcPr>
            <w:tcW w:w="7325" w:type="dxa"/>
            <w:gridSpan w:val="4"/>
            <w:vAlign w:val="center"/>
          </w:tcPr>
          <w:p w14:paraId="572681A7">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①生活垃圾集中分类收集后由环卫部门清运处置。</w:t>
            </w:r>
          </w:p>
          <w:p w14:paraId="7B48BDA7">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②废边角料、除尘设备收集粉尘、废焊接材料、废钢丸和废滤芯暂存在一般固废暂存间，定期外售废品回收站。</w:t>
            </w:r>
          </w:p>
          <w:p w14:paraId="30A0B5A4">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③喷枪清洗废液（其中水性漆清洗废液需进行危废鉴定）、废油性漆桶、废水性漆桶（需进行危废鉴定）、漆渣、水帘柜喷漆废水、废过滤棉、废活性炭、废机油、废机油桶、废含油抹布暂存于危废暂存间，委托有资质单位清运处置。</w:t>
            </w:r>
          </w:p>
        </w:tc>
      </w:tr>
      <w:tr w14:paraId="529AA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Align w:val="center"/>
          </w:tcPr>
          <w:p w14:paraId="63651F8B">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土壤及地下水</w:t>
            </w:r>
          </w:p>
          <w:p w14:paraId="39780292">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污染防治措施</w:t>
            </w:r>
          </w:p>
        </w:tc>
        <w:tc>
          <w:tcPr>
            <w:tcW w:w="7325" w:type="dxa"/>
            <w:gridSpan w:val="4"/>
            <w:vAlign w:val="center"/>
          </w:tcPr>
          <w:p w14:paraId="4C07642B">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分区防渗，加强生产管理及环境风险排查，制定突发环境应急预案，配备环境风险应急物资等</w:t>
            </w:r>
          </w:p>
        </w:tc>
      </w:tr>
      <w:tr w14:paraId="10F5A6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Align w:val="center"/>
          </w:tcPr>
          <w:p w14:paraId="128230EB">
            <w:pPr>
              <w:adjustRightInd w:val="0"/>
              <w:snapToGrid w:val="0"/>
              <w:spacing w:after="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生态保护措施</w:t>
            </w:r>
          </w:p>
        </w:tc>
        <w:tc>
          <w:tcPr>
            <w:tcW w:w="7325" w:type="dxa"/>
            <w:gridSpan w:val="4"/>
            <w:vAlign w:val="center"/>
          </w:tcPr>
          <w:p w14:paraId="279B6EC8">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加强废气、废水和固体废物的污染防治措施，保证各项污染物达标排放，减轻生态环境不利影响</w:t>
            </w:r>
          </w:p>
        </w:tc>
      </w:tr>
      <w:tr w14:paraId="31A5F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Align w:val="center"/>
          </w:tcPr>
          <w:p w14:paraId="3AF21D2B">
            <w:pPr>
              <w:adjustRightInd w:val="0"/>
              <w:snapToGrid w:val="0"/>
              <w:spacing w:after="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环境风险</w:t>
            </w:r>
          </w:p>
          <w:p w14:paraId="7555DFC5">
            <w:pPr>
              <w:adjustRightInd w:val="0"/>
              <w:snapToGrid w:val="0"/>
              <w:spacing w:after="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防范措施</w:t>
            </w:r>
          </w:p>
        </w:tc>
        <w:tc>
          <w:tcPr>
            <w:tcW w:w="7325" w:type="dxa"/>
            <w:gridSpan w:val="4"/>
            <w:vAlign w:val="center"/>
          </w:tcPr>
          <w:p w14:paraId="7A769102">
            <w:pPr>
              <w:adjustRightInd w:val="0"/>
              <w:snapToGrid w:val="0"/>
              <w:spacing w:after="0"/>
              <w:rPr>
                <w:rFonts w:cs="宋体"/>
                <w:bCs/>
                <w:color w:val="0D0D0D" w:themeColor="text1" w:themeTint="F2"/>
                <w:szCs w:val="21"/>
                <w14:textFill>
                  <w14:solidFill>
                    <w14:schemeClr w14:val="tx1">
                      <w14:lumMod w14:val="95000"/>
                      <w14:lumOff w14:val="5000"/>
                    </w14:schemeClr>
                  </w14:solidFill>
                </w14:textFill>
              </w:rPr>
            </w:pPr>
            <w:r>
              <w:rPr>
                <w:rFonts w:cs="宋体"/>
                <w:bCs/>
                <w:color w:val="0D0D0D" w:themeColor="text1" w:themeTint="F2"/>
                <w:szCs w:val="21"/>
                <w14:textFill>
                  <w14:solidFill>
                    <w14:schemeClr w14:val="tx1">
                      <w14:lumMod w14:val="95000"/>
                      <w14:lumOff w14:val="5000"/>
                    </w14:schemeClr>
                  </w14:solidFill>
                </w14:textFill>
              </w:rPr>
              <w:t>建设单位组建环保管理机构，配备管理人员，通过技能培训，承担公司运行后的环保工作。根据公司的管理要求，结合国家环境管理要求及项目当地的具体情况，制定公司的各项突发环境事件应急预案、严格的生产操作规则和完善的事故应急计划及相应的应急处理手段和设施，同时加强安全教育，定期进行演练，以</w:t>
            </w:r>
            <w:r>
              <w:rPr>
                <w:rFonts w:hint="eastAsia" w:cs="宋体"/>
                <w:bCs/>
                <w:color w:val="0D0D0D" w:themeColor="text1" w:themeTint="F2"/>
                <w:szCs w:val="21"/>
                <w14:textFill>
                  <w14:solidFill>
                    <w14:schemeClr w14:val="tx1">
                      <w14:lumMod w14:val="95000"/>
                      <w14:lumOff w14:val="5000"/>
                    </w14:schemeClr>
                  </w14:solidFill>
                </w14:textFill>
              </w:rPr>
              <w:t>增强</w:t>
            </w:r>
            <w:r>
              <w:rPr>
                <w:rFonts w:cs="宋体"/>
                <w:bCs/>
                <w:color w:val="0D0D0D" w:themeColor="text1" w:themeTint="F2"/>
                <w:szCs w:val="21"/>
                <w14:textFill>
                  <w14:solidFill>
                    <w14:schemeClr w14:val="tx1">
                      <w14:lumMod w14:val="95000"/>
                      <w14:lumOff w14:val="5000"/>
                    </w14:schemeClr>
                  </w14:solidFill>
                </w14:textFill>
              </w:rPr>
              <w:t>职工的安全意识和应急能力。</w:t>
            </w:r>
          </w:p>
        </w:tc>
      </w:tr>
      <w:tr w14:paraId="784983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35" w:type="dxa"/>
            <w:vAlign w:val="center"/>
          </w:tcPr>
          <w:p w14:paraId="461EC078">
            <w:pPr>
              <w:adjustRightInd w:val="0"/>
              <w:snapToGrid w:val="0"/>
              <w:spacing w:after="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其他环境</w:t>
            </w:r>
          </w:p>
          <w:p w14:paraId="24CA8F84">
            <w:pPr>
              <w:adjustRightInd w:val="0"/>
              <w:snapToGrid w:val="0"/>
              <w:spacing w:after="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管理要求</w:t>
            </w:r>
          </w:p>
        </w:tc>
        <w:tc>
          <w:tcPr>
            <w:tcW w:w="7325" w:type="dxa"/>
            <w:gridSpan w:val="4"/>
            <w:vAlign w:val="center"/>
          </w:tcPr>
          <w:p w14:paraId="09F07F37">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①</w:t>
            </w:r>
            <w:r>
              <w:rPr>
                <w:rFonts w:cs="宋体"/>
                <w:color w:val="0D0D0D" w:themeColor="text1" w:themeTint="F2"/>
                <w:szCs w:val="21"/>
                <w14:textFill>
                  <w14:solidFill>
                    <w14:schemeClr w14:val="tx1">
                      <w14:lumMod w14:val="95000"/>
                      <w14:lumOff w14:val="5000"/>
                    </w14:schemeClr>
                  </w14:solidFill>
                </w14:textFill>
              </w:rPr>
              <w:t>设置专职环境管理人员，提高环境管理人员的环保素质和意识；加强环境保护宣传教育，</w:t>
            </w:r>
            <w:r>
              <w:rPr>
                <w:rFonts w:hint="eastAsia" w:cs="宋体"/>
                <w:color w:val="0D0D0D" w:themeColor="text1" w:themeTint="F2"/>
                <w:szCs w:val="21"/>
                <w14:textFill>
                  <w14:solidFill>
                    <w14:schemeClr w14:val="tx1">
                      <w14:lumMod w14:val="95000"/>
                      <w14:lumOff w14:val="5000"/>
                    </w14:schemeClr>
                  </w14:solidFill>
                </w14:textFill>
              </w:rPr>
              <w:t>增强</w:t>
            </w:r>
            <w:r>
              <w:rPr>
                <w:rFonts w:cs="宋体"/>
                <w:color w:val="0D0D0D" w:themeColor="text1" w:themeTint="F2"/>
                <w:szCs w:val="21"/>
                <w14:textFill>
                  <w14:solidFill>
                    <w14:schemeClr w14:val="tx1">
                      <w14:lumMod w14:val="95000"/>
                      <w14:lumOff w14:val="5000"/>
                    </w14:schemeClr>
                  </w14:solidFill>
                </w14:textFill>
              </w:rPr>
              <w:t>职工环保意识。</w:t>
            </w:r>
          </w:p>
          <w:p w14:paraId="6A4D26A9">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②</w:t>
            </w:r>
            <w:r>
              <w:rPr>
                <w:rFonts w:cs="宋体"/>
                <w:color w:val="0D0D0D" w:themeColor="text1" w:themeTint="F2"/>
                <w:szCs w:val="21"/>
                <w14:textFill>
                  <w14:solidFill>
                    <w14:schemeClr w14:val="tx1">
                      <w14:lumMod w14:val="95000"/>
                      <w14:lumOff w14:val="5000"/>
                    </w14:schemeClr>
                  </w14:solidFill>
                </w14:textFill>
              </w:rPr>
              <w:t>严格执行环境影响评价制度和</w:t>
            </w:r>
            <w:r>
              <w:rPr>
                <w:rFonts w:hint="eastAsia" w:cs="宋体"/>
                <w:color w:val="0D0D0D" w:themeColor="text1" w:themeTint="F2"/>
                <w:szCs w:val="21"/>
                <w14:textFill>
                  <w14:solidFill>
                    <w14:schemeClr w14:val="tx1">
                      <w14:lumMod w14:val="95000"/>
                      <w14:lumOff w14:val="5000"/>
                    </w14:schemeClr>
                  </w14:solidFill>
                </w14:textFill>
              </w:rPr>
              <w:t>“</w:t>
            </w:r>
            <w:r>
              <w:rPr>
                <w:rFonts w:cs="宋体"/>
                <w:color w:val="0D0D0D" w:themeColor="text1" w:themeTint="F2"/>
                <w:szCs w:val="21"/>
                <w14:textFill>
                  <w14:solidFill>
                    <w14:schemeClr w14:val="tx1">
                      <w14:lumMod w14:val="95000"/>
                      <w14:lumOff w14:val="5000"/>
                    </w14:schemeClr>
                  </w14:solidFill>
                </w14:textFill>
              </w:rPr>
              <w:t>三同时</w:t>
            </w:r>
            <w:r>
              <w:rPr>
                <w:rFonts w:hint="eastAsia" w:cs="宋体"/>
                <w:color w:val="0D0D0D" w:themeColor="text1" w:themeTint="F2"/>
                <w:szCs w:val="21"/>
                <w14:textFill>
                  <w14:solidFill>
                    <w14:schemeClr w14:val="tx1">
                      <w14:lumMod w14:val="95000"/>
                      <w14:lumOff w14:val="5000"/>
                    </w14:schemeClr>
                  </w14:solidFill>
                </w14:textFill>
              </w:rPr>
              <w:t>”</w:t>
            </w:r>
            <w:r>
              <w:rPr>
                <w:rFonts w:cs="宋体"/>
                <w:color w:val="0D0D0D" w:themeColor="text1" w:themeTint="F2"/>
                <w:szCs w:val="21"/>
                <w14:textFill>
                  <w14:solidFill>
                    <w14:schemeClr w14:val="tx1">
                      <w14:lumMod w14:val="95000"/>
                      <w14:lumOff w14:val="5000"/>
                    </w14:schemeClr>
                  </w14:solidFill>
                </w14:textFill>
              </w:rPr>
              <w:t>制度，确保污染得到有效预防及控制。</w:t>
            </w:r>
          </w:p>
          <w:p w14:paraId="2CD11EC0">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③</w:t>
            </w:r>
            <w:r>
              <w:rPr>
                <w:rFonts w:cs="宋体"/>
                <w:color w:val="0D0D0D" w:themeColor="text1" w:themeTint="F2"/>
                <w:szCs w:val="21"/>
                <w14:textFill>
                  <w14:solidFill>
                    <w14:schemeClr w14:val="tx1">
                      <w14:lumMod w14:val="95000"/>
                      <w14:lumOff w14:val="5000"/>
                    </w14:schemeClr>
                  </w14:solidFill>
                </w14:textFill>
              </w:rPr>
              <w:t>实行环境管理制度，对各项污染防治措施进行有效监督管理，明确各项污染物达标情况。</w:t>
            </w:r>
          </w:p>
          <w:p w14:paraId="6D95812A">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④</w:t>
            </w:r>
            <w:r>
              <w:rPr>
                <w:rFonts w:cs="宋体"/>
                <w:color w:val="0D0D0D" w:themeColor="text1" w:themeTint="F2"/>
                <w:szCs w:val="21"/>
                <w14:textFill>
                  <w14:solidFill>
                    <w14:schemeClr w14:val="tx1">
                      <w14:lumMod w14:val="95000"/>
                      <w14:lumOff w14:val="5000"/>
                    </w14:schemeClr>
                  </w14:solidFill>
                </w14:textFill>
              </w:rPr>
              <w:t>建立环境保护管理台账，定期检查项目环境保护措施执行情况，定期进行环境保护信息公开。</w:t>
            </w:r>
          </w:p>
          <w:p w14:paraId="1B892B29">
            <w:pPr>
              <w:adjustRightInd w:val="0"/>
              <w:snapToGrid w:val="0"/>
              <w:spacing w:after="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⑤</w:t>
            </w:r>
            <w:r>
              <w:rPr>
                <w:rFonts w:cs="宋体"/>
                <w:color w:val="0D0D0D" w:themeColor="text1" w:themeTint="F2"/>
                <w:szCs w:val="21"/>
                <w14:textFill>
                  <w14:solidFill>
                    <w14:schemeClr w14:val="tx1">
                      <w14:lumMod w14:val="95000"/>
                      <w14:lumOff w14:val="5000"/>
                    </w14:schemeClr>
                  </w14:solidFill>
                </w14:textFill>
              </w:rPr>
              <w:t>根据国家排污许可制度，在投入生产或使用并产生实际排污行为之前落实排污许可，合法排污。</w:t>
            </w:r>
          </w:p>
        </w:tc>
      </w:tr>
    </w:tbl>
    <w:p w14:paraId="37583375">
      <w:pPr>
        <w:pStyle w:val="19"/>
        <w:spacing w:before="0" w:beforeAutospacing="0" w:after="0" w:afterAutospacing="0"/>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r>
        <w:rPr>
          <w:rFonts w:ascii="Times New Roman" w:hAnsi="Times New Roman"/>
          <w:snapToGrid w:val="0"/>
          <w:color w:val="0D0D0D" w:themeColor="text1" w:themeTint="F2"/>
          <w14:textFill>
            <w14:solidFill>
              <w14:schemeClr w14:val="tx1">
                <w14:lumMod w14:val="95000"/>
                <w14:lumOff w14:val="5000"/>
              </w14:schemeClr>
            </w14:solidFill>
          </w14:textFill>
        </w:rPr>
        <w:br w:type="page"/>
      </w:r>
      <w:bookmarkStart w:id="36" w:name="_Toc136522028"/>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六、结论</w:t>
      </w:r>
      <w:bookmarkEnd w:id="36"/>
    </w:p>
    <w:tbl>
      <w:tblPr>
        <w:tblStyle w:val="22"/>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6462A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94" w:hRule="atLeast"/>
          <w:jc w:val="center"/>
        </w:trPr>
        <w:tc>
          <w:tcPr>
            <w:tcW w:w="8865" w:type="dxa"/>
          </w:tcPr>
          <w:p w14:paraId="4DBAE73F">
            <w:pPr>
              <w:spacing w:after="0"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cs="宋体"/>
                <w:color w:val="0D0D0D" w:themeColor="text1" w:themeTint="F2"/>
                <w:sz w:val="24"/>
                <w14:textFill>
                  <w14:solidFill>
                    <w14:schemeClr w14:val="tx1">
                      <w14:lumMod w14:val="95000"/>
                      <w14:lumOff w14:val="5000"/>
                    </w14:schemeClr>
                  </w14:solidFill>
                </w14:textFill>
              </w:rPr>
              <w:t>项目</w:t>
            </w:r>
            <w:r>
              <w:rPr>
                <w:rFonts w:hint="eastAsia" w:cs="宋体"/>
                <w:color w:val="0D0D0D" w:themeColor="text1" w:themeTint="F2"/>
                <w:sz w:val="24"/>
                <w14:textFill>
                  <w14:solidFill>
                    <w14:schemeClr w14:val="tx1">
                      <w14:lumMod w14:val="95000"/>
                      <w14:lumOff w14:val="5000"/>
                    </w14:schemeClr>
                  </w14:solidFill>
                </w14:textFill>
              </w:rPr>
              <w:t>建设</w:t>
            </w:r>
            <w:r>
              <w:rPr>
                <w:rFonts w:cs="宋体"/>
                <w:color w:val="0D0D0D" w:themeColor="text1" w:themeTint="F2"/>
                <w:sz w:val="24"/>
                <w14:textFill>
                  <w14:solidFill>
                    <w14:schemeClr w14:val="tx1">
                      <w14:lumMod w14:val="95000"/>
                      <w14:lumOff w14:val="5000"/>
                    </w14:schemeClr>
                  </w14:solidFill>
                </w14:textFill>
              </w:rPr>
              <w:t>符合国家产业政策，选址符合</w:t>
            </w:r>
            <w:r>
              <w:rPr>
                <w:rFonts w:hint="eastAsia" w:cs="宋体"/>
                <w:color w:val="0D0D0D" w:themeColor="text1" w:themeTint="F2"/>
                <w:sz w:val="24"/>
                <w14:textFill>
                  <w14:solidFill>
                    <w14:schemeClr w14:val="tx1">
                      <w14:lumMod w14:val="95000"/>
                      <w14:lumOff w14:val="5000"/>
                    </w14:schemeClr>
                  </w14:solidFill>
                </w14:textFill>
              </w:rPr>
              <w:t>国土空间</w:t>
            </w:r>
            <w:r>
              <w:rPr>
                <w:rFonts w:cs="宋体"/>
                <w:color w:val="0D0D0D" w:themeColor="text1" w:themeTint="F2"/>
                <w:sz w:val="24"/>
                <w14:textFill>
                  <w14:solidFill>
                    <w14:schemeClr w14:val="tx1">
                      <w14:lumMod w14:val="95000"/>
                      <w14:lumOff w14:val="5000"/>
                    </w14:schemeClr>
                  </w14:solidFill>
                </w14:textFill>
              </w:rPr>
              <w:t>规划</w:t>
            </w:r>
            <w:r>
              <w:rPr>
                <w:rFonts w:hint="eastAsia" w:cs="宋体"/>
                <w:color w:val="0D0D0D" w:themeColor="text1" w:themeTint="F2"/>
                <w:sz w:val="24"/>
                <w14:textFill>
                  <w14:solidFill>
                    <w14:schemeClr w14:val="tx1">
                      <w14:lumMod w14:val="95000"/>
                      <w14:lumOff w14:val="5000"/>
                    </w14:schemeClr>
                  </w14:solidFill>
                </w14:textFill>
              </w:rPr>
              <w:t>要求</w:t>
            </w:r>
            <w:r>
              <w:rPr>
                <w:rFonts w:cs="宋体"/>
                <w:color w:val="0D0D0D" w:themeColor="text1" w:themeTint="F2"/>
                <w:sz w:val="24"/>
                <w14:textFill>
                  <w14:solidFill>
                    <w14:schemeClr w14:val="tx1">
                      <w14:lumMod w14:val="95000"/>
                      <w14:lumOff w14:val="5000"/>
                    </w14:schemeClr>
                  </w14:solidFill>
                </w14:textFill>
              </w:rPr>
              <w:t>，</w:t>
            </w:r>
            <w:r>
              <w:rPr>
                <w:rFonts w:hint="eastAsia" w:cs="宋体"/>
                <w:color w:val="0D0D0D" w:themeColor="text1" w:themeTint="F2"/>
                <w:sz w:val="24"/>
                <w14:textFill>
                  <w14:solidFill>
                    <w14:schemeClr w14:val="tx1">
                      <w14:lumMod w14:val="95000"/>
                      <w14:lumOff w14:val="5000"/>
                    </w14:schemeClr>
                  </w14:solidFill>
                </w14:textFill>
              </w:rPr>
              <w:t>符合“三线一单”和“三区三线”管控要求，</w:t>
            </w:r>
            <w:r>
              <w:rPr>
                <w:rFonts w:cs="宋体"/>
                <w:color w:val="0D0D0D" w:themeColor="text1" w:themeTint="F2"/>
                <w:sz w:val="24"/>
                <w14:textFill>
                  <w14:solidFill>
                    <w14:schemeClr w14:val="tx1">
                      <w14:lumMod w14:val="95000"/>
                      <w14:lumOff w14:val="5000"/>
                    </w14:schemeClr>
                  </w14:solidFill>
                </w14:textFill>
              </w:rPr>
              <w:t>在采取合理有效的污染防治措施后，可以确保污染物达标排放。项目建设及运行排放的污染物对大气</w:t>
            </w:r>
            <w:r>
              <w:rPr>
                <w:rFonts w:hint="eastAsia" w:cs="宋体"/>
                <w:color w:val="0D0D0D" w:themeColor="text1" w:themeTint="F2"/>
                <w:sz w:val="24"/>
                <w14:textFill>
                  <w14:solidFill>
                    <w14:schemeClr w14:val="tx1">
                      <w14:lumMod w14:val="95000"/>
                      <w14:lumOff w14:val="5000"/>
                    </w14:schemeClr>
                  </w14:solidFill>
                </w14:textFill>
              </w:rPr>
              <w:t>环境</w:t>
            </w:r>
            <w:r>
              <w:rPr>
                <w:rFonts w:cs="宋体"/>
                <w:color w:val="0D0D0D" w:themeColor="text1" w:themeTint="F2"/>
                <w:sz w:val="24"/>
                <w14:textFill>
                  <w14:solidFill>
                    <w14:schemeClr w14:val="tx1">
                      <w14:lumMod w14:val="95000"/>
                      <w14:lumOff w14:val="5000"/>
                    </w14:schemeClr>
                  </w14:solidFill>
                </w14:textFill>
              </w:rPr>
              <w:t>、声环境、水环境及生态环境等影响较小，不会改变区域环境功能。因此，在严格落实各项环保措施、环保</w:t>
            </w:r>
            <w:r>
              <w:rPr>
                <w:rFonts w:hint="eastAsia" w:cs="宋体"/>
                <w:color w:val="0D0D0D" w:themeColor="text1" w:themeTint="F2"/>
                <w:sz w:val="24"/>
                <w14:textFill>
                  <w14:solidFill>
                    <w14:schemeClr w14:val="tx1">
                      <w14:lumMod w14:val="95000"/>
                      <w14:lumOff w14:val="5000"/>
                    </w14:schemeClr>
                  </w14:solidFill>
                </w14:textFill>
              </w:rPr>
              <w:t>“</w:t>
            </w:r>
            <w:r>
              <w:rPr>
                <w:rFonts w:cs="宋体"/>
                <w:color w:val="0D0D0D" w:themeColor="text1" w:themeTint="F2"/>
                <w:sz w:val="24"/>
                <w14:textFill>
                  <w14:solidFill>
                    <w14:schemeClr w14:val="tx1">
                      <w14:lumMod w14:val="95000"/>
                      <w14:lumOff w14:val="5000"/>
                    </w14:schemeClr>
                  </w14:solidFill>
                </w14:textFill>
              </w:rPr>
              <w:t>三同时</w:t>
            </w:r>
            <w:r>
              <w:rPr>
                <w:rFonts w:hint="eastAsia" w:cs="宋体"/>
                <w:color w:val="0D0D0D" w:themeColor="text1" w:themeTint="F2"/>
                <w:sz w:val="24"/>
                <w14:textFill>
                  <w14:solidFill>
                    <w14:schemeClr w14:val="tx1">
                      <w14:lumMod w14:val="95000"/>
                      <w14:lumOff w14:val="5000"/>
                    </w14:schemeClr>
                  </w14:solidFill>
                </w14:textFill>
              </w:rPr>
              <w:t>”</w:t>
            </w:r>
            <w:r>
              <w:rPr>
                <w:rFonts w:cs="宋体"/>
                <w:color w:val="0D0D0D" w:themeColor="text1" w:themeTint="F2"/>
                <w:sz w:val="24"/>
                <w14:textFill>
                  <w14:solidFill>
                    <w14:schemeClr w14:val="tx1">
                      <w14:lumMod w14:val="95000"/>
                      <w14:lumOff w14:val="5000"/>
                    </w14:schemeClr>
                  </w14:solidFill>
                </w14:textFill>
              </w:rPr>
              <w:t>制度的前提下，从环境保护的角度，本项目建设是可行的。</w:t>
            </w:r>
          </w:p>
        </w:tc>
      </w:tr>
    </w:tbl>
    <w:p w14:paraId="1CD02608">
      <w:pPr>
        <w:widowControl/>
        <w:adjustRightInd w:val="0"/>
        <w:snapToGrid w:val="0"/>
        <w:spacing w:after="0" w:line="648" w:lineRule="auto"/>
        <w:jc w:val="left"/>
        <w:outlineLvl w:val="0"/>
        <w:rPr>
          <w:snapToGrid w:val="0"/>
          <w:color w:val="0D0D0D" w:themeColor="text1" w:themeTint="F2"/>
          <w:kern w:val="0"/>
          <w:sz w:val="32"/>
          <w:szCs w:val="32"/>
          <w14:textFill>
            <w14:solidFill>
              <w14:schemeClr w14:val="tx1">
                <w14:lumMod w14:val="95000"/>
                <w14:lumOff w14:val="5000"/>
              </w14:schemeClr>
            </w14:solidFill>
          </w14:textFill>
        </w:rPr>
        <w:sectPr>
          <w:footerReference r:id="rId8" w:type="default"/>
          <w:pgSz w:w="11906" w:h="16838"/>
          <w:pgMar w:top="1701" w:right="1531" w:bottom="1701" w:left="1531" w:header="851" w:footer="851" w:gutter="0"/>
          <w:cols w:space="720" w:num="1"/>
          <w:docGrid w:linePitch="312" w:charSpace="0"/>
        </w:sectPr>
      </w:pPr>
    </w:p>
    <w:p w14:paraId="784FC4A3">
      <w:pPr>
        <w:widowControl/>
        <w:adjustRightInd w:val="0"/>
        <w:snapToGrid w:val="0"/>
        <w:spacing w:after="0" w:line="360" w:lineRule="auto"/>
        <w:jc w:val="center"/>
        <w:outlineLvl w:val="0"/>
        <w:rPr>
          <w:snapToGrid w:val="0"/>
          <w:color w:val="0D0D0D" w:themeColor="text1" w:themeTint="F2"/>
          <w:kern w:val="0"/>
          <w:sz w:val="38"/>
          <w:szCs w:val="38"/>
          <w14:textFill>
            <w14:solidFill>
              <w14:schemeClr w14:val="tx1">
                <w14:lumMod w14:val="95000"/>
                <w14:lumOff w14:val="5000"/>
              </w14:schemeClr>
            </w14:solidFill>
          </w14:textFill>
        </w:rPr>
      </w:pPr>
      <w:bookmarkStart w:id="37" w:name="_Toc136522029"/>
      <w:r>
        <w:rPr>
          <w:rFonts w:hint="eastAsia"/>
          <w:snapToGrid w:val="0"/>
          <w:color w:val="0D0D0D" w:themeColor="text1" w:themeTint="F2"/>
          <w:kern w:val="0"/>
          <w:sz w:val="38"/>
          <w:szCs w:val="38"/>
          <w14:textFill>
            <w14:solidFill>
              <w14:schemeClr w14:val="tx1">
                <w14:lumMod w14:val="95000"/>
                <w14:lumOff w14:val="5000"/>
              </w14:schemeClr>
            </w14:solidFill>
          </w14:textFill>
        </w:rPr>
        <w:t>建设项目污染物排放量汇总表</w:t>
      </w:r>
      <w:bookmarkEnd w:id="37"/>
    </w:p>
    <w:tbl>
      <w:tblPr>
        <w:tblStyle w:val="22"/>
        <w:tblW w:w="14077"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2017"/>
        <w:gridCol w:w="1701"/>
        <w:gridCol w:w="1276"/>
        <w:gridCol w:w="1701"/>
        <w:gridCol w:w="1559"/>
        <w:gridCol w:w="1761"/>
        <w:gridCol w:w="1887"/>
        <w:gridCol w:w="898"/>
      </w:tblGrid>
      <w:tr w14:paraId="0D6B2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tcMar>
              <w:left w:w="28" w:type="dxa"/>
              <w:right w:w="28" w:type="dxa"/>
            </w:tcMar>
            <w:vAlign w:val="center"/>
          </w:tcPr>
          <w:p w14:paraId="2737A936">
            <w:pPr>
              <w:adjustRightInd w:val="0"/>
              <w:snapToGrid w:val="0"/>
              <w:spacing w:after="0"/>
              <w:jc w:val="center"/>
              <w:rPr>
                <w:rFonts w:cs="宋体"/>
                <w:snapToGrid w:val="0"/>
                <w:color w:val="0D0D0D" w:themeColor="text1" w:themeTint="F2"/>
                <w:spacing w:val="-6"/>
                <w:kern w:val="21"/>
                <w:szCs w:val="21"/>
                <w14:textFill>
                  <w14:solidFill>
                    <w14:schemeClr w14:val="tx1">
                      <w14:lumMod w14:val="95000"/>
                      <w14:lumOff w14:val="5000"/>
                    </w14:schemeClr>
                  </w14:solidFill>
                </w14:textFill>
              </w:rPr>
            </w:pPr>
            <w:r>
              <w:rPr>
                <w:rFonts w:hint="eastAsia" w:cs="宋体"/>
                <w:snapToGrid w:val="0"/>
                <w:color w:val="0D0D0D" w:themeColor="text1" w:themeTint="F2"/>
                <w:spacing w:val="-6"/>
                <w:kern w:val="21"/>
                <w:szCs w:val="21"/>
                <w14:textFill>
                  <w14:solidFill>
                    <w14:schemeClr w14:val="tx1">
                      <w14:lumMod w14:val="95000"/>
                      <w14:lumOff w14:val="5000"/>
                    </w14:schemeClr>
                  </w14:solidFill>
                </w14:textFill>
              </w:rPr>
              <w:t>项目分类</w:t>
            </w:r>
          </w:p>
        </w:tc>
        <w:tc>
          <w:tcPr>
            <w:tcW w:w="2017" w:type="dxa"/>
            <w:tcMar>
              <w:left w:w="28" w:type="dxa"/>
              <w:right w:w="28" w:type="dxa"/>
            </w:tcMar>
            <w:vAlign w:val="center"/>
          </w:tcPr>
          <w:p w14:paraId="1D634A2C">
            <w:pPr>
              <w:adjustRightInd w:val="0"/>
              <w:snapToGrid w:val="0"/>
              <w:spacing w:after="0"/>
              <w:jc w:val="center"/>
              <w:rPr>
                <w:rFonts w:cs="宋体"/>
                <w:snapToGrid w:val="0"/>
                <w:color w:val="0D0D0D" w:themeColor="text1" w:themeTint="F2"/>
                <w:spacing w:val="-6"/>
                <w:kern w:val="21"/>
                <w:szCs w:val="21"/>
                <w14:textFill>
                  <w14:solidFill>
                    <w14:schemeClr w14:val="tx1">
                      <w14:lumMod w14:val="95000"/>
                      <w14:lumOff w14:val="5000"/>
                    </w14:schemeClr>
                  </w14:solidFill>
                </w14:textFill>
              </w:rPr>
            </w:pPr>
            <w:r>
              <w:rPr>
                <w:rFonts w:hint="eastAsia" w:cs="宋体"/>
                <w:snapToGrid w:val="0"/>
                <w:color w:val="0D0D0D" w:themeColor="text1" w:themeTint="F2"/>
                <w:spacing w:val="-6"/>
                <w:kern w:val="21"/>
                <w:szCs w:val="21"/>
                <w14:textFill>
                  <w14:solidFill>
                    <w14:schemeClr w14:val="tx1">
                      <w14:lumMod w14:val="95000"/>
                      <w14:lumOff w14:val="5000"/>
                    </w14:schemeClr>
                  </w14:solidFill>
                </w14:textFill>
              </w:rPr>
              <w:t>污染物名称</w:t>
            </w:r>
          </w:p>
        </w:tc>
        <w:tc>
          <w:tcPr>
            <w:tcW w:w="1701" w:type="dxa"/>
            <w:tcMar>
              <w:left w:w="28" w:type="dxa"/>
              <w:right w:w="28" w:type="dxa"/>
            </w:tcMar>
            <w:vAlign w:val="center"/>
          </w:tcPr>
          <w:p w14:paraId="05212D64">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现有工程</w:t>
            </w:r>
          </w:p>
          <w:p w14:paraId="64D6F9AB">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6"/>
                <w:kern w:val="21"/>
                <w:szCs w:val="21"/>
                <w14:textFill>
                  <w14:solidFill>
                    <w14:schemeClr w14:val="tx1">
                      <w14:lumMod w14:val="95000"/>
                      <w14:lumOff w14:val="5000"/>
                    </w14:schemeClr>
                  </w14:solidFill>
                </w14:textFill>
              </w:rPr>
              <w:t>体</w:t>
            </w:r>
            <w:r>
              <w:rPr>
                <w:snapToGrid w:val="0"/>
                <w:color w:val="0D0D0D" w:themeColor="text1" w:themeTint="F2"/>
                <w:spacing w:val="-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6"/>
                <w:kern w:val="21"/>
                <w:szCs w:val="21"/>
                <w14:textFill>
                  <w14:solidFill>
                    <w14:schemeClr w14:val="tx1">
                      <w14:lumMod w14:val="95000"/>
                      <w14:lumOff w14:val="5000"/>
                    </w14:schemeClr>
                  </w14:solidFill>
                </w14:textFill>
              </w:rPr>
              <w:t>物</w:t>
            </w:r>
            <w:r>
              <w:rPr>
                <w:snapToGrid w:val="0"/>
                <w:color w:val="0D0D0D" w:themeColor="text1" w:themeTint="F2"/>
                <w:spacing w:val="-6"/>
                <w:kern w:val="21"/>
                <w:szCs w:val="21"/>
                <w14:textFill>
                  <w14:solidFill>
                    <w14:schemeClr w14:val="tx1">
                      <w14:lumMod w14:val="95000"/>
                      <w14:lumOff w14:val="5000"/>
                    </w14:schemeClr>
                  </w14:solidFill>
                </w14:textFill>
              </w:rPr>
              <w:t>产生量）</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1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①</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276" w:type="dxa"/>
            <w:tcMar>
              <w:left w:w="28" w:type="dxa"/>
              <w:right w:w="28" w:type="dxa"/>
            </w:tcMar>
            <w:vAlign w:val="center"/>
          </w:tcPr>
          <w:p w14:paraId="2634F2A2">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现有工程</w:t>
            </w:r>
          </w:p>
          <w:p w14:paraId="584CFEB3">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许可排放量</w:t>
            </w:r>
          </w:p>
          <w:p w14:paraId="1CD40EAB">
            <w:pPr>
              <w:adjustRightInd w:val="0"/>
              <w:snapToGrid w:val="0"/>
              <w:spacing w:after="0" w:line="259" w:lineRule="auto"/>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2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snapToGrid w:val="0"/>
                <w:color w:val="0D0D0D" w:themeColor="text1" w:themeTint="F2"/>
                <w:spacing w:val="-6"/>
                <w:kern w:val="21"/>
                <w:szCs w:val="21"/>
                <w14:textFill>
                  <w14:solidFill>
                    <w14:schemeClr w14:val="tx1">
                      <w14:lumMod w14:val="95000"/>
                      <w14:lumOff w14:val="5000"/>
                    </w14:schemeClr>
                  </w14:solidFill>
                </w14:textFill>
              </w:rPr>
              <w:t>②</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701" w:type="dxa"/>
            <w:tcMar>
              <w:left w:w="28" w:type="dxa"/>
              <w:right w:w="28" w:type="dxa"/>
            </w:tcMar>
            <w:vAlign w:val="center"/>
          </w:tcPr>
          <w:p w14:paraId="0E437058">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在建工程</w:t>
            </w:r>
          </w:p>
          <w:p w14:paraId="4C39989D">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6"/>
                <w:kern w:val="21"/>
                <w:szCs w:val="21"/>
                <w14:textFill>
                  <w14:solidFill>
                    <w14:schemeClr w14:val="tx1">
                      <w14:lumMod w14:val="95000"/>
                      <w14:lumOff w14:val="5000"/>
                    </w14:schemeClr>
                  </w14:solidFill>
                </w14:textFill>
              </w:rPr>
              <w:t>体</w:t>
            </w:r>
            <w:r>
              <w:rPr>
                <w:snapToGrid w:val="0"/>
                <w:color w:val="0D0D0D" w:themeColor="text1" w:themeTint="F2"/>
                <w:spacing w:val="-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6"/>
                <w:kern w:val="21"/>
                <w:szCs w:val="21"/>
                <w14:textFill>
                  <w14:solidFill>
                    <w14:schemeClr w14:val="tx1">
                      <w14:lumMod w14:val="95000"/>
                      <w14:lumOff w14:val="5000"/>
                    </w14:schemeClr>
                  </w14:solidFill>
                </w14:textFill>
              </w:rPr>
              <w:t>物</w:t>
            </w:r>
            <w:r>
              <w:rPr>
                <w:snapToGrid w:val="0"/>
                <w:color w:val="0D0D0D" w:themeColor="text1" w:themeTint="F2"/>
                <w:spacing w:val="-6"/>
                <w:kern w:val="21"/>
                <w:szCs w:val="21"/>
                <w14:textFill>
                  <w14:solidFill>
                    <w14:schemeClr w14:val="tx1">
                      <w14:lumMod w14:val="95000"/>
                      <w14:lumOff w14:val="5000"/>
                    </w14:schemeClr>
                  </w14:solidFill>
                </w14:textFill>
              </w:rPr>
              <w:t>产生量）</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3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③</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559" w:type="dxa"/>
            <w:tcMar>
              <w:left w:w="28" w:type="dxa"/>
              <w:right w:w="28" w:type="dxa"/>
            </w:tcMar>
            <w:vAlign w:val="center"/>
          </w:tcPr>
          <w:p w14:paraId="58A0A529">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本项目</w:t>
            </w:r>
          </w:p>
          <w:p w14:paraId="25ED05D7">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6"/>
                <w:kern w:val="21"/>
                <w:szCs w:val="21"/>
                <w14:textFill>
                  <w14:solidFill>
                    <w14:schemeClr w14:val="tx1">
                      <w14:lumMod w14:val="95000"/>
                      <w14:lumOff w14:val="5000"/>
                    </w14:schemeClr>
                  </w14:solidFill>
                </w14:textFill>
              </w:rPr>
              <w:t>体</w:t>
            </w:r>
            <w:r>
              <w:rPr>
                <w:snapToGrid w:val="0"/>
                <w:color w:val="0D0D0D" w:themeColor="text1" w:themeTint="F2"/>
                <w:spacing w:val="-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6"/>
                <w:kern w:val="21"/>
                <w:szCs w:val="21"/>
                <w14:textFill>
                  <w14:solidFill>
                    <w14:schemeClr w14:val="tx1">
                      <w14:lumMod w14:val="95000"/>
                      <w14:lumOff w14:val="5000"/>
                    </w14:schemeClr>
                  </w14:solidFill>
                </w14:textFill>
              </w:rPr>
              <w:t>物</w:t>
            </w:r>
            <w:r>
              <w:rPr>
                <w:snapToGrid w:val="0"/>
                <w:color w:val="0D0D0D" w:themeColor="text1" w:themeTint="F2"/>
                <w:spacing w:val="-6"/>
                <w:kern w:val="21"/>
                <w:szCs w:val="21"/>
                <w14:textFill>
                  <w14:solidFill>
                    <w14:schemeClr w14:val="tx1">
                      <w14:lumMod w14:val="95000"/>
                      <w14:lumOff w14:val="5000"/>
                    </w14:schemeClr>
                  </w14:solidFill>
                </w14:textFill>
              </w:rPr>
              <w:t>产生量）</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4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④</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761" w:type="dxa"/>
            <w:tcMar>
              <w:left w:w="28" w:type="dxa"/>
              <w:right w:w="28" w:type="dxa"/>
            </w:tcMar>
            <w:vAlign w:val="center"/>
          </w:tcPr>
          <w:p w14:paraId="1105CAD2">
            <w:pPr>
              <w:adjustRightInd w:val="0"/>
              <w:snapToGrid w:val="0"/>
              <w:spacing w:after="0"/>
              <w:jc w:val="center"/>
              <w:rPr>
                <w:snapToGrid w:val="0"/>
                <w:color w:val="0D0D0D" w:themeColor="text1" w:themeTint="F2"/>
                <w:spacing w:val="-16"/>
                <w:kern w:val="21"/>
                <w:szCs w:val="21"/>
                <w14:textFill>
                  <w14:solidFill>
                    <w14:schemeClr w14:val="tx1">
                      <w14:lumMod w14:val="95000"/>
                      <w14:lumOff w14:val="5000"/>
                    </w14:schemeClr>
                  </w14:solidFill>
                </w14:textFill>
              </w:rPr>
            </w:pPr>
            <w:r>
              <w:rPr>
                <w:snapToGrid w:val="0"/>
                <w:color w:val="0D0D0D" w:themeColor="text1" w:themeTint="F2"/>
                <w:spacing w:val="-16"/>
                <w:kern w:val="21"/>
                <w:szCs w:val="21"/>
                <w14:textFill>
                  <w14:solidFill>
                    <w14:schemeClr w14:val="tx1">
                      <w14:lumMod w14:val="95000"/>
                      <w14:lumOff w14:val="5000"/>
                    </w14:schemeClr>
                  </w14:solidFill>
                </w14:textFill>
              </w:rPr>
              <w:t>以新带老削减量</w:t>
            </w:r>
          </w:p>
          <w:p w14:paraId="2642993B">
            <w:pPr>
              <w:adjustRightInd w:val="0"/>
              <w:snapToGrid w:val="0"/>
              <w:spacing w:after="0"/>
              <w:jc w:val="center"/>
              <w:rPr>
                <w:snapToGrid w:val="0"/>
                <w:color w:val="0D0D0D" w:themeColor="text1" w:themeTint="F2"/>
                <w:spacing w:val="-16"/>
                <w:kern w:val="21"/>
                <w:szCs w:val="21"/>
                <w14:textFill>
                  <w14:solidFill>
                    <w14:schemeClr w14:val="tx1">
                      <w14:lumMod w14:val="95000"/>
                      <w14:lumOff w14:val="5000"/>
                    </w14:schemeClr>
                  </w14:solidFill>
                </w14:textFill>
              </w:rPr>
            </w:pPr>
            <w:r>
              <w:rPr>
                <w:snapToGrid w:val="0"/>
                <w:color w:val="0D0D0D" w:themeColor="text1" w:themeTint="F2"/>
                <w:spacing w:val="-16"/>
                <w:kern w:val="21"/>
                <w:szCs w:val="21"/>
                <w14:textFill>
                  <w14:solidFill>
                    <w14:schemeClr w14:val="tx1">
                      <w14:lumMod w14:val="95000"/>
                      <w14:lumOff w14:val="5000"/>
                    </w14:schemeClr>
                  </w14:solidFill>
                </w14:textFill>
              </w:rPr>
              <w:t>（新建项目不填）</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5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⑤</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p>
        </w:tc>
        <w:tc>
          <w:tcPr>
            <w:tcW w:w="1887" w:type="dxa"/>
            <w:tcMar>
              <w:left w:w="28" w:type="dxa"/>
              <w:right w:w="28" w:type="dxa"/>
            </w:tcMar>
            <w:vAlign w:val="center"/>
          </w:tcPr>
          <w:p w14:paraId="63FD3616">
            <w:pPr>
              <w:adjustRightInd w:val="0"/>
              <w:snapToGrid w:val="0"/>
              <w:spacing w:after="0"/>
              <w:jc w:val="center"/>
              <w:rPr>
                <w:snapToGrid w:val="0"/>
                <w:color w:val="0D0D0D" w:themeColor="text1" w:themeTint="F2"/>
                <w:spacing w:val="-16"/>
                <w:kern w:val="21"/>
                <w:szCs w:val="21"/>
                <w14:textFill>
                  <w14:solidFill>
                    <w14:schemeClr w14:val="tx1">
                      <w14:lumMod w14:val="95000"/>
                      <w14:lumOff w14:val="5000"/>
                    </w14:schemeClr>
                  </w14:solidFill>
                </w14:textFill>
              </w:rPr>
            </w:pPr>
            <w:r>
              <w:rPr>
                <w:snapToGrid w:val="0"/>
                <w:color w:val="0D0D0D" w:themeColor="text1" w:themeTint="F2"/>
                <w:spacing w:val="-16"/>
                <w:kern w:val="21"/>
                <w:szCs w:val="21"/>
                <w14:textFill>
                  <w14:solidFill>
                    <w14:schemeClr w14:val="tx1">
                      <w14:lumMod w14:val="95000"/>
                      <w14:lumOff w14:val="5000"/>
                    </w14:schemeClr>
                  </w14:solidFill>
                </w14:textFill>
              </w:rPr>
              <w:t>本项目建成后</w:t>
            </w:r>
          </w:p>
          <w:p w14:paraId="0410D90A">
            <w:pPr>
              <w:adjustRightInd w:val="0"/>
              <w:snapToGrid w:val="0"/>
              <w:spacing w:after="0"/>
              <w:jc w:val="center"/>
              <w:rPr>
                <w:snapToGrid w:val="0"/>
                <w:color w:val="0D0D0D" w:themeColor="text1" w:themeTint="F2"/>
                <w:spacing w:val="-16"/>
                <w:kern w:val="21"/>
                <w:szCs w:val="21"/>
                <w14:textFill>
                  <w14:solidFill>
                    <w14:schemeClr w14:val="tx1">
                      <w14:lumMod w14:val="95000"/>
                      <w14:lumOff w14:val="5000"/>
                    </w14:schemeClr>
                  </w14:solidFill>
                </w14:textFill>
              </w:rPr>
            </w:pPr>
            <w:r>
              <w:rPr>
                <w:rFonts w:hint="eastAsia"/>
                <w:snapToGrid w:val="0"/>
                <w:color w:val="0D0D0D" w:themeColor="text1" w:themeTint="F2"/>
                <w:spacing w:val="-16"/>
                <w:kern w:val="21"/>
                <w:szCs w:val="21"/>
                <w14:textFill>
                  <w14:solidFill>
                    <w14:schemeClr w14:val="tx1">
                      <w14:lumMod w14:val="95000"/>
                      <w14:lumOff w14:val="5000"/>
                    </w14:schemeClr>
                  </w14:solidFill>
                </w14:textFill>
              </w:rPr>
              <w:t>全厂</w:t>
            </w:r>
            <w:r>
              <w:rPr>
                <w:snapToGrid w:val="0"/>
                <w:color w:val="0D0D0D" w:themeColor="text1" w:themeTint="F2"/>
                <w:spacing w:val="-1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16"/>
                <w:kern w:val="21"/>
                <w:szCs w:val="21"/>
                <w14:textFill>
                  <w14:solidFill>
                    <w14:schemeClr w14:val="tx1">
                      <w14:lumMod w14:val="95000"/>
                      <w14:lumOff w14:val="5000"/>
                    </w14:schemeClr>
                  </w14:solidFill>
                </w14:textFill>
              </w:rPr>
              <w:t>体</w:t>
            </w:r>
            <w:r>
              <w:rPr>
                <w:snapToGrid w:val="0"/>
                <w:color w:val="0D0D0D" w:themeColor="text1" w:themeTint="F2"/>
                <w:spacing w:val="-1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16"/>
                <w:kern w:val="21"/>
                <w:szCs w:val="21"/>
                <w14:textFill>
                  <w14:solidFill>
                    <w14:schemeClr w14:val="tx1">
                      <w14:lumMod w14:val="95000"/>
                      <w14:lumOff w14:val="5000"/>
                    </w14:schemeClr>
                  </w14:solidFill>
                </w14:textFill>
              </w:rPr>
              <w:t>物</w:t>
            </w:r>
            <w:r>
              <w:rPr>
                <w:snapToGrid w:val="0"/>
                <w:color w:val="0D0D0D" w:themeColor="text1" w:themeTint="F2"/>
                <w:spacing w:val="-16"/>
                <w:kern w:val="21"/>
                <w:szCs w:val="21"/>
                <w14:textFill>
                  <w14:solidFill>
                    <w14:schemeClr w14:val="tx1">
                      <w14:lumMod w14:val="95000"/>
                      <w14:lumOff w14:val="5000"/>
                    </w14:schemeClr>
                  </w14:solidFill>
                </w14:textFill>
              </w:rPr>
              <w:t>产生量）</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6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⑥</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p>
        </w:tc>
        <w:tc>
          <w:tcPr>
            <w:tcW w:w="898" w:type="dxa"/>
            <w:tcMar>
              <w:left w:w="28" w:type="dxa"/>
              <w:right w:w="28" w:type="dxa"/>
            </w:tcMar>
            <w:vAlign w:val="center"/>
          </w:tcPr>
          <w:p w14:paraId="15630F74">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变化量</w:t>
            </w:r>
          </w:p>
          <w:p w14:paraId="14549F2C">
            <w:pPr>
              <w:adjustRightInd w:val="0"/>
              <w:snapToGrid w:val="0"/>
              <w:spacing w:after="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7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⑦</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r>
      <w:tr w14:paraId="013F0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restart"/>
            <w:vAlign w:val="center"/>
          </w:tcPr>
          <w:p w14:paraId="61BCF80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废气</w:t>
            </w:r>
          </w:p>
        </w:tc>
        <w:tc>
          <w:tcPr>
            <w:tcW w:w="2017" w:type="dxa"/>
            <w:vAlign w:val="center"/>
          </w:tcPr>
          <w:p w14:paraId="2983A3B8">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颗粒物</w:t>
            </w:r>
          </w:p>
        </w:tc>
        <w:tc>
          <w:tcPr>
            <w:tcW w:w="1701" w:type="dxa"/>
            <w:vAlign w:val="center"/>
          </w:tcPr>
          <w:p w14:paraId="3A2CA3C2">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276" w:type="dxa"/>
            <w:vAlign w:val="center"/>
          </w:tcPr>
          <w:p w14:paraId="5D93221E">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701" w:type="dxa"/>
            <w:vAlign w:val="center"/>
          </w:tcPr>
          <w:p w14:paraId="7090AE2A">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559" w:type="dxa"/>
            <w:vAlign w:val="center"/>
          </w:tcPr>
          <w:p w14:paraId="79767638">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0.52</w:t>
            </w:r>
          </w:p>
        </w:tc>
        <w:tc>
          <w:tcPr>
            <w:tcW w:w="1761" w:type="dxa"/>
            <w:vAlign w:val="center"/>
          </w:tcPr>
          <w:p w14:paraId="50A23103">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887" w:type="dxa"/>
            <w:vAlign w:val="center"/>
          </w:tcPr>
          <w:p w14:paraId="793F24DD">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0.52</w:t>
            </w:r>
          </w:p>
        </w:tc>
        <w:tc>
          <w:tcPr>
            <w:tcW w:w="898" w:type="dxa"/>
            <w:vAlign w:val="center"/>
          </w:tcPr>
          <w:p w14:paraId="06763E41">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+0.52</w:t>
            </w:r>
          </w:p>
        </w:tc>
      </w:tr>
      <w:tr w14:paraId="0A520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695A6AD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4CC20FE0">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非甲烷总烃</w:t>
            </w:r>
          </w:p>
        </w:tc>
        <w:tc>
          <w:tcPr>
            <w:tcW w:w="1701" w:type="dxa"/>
            <w:vAlign w:val="center"/>
          </w:tcPr>
          <w:p w14:paraId="4BE7F225">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1C415341">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1123A7F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1FEFE09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1.47</w:t>
            </w:r>
          </w:p>
        </w:tc>
        <w:tc>
          <w:tcPr>
            <w:tcW w:w="1761" w:type="dxa"/>
            <w:vAlign w:val="center"/>
          </w:tcPr>
          <w:p w14:paraId="5088A2C1">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24D8970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1.47</w:t>
            </w:r>
          </w:p>
        </w:tc>
        <w:tc>
          <w:tcPr>
            <w:tcW w:w="898" w:type="dxa"/>
            <w:vAlign w:val="center"/>
          </w:tcPr>
          <w:p w14:paraId="242714B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+1.47</w:t>
            </w:r>
          </w:p>
        </w:tc>
      </w:tr>
      <w:tr w14:paraId="11EC2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0901B33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2145F3F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二甲苯</w:t>
            </w:r>
          </w:p>
        </w:tc>
        <w:tc>
          <w:tcPr>
            <w:tcW w:w="1701" w:type="dxa"/>
            <w:vAlign w:val="center"/>
          </w:tcPr>
          <w:p w14:paraId="13AE200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1A0F94B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62C8369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35E26AF0">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0.81</w:t>
            </w:r>
          </w:p>
        </w:tc>
        <w:tc>
          <w:tcPr>
            <w:tcW w:w="1761" w:type="dxa"/>
            <w:vAlign w:val="center"/>
          </w:tcPr>
          <w:p w14:paraId="4A2D423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4553222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0.81</w:t>
            </w:r>
          </w:p>
        </w:tc>
        <w:tc>
          <w:tcPr>
            <w:tcW w:w="898" w:type="dxa"/>
            <w:vAlign w:val="center"/>
          </w:tcPr>
          <w:p w14:paraId="215340D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+0.81</w:t>
            </w:r>
          </w:p>
        </w:tc>
      </w:tr>
      <w:tr w14:paraId="33746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restart"/>
            <w:vAlign w:val="center"/>
          </w:tcPr>
          <w:p w14:paraId="2B6075C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废水</w:t>
            </w:r>
          </w:p>
        </w:tc>
        <w:tc>
          <w:tcPr>
            <w:tcW w:w="2017" w:type="dxa"/>
            <w:vAlign w:val="center"/>
          </w:tcPr>
          <w:p w14:paraId="2E926B7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C</w:t>
            </w:r>
            <w:r>
              <w:rPr>
                <w:rFonts w:cs="宋体"/>
                <w:snapToGrid w:val="0"/>
                <w:color w:val="0D0D0D" w:themeColor="text1" w:themeTint="F2"/>
                <w:kern w:val="21"/>
                <w:szCs w:val="21"/>
                <w14:textFill>
                  <w14:solidFill>
                    <w14:schemeClr w14:val="tx1">
                      <w14:lumMod w14:val="95000"/>
                      <w14:lumOff w14:val="5000"/>
                    </w14:schemeClr>
                  </w14:solidFill>
                </w14:textFill>
              </w:rPr>
              <w:t>OD</w:t>
            </w:r>
            <w:r>
              <w:rPr>
                <w:rFonts w:hint="eastAsia" w:cs="宋体"/>
                <w:snapToGrid w:val="0"/>
                <w:color w:val="0D0D0D" w:themeColor="text1" w:themeTint="F2"/>
                <w:kern w:val="21"/>
                <w:szCs w:val="21"/>
                <w14:textFill>
                  <w14:solidFill>
                    <w14:schemeClr w14:val="tx1">
                      <w14:lumMod w14:val="95000"/>
                      <w14:lumOff w14:val="5000"/>
                    </w14:schemeClr>
                  </w14:solidFill>
                </w14:textFill>
              </w:rPr>
              <w:t>cr</w:t>
            </w:r>
          </w:p>
        </w:tc>
        <w:tc>
          <w:tcPr>
            <w:tcW w:w="1701" w:type="dxa"/>
            <w:vAlign w:val="center"/>
          </w:tcPr>
          <w:p w14:paraId="4230B155">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610FD73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37BFD11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54C61C9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0.96</w:t>
            </w:r>
          </w:p>
        </w:tc>
        <w:tc>
          <w:tcPr>
            <w:tcW w:w="1761" w:type="dxa"/>
            <w:vAlign w:val="center"/>
          </w:tcPr>
          <w:p w14:paraId="4F441C55">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02FFC14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0.96</w:t>
            </w:r>
          </w:p>
        </w:tc>
        <w:tc>
          <w:tcPr>
            <w:tcW w:w="898" w:type="dxa"/>
            <w:vAlign w:val="center"/>
          </w:tcPr>
          <w:p w14:paraId="28A740F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+0.96</w:t>
            </w:r>
          </w:p>
        </w:tc>
      </w:tr>
      <w:tr w14:paraId="2C2AF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1449EC5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72FCCB33">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氨氮</w:t>
            </w:r>
          </w:p>
        </w:tc>
        <w:tc>
          <w:tcPr>
            <w:tcW w:w="1701" w:type="dxa"/>
            <w:vAlign w:val="center"/>
          </w:tcPr>
          <w:p w14:paraId="670C5E8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609477A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3AC01EF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77717C0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0.42</w:t>
            </w:r>
          </w:p>
        </w:tc>
        <w:tc>
          <w:tcPr>
            <w:tcW w:w="1761" w:type="dxa"/>
            <w:vAlign w:val="center"/>
          </w:tcPr>
          <w:p w14:paraId="57B08B4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2ADD435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0.42</w:t>
            </w:r>
          </w:p>
        </w:tc>
        <w:tc>
          <w:tcPr>
            <w:tcW w:w="898" w:type="dxa"/>
            <w:vAlign w:val="center"/>
          </w:tcPr>
          <w:p w14:paraId="056C70AB">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+0.42</w:t>
            </w:r>
          </w:p>
        </w:tc>
      </w:tr>
      <w:tr w14:paraId="67C20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restart"/>
            <w:vAlign w:val="center"/>
          </w:tcPr>
          <w:p w14:paraId="0713AED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一般工业</w:t>
            </w:r>
          </w:p>
          <w:p w14:paraId="1926BDC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固体废物</w:t>
            </w:r>
          </w:p>
        </w:tc>
        <w:tc>
          <w:tcPr>
            <w:tcW w:w="2017" w:type="dxa"/>
            <w:vAlign w:val="center"/>
          </w:tcPr>
          <w:p w14:paraId="7E4B4F0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废边角料</w:t>
            </w:r>
          </w:p>
        </w:tc>
        <w:tc>
          <w:tcPr>
            <w:tcW w:w="1701" w:type="dxa"/>
            <w:vAlign w:val="center"/>
          </w:tcPr>
          <w:p w14:paraId="2A24F580">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66EAFD80">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600BF4B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45B7C275">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0.86</w:t>
            </w:r>
          </w:p>
        </w:tc>
        <w:tc>
          <w:tcPr>
            <w:tcW w:w="1761" w:type="dxa"/>
            <w:vAlign w:val="center"/>
          </w:tcPr>
          <w:p w14:paraId="35ABE243">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1E14036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0.86</w:t>
            </w:r>
          </w:p>
        </w:tc>
        <w:tc>
          <w:tcPr>
            <w:tcW w:w="898" w:type="dxa"/>
            <w:vAlign w:val="center"/>
          </w:tcPr>
          <w:p w14:paraId="00D4335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+0.86</w:t>
            </w:r>
          </w:p>
        </w:tc>
      </w:tr>
      <w:tr w14:paraId="4A468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19ED10B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36A6438C">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除尘设备收集粉尘</w:t>
            </w:r>
          </w:p>
        </w:tc>
        <w:tc>
          <w:tcPr>
            <w:tcW w:w="1701" w:type="dxa"/>
            <w:vAlign w:val="center"/>
          </w:tcPr>
          <w:p w14:paraId="237A2542">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276" w:type="dxa"/>
            <w:vAlign w:val="center"/>
          </w:tcPr>
          <w:p w14:paraId="1FF40ED3">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701" w:type="dxa"/>
            <w:vAlign w:val="center"/>
          </w:tcPr>
          <w:p w14:paraId="70E970D1">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559" w:type="dxa"/>
            <w:vAlign w:val="center"/>
          </w:tcPr>
          <w:p w14:paraId="4699FCA9">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2.68</w:t>
            </w:r>
          </w:p>
        </w:tc>
        <w:tc>
          <w:tcPr>
            <w:tcW w:w="1761" w:type="dxa"/>
            <w:vAlign w:val="center"/>
          </w:tcPr>
          <w:p w14:paraId="1C7EA741">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887" w:type="dxa"/>
            <w:vAlign w:val="center"/>
          </w:tcPr>
          <w:p w14:paraId="41E32382">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2.68</w:t>
            </w:r>
          </w:p>
        </w:tc>
        <w:tc>
          <w:tcPr>
            <w:tcW w:w="898" w:type="dxa"/>
            <w:vAlign w:val="center"/>
          </w:tcPr>
          <w:p w14:paraId="41D60339">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+2.68</w:t>
            </w:r>
          </w:p>
        </w:tc>
      </w:tr>
      <w:tr w14:paraId="4F891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0F06C420">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119EC80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废焊接材料</w:t>
            </w:r>
          </w:p>
        </w:tc>
        <w:tc>
          <w:tcPr>
            <w:tcW w:w="1701" w:type="dxa"/>
            <w:vAlign w:val="center"/>
          </w:tcPr>
          <w:p w14:paraId="136BBA0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26CCC5C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18CC73A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767EB4D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0.06</w:t>
            </w:r>
          </w:p>
        </w:tc>
        <w:tc>
          <w:tcPr>
            <w:tcW w:w="1761" w:type="dxa"/>
            <w:vAlign w:val="center"/>
          </w:tcPr>
          <w:p w14:paraId="75EDC6F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3DF710F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0.06</w:t>
            </w:r>
          </w:p>
        </w:tc>
        <w:tc>
          <w:tcPr>
            <w:tcW w:w="898" w:type="dxa"/>
            <w:vAlign w:val="center"/>
          </w:tcPr>
          <w:p w14:paraId="4A523A0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+0.06</w:t>
            </w:r>
          </w:p>
        </w:tc>
      </w:tr>
      <w:tr w14:paraId="0A02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58AFCB1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6B0F96C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废钢丸</w:t>
            </w:r>
          </w:p>
        </w:tc>
        <w:tc>
          <w:tcPr>
            <w:tcW w:w="1701" w:type="dxa"/>
            <w:vAlign w:val="center"/>
          </w:tcPr>
          <w:p w14:paraId="50187DE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56A2DB83">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40CC0D3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6F234AD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2</w:t>
            </w:r>
          </w:p>
        </w:tc>
        <w:tc>
          <w:tcPr>
            <w:tcW w:w="1761" w:type="dxa"/>
            <w:vAlign w:val="center"/>
          </w:tcPr>
          <w:p w14:paraId="37FB413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3D00F76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2</w:t>
            </w:r>
          </w:p>
        </w:tc>
        <w:tc>
          <w:tcPr>
            <w:tcW w:w="898" w:type="dxa"/>
            <w:vAlign w:val="center"/>
          </w:tcPr>
          <w:p w14:paraId="691FF4E5">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+2</w:t>
            </w:r>
          </w:p>
        </w:tc>
      </w:tr>
      <w:tr w14:paraId="522BA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2BF7D31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5D6AA75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废滤芯</w:t>
            </w:r>
          </w:p>
        </w:tc>
        <w:tc>
          <w:tcPr>
            <w:tcW w:w="1701" w:type="dxa"/>
            <w:vAlign w:val="center"/>
          </w:tcPr>
          <w:p w14:paraId="5FA1DFE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6018CA4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3215330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72536B95">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1761" w:type="dxa"/>
            <w:vAlign w:val="center"/>
          </w:tcPr>
          <w:p w14:paraId="05531D6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609ADB9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898" w:type="dxa"/>
            <w:vAlign w:val="center"/>
          </w:tcPr>
          <w:p w14:paraId="2FE7296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r>
      <w:tr w14:paraId="76318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restart"/>
            <w:vAlign w:val="center"/>
          </w:tcPr>
          <w:p w14:paraId="708A8B61">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危险废物</w:t>
            </w:r>
          </w:p>
        </w:tc>
        <w:tc>
          <w:tcPr>
            <w:tcW w:w="2017" w:type="dxa"/>
            <w:vAlign w:val="center"/>
          </w:tcPr>
          <w:p w14:paraId="0E1201D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喷枪清洗废液</w:t>
            </w:r>
          </w:p>
        </w:tc>
        <w:tc>
          <w:tcPr>
            <w:tcW w:w="1701" w:type="dxa"/>
            <w:vAlign w:val="center"/>
          </w:tcPr>
          <w:p w14:paraId="63DDB42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4B56141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404D85DB">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7914F1A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0.24</w:t>
            </w:r>
          </w:p>
        </w:tc>
        <w:tc>
          <w:tcPr>
            <w:tcW w:w="1761" w:type="dxa"/>
            <w:vAlign w:val="center"/>
          </w:tcPr>
          <w:p w14:paraId="3388993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1A6AE0A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0.24</w:t>
            </w:r>
          </w:p>
        </w:tc>
        <w:tc>
          <w:tcPr>
            <w:tcW w:w="898" w:type="dxa"/>
            <w:vAlign w:val="center"/>
          </w:tcPr>
          <w:p w14:paraId="1139EC7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+0.24</w:t>
            </w:r>
          </w:p>
        </w:tc>
      </w:tr>
      <w:tr w14:paraId="31C53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64A5780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3AFA0F7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废油性漆桶</w:t>
            </w:r>
          </w:p>
        </w:tc>
        <w:tc>
          <w:tcPr>
            <w:tcW w:w="1701" w:type="dxa"/>
            <w:vAlign w:val="center"/>
          </w:tcPr>
          <w:p w14:paraId="263106A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41D9F3A3">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6164976B">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6B11D09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0.38</w:t>
            </w:r>
          </w:p>
        </w:tc>
        <w:tc>
          <w:tcPr>
            <w:tcW w:w="1761" w:type="dxa"/>
            <w:vAlign w:val="center"/>
          </w:tcPr>
          <w:p w14:paraId="257C2033">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25EC1B5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0.38</w:t>
            </w:r>
          </w:p>
        </w:tc>
        <w:tc>
          <w:tcPr>
            <w:tcW w:w="898" w:type="dxa"/>
            <w:vAlign w:val="center"/>
          </w:tcPr>
          <w:p w14:paraId="6DE2D2F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+0.38</w:t>
            </w:r>
          </w:p>
        </w:tc>
      </w:tr>
      <w:tr w14:paraId="216C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7710BB6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57F2248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废水性漆桶</w:t>
            </w:r>
          </w:p>
        </w:tc>
        <w:tc>
          <w:tcPr>
            <w:tcW w:w="1701" w:type="dxa"/>
            <w:vAlign w:val="center"/>
          </w:tcPr>
          <w:p w14:paraId="7F710FA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2F72A973">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5CDB7FB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6BBF484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0.09</w:t>
            </w:r>
          </w:p>
        </w:tc>
        <w:tc>
          <w:tcPr>
            <w:tcW w:w="1761" w:type="dxa"/>
            <w:vAlign w:val="center"/>
          </w:tcPr>
          <w:p w14:paraId="2444997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76C15E8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0.09</w:t>
            </w:r>
          </w:p>
        </w:tc>
        <w:tc>
          <w:tcPr>
            <w:tcW w:w="898" w:type="dxa"/>
            <w:vAlign w:val="center"/>
          </w:tcPr>
          <w:p w14:paraId="735510A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+0.09</w:t>
            </w:r>
          </w:p>
        </w:tc>
      </w:tr>
      <w:tr w14:paraId="399C4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61C7BC7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4695A461">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漆渣</w:t>
            </w:r>
          </w:p>
        </w:tc>
        <w:tc>
          <w:tcPr>
            <w:tcW w:w="1701" w:type="dxa"/>
            <w:vAlign w:val="center"/>
          </w:tcPr>
          <w:p w14:paraId="75CFE8D7">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276" w:type="dxa"/>
            <w:vAlign w:val="center"/>
          </w:tcPr>
          <w:p w14:paraId="44246482">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701" w:type="dxa"/>
            <w:vAlign w:val="center"/>
          </w:tcPr>
          <w:p w14:paraId="4330B85A">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559" w:type="dxa"/>
            <w:vAlign w:val="center"/>
          </w:tcPr>
          <w:p w14:paraId="3F1D2877">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1.55</w:t>
            </w:r>
          </w:p>
        </w:tc>
        <w:tc>
          <w:tcPr>
            <w:tcW w:w="1761" w:type="dxa"/>
            <w:vAlign w:val="center"/>
          </w:tcPr>
          <w:p w14:paraId="5CA639EA">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w:t>
            </w:r>
          </w:p>
        </w:tc>
        <w:tc>
          <w:tcPr>
            <w:tcW w:w="1887" w:type="dxa"/>
            <w:vAlign w:val="center"/>
          </w:tcPr>
          <w:p w14:paraId="7008BA4B">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1.55</w:t>
            </w:r>
          </w:p>
        </w:tc>
        <w:tc>
          <w:tcPr>
            <w:tcW w:w="898" w:type="dxa"/>
            <w:vAlign w:val="center"/>
          </w:tcPr>
          <w:p w14:paraId="19DFCBDB">
            <w:pPr>
              <w:adjustRightInd w:val="0"/>
              <w:snapToGrid w:val="0"/>
              <w:spacing w:after="0"/>
              <w:jc w:val="center"/>
              <w:rPr>
                <w:rFonts w:cs="宋体"/>
                <w:snapToGrid w:val="0"/>
                <w:color w:val="0D0D0D" w:themeColor="text1" w:themeTint="F2"/>
                <w:kern w:val="21"/>
                <w:szCs w:val="21"/>
                <w:u w:val="single"/>
                <w14:textFill>
                  <w14:solidFill>
                    <w14:schemeClr w14:val="tx1">
                      <w14:lumMod w14:val="95000"/>
                      <w14:lumOff w14:val="5000"/>
                    </w14:schemeClr>
                  </w14:solidFill>
                </w14:textFill>
              </w:rPr>
            </w:pPr>
            <w:r>
              <w:rPr>
                <w:rFonts w:hint="eastAsia" w:cs="宋体"/>
                <w:snapToGrid w:val="0"/>
                <w:color w:val="0D0D0D" w:themeColor="text1" w:themeTint="F2"/>
                <w:kern w:val="21"/>
                <w:szCs w:val="21"/>
                <w:u w:val="single"/>
                <w14:textFill>
                  <w14:solidFill>
                    <w14:schemeClr w14:val="tx1">
                      <w14:lumMod w14:val="95000"/>
                      <w14:lumOff w14:val="5000"/>
                    </w14:schemeClr>
                  </w14:solidFill>
                </w14:textFill>
              </w:rPr>
              <w:t>+1.55</w:t>
            </w:r>
          </w:p>
        </w:tc>
      </w:tr>
      <w:tr w14:paraId="2000F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3B525A4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615E8101">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cs="宋体"/>
                <w:snapToGrid w:val="0"/>
                <w:color w:val="0D0D0D" w:themeColor="text1" w:themeTint="F2"/>
                <w:kern w:val="21"/>
                <w:szCs w:val="21"/>
                <w14:textFill>
                  <w14:solidFill>
                    <w14:schemeClr w14:val="tx1">
                      <w14:lumMod w14:val="95000"/>
                      <w14:lumOff w14:val="5000"/>
                    </w14:schemeClr>
                  </w14:solidFill>
                </w14:textFill>
              </w:rPr>
              <w:t>水帘柜喷漆废水</w:t>
            </w:r>
          </w:p>
        </w:tc>
        <w:tc>
          <w:tcPr>
            <w:tcW w:w="1701" w:type="dxa"/>
            <w:vAlign w:val="center"/>
          </w:tcPr>
          <w:p w14:paraId="0187DF1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5485C25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2A7CF5F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16F50E2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8</w:t>
            </w:r>
          </w:p>
        </w:tc>
        <w:tc>
          <w:tcPr>
            <w:tcW w:w="1761" w:type="dxa"/>
            <w:vAlign w:val="center"/>
          </w:tcPr>
          <w:p w14:paraId="522CA69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15FFC015">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8</w:t>
            </w:r>
          </w:p>
        </w:tc>
        <w:tc>
          <w:tcPr>
            <w:tcW w:w="898" w:type="dxa"/>
            <w:vAlign w:val="center"/>
          </w:tcPr>
          <w:p w14:paraId="0F78953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+8</w:t>
            </w:r>
          </w:p>
        </w:tc>
      </w:tr>
      <w:tr w14:paraId="061C7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60652FC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24E6069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废过滤棉</w:t>
            </w:r>
          </w:p>
        </w:tc>
        <w:tc>
          <w:tcPr>
            <w:tcW w:w="1701" w:type="dxa"/>
            <w:vAlign w:val="center"/>
          </w:tcPr>
          <w:p w14:paraId="27976B8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7705EFD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39CFE3D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7764F1B1">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0.19</w:t>
            </w:r>
          </w:p>
        </w:tc>
        <w:tc>
          <w:tcPr>
            <w:tcW w:w="1761" w:type="dxa"/>
            <w:vAlign w:val="center"/>
          </w:tcPr>
          <w:p w14:paraId="769908C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67F3000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0.19</w:t>
            </w:r>
          </w:p>
        </w:tc>
        <w:tc>
          <w:tcPr>
            <w:tcW w:w="898" w:type="dxa"/>
            <w:vAlign w:val="center"/>
          </w:tcPr>
          <w:p w14:paraId="7054F3D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+0.19</w:t>
            </w:r>
          </w:p>
        </w:tc>
      </w:tr>
      <w:tr w14:paraId="5E6EB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0D343E4B">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28466FC1">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废活性炭</w:t>
            </w:r>
          </w:p>
        </w:tc>
        <w:tc>
          <w:tcPr>
            <w:tcW w:w="1701" w:type="dxa"/>
            <w:vAlign w:val="center"/>
          </w:tcPr>
          <w:p w14:paraId="313A14E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1C40E14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000FF25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7ED16D6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29.8</w:t>
            </w:r>
          </w:p>
        </w:tc>
        <w:tc>
          <w:tcPr>
            <w:tcW w:w="1761" w:type="dxa"/>
            <w:vAlign w:val="center"/>
          </w:tcPr>
          <w:p w14:paraId="435F6BF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3EBE2FA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29.8</w:t>
            </w:r>
          </w:p>
        </w:tc>
        <w:tc>
          <w:tcPr>
            <w:tcW w:w="898" w:type="dxa"/>
            <w:vAlign w:val="center"/>
          </w:tcPr>
          <w:p w14:paraId="2137381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+29.8</w:t>
            </w:r>
          </w:p>
        </w:tc>
      </w:tr>
      <w:tr w14:paraId="0EB16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596B31E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006636A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废机油</w:t>
            </w:r>
          </w:p>
        </w:tc>
        <w:tc>
          <w:tcPr>
            <w:tcW w:w="1701" w:type="dxa"/>
            <w:vAlign w:val="center"/>
          </w:tcPr>
          <w:p w14:paraId="6C4C307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41EBFFC0">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15BF4BBC">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66C91CBF">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1761" w:type="dxa"/>
            <w:vAlign w:val="center"/>
          </w:tcPr>
          <w:p w14:paraId="4C60C71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37C2B94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898" w:type="dxa"/>
            <w:vAlign w:val="center"/>
          </w:tcPr>
          <w:p w14:paraId="444B0FFE">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r>
      <w:tr w14:paraId="04047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45F1CBD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6825A56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废机油桶</w:t>
            </w:r>
          </w:p>
        </w:tc>
        <w:tc>
          <w:tcPr>
            <w:tcW w:w="1701" w:type="dxa"/>
            <w:vAlign w:val="center"/>
          </w:tcPr>
          <w:p w14:paraId="074790BA">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5F87F268">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7D6B5A84">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1A7C78E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1761" w:type="dxa"/>
            <w:vAlign w:val="center"/>
          </w:tcPr>
          <w:p w14:paraId="3436448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20F0B5E2">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898" w:type="dxa"/>
            <w:vAlign w:val="center"/>
          </w:tcPr>
          <w:p w14:paraId="4D7E5EB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r>
      <w:tr w14:paraId="54D27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dxa"/>
            <w:vMerge w:val="continue"/>
            <w:vAlign w:val="center"/>
          </w:tcPr>
          <w:p w14:paraId="39F5A95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2017" w:type="dxa"/>
            <w:vAlign w:val="center"/>
          </w:tcPr>
          <w:p w14:paraId="206F395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废含油抹布</w:t>
            </w:r>
          </w:p>
        </w:tc>
        <w:tc>
          <w:tcPr>
            <w:tcW w:w="1701" w:type="dxa"/>
            <w:vAlign w:val="center"/>
          </w:tcPr>
          <w:p w14:paraId="65F78F4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65416EDD">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1A46F1B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2EB40D17">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1761" w:type="dxa"/>
            <w:vAlign w:val="center"/>
          </w:tcPr>
          <w:p w14:paraId="4C66FEC0">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2647EBF6">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898" w:type="dxa"/>
            <w:vAlign w:val="center"/>
          </w:tcPr>
          <w:p w14:paraId="3033F889">
            <w:pPr>
              <w:adjustRightInd w:val="0"/>
              <w:snapToGrid w:val="0"/>
              <w:spacing w:after="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r>
    </w:tbl>
    <w:p w14:paraId="28BE50C9">
      <w:pPr>
        <w:adjustRightInd w:val="0"/>
        <w:snapToGrid w:val="0"/>
        <w:spacing w:before="192" w:beforeLines="80" w:after="24" w:afterLines="10" w:line="259" w:lineRule="auto"/>
        <w:jc w:val="left"/>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kern w:val="21"/>
          <w:szCs w:val="21"/>
          <w14:textFill>
            <w14:solidFill>
              <w14:schemeClr w14:val="tx1">
                <w14:lumMod w14:val="95000"/>
                <w14:lumOff w14:val="5000"/>
              </w14:schemeClr>
            </w14:solidFill>
          </w14:textFill>
        </w:rPr>
        <w:t>注：</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6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⑥</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r>
        <w:rPr>
          <w:snapToGrid w:val="0"/>
          <w:color w:val="0D0D0D" w:themeColor="text1" w:themeTint="F2"/>
          <w:spacing w:val="-1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1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①</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3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③</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4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④</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5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⑤</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r>
        <w:rPr>
          <w:snapToGrid w:val="0"/>
          <w:color w:val="0D0D0D" w:themeColor="text1" w:themeTint="F2"/>
          <w:spacing w:val="-1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7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⑦</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6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⑥</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r>
        <w:rPr>
          <w:snapToGrid w:val="0"/>
          <w:color w:val="0D0D0D" w:themeColor="text1" w:themeTint="F2"/>
          <w:spacing w:val="-1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1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①</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p w14:paraId="282E0257">
      <w:pPr>
        <w:spacing w:after="0"/>
        <w:rPr>
          <w:color w:val="0D0D0D" w:themeColor="text1" w:themeTint="F2"/>
          <w14:textFill>
            <w14:solidFill>
              <w14:schemeClr w14:val="tx1">
                <w14:lumMod w14:val="95000"/>
                <w14:lumOff w14:val="5000"/>
              </w14:schemeClr>
            </w14:solidFill>
          </w14:textFill>
        </w:rPr>
      </w:pPr>
    </w:p>
    <w:sectPr>
      <w:pgSz w:w="16838" w:h="11906" w:orient="landscape"/>
      <w:pgMar w:top="1531" w:right="1701" w:bottom="1531" w:left="1701"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Courier New">
    <w:panose1 w:val="02070309020205020404"/>
    <w:charset w:val="00"/>
    <w:family w:val="modern"/>
    <w:pitch w:val="default"/>
    <w:sig w:usb0="E0002AFF" w:usb1="C0007843" w:usb2="00000009" w:usb3="00000000" w:csb0="400001FF" w:csb1="FFFF0000"/>
  </w:font>
  <w:font w:name="仿宋_GB2312">
    <w:altName w:val="仿宋"/>
    <w:panose1 w:val="02010609030101010101"/>
    <w:charset w:val="86"/>
    <w:family w:val="modern"/>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Arial">
    <w:panose1 w:val="020B0604020202020204"/>
    <w:charset w:val="00"/>
    <w:family w:val="swiss"/>
    <w:pitch w:val="default"/>
    <w:sig w:usb0="E0002AFF" w:usb1="C0007843" w:usb2="00000009" w:usb3="00000000" w:csb0="400001FF" w:csb1="FFFF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E70115">
    <w:pPr>
      <w:pStyle w:val="15"/>
      <w:framePr w:wrap="around" w:vAnchor="text" w:hAnchor="margin" w:xAlign="outside" w:y="1"/>
      <w:rPr>
        <w:rStyle w:val="25"/>
        <w:rFonts w:hint="eastAsia" w:ascii="宋体" w:hAnsi="宋体"/>
        <w:sz w:val="28"/>
        <w:szCs w:val="28"/>
      </w:rPr>
    </w:pPr>
    <w:r>
      <w:rPr>
        <w:rStyle w:val="25"/>
        <w:rFonts w:hint="eastAsia" w:ascii="宋体" w:hAnsi="宋体"/>
        <w:sz w:val="20"/>
      </w:rPr>
      <w:t xml:space="preserve">    </w:t>
    </w:r>
  </w:p>
  <w:p w14:paraId="53216F80">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8CAF4">
    <w:pPr>
      <w:pStyle w:val="15"/>
    </w:pPr>
    <w:r>
      <w:rPr>
        <w:rFonts w:asciiTheme="majorHAnsi" w:hAnsiTheme="majorHAnsi" w:eastAsiaTheme="majorEastAsia" w:cstheme="majorBidi"/>
        <w:sz w:val="28"/>
        <w:szCs w:val="28"/>
        <w:lang w:val="zh-CN"/>
      </w:rPr>
      <w:fldChar w:fldCharType="begin"/>
    </w:r>
    <w:r>
      <w:rPr>
        <w:rFonts w:asciiTheme="majorHAnsi" w:hAnsiTheme="majorHAnsi" w:eastAsiaTheme="majorEastAsia" w:cstheme="majorBidi"/>
        <w:sz w:val="28"/>
        <w:szCs w:val="28"/>
        <w:lang w:val="zh-CN"/>
      </w:rPr>
      <w:instrText xml:space="preserve">PAGE   \* MERGEFORMAT</w:instrText>
    </w:r>
    <w:r>
      <w:rPr>
        <w:rFonts w:asciiTheme="majorHAnsi" w:hAnsiTheme="majorHAnsi" w:eastAsiaTheme="majorEastAsia" w:cstheme="majorBidi"/>
        <w:sz w:val="28"/>
        <w:szCs w:val="28"/>
        <w:lang w:val="zh-CN"/>
      </w:rPr>
      <w:fldChar w:fldCharType="separate"/>
    </w:r>
    <w:r>
      <w:rPr>
        <w:rFonts w:asciiTheme="majorHAnsi" w:hAnsiTheme="majorHAnsi" w:eastAsiaTheme="majorEastAsia" w:cstheme="majorBidi"/>
        <w:sz w:val="28"/>
        <w:szCs w:val="28"/>
        <w:lang w:val="zh-CN"/>
      </w:rPr>
      <w:t>1</w:t>
    </w:r>
    <w:r>
      <w:rPr>
        <w:rFonts w:asciiTheme="majorHAnsi" w:hAnsiTheme="majorHAnsi" w:eastAsiaTheme="majorEastAsia" w:cstheme="majorBidi"/>
        <w:sz w:val="28"/>
        <w:szCs w:val="28"/>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19101413"/>
    </w:sdtPr>
    <w:sdtContent>
      <w:p w14:paraId="7BAFCF51">
        <w:pPr>
          <w:pStyle w:val="15"/>
          <w:jc w:val="center"/>
        </w:pPr>
        <w:r>
          <w:fldChar w:fldCharType="begin"/>
        </w:r>
        <w:r>
          <w:instrText xml:space="preserve">PAGE   \* MERGEFORMAT</w:instrText>
        </w:r>
        <w:r>
          <w:fldChar w:fldCharType="separate"/>
        </w:r>
        <w:r>
          <w:rPr>
            <w:lang w:val="zh-CN"/>
          </w:rPr>
          <w:t>54</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33489347"/>
    </w:sdtPr>
    <w:sdtContent>
      <w:p w14:paraId="095AC48C">
        <w:pPr>
          <w:pStyle w:val="15"/>
          <w:jc w:val="center"/>
        </w:pPr>
        <w:r>
          <w:fldChar w:fldCharType="begin"/>
        </w:r>
        <w:r>
          <w:instrText xml:space="preserve">PAGE   \* MERGEFORMAT</w:instrText>
        </w:r>
        <w:r>
          <w:fldChar w:fldCharType="separate"/>
        </w:r>
        <w:r>
          <w:rPr>
            <w:lang w:val="zh-CN"/>
          </w:rPr>
          <w:t>58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B46CAA"/>
    <w:multiLevelType w:val="multilevel"/>
    <w:tmpl w:val="10B46CAA"/>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
    <w:nsid w:val="1D43380D"/>
    <w:multiLevelType w:val="multilevel"/>
    <w:tmpl w:val="1D43380D"/>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JhZDFmOTE1ZmE0OWQ0NzJhNGEwYThmNDUxZTQ2YTAifQ=="/>
  </w:docVars>
  <w:rsids>
    <w:rsidRoot w:val="00A14947"/>
    <w:rsid w:val="00000FBB"/>
    <w:rsid w:val="0000293F"/>
    <w:rsid w:val="0000414C"/>
    <w:rsid w:val="0000469F"/>
    <w:rsid w:val="0000487C"/>
    <w:rsid w:val="00005059"/>
    <w:rsid w:val="000060B3"/>
    <w:rsid w:val="0001203A"/>
    <w:rsid w:val="0001246D"/>
    <w:rsid w:val="000134F8"/>
    <w:rsid w:val="00013A46"/>
    <w:rsid w:val="00013BE7"/>
    <w:rsid w:val="00013DE6"/>
    <w:rsid w:val="00014016"/>
    <w:rsid w:val="000148E5"/>
    <w:rsid w:val="0001607D"/>
    <w:rsid w:val="0001743F"/>
    <w:rsid w:val="000174B9"/>
    <w:rsid w:val="00024367"/>
    <w:rsid w:val="0002454D"/>
    <w:rsid w:val="00025B06"/>
    <w:rsid w:val="00025FA7"/>
    <w:rsid w:val="00025FB8"/>
    <w:rsid w:val="00027997"/>
    <w:rsid w:val="0003037B"/>
    <w:rsid w:val="000305FA"/>
    <w:rsid w:val="000306EA"/>
    <w:rsid w:val="00033CEF"/>
    <w:rsid w:val="00033FD8"/>
    <w:rsid w:val="0003481F"/>
    <w:rsid w:val="000355FF"/>
    <w:rsid w:val="000356D2"/>
    <w:rsid w:val="000376A3"/>
    <w:rsid w:val="00037A7A"/>
    <w:rsid w:val="000400EA"/>
    <w:rsid w:val="00041032"/>
    <w:rsid w:val="0004364B"/>
    <w:rsid w:val="00044801"/>
    <w:rsid w:val="00045586"/>
    <w:rsid w:val="00045A44"/>
    <w:rsid w:val="00045BC3"/>
    <w:rsid w:val="00046C03"/>
    <w:rsid w:val="00046EB8"/>
    <w:rsid w:val="00046F0E"/>
    <w:rsid w:val="000473BF"/>
    <w:rsid w:val="000478FD"/>
    <w:rsid w:val="00051476"/>
    <w:rsid w:val="00053368"/>
    <w:rsid w:val="00053A37"/>
    <w:rsid w:val="00055044"/>
    <w:rsid w:val="000569E9"/>
    <w:rsid w:val="00057E48"/>
    <w:rsid w:val="0006086F"/>
    <w:rsid w:val="000610C4"/>
    <w:rsid w:val="00061172"/>
    <w:rsid w:val="00061590"/>
    <w:rsid w:val="00061B1F"/>
    <w:rsid w:val="000620A1"/>
    <w:rsid w:val="000620D5"/>
    <w:rsid w:val="00062D01"/>
    <w:rsid w:val="00063734"/>
    <w:rsid w:val="00064859"/>
    <w:rsid w:val="000649D5"/>
    <w:rsid w:val="00065264"/>
    <w:rsid w:val="00066069"/>
    <w:rsid w:val="000722B4"/>
    <w:rsid w:val="00072676"/>
    <w:rsid w:val="000728EF"/>
    <w:rsid w:val="00072D16"/>
    <w:rsid w:val="000733C4"/>
    <w:rsid w:val="00073427"/>
    <w:rsid w:val="00073F4D"/>
    <w:rsid w:val="00074783"/>
    <w:rsid w:val="00075A5B"/>
    <w:rsid w:val="0007662B"/>
    <w:rsid w:val="0007679E"/>
    <w:rsid w:val="000769FD"/>
    <w:rsid w:val="00077017"/>
    <w:rsid w:val="0007705F"/>
    <w:rsid w:val="0008049C"/>
    <w:rsid w:val="0008070B"/>
    <w:rsid w:val="000810AC"/>
    <w:rsid w:val="00081A02"/>
    <w:rsid w:val="00082091"/>
    <w:rsid w:val="00082231"/>
    <w:rsid w:val="00083AE0"/>
    <w:rsid w:val="00085A05"/>
    <w:rsid w:val="00086353"/>
    <w:rsid w:val="00086C37"/>
    <w:rsid w:val="000871B3"/>
    <w:rsid w:val="00087FA2"/>
    <w:rsid w:val="00090311"/>
    <w:rsid w:val="00090D1C"/>
    <w:rsid w:val="000914E3"/>
    <w:rsid w:val="00091B79"/>
    <w:rsid w:val="000920FD"/>
    <w:rsid w:val="00092D38"/>
    <w:rsid w:val="00092DB8"/>
    <w:rsid w:val="00092F40"/>
    <w:rsid w:val="0009377B"/>
    <w:rsid w:val="000946BD"/>
    <w:rsid w:val="00094BA3"/>
    <w:rsid w:val="0009505C"/>
    <w:rsid w:val="00095684"/>
    <w:rsid w:val="00095889"/>
    <w:rsid w:val="00095DBF"/>
    <w:rsid w:val="00095DC5"/>
    <w:rsid w:val="000A0ACC"/>
    <w:rsid w:val="000A1B77"/>
    <w:rsid w:val="000A1C56"/>
    <w:rsid w:val="000A20C9"/>
    <w:rsid w:val="000A2E38"/>
    <w:rsid w:val="000A4859"/>
    <w:rsid w:val="000A56C1"/>
    <w:rsid w:val="000A65A7"/>
    <w:rsid w:val="000A75EA"/>
    <w:rsid w:val="000A784B"/>
    <w:rsid w:val="000A7A43"/>
    <w:rsid w:val="000B058F"/>
    <w:rsid w:val="000B0E4D"/>
    <w:rsid w:val="000B139E"/>
    <w:rsid w:val="000B150E"/>
    <w:rsid w:val="000B2DCC"/>
    <w:rsid w:val="000B4467"/>
    <w:rsid w:val="000B4DB9"/>
    <w:rsid w:val="000B51AD"/>
    <w:rsid w:val="000B5AC4"/>
    <w:rsid w:val="000B6A73"/>
    <w:rsid w:val="000B71E4"/>
    <w:rsid w:val="000B7E67"/>
    <w:rsid w:val="000C0236"/>
    <w:rsid w:val="000C03C1"/>
    <w:rsid w:val="000C09AC"/>
    <w:rsid w:val="000C0B2A"/>
    <w:rsid w:val="000C20F9"/>
    <w:rsid w:val="000C43B2"/>
    <w:rsid w:val="000C4DFC"/>
    <w:rsid w:val="000C5C7F"/>
    <w:rsid w:val="000C6E0A"/>
    <w:rsid w:val="000C72B2"/>
    <w:rsid w:val="000C767F"/>
    <w:rsid w:val="000D0385"/>
    <w:rsid w:val="000D0772"/>
    <w:rsid w:val="000D0B57"/>
    <w:rsid w:val="000D0F58"/>
    <w:rsid w:val="000D295F"/>
    <w:rsid w:val="000D2E33"/>
    <w:rsid w:val="000D36BB"/>
    <w:rsid w:val="000D433E"/>
    <w:rsid w:val="000D4836"/>
    <w:rsid w:val="000D5A44"/>
    <w:rsid w:val="000D6181"/>
    <w:rsid w:val="000D7351"/>
    <w:rsid w:val="000E0303"/>
    <w:rsid w:val="000E0427"/>
    <w:rsid w:val="000E0A64"/>
    <w:rsid w:val="000E0EEB"/>
    <w:rsid w:val="000E128D"/>
    <w:rsid w:val="000E1969"/>
    <w:rsid w:val="000E1B1B"/>
    <w:rsid w:val="000E2068"/>
    <w:rsid w:val="000E338F"/>
    <w:rsid w:val="000E396F"/>
    <w:rsid w:val="000E3ED2"/>
    <w:rsid w:val="000E4AF5"/>
    <w:rsid w:val="000E4C7F"/>
    <w:rsid w:val="000E4F17"/>
    <w:rsid w:val="000E7819"/>
    <w:rsid w:val="000F0938"/>
    <w:rsid w:val="000F0B8A"/>
    <w:rsid w:val="000F0D36"/>
    <w:rsid w:val="000F2248"/>
    <w:rsid w:val="000F23C6"/>
    <w:rsid w:val="000F23CC"/>
    <w:rsid w:val="000F23D2"/>
    <w:rsid w:val="000F3454"/>
    <w:rsid w:val="000F4352"/>
    <w:rsid w:val="000F494C"/>
    <w:rsid w:val="000F49EB"/>
    <w:rsid w:val="000F5188"/>
    <w:rsid w:val="000F5A51"/>
    <w:rsid w:val="000F5DF5"/>
    <w:rsid w:val="000F6BE2"/>
    <w:rsid w:val="000F796B"/>
    <w:rsid w:val="001044E3"/>
    <w:rsid w:val="00104B4B"/>
    <w:rsid w:val="001050EE"/>
    <w:rsid w:val="001053DD"/>
    <w:rsid w:val="001062A6"/>
    <w:rsid w:val="0011016E"/>
    <w:rsid w:val="00113FD6"/>
    <w:rsid w:val="00114FC4"/>
    <w:rsid w:val="00114FE0"/>
    <w:rsid w:val="001154E3"/>
    <w:rsid w:val="00117AF8"/>
    <w:rsid w:val="00117E33"/>
    <w:rsid w:val="0012041C"/>
    <w:rsid w:val="00120A65"/>
    <w:rsid w:val="001229AE"/>
    <w:rsid w:val="00123A34"/>
    <w:rsid w:val="001241D3"/>
    <w:rsid w:val="00125144"/>
    <w:rsid w:val="001268E2"/>
    <w:rsid w:val="001304B7"/>
    <w:rsid w:val="00130B3D"/>
    <w:rsid w:val="00130C04"/>
    <w:rsid w:val="001311C7"/>
    <w:rsid w:val="00131D98"/>
    <w:rsid w:val="00131F42"/>
    <w:rsid w:val="00134104"/>
    <w:rsid w:val="00134B26"/>
    <w:rsid w:val="00135354"/>
    <w:rsid w:val="001357F1"/>
    <w:rsid w:val="001378A7"/>
    <w:rsid w:val="00140FA8"/>
    <w:rsid w:val="001415F0"/>
    <w:rsid w:val="001427A3"/>
    <w:rsid w:val="00142F6F"/>
    <w:rsid w:val="00142FEB"/>
    <w:rsid w:val="00143A2D"/>
    <w:rsid w:val="001458CD"/>
    <w:rsid w:val="00145A10"/>
    <w:rsid w:val="00145A41"/>
    <w:rsid w:val="00145ED1"/>
    <w:rsid w:val="00146203"/>
    <w:rsid w:val="00147998"/>
    <w:rsid w:val="00147B0A"/>
    <w:rsid w:val="00150A48"/>
    <w:rsid w:val="00150DD1"/>
    <w:rsid w:val="00151334"/>
    <w:rsid w:val="00151675"/>
    <w:rsid w:val="001521DF"/>
    <w:rsid w:val="00152570"/>
    <w:rsid w:val="001534FF"/>
    <w:rsid w:val="00153872"/>
    <w:rsid w:val="00153BF7"/>
    <w:rsid w:val="00154276"/>
    <w:rsid w:val="0015432B"/>
    <w:rsid w:val="001545F7"/>
    <w:rsid w:val="001548F0"/>
    <w:rsid w:val="00155AF7"/>
    <w:rsid w:val="00155C96"/>
    <w:rsid w:val="00157435"/>
    <w:rsid w:val="00157BC8"/>
    <w:rsid w:val="001601D3"/>
    <w:rsid w:val="00161001"/>
    <w:rsid w:val="00161B23"/>
    <w:rsid w:val="00162706"/>
    <w:rsid w:val="00162E9A"/>
    <w:rsid w:val="001633DB"/>
    <w:rsid w:val="00163758"/>
    <w:rsid w:val="00164833"/>
    <w:rsid w:val="00164AEA"/>
    <w:rsid w:val="00164C15"/>
    <w:rsid w:val="00165A48"/>
    <w:rsid w:val="00165FFC"/>
    <w:rsid w:val="001668D1"/>
    <w:rsid w:val="001678A6"/>
    <w:rsid w:val="001708D1"/>
    <w:rsid w:val="00170AE2"/>
    <w:rsid w:val="00171C2C"/>
    <w:rsid w:val="0017218E"/>
    <w:rsid w:val="00172FB9"/>
    <w:rsid w:val="00173D13"/>
    <w:rsid w:val="001749FE"/>
    <w:rsid w:val="00174A70"/>
    <w:rsid w:val="0017504D"/>
    <w:rsid w:val="00175279"/>
    <w:rsid w:val="001757C4"/>
    <w:rsid w:val="00175B4E"/>
    <w:rsid w:val="00176634"/>
    <w:rsid w:val="0017671A"/>
    <w:rsid w:val="001773FC"/>
    <w:rsid w:val="00177422"/>
    <w:rsid w:val="00177F4C"/>
    <w:rsid w:val="00177F71"/>
    <w:rsid w:val="00180F07"/>
    <w:rsid w:val="00180F0A"/>
    <w:rsid w:val="0018104A"/>
    <w:rsid w:val="001816DC"/>
    <w:rsid w:val="001819EB"/>
    <w:rsid w:val="001830A9"/>
    <w:rsid w:val="0018397E"/>
    <w:rsid w:val="00184590"/>
    <w:rsid w:val="00184AA6"/>
    <w:rsid w:val="00184AD6"/>
    <w:rsid w:val="0018546C"/>
    <w:rsid w:val="001870D1"/>
    <w:rsid w:val="0018781E"/>
    <w:rsid w:val="001909CE"/>
    <w:rsid w:val="0019262D"/>
    <w:rsid w:val="00192766"/>
    <w:rsid w:val="00192CBD"/>
    <w:rsid w:val="001936D8"/>
    <w:rsid w:val="00194035"/>
    <w:rsid w:val="00194545"/>
    <w:rsid w:val="00195A23"/>
    <w:rsid w:val="001968C2"/>
    <w:rsid w:val="001969F2"/>
    <w:rsid w:val="00196B16"/>
    <w:rsid w:val="00196C39"/>
    <w:rsid w:val="00197916"/>
    <w:rsid w:val="00197DC7"/>
    <w:rsid w:val="001A08E7"/>
    <w:rsid w:val="001A0CC7"/>
    <w:rsid w:val="001A1260"/>
    <w:rsid w:val="001A1678"/>
    <w:rsid w:val="001A1B35"/>
    <w:rsid w:val="001A1FC5"/>
    <w:rsid w:val="001A3BEB"/>
    <w:rsid w:val="001A3C81"/>
    <w:rsid w:val="001A48A2"/>
    <w:rsid w:val="001A61D3"/>
    <w:rsid w:val="001A665B"/>
    <w:rsid w:val="001A6743"/>
    <w:rsid w:val="001A6F61"/>
    <w:rsid w:val="001A7B6F"/>
    <w:rsid w:val="001A7F0D"/>
    <w:rsid w:val="001A7FD8"/>
    <w:rsid w:val="001B0173"/>
    <w:rsid w:val="001B097C"/>
    <w:rsid w:val="001B1236"/>
    <w:rsid w:val="001B1AEE"/>
    <w:rsid w:val="001B1C9C"/>
    <w:rsid w:val="001B22E6"/>
    <w:rsid w:val="001B298A"/>
    <w:rsid w:val="001B42FB"/>
    <w:rsid w:val="001B5297"/>
    <w:rsid w:val="001B66BE"/>
    <w:rsid w:val="001B6E22"/>
    <w:rsid w:val="001B7140"/>
    <w:rsid w:val="001B72B8"/>
    <w:rsid w:val="001C01DD"/>
    <w:rsid w:val="001C2CB3"/>
    <w:rsid w:val="001C3A7A"/>
    <w:rsid w:val="001C4CE2"/>
    <w:rsid w:val="001C5E80"/>
    <w:rsid w:val="001C69B3"/>
    <w:rsid w:val="001D095B"/>
    <w:rsid w:val="001D111D"/>
    <w:rsid w:val="001D21C1"/>
    <w:rsid w:val="001D2A33"/>
    <w:rsid w:val="001D2FBB"/>
    <w:rsid w:val="001D337D"/>
    <w:rsid w:val="001D384C"/>
    <w:rsid w:val="001D3DEA"/>
    <w:rsid w:val="001D4042"/>
    <w:rsid w:val="001D46B7"/>
    <w:rsid w:val="001D4E4C"/>
    <w:rsid w:val="001D5595"/>
    <w:rsid w:val="001D67C7"/>
    <w:rsid w:val="001D6987"/>
    <w:rsid w:val="001D6BD4"/>
    <w:rsid w:val="001D6E2A"/>
    <w:rsid w:val="001D6E78"/>
    <w:rsid w:val="001D740D"/>
    <w:rsid w:val="001D7874"/>
    <w:rsid w:val="001D7877"/>
    <w:rsid w:val="001D7F22"/>
    <w:rsid w:val="001E0E85"/>
    <w:rsid w:val="001E111D"/>
    <w:rsid w:val="001E2A7D"/>
    <w:rsid w:val="001E2DC1"/>
    <w:rsid w:val="001E3296"/>
    <w:rsid w:val="001E40FD"/>
    <w:rsid w:val="001E4A6A"/>
    <w:rsid w:val="001E52EA"/>
    <w:rsid w:val="001F016F"/>
    <w:rsid w:val="001F0F17"/>
    <w:rsid w:val="001F1A35"/>
    <w:rsid w:val="001F1ED5"/>
    <w:rsid w:val="001F2B6E"/>
    <w:rsid w:val="001F3347"/>
    <w:rsid w:val="001F4E17"/>
    <w:rsid w:val="001F69E4"/>
    <w:rsid w:val="001F72C6"/>
    <w:rsid w:val="00200347"/>
    <w:rsid w:val="0020101C"/>
    <w:rsid w:val="0020103C"/>
    <w:rsid w:val="00202241"/>
    <w:rsid w:val="0020472F"/>
    <w:rsid w:val="00204EBB"/>
    <w:rsid w:val="00205A5A"/>
    <w:rsid w:val="00206F69"/>
    <w:rsid w:val="00207EF2"/>
    <w:rsid w:val="00210058"/>
    <w:rsid w:val="00210AB6"/>
    <w:rsid w:val="00210F05"/>
    <w:rsid w:val="00211315"/>
    <w:rsid w:val="002125B4"/>
    <w:rsid w:val="00212945"/>
    <w:rsid w:val="00212B6F"/>
    <w:rsid w:val="002135AF"/>
    <w:rsid w:val="00214176"/>
    <w:rsid w:val="00214B93"/>
    <w:rsid w:val="00214F09"/>
    <w:rsid w:val="002155B8"/>
    <w:rsid w:val="00215B45"/>
    <w:rsid w:val="00215E5F"/>
    <w:rsid w:val="00216926"/>
    <w:rsid w:val="00217716"/>
    <w:rsid w:val="00220A60"/>
    <w:rsid w:val="00220C89"/>
    <w:rsid w:val="00221A5F"/>
    <w:rsid w:val="00222ADA"/>
    <w:rsid w:val="002237D8"/>
    <w:rsid w:val="00224327"/>
    <w:rsid w:val="00224839"/>
    <w:rsid w:val="002249B2"/>
    <w:rsid w:val="00224DCF"/>
    <w:rsid w:val="00226574"/>
    <w:rsid w:val="002278EC"/>
    <w:rsid w:val="0023082B"/>
    <w:rsid w:val="002312FE"/>
    <w:rsid w:val="00231CC6"/>
    <w:rsid w:val="00232503"/>
    <w:rsid w:val="00232624"/>
    <w:rsid w:val="0023280E"/>
    <w:rsid w:val="002337C4"/>
    <w:rsid w:val="002344FF"/>
    <w:rsid w:val="0023516B"/>
    <w:rsid w:val="002352F3"/>
    <w:rsid w:val="002362DC"/>
    <w:rsid w:val="00236516"/>
    <w:rsid w:val="00236842"/>
    <w:rsid w:val="00236FA4"/>
    <w:rsid w:val="00237409"/>
    <w:rsid w:val="002377D1"/>
    <w:rsid w:val="00237D18"/>
    <w:rsid w:val="00237E3D"/>
    <w:rsid w:val="002409FC"/>
    <w:rsid w:val="00243E6A"/>
    <w:rsid w:val="00247D8C"/>
    <w:rsid w:val="002506BC"/>
    <w:rsid w:val="002515D9"/>
    <w:rsid w:val="00251E43"/>
    <w:rsid w:val="0025394C"/>
    <w:rsid w:val="00253B66"/>
    <w:rsid w:val="00254345"/>
    <w:rsid w:val="00254918"/>
    <w:rsid w:val="00254FC2"/>
    <w:rsid w:val="00257602"/>
    <w:rsid w:val="00257852"/>
    <w:rsid w:val="00260E88"/>
    <w:rsid w:val="00262745"/>
    <w:rsid w:val="0026277D"/>
    <w:rsid w:val="002629BF"/>
    <w:rsid w:val="002634C3"/>
    <w:rsid w:val="00263BA4"/>
    <w:rsid w:val="00263DBB"/>
    <w:rsid w:val="00264557"/>
    <w:rsid w:val="00264670"/>
    <w:rsid w:val="00265244"/>
    <w:rsid w:val="00265975"/>
    <w:rsid w:val="00265EAF"/>
    <w:rsid w:val="002677B3"/>
    <w:rsid w:val="0027219D"/>
    <w:rsid w:val="00272495"/>
    <w:rsid w:val="00273563"/>
    <w:rsid w:val="0027379B"/>
    <w:rsid w:val="00275EC3"/>
    <w:rsid w:val="002772CE"/>
    <w:rsid w:val="002777A8"/>
    <w:rsid w:val="002800DC"/>
    <w:rsid w:val="002805AB"/>
    <w:rsid w:val="00281277"/>
    <w:rsid w:val="002818B8"/>
    <w:rsid w:val="00284204"/>
    <w:rsid w:val="00286389"/>
    <w:rsid w:val="00286FC3"/>
    <w:rsid w:val="00291773"/>
    <w:rsid w:val="002936D1"/>
    <w:rsid w:val="00294B4E"/>
    <w:rsid w:val="00295174"/>
    <w:rsid w:val="0029606B"/>
    <w:rsid w:val="00296AF6"/>
    <w:rsid w:val="0029700F"/>
    <w:rsid w:val="002A08FC"/>
    <w:rsid w:val="002A168C"/>
    <w:rsid w:val="002A1866"/>
    <w:rsid w:val="002A3908"/>
    <w:rsid w:val="002A3AEF"/>
    <w:rsid w:val="002A3DC7"/>
    <w:rsid w:val="002A4150"/>
    <w:rsid w:val="002A53F9"/>
    <w:rsid w:val="002A58D6"/>
    <w:rsid w:val="002A65E6"/>
    <w:rsid w:val="002A7EC8"/>
    <w:rsid w:val="002B0D3A"/>
    <w:rsid w:val="002B1286"/>
    <w:rsid w:val="002B1BD8"/>
    <w:rsid w:val="002B2331"/>
    <w:rsid w:val="002B27A5"/>
    <w:rsid w:val="002B293E"/>
    <w:rsid w:val="002B33A5"/>
    <w:rsid w:val="002B3D7C"/>
    <w:rsid w:val="002B484C"/>
    <w:rsid w:val="002B49E2"/>
    <w:rsid w:val="002B6051"/>
    <w:rsid w:val="002B6163"/>
    <w:rsid w:val="002B6A46"/>
    <w:rsid w:val="002B6BEC"/>
    <w:rsid w:val="002B7B00"/>
    <w:rsid w:val="002B7C29"/>
    <w:rsid w:val="002B7C44"/>
    <w:rsid w:val="002C01B5"/>
    <w:rsid w:val="002C1384"/>
    <w:rsid w:val="002C1797"/>
    <w:rsid w:val="002C19AD"/>
    <w:rsid w:val="002C1CA6"/>
    <w:rsid w:val="002C1FC1"/>
    <w:rsid w:val="002C20C3"/>
    <w:rsid w:val="002C28AF"/>
    <w:rsid w:val="002C2B17"/>
    <w:rsid w:val="002C31F8"/>
    <w:rsid w:val="002C4023"/>
    <w:rsid w:val="002C51D2"/>
    <w:rsid w:val="002C6F43"/>
    <w:rsid w:val="002C718D"/>
    <w:rsid w:val="002C7605"/>
    <w:rsid w:val="002D0695"/>
    <w:rsid w:val="002D2C10"/>
    <w:rsid w:val="002D35D9"/>
    <w:rsid w:val="002D3DD0"/>
    <w:rsid w:val="002D3E32"/>
    <w:rsid w:val="002D4AFE"/>
    <w:rsid w:val="002D5D41"/>
    <w:rsid w:val="002D5E78"/>
    <w:rsid w:val="002D6EC9"/>
    <w:rsid w:val="002D6FDD"/>
    <w:rsid w:val="002D70B2"/>
    <w:rsid w:val="002D71DE"/>
    <w:rsid w:val="002D7499"/>
    <w:rsid w:val="002D74EF"/>
    <w:rsid w:val="002D7C11"/>
    <w:rsid w:val="002E1AB5"/>
    <w:rsid w:val="002E1B47"/>
    <w:rsid w:val="002E1F3A"/>
    <w:rsid w:val="002E2889"/>
    <w:rsid w:val="002E298A"/>
    <w:rsid w:val="002E51B1"/>
    <w:rsid w:val="002E5498"/>
    <w:rsid w:val="002E5516"/>
    <w:rsid w:val="002E7486"/>
    <w:rsid w:val="002F12D4"/>
    <w:rsid w:val="002F14A1"/>
    <w:rsid w:val="002F14D2"/>
    <w:rsid w:val="002F223F"/>
    <w:rsid w:val="002F23DF"/>
    <w:rsid w:val="002F3D65"/>
    <w:rsid w:val="002F3F16"/>
    <w:rsid w:val="002F4BCE"/>
    <w:rsid w:val="002F4E49"/>
    <w:rsid w:val="002F55EC"/>
    <w:rsid w:val="002F5A3B"/>
    <w:rsid w:val="002F7B3C"/>
    <w:rsid w:val="00300179"/>
    <w:rsid w:val="00301978"/>
    <w:rsid w:val="00302B72"/>
    <w:rsid w:val="00303167"/>
    <w:rsid w:val="003032B8"/>
    <w:rsid w:val="0030332C"/>
    <w:rsid w:val="003034D7"/>
    <w:rsid w:val="003041CB"/>
    <w:rsid w:val="00304E07"/>
    <w:rsid w:val="003051C2"/>
    <w:rsid w:val="00306F91"/>
    <w:rsid w:val="00306FB1"/>
    <w:rsid w:val="003100E4"/>
    <w:rsid w:val="00310F63"/>
    <w:rsid w:val="00312296"/>
    <w:rsid w:val="00312673"/>
    <w:rsid w:val="00313233"/>
    <w:rsid w:val="00313D65"/>
    <w:rsid w:val="00314DF5"/>
    <w:rsid w:val="00314F0E"/>
    <w:rsid w:val="003154AE"/>
    <w:rsid w:val="003155A5"/>
    <w:rsid w:val="00317265"/>
    <w:rsid w:val="003175B0"/>
    <w:rsid w:val="003214EE"/>
    <w:rsid w:val="00321D8E"/>
    <w:rsid w:val="00322350"/>
    <w:rsid w:val="0032315D"/>
    <w:rsid w:val="00323511"/>
    <w:rsid w:val="0032435A"/>
    <w:rsid w:val="00325928"/>
    <w:rsid w:val="00325ADB"/>
    <w:rsid w:val="00325EFA"/>
    <w:rsid w:val="0032656A"/>
    <w:rsid w:val="003269D9"/>
    <w:rsid w:val="003274A8"/>
    <w:rsid w:val="0033193A"/>
    <w:rsid w:val="00331E65"/>
    <w:rsid w:val="00332863"/>
    <w:rsid w:val="00333140"/>
    <w:rsid w:val="00334097"/>
    <w:rsid w:val="00334993"/>
    <w:rsid w:val="0033510B"/>
    <w:rsid w:val="00335FF4"/>
    <w:rsid w:val="00336819"/>
    <w:rsid w:val="0033684D"/>
    <w:rsid w:val="00337A34"/>
    <w:rsid w:val="00337B42"/>
    <w:rsid w:val="003404E7"/>
    <w:rsid w:val="00341B42"/>
    <w:rsid w:val="00342617"/>
    <w:rsid w:val="0034348F"/>
    <w:rsid w:val="003434E8"/>
    <w:rsid w:val="003447B6"/>
    <w:rsid w:val="00344E22"/>
    <w:rsid w:val="0034505B"/>
    <w:rsid w:val="00345160"/>
    <w:rsid w:val="0034532D"/>
    <w:rsid w:val="003454EE"/>
    <w:rsid w:val="00345AA2"/>
    <w:rsid w:val="00345B42"/>
    <w:rsid w:val="00345EB0"/>
    <w:rsid w:val="00346FB0"/>
    <w:rsid w:val="0034756D"/>
    <w:rsid w:val="00350EBE"/>
    <w:rsid w:val="00351ED4"/>
    <w:rsid w:val="003521E8"/>
    <w:rsid w:val="00352C00"/>
    <w:rsid w:val="00352C88"/>
    <w:rsid w:val="0035374C"/>
    <w:rsid w:val="003556A3"/>
    <w:rsid w:val="003564EF"/>
    <w:rsid w:val="00356653"/>
    <w:rsid w:val="003568CD"/>
    <w:rsid w:val="00356BCA"/>
    <w:rsid w:val="00357082"/>
    <w:rsid w:val="0035743F"/>
    <w:rsid w:val="003575A9"/>
    <w:rsid w:val="00357BE2"/>
    <w:rsid w:val="00360059"/>
    <w:rsid w:val="003603F3"/>
    <w:rsid w:val="00360FA5"/>
    <w:rsid w:val="00361387"/>
    <w:rsid w:val="0036170C"/>
    <w:rsid w:val="003626D6"/>
    <w:rsid w:val="0036311E"/>
    <w:rsid w:val="00364276"/>
    <w:rsid w:val="003649B2"/>
    <w:rsid w:val="003655B0"/>
    <w:rsid w:val="00365EA3"/>
    <w:rsid w:val="0036639A"/>
    <w:rsid w:val="00366852"/>
    <w:rsid w:val="00366918"/>
    <w:rsid w:val="00366E0F"/>
    <w:rsid w:val="00366F51"/>
    <w:rsid w:val="00366F5E"/>
    <w:rsid w:val="00367EF4"/>
    <w:rsid w:val="003706B3"/>
    <w:rsid w:val="003706E6"/>
    <w:rsid w:val="003711E7"/>
    <w:rsid w:val="00372D0A"/>
    <w:rsid w:val="00372D6F"/>
    <w:rsid w:val="003734CB"/>
    <w:rsid w:val="00373516"/>
    <w:rsid w:val="00373DAF"/>
    <w:rsid w:val="00374C5A"/>
    <w:rsid w:val="00377ADD"/>
    <w:rsid w:val="00380604"/>
    <w:rsid w:val="00380A80"/>
    <w:rsid w:val="00380F04"/>
    <w:rsid w:val="00381265"/>
    <w:rsid w:val="00381A72"/>
    <w:rsid w:val="003824FB"/>
    <w:rsid w:val="00384676"/>
    <w:rsid w:val="003847C2"/>
    <w:rsid w:val="00384DA7"/>
    <w:rsid w:val="00385248"/>
    <w:rsid w:val="003854E7"/>
    <w:rsid w:val="003855FB"/>
    <w:rsid w:val="00385EBE"/>
    <w:rsid w:val="003872AA"/>
    <w:rsid w:val="00387E44"/>
    <w:rsid w:val="00390857"/>
    <w:rsid w:val="00391917"/>
    <w:rsid w:val="00391B98"/>
    <w:rsid w:val="003922D4"/>
    <w:rsid w:val="003930FA"/>
    <w:rsid w:val="003960B5"/>
    <w:rsid w:val="00396306"/>
    <w:rsid w:val="00397598"/>
    <w:rsid w:val="003A0EF7"/>
    <w:rsid w:val="003A2377"/>
    <w:rsid w:val="003A4BF3"/>
    <w:rsid w:val="003A5019"/>
    <w:rsid w:val="003A5C41"/>
    <w:rsid w:val="003A5D78"/>
    <w:rsid w:val="003A5DB3"/>
    <w:rsid w:val="003A5DB4"/>
    <w:rsid w:val="003A5ED2"/>
    <w:rsid w:val="003B0D2F"/>
    <w:rsid w:val="003B248A"/>
    <w:rsid w:val="003B283A"/>
    <w:rsid w:val="003B378E"/>
    <w:rsid w:val="003B420D"/>
    <w:rsid w:val="003B4460"/>
    <w:rsid w:val="003B6504"/>
    <w:rsid w:val="003B7ABE"/>
    <w:rsid w:val="003B7F56"/>
    <w:rsid w:val="003C080C"/>
    <w:rsid w:val="003C11F4"/>
    <w:rsid w:val="003C1585"/>
    <w:rsid w:val="003C19DB"/>
    <w:rsid w:val="003C1AE9"/>
    <w:rsid w:val="003C21BA"/>
    <w:rsid w:val="003C2A4A"/>
    <w:rsid w:val="003C36AF"/>
    <w:rsid w:val="003C42C8"/>
    <w:rsid w:val="003C4A3C"/>
    <w:rsid w:val="003C582B"/>
    <w:rsid w:val="003C6C16"/>
    <w:rsid w:val="003C70E8"/>
    <w:rsid w:val="003C742F"/>
    <w:rsid w:val="003D1211"/>
    <w:rsid w:val="003D13C1"/>
    <w:rsid w:val="003D1B16"/>
    <w:rsid w:val="003D2814"/>
    <w:rsid w:val="003D2A2A"/>
    <w:rsid w:val="003D3600"/>
    <w:rsid w:val="003D6074"/>
    <w:rsid w:val="003D710D"/>
    <w:rsid w:val="003D794D"/>
    <w:rsid w:val="003E0413"/>
    <w:rsid w:val="003E0EBD"/>
    <w:rsid w:val="003E1B43"/>
    <w:rsid w:val="003E1D6C"/>
    <w:rsid w:val="003E270F"/>
    <w:rsid w:val="003E2DAC"/>
    <w:rsid w:val="003E3058"/>
    <w:rsid w:val="003E3D45"/>
    <w:rsid w:val="003E3D77"/>
    <w:rsid w:val="003E418A"/>
    <w:rsid w:val="003E44C9"/>
    <w:rsid w:val="003E4D09"/>
    <w:rsid w:val="003E6258"/>
    <w:rsid w:val="003E6391"/>
    <w:rsid w:val="003E647E"/>
    <w:rsid w:val="003E691E"/>
    <w:rsid w:val="003E76A9"/>
    <w:rsid w:val="003F0809"/>
    <w:rsid w:val="003F13BD"/>
    <w:rsid w:val="003F29D4"/>
    <w:rsid w:val="003F38A9"/>
    <w:rsid w:val="003F54AA"/>
    <w:rsid w:val="003F5666"/>
    <w:rsid w:val="003F697B"/>
    <w:rsid w:val="003F6A8C"/>
    <w:rsid w:val="003F709C"/>
    <w:rsid w:val="003F755C"/>
    <w:rsid w:val="003F7AA9"/>
    <w:rsid w:val="003F7BFD"/>
    <w:rsid w:val="00401748"/>
    <w:rsid w:val="00401DE4"/>
    <w:rsid w:val="0040464B"/>
    <w:rsid w:val="0040552E"/>
    <w:rsid w:val="004056E9"/>
    <w:rsid w:val="00405D23"/>
    <w:rsid w:val="00406F01"/>
    <w:rsid w:val="0040751E"/>
    <w:rsid w:val="00407964"/>
    <w:rsid w:val="00407AEF"/>
    <w:rsid w:val="00407C01"/>
    <w:rsid w:val="004116D8"/>
    <w:rsid w:val="00411CE9"/>
    <w:rsid w:val="004130D6"/>
    <w:rsid w:val="00413D73"/>
    <w:rsid w:val="00414886"/>
    <w:rsid w:val="00415BF1"/>
    <w:rsid w:val="00416D41"/>
    <w:rsid w:val="00416D50"/>
    <w:rsid w:val="00416FD5"/>
    <w:rsid w:val="00417772"/>
    <w:rsid w:val="004206C2"/>
    <w:rsid w:val="00420E6A"/>
    <w:rsid w:val="00421112"/>
    <w:rsid w:val="00421B55"/>
    <w:rsid w:val="00423A0B"/>
    <w:rsid w:val="00424860"/>
    <w:rsid w:val="00425A9E"/>
    <w:rsid w:val="00425D6A"/>
    <w:rsid w:val="00426561"/>
    <w:rsid w:val="00426D6B"/>
    <w:rsid w:val="00430243"/>
    <w:rsid w:val="00431222"/>
    <w:rsid w:val="0043175E"/>
    <w:rsid w:val="00431E6C"/>
    <w:rsid w:val="00432A66"/>
    <w:rsid w:val="00433A38"/>
    <w:rsid w:val="00433CE7"/>
    <w:rsid w:val="00434A14"/>
    <w:rsid w:val="00434EB7"/>
    <w:rsid w:val="0043534A"/>
    <w:rsid w:val="00435954"/>
    <w:rsid w:val="00436CC5"/>
    <w:rsid w:val="0044062C"/>
    <w:rsid w:val="00441133"/>
    <w:rsid w:val="004420C5"/>
    <w:rsid w:val="00442B3A"/>
    <w:rsid w:val="00442CD6"/>
    <w:rsid w:val="00442D77"/>
    <w:rsid w:val="00443B4F"/>
    <w:rsid w:val="00444498"/>
    <w:rsid w:val="00444EE7"/>
    <w:rsid w:val="004451D3"/>
    <w:rsid w:val="0044539E"/>
    <w:rsid w:val="0044620E"/>
    <w:rsid w:val="00446C5F"/>
    <w:rsid w:val="004519B1"/>
    <w:rsid w:val="00452738"/>
    <w:rsid w:val="00452E6A"/>
    <w:rsid w:val="00454239"/>
    <w:rsid w:val="004546F6"/>
    <w:rsid w:val="00454B4C"/>
    <w:rsid w:val="00454FD3"/>
    <w:rsid w:val="00455C0D"/>
    <w:rsid w:val="00456091"/>
    <w:rsid w:val="004563B0"/>
    <w:rsid w:val="00456980"/>
    <w:rsid w:val="00457BE0"/>
    <w:rsid w:val="004603AA"/>
    <w:rsid w:val="004607A5"/>
    <w:rsid w:val="004624E5"/>
    <w:rsid w:val="004638F2"/>
    <w:rsid w:val="00464285"/>
    <w:rsid w:val="00465EA8"/>
    <w:rsid w:val="00466321"/>
    <w:rsid w:val="00467B67"/>
    <w:rsid w:val="004733A3"/>
    <w:rsid w:val="00473D88"/>
    <w:rsid w:val="00474F3A"/>
    <w:rsid w:val="00477AEC"/>
    <w:rsid w:val="00477ECF"/>
    <w:rsid w:val="00477FCC"/>
    <w:rsid w:val="00480333"/>
    <w:rsid w:val="00481470"/>
    <w:rsid w:val="00481ECD"/>
    <w:rsid w:val="0048236C"/>
    <w:rsid w:val="00484B9B"/>
    <w:rsid w:val="004855E6"/>
    <w:rsid w:val="004855F6"/>
    <w:rsid w:val="00485D04"/>
    <w:rsid w:val="0048661E"/>
    <w:rsid w:val="0048693A"/>
    <w:rsid w:val="00486C4D"/>
    <w:rsid w:val="004906B1"/>
    <w:rsid w:val="004915E3"/>
    <w:rsid w:val="00491B88"/>
    <w:rsid w:val="0049265C"/>
    <w:rsid w:val="00492816"/>
    <w:rsid w:val="004943A0"/>
    <w:rsid w:val="00494670"/>
    <w:rsid w:val="00494FA1"/>
    <w:rsid w:val="004953FB"/>
    <w:rsid w:val="00495BA8"/>
    <w:rsid w:val="0049608A"/>
    <w:rsid w:val="004975B6"/>
    <w:rsid w:val="00497924"/>
    <w:rsid w:val="00497A2E"/>
    <w:rsid w:val="00497C37"/>
    <w:rsid w:val="004A0475"/>
    <w:rsid w:val="004A330B"/>
    <w:rsid w:val="004A3823"/>
    <w:rsid w:val="004A4576"/>
    <w:rsid w:val="004A4F9D"/>
    <w:rsid w:val="004A5D88"/>
    <w:rsid w:val="004A63E5"/>
    <w:rsid w:val="004A7664"/>
    <w:rsid w:val="004A7ADF"/>
    <w:rsid w:val="004A7C23"/>
    <w:rsid w:val="004B1A00"/>
    <w:rsid w:val="004B1CC3"/>
    <w:rsid w:val="004B39FF"/>
    <w:rsid w:val="004B3C39"/>
    <w:rsid w:val="004B51FC"/>
    <w:rsid w:val="004B6C0F"/>
    <w:rsid w:val="004B762B"/>
    <w:rsid w:val="004C0A58"/>
    <w:rsid w:val="004C2A3C"/>
    <w:rsid w:val="004C30BA"/>
    <w:rsid w:val="004C42E7"/>
    <w:rsid w:val="004C452B"/>
    <w:rsid w:val="004C5F5E"/>
    <w:rsid w:val="004C6539"/>
    <w:rsid w:val="004C7B28"/>
    <w:rsid w:val="004D053A"/>
    <w:rsid w:val="004D1117"/>
    <w:rsid w:val="004D1375"/>
    <w:rsid w:val="004D17B8"/>
    <w:rsid w:val="004D1EAE"/>
    <w:rsid w:val="004D20AC"/>
    <w:rsid w:val="004D4D3D"/>
    <w:rsid w:val="004D528D"/>
    <w:rsid w:val="004D681E"/>
    <w:rsid w:val="004D7D7A"/>
    <w:rsid w:val="004E0247"/>
    <w:rsid w:val="004E02BF"/>
    <w:rsid w:val="004E03E9"/>
    <w:rsid w:val="004E044D"/>
    <w:rsid w:val="004E1CE0"/>
    <w:rsid w:val="004E2292"/>
    <w:rsid w:val="004E24CD"/>
    <w:rsid w:val="004E25A5"/>
    <w:rsid w:val="004E4318"/>
    <w:rsid w:val="004E43DF"/>
    <w:rsid w:val="004E5D29"/>
    <w:rsid w:val="004E6944"/>
    <w:rsid w:val="004E6946"/>
    <w:rsid w:val="004F0154"/>
    <w:rsid w:val="004F0903"/>
    <w:rsid w:val="004F0D7A"/>
    <w:rsid w:val="004F1491"/>
    <w:rsid w:val="004F1AD8"/>
    <w:rsid w:val="004F1FA4"/>
    <w:rsid w:val="004F4294"/>
    <w:rsid w:val="004F5E4D"/>
    <w:rsid w:val="0050054C"/>
    <w:rsid w:val="00500CF7"/>
    <w:rsid w:val="00502507"/>
    <w:rsid w:val="0050339B"/>
    <w:rsid w:val="005039CB"/>
    <w:rsid w:val="0050500F"/>
    <w:rsid w:val="0050558F"/>
    <w:rsid w:val="00505871"/>
    <w:rsid w:val="00505CA8"/>
    <w:rsid w:val="00505F0D"/>
    <w:rsid w:val="00506286"/>
    <w:rsid w:val="00507A9B"/>
    <w:rsid w:val="00510813"/>
    <w:rsid w:val="00511889"/>
    <w:rsid w:val="00511990"/>
    <w:rsid w:val="00511DE0"/>
    <w:rsid w:val="00512AC1"/>
    <w:rsid w:val="00513C5B"/>
    <w:rsid w:val="00514870"/>
    <w:rsid w:val="00514B9B"/>
    <w:rsid w:val="00515F71"/>
    <w:rsid w:val="005166BC"/>
    <w:rsid w:val="00516959"/>
    <w:rsid w:val="00516D33"/>
    <w:rsid w:val="00517033"/>
    <w:rsid w:val="00517F02"/>
    <w:rsid w:val="00520289"/>
    <w:rsid w:val="005205BC"/>
    <w:rsid w:val="00522188"/>
    <w:rsid w:val="00523811"/>
    <w:rsid w:val="00524051"/>
    <w:rsid w:val="00524303"/>
    <w:rsid w:val="00524618"/>
    <w:rsid w:val="00524A4E"/>
    <w:rsid w:val="005258A2"/>
    <w:rsid w:val="00526A1C"/>
    <w:rsid w:val="00526AAD"/>
    <w:rsid w:val="00527958"/>
    <w:rsid w:val="00527C89"/>
    <w:rsid w:val="00533D06"/>
    <w:rsid w:val="00534D2E"/>
    <w:rsid w:val="005360B4"/>
    <w:rsid w:val="005369A6"/>
    <w:rsid w:val="005401AE"/>
    <w:rsid w:val="0054251F"/>
    <w:rsid w:val="00542E07"/>
    <w:rsid w:val="00545135"/>
    <w:rsid w:val="00545424"/>
    <w:rsid w:val="00545DD2"/>
    <w:rsid w:val="00547202"/>
    <w:rsid w:val="00547C6A"/>
    <w:rsid w:val="00550716"/>
    <w:rsid w:val="00550A64"/>
    <w:rsid w:val="00550F56"/>
    <w:rsid w:val="005531F2"/>
    <w:rsid w:val="0055337F"/>
    <w:rsid w:val="005534F6"/>
    <w:rsid w:val="00554A7B"/>
    <w:rsid w:val="00555514"/>
    <w:rsid w:val="0055572C"/>
    <w:rsid w:val="005557AE"/>
    <w:rsid w:val="005560C4"/>
    <w:rsid w:val="005563AA"/>
    <w:rsid w:val="00556458"/>
    <w:rsid w:val="0055658C"/>
    <w:rsid w:val="005572DE"/>
    <w:rsid w:val="005577A6"/>
    <w:rsid w:val="00560CC0"/>
    <w:rsid w:val="0056106A"/>
    <w:rsid w:val="005610EF"/>
    <w:rsid w:val="00561399"/>
    <w:rsid w:val="00561C09"/>
    <w:rsid w:val="00562883"/>
    <w:rsid w:val="005643B0"/>
    <w:rsid w:val="00564D2B"/>
    <w:rsid w:val="005662F1"/>
    <w:rsid w:val="00567510"/>
    <w:rsid w:val="0056786F"/>
    <w:rsid w:val="005705A3"/>
    <w:rsid w:val="00570FAF"/>
    <w:rsid w:val="005716A4"/>
    <w:rsid w:val="00571978"/>
    <w:rsid w:val="00571D32"/>
    <w:rsid w:val="00571F56"/>
    <w:rsid w:val="005720AE"/>
    <w:rsid w:val="0057387F"/>
    <w:rsid w:val="00573F6D"/>
    <w:rsid w:val="0057521E"/>
    <w:rsid w:val="00576A2F"/>
    <w:rsid w:val="0057717F"/>
    <w:rsid w:val="00577651"/>
    <w:rsid w:val="00577ED5"/>
    <w:rsid w:val="005824DA"/>
    <w:rsid w:val="00586C37"/>
    <w:rsid w:val="00590217"/>
    <w:rsid w:val="005903F3"/>
    <w:rsid w:val="005919A8"/>
    <w:rsid w:val="005919C5"/>
    <w:rsid w:val="00593290"/>
    <w:rsid w:val="005933A2"/>
    <w:rsid w:val="00593613"/>
    <w:rsid w:val="00593E7A"/>
    <w:rsid w:val="00594D77"/>
    <w:rsid w:val="005969E4"/>
    <w:rsid w:val="00596D83"/>
    <w:rsid w:val="00597950"/>
    <w:rsid w:val="005A0081"/>
    <w:rsid w:val="005A06B7"/>
    <w:rsid w:val="005A0771"/>
    <w:rsid w:val="005A099A"/>
    <w:rsid w:val="005A1759"/>
    <w:rsid w:val="005A1B07"/>
    <w:rsid w:val="005A1CCE"/>
    <w:rsid w:val="005A206D"/>
    <w:rsid w:val="005A3367"/>
    <w:rsid w:val="005A4218"/>
    <w:rsid w:val="005A5A3A"/>
    <w:rsid w:val="005A5A52"/>
    <w:rsid w:val="005A5DE4"/>
    <w:rsid w:val="005A68A7"/>
    <w:rsid w:val="005B01A1"/>
    <w:rsid w:val="005B140F"/>
    <w:rsid w:val="005B3903"/>
    <w:rsid w:val="005B3A9B"/>
    <w:rsid w:val="005B42DF"/>
    <w:rsid w:val="005B59EE"/>
    <w:rsid w:val="005B792D"/>
    <w:rsid w:val="005C27D1"/>
    <w:rsid w:val="005C293B"/>
    <w:rsid w:val="005C31EE"/>
    <w:rsid w:val="005C4E14"/>
    <w:rsid w:val="005C5A1E"/>
    <w:rsid w:val="005C5C7D"/>
    <w:rsid w:val="005C60E3"/>
    <w:rsid w:val="005C6450"/>
    <w:rsid w:val="005C7E40"/>
    <w:rsid w:val="005D058D"/>
    <w:rsid w:val="005D36AB"/>
    <w:rsid w:val="005D4724"/>
    <w:rsid w:val="005D4D75"/>
    <w:rsid w:val="005D5C67"/>
    <w:rsid w:val="005E1DA7"/>
    <w:rsid w:val="005E1E13"/>
    <w:rsid w:val="005E2D12"/>
    <w:rsid w:val="005E2D6F"/>
    <w:rsid w:val="005E2D85"/>
    <w:rsid w:val="005E304C"/>
    <w:rsid w:val="005E4E8F"/>
    <w:rsid w:val="005E52F5"/>
    <w:rsid w:val="005E57FD"/>
    <w:rsid w:val="005E6E7C"/>
    <w:rsid w:val="005E7D21"/>
    <w:rsid w:val="005F0046"/>
    <w:rsid w:val="005F0BB9"/>
    <w:rsid w:val="005F15D5"/>
    <w:rsid w:val="005F1AD3"/>
    <w:rsid w:val="005F2F9B"/>
    <w:rsid w:val="005F32E8"/>
    <w:rsid w:val="005F3643"/>
    <w:rsid w:val="005F3F41"/>
    <w:rsid w:val="005F46FB"/>
    <w:rsid w:val="005F4F7F"/>
    <w:rsid w:val="005F5D46"/>
    <w:rsid w:val="005F6B89"/>
    <w:rsid w:val="005F7BA1"/>
    <w:rsid w:val="006018D9"/>
    <w:rsid w:val="00601DF8"/>
    <w:rsid w:val="00602DE0"/>
    <w:rsid w:val="00603DEB"/>
    <w:rsid w:val="00604857"/>
    <w:rsid w:val="00604D6C"/>
    <w:rsid w:val="00604F6C"/>
    <w:rsid w:val="0060526B"/>
    <w:rsid w:val="00606F4C"/>
    <w:rsid w:val="00607419"/>
    <w:rsid w:val="00607CDE"/>
    <w:rsid w:val="00607D31"/>
    <w:rsid w:val="0061137C"/>
    <w:rsid w:val="00611F3F"/>
    <w:rsid w:val="006133AB"/>
    <w:rsid w:val="0061506E"/>
    <w:rsid w:val="006156E8"/>
    <w:rsid w:val="006175F5"/>
    <w:rsid w:val="00617658"/>
    <w:rsid w:val="00617CC3"/>
    <w:rsid w:val="00620432"/>
    <w:rsid w:val="0062083A"/>
    <w:rsid w:val="00620D71"/>
    <w:rsid w:val="00620EF6"/>
    <w:rsid w:val="0062118F"/>
    <w:rsid w:val="00621235"/>
    <w:rsid w:val="0062168A"/>
    <w:rsid w:val="006229E0"/>
    <w:rsid w:val="00622DAE"/>
    <w:rsid w:val="00624711"/>
    <w:rsid w:val="00624E17"/>
    <w:rsid w:val="00625A54"/>
    <w:rsid w:val="006321C0"/>
    <w:rsid w:val="00632D90"/>
    <w:rsid w:val="006331D5"/>
    <w:rsid w:val="00633422"/>
    <w:rsid w:val="00634364"/>
    <w:rsid w:val="00635DC5"/>
    <w:rsid w:val="00636990"/>
    <w:rsid w:val="006377A6"/>
    <w:rsid w:val="00637A3D"/>
    <w:rsid w:val="0064003D"/>
    <w:rsid w:val="00640094"/>
    <w:rsid w:val="00640786"/>
    <w:rsid w:val="00640C57"/>
    <w:rsid w:val="006411EF"/>
    <w:rsid w:val="006418FE"/>
    <w:rsid w:val="00642282"/>
    <w:rsid w:val="00642505"/>
    <w:rsid w:val="00642672"/>
    <w:rsid w:val="00642848"/>
    <w:rsid w:val="00643154"/>
    <w:rsid w:val="00644A13"/>
    <w:rsid w:val="00644AEE"/>
    <w:rsid w:val="0064662C"/>
    <w:rsid w:val="006475E2"/>
    <w:rsid w:val="00650152"/>
    <w:rsid w:val="0065078B"/>
    <w:rsid w:val="00650D60"/>
    <w:rsid w:val="0065120D"/>
    <w:rsid w:val="00651D54"/>
    <w:rsid w:val="00652072"/>
    <w:rsid w:val="006546A5"/>
    <w:rsid w:val="00654747"/>
    <w:rsid w:val="00654794"/>
    <w:rsid w:val="00655F30"/>
    <w:rsid w:val="00657A5A"/>
    <w:rsid w:val="00657B6D"/>
    <w:rsid w:val="00657F45"/>
    <w:rsid w:val="00660157"/>
    <w:rsid w:val="00660315"/>
    <w:rsid w:val="00662280"/>
    <w:rsid w:val="00662BEF"/>
    <w:rsid w:val="00663308"/>
    <w:rsid w:val="006640E3"/>
    <w:rsid w:val="00664C65"/>
    <w:rsid w:val="0066529F"/>
    <w:rsid w:val="006658E4"/>
    <w:rsid w:val="00665F02"/>
    <w:rsid w:val="0066696D"/>
    <w:rsid w:val="006707C5"/>
    <w:rsid w:val="00672511"/>
    <w:rsid w:val="00672804"/>
    <w:rsid w:val="006744AE"/>
    <w:rsid w:val="006748B8"/>
    <w:rsid w:val="006749C6"/>
    <w:rsid w:val="006763F9"/>
    <w:rsid w:val="00676637"/>
    <w:rsid w:val="00676B57"/>
    <w:rsid w:val="006775C3"/>
    <w:rsid w:val="006809E0"/>
    <w:rsid w:val="00680F73"/>
    <w:rsid w:val="006811EE"/>
    <w:rsid w:val="0068264A"/>
    <w:rsid w:val="00683966"/>
    <w:rsid w:val="00683F26"/>
    <w:rsid w:val="006845D5"/>
    <w:rsid w:val="00684D7B"/>
    <w:rsid w:val="00686D4B"/>
    <w:rsid w:val="00687471"/>
    <w:rsid w:val="0069025A"/>
    <w:rsid w:val="0069072F"/>
    <w:rsid w:val="00690C71"/>
    <w:rsid w:val="00690D64"/>
    <w:rsid w:val="0069181E"/>
    <w:rsid w:val="00691922"/>
    <w:rsid w:val="0069290A"/>
    <w:rsid w:val="00694546"/>
    <w:rsid w:val="00694C5E"/>
    <w:rsid w:val="00694E29"/>
    <w:rsid w:val="00694FBB"/>
    <w:rsid w:val="006967C6"/>
    <w:rsid w:val="00696F13"/>
    <w:rsid w:val="0069775A"/>
    <w:rsid w:val="00697813"/>
    <w:rsid w:val="006A0D4D"/>
    <w:rsid w:val="006A1342"/>
    <w:rsid w:val="006A3EE8"/>
    <w:rsid w:val="006A423A"/>
    <w:rsid w:val="006A5C26"/>
    <w:rsid w:val="006A6D2C"/>
    <w:rsid w:val="006A72BF"/>
    <w:rsid w:val="006A7C2D"/>
    <w:rsid w:val="006B03F2"/>
    <w:rsid w:val="006B0901"/>
    <w:rsid w:val="006B09DF"/>
    <w:rsid w:val="006B0C0B"/>
    <w:rsid w:val="006B1243"/>
    <w:rsid w:val="006B1F18"/>
    <w:rsid w:val="006B24A5"/>
    <w:rsid w:val="006B3701"/>
    <w:rsid w:val="006B37DC"/>
    <w:rsid w:val="006B4126"/>
    <w:rsid w:val="006B42AC"/>
    <w:rsid w:val="006B4F68"/>
    <w:rsid w:val="006B70B6"/>
    <w:rsid w:val="006B797C"/>
    <w:rsid w:val="006C0592"/>
    <w:rsid w:val="006C1A87"/>
    <w:rsid w:val="006C1BD4"/>
    <w:rsid w:val="006C272E"/>
    <w:rsid w:val="006C3E5E"/>
    <w:rsid w:val="006C4886"/>
    <w:rsid w:val="006C5479"/>
    <w:rsid w:val="006C5975"/>
    <w:rsid w:val="006C5A6B"/>
    <w:rsid w:val="006C7BD9"/>
    <w:rsid w:val="006C7D26"/>
    <w:rsid w:val="006C7D50"/>
    <w:rsid w:val="006D13B5"/>
    <w:rsid w:val="006D1743"/>
    <w:rsid w:val="006D23E3"/>
    <w:rsid w:val="006D2809"/>
    <w:rsid w:val="006D2888"/>
    <w:rsid w:val="006D329B"/>
    <w:rsid w:val="006D3633"/>
    <w:rsid w:val="006D3CCC"/>
    <w:rsid w:val="006D3E6F"/>
    <w:rsid w:val="006D5748"/>
    <w:rsid w:val="006D5782"/>
    <w:rsid w:val="006D74B7"/>
    <w:rsid w:val="006D7B5E"/>
    <w:rsid w:val="006E00EC"/>
    <w:rsid w:val="006E0647"/>
    <w:rsid w:val="006E064C"/>
    <w:rsid w:val="006E0C89"/>
    <w:rsid w:val="006E12FF"/>
    <w:rsid w:val="006E3750"/>
    <w:rsid w:val="006E58BD"/>
    <w:rsid w:val="006E607E"/>
    <w:rsid w:val="006E673B"/>
    <w:rsid w:val="006E6F6A"/>
    <w:rsid w:val="006E7D88"/>
    <w:rsid w:val="006F06AF"/>
    <w:rsid w:val="006F23D4"/>
    <w:rsid w:val="006F27CD"/>
    <w:rsid w:val="006F2ADA"/>
    <w:rsid w:val="006F330A"/>
    <w:rsid w:val="006F5BA1"/>
    <w:rsid w:val="006F601D"/>
    <w:rsid w:val="006F6170"/>
    <w:rsid w:val="006F6951"/>
    <w:rsid w:val="006F789B"/>
    <w:rsid w:val="006F7D71"/>
    <w:rsid w:val="007002A8"/>
    <w:rsid w:val="007007FE"/>
    <w:rsid w:val="00701D68"/>
    <w:rsid w:val="007021F7"/>
    <w:rsid w:val="007027EF"/>
    <w:rsid w:val="00705913"/>
    <w:rsid w:val="00706C5D"/>
    <w:rsid w:val="0070751E"/>
    <w:rsid w:val="00707B33"/>
    <w:rsid w:val="0071027E"/>
    <w:rsid w:val="007117F7"/>
    <w:rsid w:val="007134EB"/>
    <w:rsid w:val="007138E1"/>
    <w:rsid w:val="00714687"/>
    <w:rsid w:val="00714CFE"/>
    <w:rsid w:val="0071603E"/>
    <w:rsid w:val="00716845"/>
    <w:rsid w:val="00717485"/>
    <w:rsid w:val="0071781E"/>
    <w:rsid w:val="007201CD"/>
    <w:rsid w:val="00720572"/>
    <w:rsid w:val="007211ED"/>
    <w:rsid w:val="00721532"/>
    <w:rsid w:val="00721A7E"/>
    <w:rsid w:val="007226AF"/>
    <w:rsid w:val="00725B9B"/>
    <w:rsid w:val="00725DCA"/>
    <w:rsid w:val="00730816"/>
    <w:rsid w:val="00731984"/>
    <w:rsid w:val="00731B0D"/>
    <w:rsid w:val="00731D29"/>
    <w:rsid w:val="00732922"/>
    <w:rsid w:val="0073295F"/>
    <w:rsid w:val="0073322F"/>
    <w:rsid w:val="007332AF"/>
    <w:rsid w:val="00733A8A"/>
    <w:rsid w:val="00734318"/>
    <w:rsid w:val="00734447"/>
    <w:rsid w:val="00736DAB"/>
    <w:rsid w:val="007371E2"/>
    <w:rsid w:val="007374EC"/>
    <w:rsid w:val="00740777"/>
    <w:rsid w:val="00742997"/>
    <w:rsid w:val="00742DAB"/>
    <w:rsid w:val="00743072"/>
    <w:rsid w:val="00743352"/>
    <w:rsid w:val="00743ABF"/>
    <w:rsid w:val="00743D71"/>
    <w:rsid w:val="007449C3"/>
    <w:rsid w:val="0074529E"/>
    <w:rsid w:val="007454A1"/>
    <w:rsid w:val="00746546"/>
    <w:rsid w:val="0075029C"/>
    <w:rsid w:val="007506DC"/>
    <w:rsid w:val="0075162E"/>
    <w:rsid w:val="0075171E"/>
    <w:rsid w:val="0075182B"/>
    <w:rsid w:val="00751991"/>
    <w:rsid w:val="00751E33"/>
    <w:rsid w:val="0075269B"/>
    <w:rsid w:val="0075323D"/>
    <w:rsid w:val="00753795"/>
    <w:rsid w:val="00754034"/>
    <w:rsid w:val="007548DC"/>
    <w:rsid w:val="007551B6"/>
    <w:rsid w:val="007558F3"/>
    <w:rsid w:val="00756556"/>
    <w:rsid w:val="007573E1"/>
    <w:rsid w:val="00757B14"/>
    <w:rsid w:val="00760824"/>
    <w:rsid w:val="007611F4"/>
    <w:rsid w:val="0076142A"/>
    <w:rsid w:val="00761720"/>
    <w:rsid w:val="00761855"/>
    <w:rsid w:val="007618C4"/>
    <w:rsid w:val="00761B5F"/>
    <w:rsid w:val="00761F57"/>
    <w:rsid w:val="00762B3C"/>
    <w:rsid w:val="00763587"/>
    <w:rsid w:val="0076424A"/>
    <w:rsid w:val="0076467B"/>
    <w:rsid w:val="00764975"/>
    <w:rsid w:val="00764DAD"/>
    <w:rsid w:val="00764EC1"/>
    <w:rsid w:val="00765699"/>
    <w:rsid w:val="00765C3A"/>
    <w:rsid w:val="00766E35"/>
    <w:rsid w:val="007674EF"/>
    <w:rsid w:val="007677AD"/>
    <w:rsid w:val="00767980"/>
    <w:rsid w:val="00767F50"/>
    <w:rsid w:val="00770B19"/>
    <w:rsid w:val="00772239"/>
    <w:rsid w:val="00773DA5"/>
    <w:rsid w:val="007741CE"/>
    <w:rsid w:val="007745FA"/>
    <w:rsid w:val="0077463F"/>
    <w:rsid w:val="007746F7"/>
    <w:rsid w:val="0077520B"/>
    <w:rsid w:val="00775D74"/>
    <w:rsid w:val="007765C6"/>
    <w:rsid w:val="00776AF4"/>
    <w:rsid w:val="00776D3F"/>
    <w:rsid w:val="00780CAF"/>
    <w:rsid w:val="007815B0"/>
    <w:rsid w:val="007818FF"/>
    <w:rsid w:val="00781983"/>
    <w:rsid w:val="00781D23"/>
    <w:rsid w:val="00782160"/>
    <w:rsid w:val="00782881"/>
    <w:rsid w:val="00783379"/>
    <w:rsid w:val="007836EA"/>
    <w:rsid w:val="007840E9"/>
    <w:rsid w:val="00784CDA"/>
    <w:rsid w:val="00786AF9"/>
    <w:rsid w:val="00786DE2"/>
    <w:rsid w:val="00786E90"/>
    <w:rsid w:val="0078707A"/>
    <w:rsid w:val="007906C4"/>
    <w:rsid w:val="00791310"/>
    <w:rsid w:val="00791686"/>
    <w:rsid w:val="00791C50"/>
    <w:rsid w:val="00791DDD"/>
    <w:rsid w:val="00792440"/>
    <w:rsid w:val="00792779"/>
    <w:rsid w:val="007935F1"/>
    <w:rsid w:val="007940EA"/>
    <w:rsid w:val="007967E8"/>
    <w:rsid w:val="00797108"/>
    <w:rsid w:val="007A20FD"/>
    <w:rsid w:val="007A2170"/>
    <w:rsid w:val="007A22BF"/>
    <w:rsid w:val="007A285E"/>
    <w:rsid w:val="007A3323"/>
    <w:rsid w:val="007A43B6"/>
    <w:rsid w:val="007A480B"/>
    <w:rsid w:val="007A4BFA"/>
    <w:rsid w:val="007A5205"/>
    <w:rsid w:val="007A5240"/>
    <w:rsid w:val="007A6D04"/>
    <w:rsid w:val="007A6FFE"/>
    <w:rsid w:val="007A72FA"/>
    <w:rsid w:val="007B0A92"/>
    <w:rsid w:val="007B26A4"/>
    <w:rsid w:val="007B2E5C"/>
    <w:rsid w:val="007B3812"/>
    <w:rsid w:val="007B43FC"/>
    <w:rsid w:val="007B4846"/>
    <w:rsid w:val="007B4E75"/>
    <w:rsid w:val="007B4F3C"/>
    <w:rsid w:val="007B4FE9"/>
    <w:rsid w:val="007B51E4"/>
    <w:rsid w:val="007B51F3"/>
    <w:rsid w:val="007B691E"/>
    <w:rsid w:val="007B6ACB"/>
    <w:rsid w:val="007B6C57"/>
    <w:rsid w:val="007B6F7E"/>
    <w:rsid w:val="007B72B8"/>
    <w:rsid w:val="007B7A58"/>
    <w:rsid w:val="007C01ED"/>
    <w:rsid w:val="007C0D70"/>
    <w:rsid w:val="007C136D"/>
    <w:rsid w:val="007C1D4F"/>
    <w:rsid w:val="007C21B5"/>
    <w:rsid w:val="007C37E1"/>
    <w:rsid w:val="007C4FC7"/>
    <w:rsid w:val="007C5C26"/>
    <w:rsid w:val="007C7D17"/>
    <w:rsid w:val="007D02AC"/>
    <w:rsid w:val="007D2154"/>
    <w:rsid w:val="007D228B"/>
    <w:rsid w:val="007D3076"/>
    <w:rsid w:val="007D3E6E"/>
    <w:rsid w:val="007D6E7A"/>
    <w:rsid w:val="007E05C3"/>
    <w:rsid w:val="007E0E52"/>
    <w:rsid w:val="007E111F"/>
    <w:rsid w:val="007E1763"/>
    <w:rsid w:val="007E2811"/>
    <w:rsid w:val="007E35A3"/>
    <w:rsid w:val="007E3837"/>
    <w:rsid w:val="007E3CF7"/>
    <w:rsid w:val="007E4744"/>
    <w:rsid w:val="007E4BD2"/>
    <w:rsid w:val="007E5134"/>
    <w:rsid w:val="007E533F"/>
    <w:rsid w:val="007E548A"/>
    <w:rsid w:val="007E56B3"/>
    <w:rsid w:val="007E61A9"/>
    <w:rsid w:val="007E6ABC"/>
    <w:rsid w:val="007F0254"/>
    <w:rsid w:val="007F0832"/>
    <w:rsid w:val="007F1FBC"/>
    <w:rsid w:val="007F2DDA"/>
    <w:rsid w:val="007F2EC7"/>
    <w:rsid w:val="007F4D71"/>
    <w:rsid w:val="007F539D"/>
    <w:rsid w:val="007F53E3"/>
    <w:rsid w:val="007F5BF2"/>
    <w:rsid w:val="007F6675"/>
    <w:rsid w:val="007F6C72"/>
    <w:rsid w:val="007F7EA9"/>
    <w:rsid w:val="0080010F"/>
    <w:rsid w:val="00800AE3"/>
    <w:rsid w:val="00800F94"/>
    <w:rsid w:val="00801393"/>
    <w:rsid w:val="00801B04"/>
    <w:rsid w:val="0080248D"/>
    <w:rsid w:val="00802F88"/>
    <w:rsid w:val="008033A6"/>
    <w:rsid w:val="008034CE"/>
    <w:rsid w:val="008039C7"/>
    <w:rsid w:val="0080498A"/>
    <w:rsid w:val="008105FF"/>
    <w:rsid w:val="00810A56"/>
    <w:rsid w:val="00812049"/>
    <w:rsid w:val="0081293E"/>
    <w:rsid w:val="00812979"/>
    <w:rsid w:val="00812A50"/>
    <w:rsid w:val="00813294"/>
    <w:rsid w:val="00813DCB"/>
    <w:rsid w:val="00815465"/>
    <w:rsid w:val="00815C8B"/>
    <w:rsid w:val="00816651"/>
    <w:rsid w:val="00817929"/>
    <w:rsid w:val="00817E9A"/>
    <w:rsid w:val="00820C04"/>
    <w:rsid w:val="008214ED"/>
    <w:rsid w:val="008220EF"/>
    <w:rsid w:val="00824516"/>
    <w:rsid w:val="00826232"/>
    <w:rsid w:val="008269D7"/>
    <w:rsid w:val="00827FF2"/>
    <w:rsid w:val="008306BD"/>
    <w:rsid w:val="00830A6E"/>
    <w:rsid w:val="00830BD0"/>
    <w:rsid w:val="00831037"/>
    <w:rsid w:val="008310B6"/>
    <w:rsid w:val="00831A80"/>
    <w:rsid w:val="00833743"/>
    <w:rsid w:val="00833B02"/>
    <w:rsid w:val="008340A4"/>
    <w:rsid w:val="0083416E"/>
    <w:rsid w:val="008343EA"/>
    <w:rsid w:val="00836287"/>
    <w:rsid w:val="0083636B"/>
    <w:rsid w:val="00837FDA"/>
    <w:rsid w:val="0084011D"/>
    <w:rsid w:val="008401F5"/>
    <w:rsid w:val="00840790"/>
    <w:rsid w:val="008418A5"/>
    <w:rsid w:val="00842E37"/>
    <w:rsid w:val="00843FD4"/>
    <w:rsid w:val="00845721"/>
    <w:rsid w:val="008457F3"/>
    <w:rsid w:val="008513CF"/>
    <w:rsid w:val="008527D8"/>
    <w:rsid w:val="00854D0D"/>
    <w:rsid w:val="008552F6"/>
    <w:rsid w:val="008557E2"/>
    <w:rsid w:val="00855F2B"/>
    <w:rsid w:val="00856937"/>
    <w:rsid w:val="0085702A"/>
    <w:rsid w:val="008612DE"/>
    <w:rsid w:val="00862B53"/>
    <w:rsid w:val="008635AA"/>
    <w:rsid w:val="00863D33"/>
    <w:rsid w:val="00864040"/>
    <w:rsid w:val="00865FDC"/>
    <w:rsid w:val="00870A43"/>
    <w:rsid w:val="00870DDF"/>
    <w:rsid w:val="008711EB"/>
    <w:rsid w:val="0087135F"/>
    <w:rsid w:val="00871CBF"/>
    <w:rsid w:val="00872D94"/>
    <w:rsid w:val="00873583"/>
    <w:rsid w:val="00873DFB"/>
    <w:rsid w:val="00875589"/>
    <w:rsid w:val="00875B92"/>
    <w:rsid w:val="00876EC1"/>
    <w:rsid w:val="0087740A"/>
    <w:rsid w:val="008777E9"/>
    <w:rsid w:val="00880364"/>
    <w:rsid w:val="008804BA"/>
    <w:rsid w:val="00881B24"/>
    <w:rsid w:val="00882070"/>
    <w:rsid w:val="00886955"/>
    <w:rsid w:val="008901E8"/>
    <w:rsid w:val="00891592"/>
    <w:rsid w:val="00891E9E"/>
    <w:rsid w:val="00892384"/>
    <w:rsid w:val="0089544E"/>
    <w:rsid w:val="00896267"/>
    <w:rsid w:val="008979FE"/>
    <w:rsid w:val="008A0355"/>
    <w:rsid w:val="008A07C1"/>
    <w:rsid w:val="008A0967"/>
    <w:rsid w:val="008A0ADC"/>
    <w:rsid w:val="008A0F5A"/>
    <w:rsid w:val="008A20E9"/>
    <w:rsid w:val="008A2558"/>
    <w:rsid w:val="008A2D96"/>
    <w:rsid w:val="008A2F68"/>
    <w:rsid w:val="008A4B32"/>
    <w:rsid w:val="008A5C17"/>
    <w:rsid w:val="008A745C"/>
    <w:rsid w:val="008A75E3"/>
    <w:rsid w:val="008A7C77"/>
    <w:rsid w:val="008B0270"/>
    <w:rsid w:val="008B03C5"/>
    <w:rsid w:val="008B0FBA"/>
    <w:rsid w:val="008B1113"/>
    <w:rsid w:val="008B2353"/>
    <w:rsid w:val="008B2D36"/>
    <w:rsid w:val="008B2F93"/>
    <w:rsid w:val="008B4FA6"/>
    <w:rsid w:val="008B5282"/>
    <w:rsid w:val="008B5362"/>
    <w:rsid w:val="008B6AF2"/>
    <w:rsid w:val="008B7632"/>
    <w:rsid w:val="008B7C17"/>
    <w:rsid w:val="008C0930"/>
    <w:rsid w:val="008C1D7B"/>
    <w:rsid w:val="008C1DFA"/>
    <w:rsid w:val="008C2D01"/>
    <w:rsid w:val="008C2D0F"/>
    <w:rsid w:val="008C32F5"/>
    <w:rsid w:val="008C3F80"/>
    <w:rsid w:val="008C40E6"/>
    <w:rsid w:val="008C6122"/>
    <w:rsid w:val="008D05E5"/>
    <w:rsid w:val="008D0F7A"/>
    <w:rsid w:val="008D1414"/>
    <w:rsid w:val="008D1678"/>
    <w:rsid w:val="008D1766"/>
    <w:rsid w:val="008D286B"/>
    <w:rsid w:val="008D2EBD"/>
    <w:rsid w:val="008D45EF"/>
    <w:rsid w:val="008D61A4"/>
    <w:rsid w:val="008D68E4"/>
    <w:rsid w:val="008D79C1"/>
    <w:rsid w:val="008D7C17"/>
    <w:rsid w:val="008E0506"/>
    <w:rsid w:val="008E07D4"/>
    <w:rsid w:val="008E0CFF"/>
    <w:rsid w:val="008E1881"/>
    <w:rsid w:val="008E2D6C"/>
    <w:rsid w:val="008E3093"/>
    <w:rsid w:val="008E44FF"/>
    <w:rsid w:val="008E4C22"/>
    <w:rsid w:val="008E555E"/>
    <w:rsid w:val="008E57A8"/>
    <w:rsid w:val="008E5D6B"/>
    <w:rsid w:val="008E62CE"/>
    <w:rsid w:val="008E6A37"/>
    <w:rsid w:val="008E6F82"/>
    <w:rsid w:val="008E76F0"/>
    <w:rsid w:val="008F03F8"/>
    <w:rsid w:val="008F115D"/>
    <w:rsid w:val="008F15FE"/>
    <w:rsid w:val="008F1996"/>
    <w:rsid w:val="008F1B50"/>
    <w:rsid w:val="008F2D29"/>
    <w:rsid w:val="008F2F3A"/>
    <w:rsid w:val="008F352F"/>
    <w:rsid w:val="008F3A61"/>
    <w:rsid w:val="008F3DA4"/>
    <w:rsid w:val="008F5187"/>
    <w:rsid w:val="008F5AA4"/>
    <w:rsid w:val="008F60D8"/>
    <w:rsid w:val="008F6EE4"/>
    <w:rsid w:val="008F725A"/>
    <w:rsid w:val="008F7CC3"/>
    <w:rsid w:val="0090019F"/>
    <w:rsid w:val="00901223"/>
    <w:rsid w:val="0090164D"/>
    <w:rsid w:val="00901B5C"/>
    <w:rsid w:val="009021CD"/>
    <w:rsid w:val="009024A0"/>
    <w:rsid w:val="00902727"/>
    <w:rsid w:val="0090312B"/>
    <w:rsid w:val="00903CA3"/>
    <w:rsid w:val="00904A95"/>
    <w:rsid w:val="00905A64"/>
    <w:rsid w:val="00905BA9"/>
    <w:rsid w:val="00907D0E"/>
    <w:rsid w:val="00911EFE"/>
    <w:rsid w:val="00912C81"/>
    <w:rsid w:val="009134CB"/>
    <w:rsid w:val="00913B4B"/>
    <w:rsid w:val="00913CE9"/>
    <w:rsid w:val="00914ACF"/>
    <w:rsid w:val="00916BAE"/>
    <w:rsid w:val="0091736D"/>
    <w:rsid w:val="0092027F"/>
    <w:rsid w:val="009208D6"/>
    <w:rsid w:val="009215E2"/>
    <w:rsid w:val="00923A4D"/>
    <w:rsid w:val="0092543E"/>
    <w:rsid w:val="00926919"/>
    <w:rsid w:val="00926A3E"/>
    <w:rsid w:val="00926D56"/>
    <w:rsid w:val="00927594"/>
    <w:rsid w:val="00927705"/>
    <w:rsid w:val="00927F77"/>
    <w:rsid w:val="00930064"/>
    <w:rsid w:val="0093037A"/>
    <w:rsid w:val="0093042C"/>
    <w:rsid w:val="00930F9C"/>
    <w:rsid w:val="00931E89"/>
    <w:rsid w:val="00932230"/>
    <w:rsid w:val="0093256A"/>
    <w:rsid w:val="00934D2F"/>
    <w:rsid w:val="0093570D"/>
    <w:rsid w:val="00936A00"/>
    <w:rsid w:val="00936C6D"/>
    <w:rsid w:val="009372F5"/>
    <w:rsid w:val="009408D8"/>
    <w:rsid w:val="00940BC1"/>
    <w:rsid w:val="0094154D"/>
    <w:rsid w:val="00941C8C"/>
    <w:rsid w:val="009420BC"/>
    <w:rsid w:val="009425B7"/>
    <w:rsid w:val="00942B9A"/>
    <w:rsid w:val="00942C11"/>
    <w:rsid w:val="009431C6"/>
    <w:rsid w:val="00943A39"/>
    <w:rsid w:val="00943D68"/>
    <w:rsid w:val="009446E2"/>
    <w:rsid w:val="009455D0"/>
    <w:rsid w:val="00945C99"/>
    <w:rsid w:val="00945FBF"/>
    <w:rsid w:val="00946905"/>
    <w:rsid w:val="00946D27"/>
    <w:rsid w:val="00947983"/>
    <w:rsid w:val="0095155F"/>
    <w:rsid w:val="0095162D"/>
    <w:rsid w:val="00953832"/>
    <w:rsid w:val="00954429"/>
    <w:rsid w:val="00955368"/>
    <w:rsid w:val="00955C34"/>
    <w:rsid w:val="00955C90"/>
    <w:rsid w:val="00956358"/>
    <w:rsid w:val="009563CE"/>
    <w:rsid w:val="009576D8"/>
    <w:rsid w:val="00961DD7"/>
    <w:rsid w:val="009641AA"/>
    <w:rsid w:val="00964C94"/>
    <w:rsid w:val="00964E0E"/>
    <w:rsid w:val="00965403"/>
    <w:rsid w:val="00966090"/>
    <w:rsid w:val="00966CA3"/>
    <w:rsid w:val="00966CE8"/>
    <w:rsid w:val="00967E55"/>
    <w:rsid w:val="00970596"/>
    <w:rsid w:val="00970AAC"/>
    <w:rsid w:val="00972713"/>
    <w:rsid w:val="00974C6C"/>
    <w:rsid w:val="0097558E"/>
    <w:rsid w:val="0097572C"/>
    <w:rsid w:val="00976328"/>
    <w:rsid w:val="0097680D"/>
    <w:rsid w:val="00977AE6"/>
    <w:rsid w:val="00977C2C"/>
    <w:rsid w:val="00982438"/>
    <w:rsid w:val="0098404C"/>
    <w:rsid w:val="00985283"/>
    <w:rsid w:val="00985936"/>
    <w:rsid w:val="00986487"/>
    <w:rsid w:val="00986571"/>
    <w:rsid w:val="00986662"/>
    <w:rsid w:val="00986FDC"/>
    <w:rsid w:val="0098770F"/>
    <w:rsid w:val="00990211"/>
    <w:rsid w:val="00992542"/>
    <w:rsid w:val="009927A8"/>
    <w:rsid w:val="00995020"/>
    <w:rsid w:val="00995992"/>
    <w:rsid w:val="009A03E5"/>
    <w:rsid w:val="009A05EA"/>
    <w:rsid w:val="009A0DF9"/>
    <w:rsid w:val="009A0F3B"/>
    <w:rsid w:val="009A1264"/>
    <w:rsid w:val="009A1BB4"/>
    <w:rsid w:val="009A1C3D"/>
    <w:rsid w:val="009A244F"/>
    <w:rsid w:val="009A2628"/>
    <w:rsid w:val="009A3200"/>
    <w:rsid w:val="009A374A"/>
    <w:rsid w:val="009A4327"/>
    <w:rsid w:val="009A5B0C"/>
    <w:rsid w:val="009A5F4F"/>
    <w:rsid w:val="009A5F90"/>
    <w:rsid w:val="009A643A"/>
    <w:rsid w:val="009A66C7"/>
    <w:rsid w:val="009A72CB"/>
    <w:rsid w:val="009A7BC4"/>
    <w:rsid w:val="009A7EDD"/>
    <w:rsid w:val="009B0897"/>
    <w:rsid w:val="009B0ED2"/>
    <w:rsid w:val="009B3CCD"/>
    <w:rsid w:val="009B4EE6"/>
    <w:rsid w:val="009B5AFA"/>
    <w:rsid w:val="009B5DBA"/>
    <w:rsid w:val="009B70DF"/>
    <w:rsid w:val="009B7BD9"/>
    <w:rsid w:val="009C251A"/>
    <w:rsid w:val="009C29B0"/>
    <w:rsid w:val="009C2C2B"/>
    <w:rsid w:val="009C44E1"/>
    <w:rsid w:val="009C74CA"/>
    <w:rsid w:val="009C7DD5"/>
    <w:rsid w:val="009D0194"/>
    <w:rsid w:val="009D64A8"/>
    <w:rsid w:val="009D6CC8"/>
    <w:rsid w:val="009D7F2B"/>
    <w:rsid w:val="009E16FA"/>
    <w:rsid w:val="009E227D"/>
    <w:rsid w:val="009E3102"/>
    <w:rsid w:val="009E43B2"/>
    <w:rsid w:val="009E4F23"/>
    <w:rsid w:val="009E5019"/>
    <w:rsid w:val="009E598E"/>
    <w:rsid w:val="009E602E"/>
    <w:rsid w:val="009E6FA7"/>
    <w:rsid w:val="009F0318"/>
    <w:rsid w:val="009F0D9F"/>
    <w:rsid w:val="009F17CA"/>
    <w:rsid w:val="009F1887"/>
    <w:rsid w:val="009F25AD"/>
    <w:rsid w:val="009F3160"/>
    <w:rsid w:val="009F3953"/>
    <w:rsid w:val="009F4D5B"/>
    <w:rsid w:val="009F5ACD"/>
    <w:rsid w:val="009F5BF4"/>
    <w:rsid w:val="009F639A"/>
    <w:rsid w:val="009F6E7E"/>
    <w:rsid w:val="009F753F"/>
    <w:rsid w:val="00A00E3E"/>
    <w:rsid w:val="00A01EC4"/>
    <w:rsid w:val="00A02065"/>
    <w:rsid w:val="00A0270F"/>
    <w:rsid w:val="00A02D95"/>
    <w:rsid w:val="00A043BA"/>
    <w:rsid w:val="00A04F1B"/>
    <w:rsid w:val="00A0501B"/>
    <w:rsid w:val="00A05386"/>
    <w:rsid w:val="00A05898"/>
    <w:rsid w:val="00A069D5"/>
    <w:rsid w:val="00A06A6E"/>
    <w:rsid w:val="00A1138A"/>
    <w:rsid w:val="00A118B7"/>
    <w:rsid w:val="00A13B66"/>
    <w:rsid w:val="00A14134"/>
    <w:rsid w:val="00A14178"/>
    <w:rsid w:val="00A1449E"/>
    <w:rsid w:val="00A146E0"/>
    <w:rsid w:val="00A14947"/>
    <w:rsid w:val="00A15ED1"/>
    <w:rsid w:val="00A16B1C"/>
    <w:rsid w:val="00A20048"/>
    <w:rsid w:val="00A202E6"/>
    <w:rsid w:val="00A20381"/>
    <w:rsid w:val="00A20B73"/>
    <w:rsid w:val="00A20FDF"/>
    <w:rsid w:val="00A24C7B"/>
    <w:rsid w:val="00A279BE"/>
    <w:rsid w:val="00A306F2"/>
    <w:rsid w:val="00A3144D"/>
    <w:rsid w:val="00A31AC7"/>
    <w:rsid w:val="00A3267D"/>
    <w:rsid w:val="00A32A83"/>
    <w:rsid w:val="00A3367D"/>
    <w:rsid w:val="00A33C49"/>
    <w:rsid w:val="00A3414E"/>
    <w:rsid w:val="00A34613"/>
    <w:rsid w:val="00A34A99"/>
    <w:rsid w:val="00A34CF5"/>
    <w:rsid w:val="00A35836"/>
    <w:rsid w:val="00A364A5"/>
    <w:rsid w:val="00A368B7"/>
    <w:rsid w:val="00A368DB"/>
    <w:rsid w:val="00A36B10"/>
    <w:rsid w:val="00A37459"/>
    <w:rsid w:val="00A378C3"/>
    <w:rsid w:val="00A37AC8"/>
    <w:rsid w:val="00A401C9"/>
    <w:rsid w:val="00A40669"/>
    <w:rsid w:val="00A41A51"/>
    <w:rsid w:val="00A423AA"/>
    <w:rsid w:val="00A43A97"/>
    <w:rsid w:val="00A50A9E"/>
    <w:rsid w:val="00A50AFE"/>
    <w:rsid w:val="00A5236B"/>
    <w:rsid w:val="00A53EC6"/>
    <w:rsid w:val="00A54391"/>
    <w:rsid w:val="00A549D3"/>
    <w:rsid w:val="00A54B6A"/>
    <w:rsid w:val="00A55893"/>
    <w:rsid w:val="00A559D1"/>
    <w:rsid w:val="00A55C0F"/>
    <w:rsid w:val="00A56C16"/>
    <w:rsid w:val="00A60221"/>
    <w:rsid w:val="00A60320"/>
    <w:rsid w:val="00A60EBF"/>
    <w:rsid w:val="00A619E9"/>
    <w:rsid w:val="00A62CBE"/>
    <w:rsid w:val="00A62E08"/>
    <w:rsid w:val="00A634C0"/>
    <w:rsid w:val="00A64257"/>
    <w:rsid w:val="00A65058"/>
    <w:rsid w:val="00A652FD"/>
    <w:rsid w:val="00A6623E"/>
    <w:rsid w:val="00A663ED"/>
    <w:rsid w:val="00A6663F"/>
    <w:rsid w:val="00A6684C"/>
    <w:rsid w:val="00A675BD"/>
    <w:rsid w:val="00A72650"/>
    <w:rsid w:val="00A72E03"/>
    <w:rsid w:val="00A73604"/>
    <w:rsid w:val="00A74B23"/>
    <w:rsid w:val="00A755C5"/>
    <w:rsid w:val="00A77168"/>
    <w:rsid w:val="00A80281"/>
    <w:rsid w:val="00A80962"/>
    <w:rsid w:val="00A8098C"/>
    <w:rsid w:val="00A81735"/>
    <w:rsid w:val="00A82B0C"/>
    <w:rsid w:val="00A82F6E"/>
    <w:rsid w:val="00A83597"/>
    <w:rsid w:val="00A84D88"/>
    <w:rsid w:val="00A85CA9"/>
    <w:rsid w:val="00A867BA"/>
    <w:rsid w:val="00A8713F"/>
    <w:rsid w:val="00A90BA1"/>
    <w:rsid w:val="00A92148"/>
    <w:rsid w:val="00A923A6"/>
    <w:rsid w:val="00A976E0"/>
    <w:rsid w:val="00A97A9A"/>
    <w:rsid w:val="00A97FE1"/>
    <w:rsid w:val="00AA0671"/>
    <w:rsid w:val="00AA18B2"/>
    <w:rsid w:val="00AA1AF5"/>
    <w:rsid w:val="00AA2531"/>
    <w:rsid w:val="00AA37E5"/>
    <w:rsid w:val="00AA3B9B"/>
    <w:rsid w:val="00AA3F39"/>
    <w:rsid w:val="00AA40C1"/>
    <w:rsid w:val="00AA4901"/>
    <w:rsid w:val="00AA5683"/>
    <w:rsid w:val="00AA587F"/>
    <w:rsid w:val="00AA710D"/>
    <w:rsid w:val="00AA7211"/>
    <w:rsid w:val="00AA7D4F"/>
    <w:rsid w:val="00AB0A18"/>
    <w:rsid w:val="00AB15E5"/>
    <w:rsid w:val="00AB1E09"/>
    <w:rsid w:val="00AB4849"/>
    <w:rsid w:val="00AB5330"/>
    <w:rsid w:val="00AB6451"/>
    <w:rsid w:val="00AB6EDD"/>
    <w:rsid w:val="00AB73C0"/>
    <w:rsid w:val="00AB7747"/>
    <w:rsid w:val="00AC14CE"/>
    <w:rsid w:val="00AC2A56"/>
    <w:rsid w:val="00AC2DD9"/>
    <w:rsid w:val="00AC33EE"/>
    <w:rsid w:val="00AC38D7"/>
    <w:rsid w:val="00AC392A"/>
    <w:rsid w:val="00AC4BFA"/>
    <w:rsid w:val="00AC5067"/>
    <w:rsid w:val="00AC542D"/>
    <w:rsid w:val="00AC574F"/>
    <w:rsid w:val="00AC696C"/>
    <w:rsid w:val="00AC6E56"/>
    <w:rsid w:val="00AC7FB0"/>
    <w:rsid w:val="00AD055E"/>
    <w:rsid w:val="00AD06B0"/>
    <w:rsid w:val="00AD1571"/>
    <w:rsid w:val="00AD1F98"/>
    <w:rsid w:val="00AD2C79"/>
    <w:rsid w:val="00AD4007"/>
    <w:rsid w:val="00AD408E"/>
    <w:rsid w:val="00AD44A7"/>
    <w:rsid w:val="00AD47A7"/>
    <w:rsid w:val="00AD531E"/>
    <w:rsid w:val="00AD5D23"/>
    <w:rsid w:val="00AD609E"/>
    <w:rsid w:val="00AD70C1"/>
    <w:rsid w:val="00AD721B"/>
    <w:rsid w:val="00AD7729"/>
    <w:rsid w:val="00AE001B"/>
    <w:rsid w:val="00AE1FFE"/>
    <w:rsid w:val="00AE2646"/>
    <w:rsid w:val="00AE305C"/>
    <w:rsid w:val="00AE33A5"/>
    <w:rsid w:val="00AE3882"/>
    <w:rsid w:val="00AE3F84"/>
    <w:rsid w:val="00AE4B84"/>
    <w:rsid w:val="00AE4E67"/>
    <w:rsid w:val="00AE611F"/>
    <w:rsid w:val="00AE7545"/>
    <w:rsid w:val="00AF0CBF"/>
    <w:rsid w:val="00AF1195"/>
    <w:rsid w:val="00AF1F25"/>
    <w:rsid w:val="00AF257F"/>
    <w:rsid w:val="00AF33CF"/>
    <w:rsid w:val="00AF3816"/>
    <w:rsid w:val="00AF3A59"/>
    <w:rsid w:val="00AF3E2B"/>
    <w:rsid w:val="00AF4D50"/>
    <w:rsid w:val="00AF5919"/>
    <w:rsid w:val="00AF6098"/>
    <w:rsid w:val="00AF6179"/>
    <w:rsid w:val="00AF65E0"/>
    <w:rsid w:val="00AF7D12"/>
    <w:rsid w:val="00AF7FE3"/>
    <w:rsid w:val="00B0092C"/>
    <w:rsid w:val="00B02601"/>
    <w:rsid w:val="00B028EA"/>
    <w:rsid w:val="00B02C62"/>
    <w:rsid w:val="00B02F40"/>
    <w:rsid w:val="00B0462C"/>
    <w:rsid w:val="00B0580A"/>
    <w:rsid w:val="00B05FAA"/>
    <w:rsid w:val="00B06301"/>
    <w:rsid w:val="00B068BF"/>
    <w:rsid w:val="00B06AD9"/>
    <w:rsid w:val="00B10BC1"/>
    <w:rsid w:val="00B117EF"/>
    <w:rsid w:val="00B11AAD"/>
    <w:rsid w:val="00B1282E"/>
    <w:rsid w:val="00B1295A"/>
    <w:rsid w:val="00B12B2B"/>
    <w:rsid w:val="00B12BC1"/>
    <w:rsid w:val="00B1364E"/>
    <w:rsid w:val="00B1390D"/>
    <w:rsid w:val="00B13B45"/>
    <w:rsid w:val="00B14826"/>
    <w:rsid w:val="00B15349"/>
    <w:rsid w:val="00B16541"/>
    <w:rsid w:val="00B168D4"/>
    <w:rsid w:val="00B168FA"/>
    <w:rsid w:val="00B1737B"/>
    <w:rsid w:val="00B17D3B"/>
    <w:rsid w:val="00B20334"/>
    <w:rsid w:val="00B204A6"/>
    <w:rsid w:val="00B20A45"/>
    <w:rsid w:val="00B21852"/>
    <w:rsid w:val="00B22C5C"/>
    <w:rsid w:val="00B247A5"/>
    <w:rsid w:val="00B24B73"/>
    <w:rsid w:val="00B24F30"/>
    <w:rsid w:val="00B266F2"/>
    <w:rsid w:val="00B26993"/>
    <w:rsid w:val="00B27923"/>
    <w:rsid w:val="00B31097"/>
    <w:rsid w:val="00B31AA6"/>
    <w:rsid w:val="00B31ABF"/>
    <w:rsid w:val="00B329D5"/>
    <w:rsid w:val="00B32E88"/>
    <w:rsid w:val="00B33BE3"/>
    <w:rsid w:val="00B33CA9"/>
    <w:rsid w:val="00B34563"/>
    <w:rsid w:val="00B35757"/>
    <w:rsid w:val="00B35DBE"/>
    <w:rsid w:val="00B40375"/>
    <w:rsid w:val="00B426C2"/>
    <w:rsid w:val="00B43ADE"/>
    <w:rsid w:val="00B44370"/>
    <w:rsid w:val="00B4504B"/>
    <w:rsid w:val="00B452E2"/>
    <w:rsid w:val="00B47DB6"/>
    <w:rsid w:val="00B501AD"/>
    <w:rsid w:val="00B50B09"/>
    <w:rsid w:val="00B512A2"/>
    <w:rsid w:val="00B53336"/>
    <w:rsid w:val="00B53B5D"/>
    <w:rsid w:val="00B53C18"/>
    <w:rsid w:val="00B53DD6"/>
    <w:rsid w:val="00B542E3"/>
    <w:rsid w:val="00B55689"/>
    <w:rsid w:val="00B55C1E"/>
    <w:rsid w:val="00B55EA1"/>
    <w:rsid w:val="00B57569"/>
    <w:rsid w:val="00B6034B"/>
    <w:rsid w:val="00B6055E"/>
    <w:rsid w:val="00B6317D"/>
    <w:rsid w:val="00B63C51"/>
    <w:rsid w:val="00B65D01"/>
    <w:rsid w:val="00B71945"/>
    <w:rsid w:val="00B756F5"/>
    <w:rsid w:val="00B76D1F"/>
    <w:rsid w:val="00B76F7C"/>
    <w:rsid w:val="00B7723F"/>
    <w:rsid w:val="00B77E79"/>
    <w:rsid w:val="00B80534"/>
    <w:rsid w:val="00B80715"/>
    <w:rsid w:val="00B81813"/>
    <w:rsid w:val="00B82486"/>
    <w:rsid w:val="00B826E5"/>
    <w:rsid w:val="00B82D5A"/>
    <w:rsid w:val="00B8433C"/>
    <w:rsid w:val="00B8630A"/>
    <w:rsid w:val="00B86CEB"/>
    <w:rsid w:val="00B86E61"/>
    <w:rsid w:val="00B8704F"/>
    <w:rsid w:val="00B87491"/>
    <w:rsid w:val="00B90861"/>
    <w:rsid w:val="00B90A60"/>
    <w:rsid w:val="00B90B75"/>
    <w:rsid w:val="00B93DEF"/>
    <w:rsid w:val="00B94168"/>
    <w:rsid w:val="00B9421C"/>
    <w:rsid w:val="00B945B2"/>
    <w:rsid w:val="00B94861"/>
    <w:rsid w:val="00B94B18"/>
    <w:rsid w:val="00B94C04"/>
    <w:rsid w:val="00B9555C"/>
    <w:rsid w:val="00B96845"/>
    <w:rsid w:val="00B96EBE"/>
    <w:rsid w:val="00B96FEC"/>
    <w:rsid w:val="00B974E7"/>
    <w:rsid w:val="00B975C3"/>
    <w:rsid w:val="00BA0813"/>
    <w:rsid w:val="00BA1539"/>
    <w:rsid w:val="00BA1B71"/>
    <w:rsid w:val="00BA266C"/>
    <w:rsid w:val="00BA2784"/>
    <w:rsid w:val="00BA29E9"/>
    <w:rsid w:val="00BA2A07"/>
    <w:rsid w:val="00BA3AFB"/>
    <w:rsid w:val="00BA3C79"/>
    <w:rsid w:val="00BA46F0"/>
    <w:rsid w:val="00BA49C3"/>
    <w:rsid w:val="00BA7010"/>
    <w:rsid w:val="00BA7142"/>
    <w:rsid w:val="00BA7B52"/>
    <w:rsid w:val="00BA7FCE"/>
    <w:rsid w:val="00BB015E"/>
    <w:rsid w:val="00BB237C"/>
    <w:rsid w:val="00BB2797"/>
    <w:rsid w:val="00BB2956"/>
    <w:rsid w:val="00BB2FFA"/>
    <w:rsid w:val="00BB30F7"/>
    <w:rsid w:val="00BB4081"/>
    <w:rsid w:val="00BB41A3"/>
    <w:rsid w:val="00BB4F0E"/>
    <w:rsid w:val="00BB5185"/>
    <w:rsid w:val="00BB565F"/>
    <w:rsid w:val="00BB5F70"/>
    <w:rsid w:val="00BB625E"/>
    <w:rsid w:val="00BB64B6"/>
    <w:rsid w:val="00BB6F3A"/>
    <w:rsid w:val="00BC0341"/>
    <w:rsid w:val="00BC147B"/>
    <w:rsid w:val="00BC173C"/>
    <w:rsid w:val="00BC17F2"/>
    <w:rsid w:val="00BC27B0"/>
    <w:rsid w:val="00BC2E40"/>
    <w:rsid w:val="00BC32DC"/>
    <w:rsid w:val="00BC3360"/>
    <w:rsid w:val="00BC357A"/>
    <w:rsid w:val="00BC35B6"/>
    <w:rsid w:val="00BC55C7"/>
    <w:rsid w:val="00BC62D3"/>
    <w:rsid w:val="00BC64D4"/>
    <w:rsid w:val="00BC6B94"/>
    <w:rsid w:val="00BD05AE"/>
    <w:rsid w:val="00BD079F"/>
    <w:rsid w:val="00BD0CD5"/>
    <w:rsid w:val="00BD13B2"/>
    <w:rsid w:val="00BD1B51"/>
    <w:rsid w:val="00BD4596"/>
    <w:rsid w:val="00BD48D7"/>
    <w:rsid w:val="00BD4BE6"/>
    <w:rsid w:val="00BD5356"/>
    <w:rsid w:val="00BD6432"/>
    <w:rsid w:val="00BD7FD0"/>
    <w:rsid w:val="00BE0F9F"/>
    <w:rsid w:val="00BE132F"/>
    <w:rsid w:val="00BE1405"/>
    <w:rsid w:val="00BE14E4"/>
    <w:rsid w:val="00BE1806"/>
    <w:rsid w:val="00BE2A81"/>
    <w:rsid w:val="00BE3112"/>
    <w:rsid w:val="00BE312A"/>
    <w:rsid w:val="00BE312D"/>
    <w:rsid w:val="00BE6878"/>
    <w:rsid w:val="00BE7BF5"/>
    <w:rsid w:val="00BE7C21"/>
    <w:rsid w:val="00BE7F46"/>
    <w:rsid w:val="00BF0622"/>
    <w:rsid w:val="00BF0D36"/>
    <w:rsid w:val="00BF12F0"/>
    <w:rsid w:val="00BF1C20"/>
    <w:rsid w:val="00BF46CF"/>
    <w:rsid w:val="00BF4CA1"/>
    <w:rsid w:val="00BF4D1E"/>
    <w:rsid w:val="00BF664B"/>
    <w:rsid w:val="00BF6F18"/>
    <w:rsid w:val="00BF717C"/>
    <w:rsid w:val="00BF7AAF"/>
    <w:rsid w:val="00C0139A"/>
    <w:rsid w:val="00C0211B"/>
    <w:rsid w:val="00C0380B"/>
    <w:rsid w:val="00C0385F"/>
    <w:rsid w:val="00C04A7E"/>
    <w:rsid w:val="00C04BDD"/>
    <w:rsid w:val="00C05075"/>
    <w:rsid w:val="00C056D6"/>
    <w:rsid w:val="00C06F85"/>
    <w:rsid w:val="00C10128"/>
    <w:rsid w:val="00C10578"/>
    <w:rsid w:val="00C10A4E"/>
    <w:rsid w:val="00C10FDD"/>
    <w:rsid w:val="00C11575"/>
    <w:rsid w:val="00C12A2D"/>
    <w:rsid w:val="00C12AF1"/>
    <w:rsid w:val="00C135BC"/>
    <w:rsid w:val="00C13889"/>
    <w:rsid w:val="00C13AC6"/>
    <w:rsid w:val="00C14FA6"/>
    <w:rsid w:val="00C15C95"/>
    <w:rsid w:val="00C165DE"/>
    <w:rsid w:val="00C1670A"/>
    <w:rsid w:val="00C1749C"/>
    <w:rsid w:val="00C17724"/>
    <w:rsid w:val="00C17AC8"/>
    <w:rsid w:val="00C20253"/>
    <w:rsid w:val="00C21736"/>
    <w:rsid w:val="00C22F31"/>
    <w:rsid w:val="00C23462"/>
    <w:rsid w:val="00C23A68"/>
    <w:rsid w:val="00C2596A"/>
    <w:rsid w:val="00C25C1F"/>
    <w:rsid w:val="00C25D3C"/>
    <w:rsid w:val="00C2669D"/>
    <w:rsid w:val="00C26B87"/>
    <w:rsid w:val="00C26B92"/>
    <w:rsid w:val="00C27537"/>
    <w:rsid w:val="00C304EA"/>
    <w:rsid w:val="00C31B4C"/>
    <w:rsid w:val="00C328FE"/>
    <w:rsid w:val="00C33068"/>
    <w:rsid w:val="00C33375"/>
    <w:rsid w:val="00C33507"/>
    <w:rsid w:val="00C339C4"/>
    <w:rsid w:val="00C341C3"/>
    <w:rsid w:val="00C344A3"/>
    <w:rsid w:val="00C347E1"/>
    <w:rsid w:val="00C349C9"/>
    <w:rsid w:val="00C35652"/>
    <w:rsid w:val="00C3572C"/>
    <w:rsid w:val="00C35C58"/>
    <w:rsid w:val="00C360C8"/>
    <w:rsid w:val="00C36223"/>
    <w:rsid w:val="00C36467"/>
    <w:rsid w:val="00C3698D"/>
    <w:rsid w:val="00C40684"/>
    <w:rsid w:val="00C40700"/>
    <w:rsid w:val="00C40E60"/>
    <w:rsid w:val="00C41C74"/>
    <w:rsid w:val="00C41F32"/>
    <w:rsid w:val="00C4409D"/>
    <w:rsid w:val="00C441F3"/>
    <w:rsid w:val="00C447C2"/>
    <w:rsid w:val="00C44A18"/>
    <w:rsid w:val="00C44E72"/>
    <w:rsid w:val="00C452B6"/>
    <w:rsid w:val="00C45664"/>
    <w:rsid w:val="00C4566B"/>
    <w:rsid w:val="00C45A06"/>
    <w:rsid w:val="00C45EC7"/>
    <w:rsid w:val="00C46800"/>
    <w:rsid w:val="00C46A58"/>
    <w:rsid w:val="00C46D99"/>
    <w:rsid w:val="00C47DFB"/>
    <w:rsid w:val="00C47E5B"/>
    <w:rsid w:val="00C51073"/>
    <w:rsid w:val="00C510F9"/>
    <w:rsid w:val="00C5299F"/>
    <w:rsid w:val="00C53F44"/>
    <w:rsid w:val="00C553CD"/>
    <w:rsid w:val="00C55A3E"/>
    <w:rsid w:val="00C56132"/>
    <w:rsid w:val="00C56956"/>
    <w:rsid w:val="00C61351"/>
    <w:rsid w:val="00C61E4B"/>
    <w:rsid w:val="00C62881"/>
    <w:rsid w:val="00C63BAC"/>
    <w:rsid w:val="00C63F09"/>
    <w:rsid w:val="00C64BFF"/>
    <w:rsid w:val="00C6538C"/>
    <w:rsid w:val="00C66056"/>
    <w:rsid w:val="00C673DA"/>
    <w:rsid w:val="00C6743C"/>
    <w:rsid w:val="00C677D8"/>
    <w:rsid w:val="00C7031F"/>
    <w:rsid w:val="00C704E9"/>
    <w:rsid w:val="00C7198E"/>
    <w:rsid w:val="00C71C7D"/>
    <w:rsid w:val="00C72457"/>
    <w:rsid w:val="00C736A7"/>
    <w:rsid w:val="00C759A6"/>
    <w:rsid w:val="00C763C9"/>
    <w:rsid w:val="00C776F5"/>
    <w:rsid w:val="00C80057"/>
    <w:rsid w:val="00C80FB7"/>
    <w:rsid w:val="00C81056"/>
    <w:rsid w:val="00C8145C"/>
    <w:rsid w:val="00C81C49"/>
    <w:rsid w:val="00C82232"/>
    <w:rsid w:val="00C82913"/>
    <w:rsid w:val="00C834BC"/>
    <w:rsid w:val="00C84470"/>
    <w:rsid w:val="00C87420"/>
    <w:rsid w:val="00C902D8"/>
    <w:rsid w:val="00C90E45"/>
    <w:rsid w:val="00C90F36"/>
    <w:rsid w:val="00C91C07"/>
    <w:rsid w:val="00C91D6F"/>
    <w:rsid w:val="00C91E86"/>
    <w:rsid w:val="00C91EC9"/>
    <w:rsid w:val="00C92F23"/>
    <w:rsid w:val="00C9340D"/>
    <w:rsid w:val="00C93791"/>
    <w:rsid w:val="00C9429E"/>
    <w:rsid w:val="00C94457"/>
    <w:rsid w:val="00C94835"/>
    <w:rsid w:val="00C94B59"/>
    <w:rsid w:val="00C95658"/>
    <w:rsid w:val="00C95CD1"/>
    <w:rsid w:val="00C96982"/>
    <w:rsid w:val="00C972B1"/>
    <w:rsid w:val="00C973E7"/>
    <w:rsid w:val="00C975A3"/>
    <w:rsid w:val="00C97FD0"/>
    <w:rsid w:val="00CA2CCE"/>
    <w:rsid w:val="00CA2FF1"/>
    <w:rsid w:val="00CA382E"/>
    <w:rsid w:val="00CA3A50"/>
    <w:rsid w:val="00CA43FD"/>
    <w:rsid w:val="00CA5152"/>
    <w:rsid w:val="00CA5D4C"/>
    <w:rsid w:val="00CA6F92"/>
    <w:rsid w:val="00CA7EF8"/>
    <w:rsid w:val="00CB1556"/>
    <w:rsid w:val="00CB1C5F"/>
    <w:rsid w:val="00CB219D"/>
    <w:rsid w:val="00CB2278"/>
    <w:rsid w:val="00CB2406"/>
    <w:rsid w:val="00CB3C7B"/>
    <w:rsid w:val="00CB42E4"/>
    <w:rsid w:val="00CB6E62"/>
    <w:rsid w:val="00CB732C"/>
    <w:rsid w:val="00CB76F9"/>
    <w:rsid w:val="00CC04CD"/>
    <w:rsid w:val="00CC0925"/>
    <w:rsid w:val="00CC140E"/>
    <w:rsid w:val="00CC192A"/>
    <w:rsid w:val="00CC25C5"/>
    <w:rsid w:val="00CC3BD3"/>
    <w:rsid w:val="00CC489B"/>
    <w:rsid w:val="00CC51EB"/>
    <w:rsid w:val="00CC526A"/>
    <w:rsid w:val="00CC6A8A"/>
    <w:rsid w:val="00CC6E14"/>
    <w:rsid w:val="00CC790A"/>
    <w:rsid w:val="00CC7BF1"/>
    <w:rsid w:val="00CC7E7B"/>
    <w:rsid w:val="00CD0BFE"/>
    <w:rsid w:val="00CD1905"/>
    <w:rsid w:val="00CD1F1D"/>
    <w:rsid w:val="00CD21F5"/>
    <w:rsid w:val="00CD27AF"/>
    <w:rsid w:val="00CD2BCD"/>
    <w:rsid w:val="00CD3284"/>
    <w:rsid w:val="00CD34C7"/>
    <w:rsid w:val="00CD3A4C"/>
    <w:rsid w:val="00CD3FB3"/>
    <w:rsid w:val="00CD41E6"/>
    <w:rsid w:val="00CD484F"/>
    <w:rsid w:val="00CD4954"/>
    <w:rsid w:val="00CD661D"/>
    <w:rsid w:val="00CD6F57"/>
    <w:rsid w:val="00CE10E9"/>
    <w:rsid w:val="00CE2910"/>
    <w:rsid w:val="00CE49D2"/>
    <w:rsid w:val="00CE4FFF"/>
    <w:rsid w:val="00CE5393"/>
    <w:rsid w:val="00CE53F2"/>
    <w:rsid w:val="00CE5819"/>
    <w:rsid w:val="00CE5B93"/>
    <w:rsid w:val="00CE5C5C"/>
    <w:rsid w:val="00CF08F8"/>
    <w:rsid w:val="00CF1A30"/>
    <w:rsid w:val="00CF1ED1"/>
    <w:rsid w:val="00CF2B09"/>
    <w:rsid w:val="00CF36BE"/>
    <w:rsid w:val="00CF3A41"/>
    <w:rsid w:val="00CF3B06"/>
    <w:rsid w:val="00CF3C0D"/>
    <w:rsid w:val="00CF5C46"/>
    <w:rsid w:val="00CF5FB7"/>
    <w:rsid w:val="00CF6000"/>
    <w:rsid w:val="00CF71B8"/>
    <w:rsid w:val="00CF73E5"/>
    <w:rsid w:val="00D003F3"/>
    <w:rsid w:val="00D004AE"/>
    <w:rsid w:val="00D00A2F"/>
    <w:rsid w:val="00D00E9B"/>
    <w:rsid w:val="00D01529"/>
    <w:rsid w:val="00D034A7"/>
    <w:rsid w:val="00D035FF"/>
    <w:rsid w:val="00D0364F"/>
    <w:rsid w:val="00D0370D"/>
    <w:rsid w:val="00D03C3B"/>
    <w:rsid w:val="00D04356"/>
    <w:rsid w:val="00D04449"/>
    <w:rsid w:val="00D06834"/>
    <w:rsid w:val="00D07114"/>
    <w:rsid w:val="00D072D7"/>
    <w:rsid w:val="00D074C9"/>
    <w:rsid w:val="00D10093"/>
    <w:rsid w:val="00D100DE"/>
    <w:rsid w:val="00D10337"/>
    <w:rsid w:val="00D109F7"/>
    <w:rsid w:val="00D115F5"/>
    <w:rsid w:val="00D11A49"/>
    <w:rsid w:val="00D1271B"/>
    <w:rsid w:val="00D12D83"/>
    <w:rsid w:val="00D137D8"/>
    <w:rsid w:val="00D137DC"/>
    <w:rsid w:val="00D13EE2"/>
    <w:rsid w:val="00D14453"/>
    <w:rsid w:val="00D17433"/>
    <w:rsid w:val="00D17B15"/>
    <w:rsid w:val="00D20DDB"/>
    <w:rsid w:val="00D20F6E"/>
    <w:rsid w:val="00D20F7C"/>
    <w:rsid w:val="00D210CA"/>
    <w:rsid w:val="00D2151D"/>
    <w:rsid w:val="00D21F20"/>
    <w:rsid w:val="00D23D6F"/>
    <w:rsid w:val="00D23EE6"/>
    <w:rsid w:val="00D243CA"/>
    <w:rsid w:val="00D24E50"/>
    <w:rsid w:val="00D25622"/>
    <w:rsid w:val="00D25B6D"/>
    <w:rsid w:val="00D26411"/>
    <w:rsid w:val="00D26486"/>
    <w:rsid w:val="00D27D29"/>
    <w:rsid w:val="00D308ED"/>
    <w:rsid w:val="00D30CCF"/>
    <w:rsid w:val="00D31B07"/>
    <w:rsid w:val="00D31CDB"/>
    <w:rsid w:val="00D32956"/>
    <w:rsid w:val="00D36D86"/>
    <w:rsid w:val="00D3730F"/>
    <w:rsid w:val="00D379E7"/>
    <w:rsid w:val="00D412D8"/>
    <w:rsid w:val="00D41BD9"/>
    <w:rsid w:val="00D425DB"/>
    <w:rsid w:val="00D428AA"/>
    <w:rsid w:val="00D43C47"/>
    <w:rsid w:val="00D44B9F"/>
    <w:rsid w:val="00D45266"/>
    <w:rsid w:val="00D4598A"/>
    <w:rsid w:val="00D45F63"/>
    <w:rsid w:val="00D46AA4"/>
    <w:rsid w:val="00D470BD"/>
    <w:rsid w:val="00D50101"/>
    <w:rsid w:val="00D50668"/>
    <w:rsid w:val="00D50A34"/>
    <w:rsid w:val="00D51450"/>
    <w:rsid w:val="00D519B8"/>
    <w:rsid w:val="00D52A73"/>
    <w:rsid w:val="00D53BD2"/>
    <w:rsid w:val="00D53EFA"/>
    <w:rsid w:val="00D5450D"/>
    <w:rsid w:val="00D54E2C"/>
    <w:rsid w:val="00D55320"/>
    <w:rsid w:val="00D557FA"/>
    <w:rsid w:val="00D562AE"/>
    <w:rsid w:val="00D567A7"/>
    <w:rsid w:val="00D5680A"/>
    <w:rsid w:val="00D5699C"/>
    <w:rsid w:val="00D56A40"/>
    <w:rsid w:val="00D571C1"/>
    <w:rsid w:val="00D57A6A"/>
    <w:rsid w:val="00D57CD2"/>
    <w:rsid w:val="00D604F4"/>
    <w:rsid w:val="00D61861"/>
    <w:rsid w:val="00D61CCE"/>
    <w:rsid w:val="00D6347D"/>
    <w:rsid w:val="00D63836"/>
    <w:rsid w:val="00D64255"/>
    <w:rsid w:val="00D6461F"/>
    <w:rsid w:val="00D66DC4"/>
    <w:rsid w:val="00D70A0E"/>
    <w:rsid w:val="00D710D4"/>
    <w:rsid w:val="00D715AD"/>
    <w:rsid w:val="00D72630"/>
    <w:rsid w:val="00D732F4"/>
    <w:rsid w:val="00D736DE"/>
    <w:rsid w:val="00D76006"/>
    <w:rsid w:val="00D76E23"/>
    <w:rsid w:val="00D825E0"/>
    <w:rsid w:val="00D84FB3"/>
    <w:rsid w:val="00D8781F"/>
    <w:rsid w:val="00D87CDB"/>
    <w:rsid w:val="00D87E27"/>
    <w:rsid w:val="00D90E4B"/>
    <w:rsid w:val="00D9193E"/>
    <w:rsid w:val="00D927B0"/>
    <w:rsid w:val="00D92838"/>
    <w:rsid w:val="00D94A7C"/>
    <w:rsid w:val="00D95896"/>
    <w:rsid w:val="00D95AA6"/>
    <w:rsid w:val="00D95EA7"/>
    <w:rsid w:val="00D96223"/>
    <w:rsid w:val="00D96492"/>
    <w:rsid w:val="00DA065E"/>
    <w:rsid w:val="00DA2F94"/>
    <w:rsid w:val="00DA399F"/>
    <w:rsid w:val="00DA4FBA"/>
    <w:rsid w:val="00DA5A76"/>
    <w:rsid w:val="00DA6D80"/>
    <w:rsid w:val="00DA74AD"/>
    <w:rsid w:val="00DA7BD0"/>
    <w:rsid w:val="00DB0C93"/>
    <w:rsid w:val="00DB1A11"/>
    <w:rsid w:val="00DB1BA8"/>
    <w:rsid w:val="00DB1BB4"/>
    <w:rsid w:val="00DB2120"/>
    <w:rsid w:val="00DB2983"/>
    <w:rsid w:val="00DB39A3"/>
    <w:rsid w:val="00DB3E49"/>
    <w:rsid w:val="00DB4193"/>
    <w:rsid w:val="00DB53EA"/>
    <w:rsid w:val="00DB678D"/>
    <w:rsid w:val="00DB763A"/>
    <w:rsid w:val="00DC1257"/>
    <w:rsid w:val="00DC1650"/>
    <w:rsid w:val="00DC3DC0"/>
    <w:rsid w:val="00DC40C8"/>
    <w:rsid w:val="00DC4FAA"/>
    <w:rsid w:val="00DC5692"/>
    <w:rsid w:val="00DC5B2B"/>
    <w:rsid w:val="00DC67C2"/>
    <w:rsid w:val="00DC6B29"/>
    <w:rsid w:val="00DC6F5D"/>
    <w:rsid w:val="00DC77D9"/>
    <w:rsid w:val="00DD0CEB"/>
    <w:rsid w:val="00DD19AF"/>
    <w:rsid w:val="00DD318D"/>
    <w:rsid w:val="00DD4345"/>
    <w:rsid w:val="00DD5C10"/>
    <w:rsid w:val="00DD64D6"/>
    <w:rsid w:val="00DD6644"/>
    <w:rsid w:val="00DD69A9"/>
    <w:rsid w:val="00DD6BBE"/>
    <w:rsid w:val="00DD740E"/>
    <w:rsid w:val="00DD74B7"/>
    <w:rsid w:val="00DE031D"/>
    <w:rsid w:val="00DE198B"/>
    <w:rsid w:val="00DE2409"/>
    <w:rsid w:val="00DE3F94"/>
    <w:rsid w:val="00DE42B0"/>
    <w:rsid w:val="00DE6647"/>
    <w:rsid w:val="00DE6D11"/>
    <w:rsid w:val="00DE7C7D"/>
    <w:rsid w:val="00DF0A43"/>
    <w:rsid w:val="00DF17F6"/>
    <w:rsid w:val="00DF2E12"/>
    <w:rsid w:val="00DF3296"/>
    <w:rsid w:val="00DF3D41"/>
    <w:rsid w:val="00DF3EFD"/>
    <w:rsid w:val="00DF3F3A"/>
    <w:rsid w:val="00DF514A"/>
    <w:rsid w:val="00DF549C"/>
    <w:rsid w:val="00DF5A7C"/>
    <w:rsid w:val="00DF6690"/>
    <w:rsid w:val="00DF67BA"/>
    <w:rsid w:val="00DF6804"/>
    <w:rsid w:val="00DF6D35"/>
    <w:rsid w:val="00DF6E2D"/>
    <w:rsid w:val="00DF7E93"/>
    <w:rsid w:val="00E010B0"/>
    <w:rsid w:val="00E01F9D"/>
    <w:rsid w:val="00E02268"/>
    <w:rsid w:val="00E0249E"/>
    <w:rsid w:val="00E029DA"/>
    <w:rsid w:val="00E03024"/>
    <w:rsid w:val="00E0358D"/>
    <w:rsid w:val="00E0380F"/>
    <w:rsid w:val="00E04323"/>
    <w:rsid w:val="00E06601"/>
    <w:rsid w:val="00E070A2"/>
    <w:rsid w:val="00E077F3"/>
    <w:rsid w:val="00E10049"/>
    <w:rsid w:val="00E13001"/>
    <w:rsid w:val="00E14E48"/>
    <w:rsid w:val="00E155FA"/>
    <w:rsid w:val="00E16A15"/>
    <w:rsid w:val="00E174AF"/>
    <w:rsid w:val="00E17A84"/>
    <w:rsid w:val="00E20159"/>
    <w:rsid w:val="00E248B0"/>
    <w:rsid w:val="00E24D67"/>
    <w:rsid w:val="00E2656A"/>
    <w:rsid w:val="00E26794"/>
    <w:rsid w:val="00E30611"/>
    <w:rsid w:val="00E3074B"/>
    <w:rsid w:val="00E31BA9"/>
    <w:rsid w:val="00E32A5D"/>
    <w:rsid w:val="00E32E89"/>
    <w:rsid w:val="00E342C8"/>
    <w:rsid w:val="00E34EA5"/>
    <w:rsid w:val="00E3594D"/>
    <w:rsid w:val="00E3793F"/>
    <w:rsid w:val="00E40E90"/>
    <w:rsid w:val="00E412D0"/>
    <w:rsid w:val="00E41350"/>
    <w:rsid w:val="00E41E5D"/>
    <w:rsid w:val="00E4211B"/>
    <w:rsid w:val="00E42590"/>
    <w:rsid w:val="00E439F7"/>
    <w:rsid w:val="00E4447C"/>
    <w:rsid w:val="00E446DF"/>
    <w:rsid w:val="00E46ADA"/>
    <w:rsid w:val="00E50E72"/>
    <w:rsid w:val="00E520B2"/>
    <w:rsid w:val="00E54092"/>
    <w:rsid w:val="00E542AB"/>
    <w:rsid w:val="00E54705"/>
    <w:rsid w:val="00E54C45"/>
    <w:rsid w:val="00E55FD1"/>
    <w:rsid w:val="00E56322"/>
    <w:rsid w:val="00E57B88"/>
    <w:rsid w:val="00E60982"/>
    <w:rsid w:val="00E60D63"/>
    <w:rsid w:val="00E611FB"/>
    <w:rsid w:val="00E61280"/>
    <w:rsid w:val="00E623E5"/>
    <w:rsid w:val="00E6287C"/>
    <w:rsid w:val="00E62B09"/>
    <w:rsid w:val="00E62C62"/>
    <w:rsid w:val="00E6388E"/>
    <w:rsid w:val="00E63D41"/>
    <w:rsid w:val="00E64305"/>
    <w:rsid w:val="00E64AE0"/>
    <w:rsid w:val="00E654C1"/>
    <w:rsid w:val="00E65D97"/>
    <w:rsid w:val="00E65EA3"/>
    <w:rsid w:val="00E676E0"/>
    <w:rsid w:val="00E70FCA"/>
    <w:rsid w:val="00E713BA"/>
    <w:rsid w:val="00E721E8"/>
    <w:rsid w:val="00E72A5A"/>
    <w:rsid w:val="00E72B28"/>
    <w:rsid w:val="00E72D90"/>
    <w:rsid w:val="00E73354"/>
    <w:rsid w:val="00E7335C"/>
    <w:rsid w:val="00E73A54"/>
    <w:rsid w:val="00E750DE"/>
    <w:rsid w:val="00E75B49"/>
    <w:rsid w:val="00E763E0"/>
    <w:rsid w:val="00E80B2A"/>
    <w:rsid w:val="00E80F89"/>
    <w:rsid w:val="00E8175B"/>
    <w:rsid w:val="00E81C08"/>
    <w:rsid w:val="00E82ADC"/>
    <w:rsid w:val="00E83ACA"/>
    <w:rsid w:val="00E847BD"/>
    <w:rsid w:val="00E84BFD"/>
    <w:rsid w:val="00E85727"/>
    <w:rsid w:val="00E858D9"/>
    <w:rsid w:val="00E86285"/>
    <w:rsid w:val="00E87027"/>
    <w:rsid w:val="00E876E0"/>
    <w:rsid w:val="00E90188"/>
    <w:rsid w:val="00E91CB7"/>
    <w:rsid w:val="00E9242D"/>
    <w:rsid w:val="00E9261F"/>
    <w:rsid w:val="00E93948"/>
    <w:rsid w:val="00E93BE8"/>
    <w:rsid w:val="00E948C6"/>
    <w:rsid w:val="00E95428"/>
    <w:rsid w:val="00E95430"/>
    <w:rsid w:val="00E96D00"/>
    <w:rsid w:val="00EA051A"/>
    <w:rsid w:val="00EA096D"/>
    <w:rsid w:val="00EA0D08"/>
    <w:rsid w:val="00EA2A90"/>
    <w:rsid w:val="00EA2BC9"/>
    <w:rsid w:val="00EA338A"/>
    <w:rsid w:val="00EA3B74"/>
    <w:rsid w:val="00EA3BF5"/>
    <w:rsid w:val="00EA4220"/>
    <w:rsid w:val="00EA460D"/>
    <w:rsid w:val="00EA5872"/>
    <w:rsid w:val="00EA6357"/>
    <w:rsid w:val="00EA799D"/>
    <w:rsid w:val="00EB05A5"/>
    <w:rsid w:val="00EB0EFF"/>
    <w:rsid w:val="00EB14FF"/>
    <w:rsid w:val="00EB20CD"/>
    <w:rsid w:val="00EB349F"/>
    <w:rsid w:val="00EB5255"/>
    <w:rsid w:val="00EB54BB"/>
    <w:rsid w:val="00EB5517"/>
    <w:rsid w:val="00EB5C47"/>
    <w:rsid w:val="00EB6058"/>
    <w:rsid w:val="00EB68FF"/>
    <w:rsid w:val="00EC10A7"/>
    <w:rsid w:val="00EC16C3"/>
    <w:rsid w:val="00EC1832"/>
    <w:rsid w:val="00EC4692"/>
    <w:rsid w:val="00EC613C"/>
    <w:rsid w:val="00EC66A2"/>
    <w:rsid w:val="00EC6931"/>
    <w:rsid w:val="00ED0114"/>
    <w:rsid w:val="00ED02B7"/>
    <w:rsid w:val="00ED0639"/>
    <w:rsid w:val="00ED311E"/>
    <w:rsid w:val="00ED7877"/>
    <w:rsid w:val="00EE0477"/>
    <w:rsid w:val="00EE17AF"/>
    <w:rsid w:val="00EE22F1"/>
    <w:rsid w:val="00EE2FF6"/>
    <w:rsid w:val="00EE3FA4"/>
    <w:rsid w:val="00EE435B"/>
    <w:rsid w:val="00EE674E"/>
    <w:rsid w:val="00EF0A12"/>
    <w:rsid w:val="00EF240F"/>
    <w:rsid w:val="00EF4540"/>
    <w:rsid w:val="00EF4755"/>
    <w:rsid w:val="00EF5539"/>
    <w:rsid w:val="00EF5AFA"/>
    <w:rsid w:val="00EF5B1A"/>
    <w:rsid w:val="00EF5CAF"/>
    <w:rsid w:val="00EF7135"/>
    <w:rsid w:val="00F005B5"/>
    <w:rsid w:val="00F00E85"/>
    <w:rsid w:val="00F0252B"/>
    <w:rsid w:val="00F027DB"/>
    <w:rsid w:val="00F02DB8"/>
    <w:rsid w:val="00F05B89"/>
    <w:rsid w:val="00F063EF"/>
    <w:rsid w:val="00F06A61"/>
    <w:rsid w:val="00F06CB6"/>
    <w:rsid w:val="00F07769"/>
    <w:rsid w:val="00F10954"/>
    <w:rsid w:val="00F10BA1"/>
    <w:rsid w:val="00F11904"/>
    <w:rsid w:val="00F1215C"/>
    <w:rsid w:val="00F12316"/>
    <w:rsid w:val="00F14A7A"/>
    <w:rsid w:val="00F160CB"/>
    <w:rsid w:val="00F16216"/>
    <w:rsid w:val="00F164A9"/>
    <w:rsid w:val="00F1684B"/>
    <w:rsid w:val="00F16AF5"/>
    <w:rsid w:val="00F203B4"/>
    <w:rsid w:val="00F21A09"/>
    <w:rsid w:val="00F21A52"/>
    <w:rsid w:val="00F2226E"/>
    <w:rsid w:val="00F22985"/>
    <w:rsid w:val="00F22ABE"/>
    <w:rsid w:val="00F22DF1"/>
    <w:rsid w:val="00F239F3"/>
    <w:rsid w:val="00F23BBF"/>
    <w:rsid w:val="00F24A48"/>
    <w:rsid w:val="00F259DE"/>
    <w:rsid w:val="00F25B50"/>
    <w:rsid w:val="00F3112F"/>
    <w:rsid w:val="00F3115E"/>
    <w:rsid w:val="00F321D1"/>
    <w:rsid w:val="00F32CCF"/>
    <w:rsid w:val="00F3368D"/>
    <w:rsid w:val="00F3383E"/>
    <w:rsid w:val="00F342DE"/>
    <w:rsid w:val="00F34F47"/>
    <w:rsid w:val="00F354E5"/>
    <w:rsid w:val="00F35AC5"/>
    <w:rsid w:val="00F3788C"/>
    <w:rsid w:val="00F40A79"/>
    <w:rsid w:val="00F41606"/>
    <w:rsid w:val="00F421EE"/>
    <w:rsid w:val="00F42361"/>
    <w:rsid w:val="00F440C1"/>
    <w:rsid w:val="00F45F4E"/>
    <w:rsid w:val="00F465A7"/>
    <w:rsid w:val="00F46E9B"/>
    <w:rsid w:val="00F5094B"/>
    <w:rsid w:val="00F50B7C"/>
    <w:rsid w:val="00F5133B"/>
    <w:rsid w:val="00F515D9"/>
    <w:rsid w:val="00F51D12"/>
    <w:rsid w:val="00F52363"/>
    <w:rsid w:val="00F52D8E"/>
    <w:rsid w:val="00F53522"/>
    <w:rsid w:val="00F550E6"/>
    <w:rsid w:val="00F60567"/>
    <w:rsid w:val="00F61463"/>
    <w:rsid w:val="00F61768"/>
    <w:rsid w:val="00F62202"/>
    <w:rsid w:val="00F62328"/>
    <w:rsid w:val="00F62DAF"/>
    <w:rsid w:val="00F63374"/>
    <w:rsid w:val="00F652E6"/>
    <w:rsid w:val="00F659E6"/>
    <w:rsid w:val="00F66FB7"/>
    <w:rsid w:val="00F6725A"/>
    <w:rsid w:val="00F6725B"/>
    <w:rsid w:val="00F673B9"/>
    <w:rsid w:val="00F705D6"/>
    <w:rsid w:val="00F716A8"/>
    <w:rsid w:val="00F72CA5"/>
    <w:rsid w:val="00F73DB8"/>
    <w:rsid w:val="00F74345"/>
    <w:rsid w:val="00F74646"/>
    <w:rsid w:val="00F74C7A"/>
    <w:rsid w:val="00F7667A"/>
    <w:rsid w:val="00F76FA8"/>
    <w:rsid w:val="00F76FEE"/>
    <w:rsid w:val="00F779F2"/>
    <w:rsid w:val="00F80A0A"/>
    <w:rsid w:val="00F816AA"/>
    <w:rsid w:val="00F82B19"/>
    <w:rsid w:val="00F835C5"/>
    <w:rsid w:val="00F83623"/>
    <w:rsid w:val="00F838A0"/>
    <w:rsid w:val="00F849E5"/>
    <w:rsid w:val="00F84BCE"/>
    <w:rsid w:val="00F863A6"/>
    <w:rsid w:val="00F8709F"/>
    <w:rsid w:val="00F87322"/>
    <w:rsid w:val="00F91695"/>
    <w:rsid w:val="00F91AD4"/>
    <w:rsid w:val="00F9212D"/>
    <w:rsid w:val="00F92860"/>
    <w:rsid w:val="00F93CC3"/>
    <w:rsid w:val="00F9484E"/>
    <w:rsid w:val="00F94873"/>
    <w:rsid w:val="00F9606A"/>
    <w:rsid w:val="00F96244"/>
    <w:rsid w:val="00F965B5"/>
    <w:rsid w:val="00F965DA"/>
    <w:rsid w:val="00F96AFD"/>
    <w:rsid w:val="00F977D7"/>
    <w:rsid w:val="00FA1F1E"/>
    <w:rsid w:val="00FA24C7"/>
    <w:rsid w:val="00FA31E8"/>
    <w:rsid w:val="00FA35CB"/>
    <w:rsid w:val="00FA36ED"/>
    <w:rsid w:val="00FA406A"/>
    <w:rsid w:val="00FA796C"/>
    <w:rsid w:val="00FA7A05"/>
    <w:rsid w:val="00FA7C28"/>
    <w:rsid w:val="00FB0092"/>
    <w:rsid w:val="00FB293F"/>
    <w:rsid w:val="00FB32F0"/>
    <w:rsid w:val="00FB503A"/>
    <w:rsid w:val="00FB516C"/>
    <w:rsid w:val="00FB60A7"/>
    <w:rsid w:val="00FB6586"/>
    <w:rsid w:val="00FB683B"/>
    <w:rsid w:val="00FB6D68"/>
    <w:rsid w:val="00FB6F42"/>
    <w:rsid w:val="00FB7425"/>
    <w:rsid w:val="00FC1B0B"/>
    <w:rsid w:val="00FC2605"/>
    <w:rsid w:val="00FC28BA"/>
    <w:rsid w:val="00FC444D"/>
    <w:rsid w:val="00FC4491"/>
    <w:rsid w:val="00FC480D"/>
    <w:rsid w:val="00FC5B55"/>
    <w:rsid w:val="00FC73ED"/>
    <w:rsid w:val="00FC7D1A"/>
    <w:rsid w:val="00FC7E22"/>
    <w:rsid w:val="00FD0236"/>
    <w:rsid w:val="00FD02D2"/>
    <w:rsid w:val="00FD03B3"/>
    <w:rsid w:val="00FD0BF9"/>
    <w:rsid w:val="00FD18F4"/>
    <w:rsid w:val="00FD1F4A"/>
    <w:rsid w:val="00FD2F17"/>
    <w:rsid w:val="00FD3046"/>
    <w:rsid w:val="00FD4302"/>
    <w:rsid w:val="00FD4ADD"/>
    <w:rsid w:val="00FD54DB"/>
    <w:rsid w:val="00FD619F"/>
    <w:rsid w:val="00FD6C2B"/>
    <w:rsid w:val="00FE17CA"/>
    <w:rsid w:val="00FE17FB"/>
    <w:rsid w:val="00FE2CA8"/>
    <w:rsid w:val="00FE3791"/>
    <w:rsid w:val="00FE4072"/>
    <w:rsid w:val="00FE42FE"/>
    <w:rsid w:val="00FE4639"/>
    <w:rsid w:val="00FE46BF"/>
    <w:rsid w:val="00FE5E74"/>
    <w:rsid w:val="00FE6DBB"/>
    <w:rsid w:val="00FE6EB5"/>
    <w:rsid w:val="00FF0844"/>
    <w:rsid w:val="00FF1AB1"/>
    <w:rsid w:val="00FF2326"/>
    <w:rsid w:val="00FF2CB6"/>
    <w:rsid w:val="00FF4202"/>
    <w:rsid w:val="00FF42C1"/>
    <w:rsid w:val="00FF68FA"/>
    <w:rsid w:val="00FF74AC"/>
    <w:rsid w:val="01290F7E"/>
    <w:rsid w:val="015D1E09"/>
    <w:rsid w:val="02383B75"/>
    <w:rsid w:val="023B4AFF"/>
    <w:rsid w:val="02697903"/>
    <w:rsid w:val="02F96569"/>
    <w:rsid w:val="03EA7B21"/>
    <w:rsid w:val="04BC24CC"/>
    <w:rsid w:val="05F83EAE"/>
    <w:rsid w:val="062E0FB2"/>
    <w:rsid w:val="063E7D85"/>
    <w:rsid w:val="06744454"/>
    <w:rsid w:val="07282B7B"/>
    <w:rsid w:val="07293586"/>
    <w:rsid w:val="07295285"/>
    <w:rsid w:val="0736255C"/>
    <w:rsid w:val="07636392"/>
    <w:rsid w:val="07770C56"/>
    <w:rsid w:val="0834209B"/>
    <w:rsid w:val="087D0B66"/>
    <w:rsid w:val="092217DD"/>
    <w:rsid w:val="093A7294"/>
    <w:rsid w:val="09D40BCF"/>
    <w:rsid w:val="0A263993"/>
    <w:rsid w:val="0A2D3AC2"/>
    <w:rsid w:val="0A7520E4"/>
    <w:rsid w:val="0AA755DF"/>
    <w:rsid w:val="0ADF4592"/>
    <w:rsid w:val="0B120D44"/>
    <w:rsid w:val="0BC655A9"/>
    <w:rsid w:val="0BD07B44"/>
    <w:rsid w:val="0BD27BF6"/>
    <w:rsid w:val="0BDE38AB"/>
    <w:rsid w:val="0C120997"/>
    <w:rsid w:val="0C3B3C7D"/>
    <w:rsid w:val="0CAB2EAE"/>
    <w:rsid w:val="0CDF70A8"/>
    <w:rsid w:val="0D621C7D"/>
    <w:rsid w:val="0DFD0098"/>
    <w:rsid w:val="0E1E1875"/>
    <w:rsid w:val="0E73034D"/>
    <w:rsid w:val="0EE93E8E"/>
    <w:rsid w:val="0F13775A"/>
    <w:rsid w:val="0F550F20"/>
    <w:rsid w:val="0F5F45FE"/>
    <w:rsid w:val="0F9A112B"/>
    <w:rsid w:val="10665CA4"/>
    <w:rsid w:val="106D2F64"/>
    <w:rsid w:val="10B63710"/>
    <w:rsid w:val="10F10820"/>
    <w:rsid w:val="111C2F7A"/>
    <w:rsid w:val="11665CA1"/>
    <w:rsid w:val="120B27DF"/>
    <w:rsid w:val="12FD69C3"/>
    <w:rsid w:val="13951726"/>
    <w:rsid w:val="13A445CA"/>
    <w:rsid w:val="14396509"/>
    <w:rsid w:val="14515DD5"/>
    <w:rsid w:val="14DD2C3C"/>
    <w:rsid w:val="15367CC0"/>
    <w:rsid w:val="15512BE2"/>
    <w:rsid w:val="155E2E9F"/>
    <w:rsid w:val="16087E1D"/>
    <w:rsid w:val="16956CB9"/>
    <w:rsid w:val="17701D14"/>
    <w:rsid w:val="17735226"/>
    <w:rsid w:val="17DC344A"/>
    <w:rsid w:val="18256832"/>
    <w:rsid w:val="189F624C"/>
    <w:rsid w:val="18AB09CC"/>
    <w:rsid w:val="1A1C66C0"/>
    <w:rsid w:val="1A42393B"/>
    <w:rsid w:val="1AAD45DE"/>
    <w:rsid w:val="1B046F80"/>
    <w:rsid w:val="1B3267B5"/>
    <w:rsid w:val="1B40161D"/>
    <w:rsid w:val="1B441859"/>
    <w:rsid w:val="1B6606B1"/>
    <w:rsid w:val="1C5E7925"/>
    <w:rsid w:val="1CFD070F"/>
    <w:rsid w:val="1D5C3908"/>
    <w:rsid w:val="1D5F6196"/>
    <w:rsid w:val="1D6132A5"/>
    <w:rsid w:val="1D8E56D5"/>
    <w:rsid w:val="1E7A43DA"/>
    <w:rsid w:val="1F6966C8"/>
    <w:rsid w:val="1FE7539E"/>
    <w:rsid w:val="1FF97A4C"/>
    <w:rsid w:val="202F2A86"/>
    <w:rsid w:val="20671BE0"/>
    <w:rsid w:val="20963CB8"/>
    <w:rsid w:val="20A81A1B"/>
    <w:rsid w:val="20B07FB6"/>
    <w:rsid w:val="20B646FB"/>
    <w:rsid w:val="20D3178A"/>
    <w:rsid w:val="213B74B1"/>
    <w:rsid w:val="215A2310"/>
    <w:rsid w:val="2179467D"/>
    <w:rsid w:val="21DE318A"/>
    <w:rsid w:val="21EF5B80"/>
    <w:rsid w:val="22576990"/>
    <w:rsid w:val="229B274C"/>
    <w:rsid w:val="22F47480"/>
    <w:rsid w:val="233B1369"/>
    <w:rsid w:val="23452FA8"/>
    <w:rsid w:val="23C23F61"/>
    <w:rsid w:val="23DE1C48"/>
    <w:rsid w:val="240210CD"/>
    <w:rsid w:val="24BF09F7"/>
    <w:rsid w:val="24CE6604"/>
    <w:rsid w:val="252D53FE"/>
    <w:rsid w:val="257C55A6"/>
    <w:rsid w:val="25EC2D81"/>
    <w:rsid w:val="26E9786C"/>
    <w:rsid w:val="277057A2"/>
    <w:rsid w:val="29121B7F"/>
    <w:rsid w:val="29206EB8"/>
    <w:rsid w:val="29595666"/>
    <w:rsid w:val="29874881"/>
    <w:rsid w:val="29E325E0"/>
    <w:rsid w:val="29FA7E27"/>
    <w:rsid w:val="2A452503"/>
    <w:rsid w:val="2ABB23D2"/>
    <w:rsid w:val="2B616987"/>
    <w:rsid w:val="2BA936A8"/>
    <w:rsid w:val="2C315A5A"/>
    <w:rsid w:val="2C4B1C25"/>
    <w:rsid w:val="2D9E56F5"/>
    <w:rsid w:val="2E667F96"/>
    <w:rsid w:val="2E8226AB"/>
    <w:rsid w:val="2F3F2D87"/>
    <w:rsid w:val="2FCE55B2"/>
    <w:rsid w:val="2FD065E6"/>
    <w:rsid w:val="2FD96870"/>
    <w:rsid w:val="303F0AAF"/>
    <w:rsid w:val="30505489"/>
    <w:rsid w:val="30580BC9"/>
    <w:rsid w:val="311E2ED7"/>
    <w:rsid w:val="3148438F"/>
    <w:rsid w:val="315619EE"/>
    <w:rsid w:val="315C449C"/>
    <w:rsid w:val="31B82709"/>
    <w:rsid w:val="31D05482"/>
    <w:rsid w:val="32400B34"/>
    <w:rsid w:val="329E6876"/>
    <w:rsid w:val="333015F2"/>
    <w:rsid w:val="334B6320"/>
    <w:rsid w:val="33B224A7"/>
    <w:rsid w:val="33D934D4"/>
    <w:rsid w:val="33FE2F6A"/>
    <w:rsid w:val="340E07E5"/>
    <w:rsid w:val="34235BF7"/>
    <w:rsid w:val="34FD36E3"/>
    <w:rsid w:val="358160C2"/>
    <w:rsid w:val="358C5FA8"/>
    <w:rsid w:val="35C15DF1"/>
    <w:rsid w:val="36074A7F"/>
    <w:rsid w:val="36923549"/>
    <w:rsid w:val="36B75FBF"/>
    <w:rsid w:val="36BD0C45"/>
    <w:rsid w:val="373A1067"/>
    <w:rsid w:val="37CD57DD"/>
    <w:rsid w:val="37E00298"/>
    <w:rsid w:val="38B302F9"/>
    <w:rsid w:val="38F12CD3"/>
    <w:rsid w:val="38F94775"/>
    <w:rsid w:val="39242E31"/>
    <w:rsid w:val="392971ED"/>
    <w:rsid w:val="39325651"/>
    <w:rsid w:val="39CC2DEE"/>
    <w:rsid w:val="3A0C182C"/>
    <w:rsid w:val="3A2079D9"/>
    <w:rsid w:val="3A872856"/>
    <w:rsid w:val="3B3763D1"/>
    <w:rsid w:val="3C2F6E1E"/>
    <w:rsid w:val="3C4F64BA"/>
    <w:rsid w:val="3C961A2D"/>
    <w:rsid w:val="3CDA245A"/>
    <w:rsid w:val="3CFA72E6"/>
    <w:rsid w:val="3D1E06B7"/>
    <w:rsid w:val="3D411BF2"/>
    <w:rsid w:val="3DC76EEE"/>
    <w:rsid w:val="3E111FAD"/>
    <w:rsid w:val="3E1D640E"/>
    <w:rsid w:val="3EDA0523"/>
    <w:rsid w:val="3FFA1C1E"/>
    <w:rsid w:val="402204A1"/>
    <w:rsid w:val="402A48EF"/>
    <w:rsid w:val="407A6407"/>
    <w:rsid w:val="41327470"/>
    <w:rsid w:val="413C416B"/>
    <w:rsid w:val="41B9630E"/>
    <w:rsid w:val="4200449D"/>
    <w:rsid w:val="423A3BCC"/>
    <w:rsid w:val="424E57D2"/>
    <w:rsid w:val="42B26C49"/>
    <w:rsid w:val="43136F0A"/>
    <w:rsid w:val="432C52D2"/>
    <w:rsid w:val="432E02EA"/>
    <w:rsid w:val="433A6FE6"/>
    <w:rsid w:val="43480868"/>
    <w:rsid w:val="4350713C"/>
    <w:rsid w:val="436653E0"/>
    <w:rsid w:val="43C4431A"/>
    <w:rsid w:val="44B951CC"/>
    <w:rsid w:val="44CD14E0"/>
    <w:rsid w:val="44F20B0B"/>
    <w:rsid w:val="452E5F4C"/>
    <w:rsid w:val="45612018"/>
    <w:rsid w:val="458946E9"/>
    <w:rsid w:val="45A47C0E"/>
    <w:rsid w:val="45AC1BA7"/>
    <w:rsid w:val="46577FD6"/>
    <w:rsid w:val="467C0CDE"/>
    <w:rsid w:val="46D955A7"/>
    <w:rsid w:val="47133957"/>
    <w:rsid w:val="47A07E0C"/>
    <w:rsid w:val="48037054"/>
    <w:rsid w:val="48505428"/>
    <w:rsid w:val="4870272E"/>
    <w:rsid w:val="488751C2"/>
    <w:rsid w:val="48A85B70"/>
    <w:rsid w:val="48DC5A14"/>
    <w:rsid w:val="49DC7715"/>
    <w:rsid w:val="4A023139"/>
    <w:rsid w:val="4A7B576F"/>
    <w:rsid w:val="4AF561A9"/>
    <w:rsid w:val="4BA11BF3"/>
    <w:rsid w:val="4C4A0649"/>
    <w:rsid w:val="4C7E5ECA"/>
    <w:rsid w:val="4C876AA5"/>
    <w:rsid w:val="4D0E00FB"/>
    <w:rsid w:val="4D176606"/>
    <w:rsid w:val="4DEC4FB0"/>
    <w:rsid w:val="4E075D8A"/>
    <w:rsid w:val="4E4168DE"/>
    <w:rsid w:val="4EC00FAD"/>
    <w:rsid w:val="4F9843DC"/>
    <w:rsid w:val="4FC62A8C"/>
    <w:rsid w:val="4FDD4741"/>
    <w:rsid w:val="4FE20F0D"/>
    <w:rsid w:val="4FE51552"/>
    <w:rsid w:val="50504C4B"/>
    <w:rsid w:val="509C6E7C"/>
    <w:rsid w:val="5162104E"/>
    <w:rsid w:val="518E173B"/>
    <w:rsid w:val="52136EB4"/>
    <w:rsid w:val="52427A4F"/>
    <w:rsid w:val="53A039CC"/>
    <w:rsid w:val="53A1505A"/>
    <w:rsid w:val="54063E08"/>
    <w:rsid w:val="543437E8"/>
    <w:rsid w:val="54F73313"/>
    <w:rsid w:val="54F80955"/>
    <w:rsid w:val="555170A7"/>
    <w:rsid w:val="557C71DD"/>
    <w:rsid w:val="5587536D"/>
    <w:rsid w:val="559B174B"/>
    <w:rsid w:val="55CE0CF4"/>
    <w:rsid w:val="560065AD"/>
    <w:rsid w:val="56B22A9C"/>
    <w:rsid w:val="56C10ACE"/>
    <w:rsid w:val="5723129F"/>
    <w:rsid w:val="574B1DBB"/>
    <w:rsid w:val="57713D91"/>
    <w:rsid w:val="57B72A76"/>
    <w:rsid w:val="57C3426C"/>
    <w:rsid w:val="57CE1F93"/>
    <w:rsid w:val="588743D1"/>
    <w:rsid w:val="5887701A"/>
    <w:rsid w:val="590A55E8"/>
    <w:rsid w:val="59612280"/>
    <w:rsid w:val="59C0439F"/>
    <w:rsid w:val="59D76A9E"/>
    <w:rsid w:val="5ABE2233"/>
    <w:rsid w:val="5AD97AB8"/>
    <w:rsid w:val="5BBD57F6"/>
    <w:rsid w:val="5BDF5D95"/>
    <w:rsid w:val="5BFE7528"/>
    <w:rsid w:val="5CA72002"/>
    <w:rsid w:val="5D5A04E9"/>
    <w:rsid w:val="5DFE18E9"/>
    <w:rsid w:val="5E2467F1"/>
    <w:rsid w:val="5F1A2B43"/>
    <w:rsid w:val="5FB837BB"/>
    <w:rsid w:val="60CC405A"/>
    <w:rsid w:val="61E215D8"/>
    <w:rsid w:val="621B3775"/>
    <w:rsid w:val="62364782"/>
    <w:rsid w:val="627C183B"/>
    <w:rsid w:val="6394356A"/>
    <w:rsid w:val="63C61B2C"/>
    <w:rsid w:val="63D40BE9"/>
    <w:rsid w:val="64102431"/>
    <w:rsid w:val="64A5243A"/>
    <w:rsid w:val="64B422A8"/>
    <w:rsid w:val="64F531DE"/>
    <w:rsid w:val="65373578"/>
    <w:rsid w:val="65A215B9"/>
    <w:rsid w:val="65E87046"/>
    <w:rsid w:val="66584C1E"/>
    <w:rsid w:val="671F124A"/>
    <w:rsid w:val="677A33C6"/>
    <w:rsid w:val="67EB2B83"/>
    <w:rsid w:val="67F10F3D"/>
    <w:rsid w:val="681F6961"/>
    <w:rsid w:val="68610A2F"/>
    <w:rsid w:val="68805514"/>
    <w:rsid w:val="68E34597"/>
    <w:rsid w:val="690346F7"/>
    <w:rsid w:val="69122411"/>
    <w:rsid w:val="69316E2F"/>
    <w:rsid w:val="694E2071"/>
    <w:rsid w:val="69766163"/>
    <w:rsid w:val="697A3B33"/>
    <w:rsid w:val="6990017A"/>
    <w:rsid w:val="69D44760"/>
    <w:rsid w:val="69DD5457"/>
    <w:rsid w:val="6A520EC7"/>
    <w:rsid w:val="6A9455F7"/>
    <w:rsid w:val="6AF87E20"/>
    <w:rsid w:val="6B322639"/>
    <w:rsid w:val="6BF40694"/>
    <w:rsid w:val="6C636C38"/>
    <w:rsid w:val="6D8536B7"/>
    <w:rsid w:val="6DB34098"/>
    <w:rsid w:val="6DB545B6"/>
    <w:rsid w:val="6DE02FB4"/>
    <w:rsid w:val="6E1363C7"/>
    <w:rsid w:val="6E4522FE"/>
    <w:rsid w:val="6E514CED"/>
    <w:rsid w:val="6EA61D86"/>
    <w:rsid w:val="6EB563D5"/>
    <w:rsid w:val="6ED92677"/>
    <w:rsid w:val="6F225983"/>
    <w:rsid w:val="6F55769C"/>
    <w:rsid w:val="6FFC5590"/>
    <w:rsid w:val="70075CF5"/>
    <w:rsid w:val="706D1DD0"/>
    <w:rsid w:val="70856B87"/>
    <w:rsid w:val="70D527EE"/>
    <w:rsid w:val="715B5300"/>
    <w:rsid w:val="718364A0"/>
    <w:rsid w:val="71D27F8A"/>
    <w:rsid w:val="72553024"/>
    <w:rsid w:val="727C392B"/>
    <w:rsid w:val="72DB6331"/>
    <w:rsid w:val="73122968"/>
    <w:rsid w:val="731F5D5E"/>
    <w:rsid w:val="735C5427"/>
    <w:rsid w:val="73C51AD5"/>
    <w:rsid w:val="741E793C"/>
    <w:rsid w:val="745E3944"/>
    <w:rsid w:val="75751D19"/>
    <w:rsid w:val="760F2C0F"/>
    <w:rsid w:val="7635099D"/>
    <w:rsid w:val="76B61F15"/>
    <w:rsid w:val="77762421"/>
    <w:rsid w:val="779A6FB7"/>
    <w:rsid w:val="77B22C69"/>
    <w:rsid w:val="77B56B1F"/>
    <w:rsid w:val="780F09F4"/>
    <w:rsid w:val="78A039B3"/>
    <w:rsid w:val="78A90480"/>
    <w:rsid w:val="79CA7E41"/>
    <w:rsid w:val="7A364017"/>
    <w:rsid w:val="7A8265E1"/>
    <w:rsid w:val="7B1C6B5F"/>
    <w:rsid w:val="7B686D42"/>
    <w:rsid w:val="7B841746"/>
    <w:rsid w:val="7BB5368C"/>
    <w:rsid w:val="7C6C5AC7"/>
    <w:rsid w:val="7CC6544B"/>
    <w:rsid w:val="7D0239FF"/>
    <w:rsid w:val="7D5E40CD"/>
    <w:rsid w:val="7DCD56F2"/>
    <w:rsid w:val="7E054432"/>
    <w:rsid w:val="7E5751DF"/>
    <w:rsid w:val="7EA71831"/>
    <w:rsid w:val="7F001CE7"/>
    <w:rsid w:val="7F563008"/>
    <w:rsid w:val="7F972EB3"/>
    <w:rsid w:val="7FD92C52"/>
    <w:rsid w:val="7FE47E5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iPriority="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uiPriority="0" w:name="Table Theme" w:locked="1"/>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line="259" w:lineRule="auto"/>
      <w:ind w:left="432" w:hanging="432"/>
      <w:outlineLvl w:val="0"/>
    </w:pPr>
    <w:rPr>
      <w:rFonts w:eastAsia="黑体"/>
      <w:b/>
      <w:bCs/>
      <w:color w:val="000000"/>
      <w:kern w:val="44"/>
      <w:sz w:val="30"/>
      <w:szCs w:val="30"/>
    </w:rPr>
  </w:style>
  <w:style w:type="paragraph" w:styleId="3">
    <w:name w:val="heading 2"/>
    <w:basedOn w:val="1"/>
    <w:next w:val="1"/>
    <w:link w:val="46"/>
    <w:semiHidden/>
    <w:unhideWhenUsed/>
    <w:qFormat/>
    <w:locked/>
    <w:uiPriority w:val="0"/>
    <w:pPr>
      <w:keepNext/>
      <w:keepLines/>
      <w:spacing w:before="260" w:after="260" w:line="416" w:lineRule="auto"/>
      <w:outlineLvl w:val="1"/>
    </w:pPr>
    <w:rPr>
      <w:rFonts w:ascii="等线 Light" w:hAnsi="等线 Light" w:eastAsia="等线 Light"/>
      <w:b/>
      <w:bCs/>
      <w:sz w:val="32"/>
      <w:szCs w:val="32"/>
    </w:rPr>
  </w:style>
  <w:style w:type="paragraph" w:styleId="4">
    <w:name w:val="heading 3"/>
    <w:basedOn w:val="1"/>
    <w:next w:val="1"/>
    <w:link w:val="53"/>
    <w:semiHidden/>
    <w:unhideWhenUsed/>
    <w:qFormat/>
    <w:locked/>
    <w:uiPriority w:val="0"/>
    <w:pPr>
      <w:keepNext/>
      <w:keepLines/>
      <w:spacing w:before="260" w:after="260" w:line="416" w:lineRule="auto"/>
      <w:outlineLvl w:val="2"/>
    </w:pPr>
    <w:rPr>
      <w:b/>
      <w:bCs/>
      <w:sz w:val="32"/>
      <w:szCs w:val="32"/>
    </w:rPr>
  </w:style>
  <w:style w:type="paragraph" w:styleId="5">
    <w:name w:val="heading 4"/>
    <w:basedOn w:val="1"/>
    <w:next w:val="1"/>
    <w:semiHidden/>
    <w:unhideWhenUsed/>
    <w:qFormat/>
    <w:locked/>
    <w:uiPriority w:val="0"/>
    <w:pPr>
      <w:spacing w:beforeAutospacing="1" w:after="0" w:afterAutospacing="1"/>
      <w:jc w:val="left"/>
      <w:outlineLvl w:val="3"/>
    </w:pPr>
    <w:rPr>
      <w:rFonts w:hint="eastAsia" w:ascii="宋体" w:hAnsi="宋体"/>
      <w:b/>
      <w:kern w:val="0"/>
      <w:sz w:val="24"/>
    </w:rPr>
  </w:style>
  <w:style w:type="paragraph" w:styleId="6">
    <w:name w:val="heading 5"/>
    <w:basedOn w:val="1"/>
    <w:next w:val="1"/>
    <w:link w:val="74"/>
    <w:semiHidden/>
    <w:unhideWhenUsed/>
    <w:qFormat/>
    <w:locked/>
    <w:uiPriority w:val="0"/>
    <w:pPr>
      <w:keepNext/>
      <w:keepLines/>
      <w:spacing w:before="280" w:after="290" w:line="376" w:lineRule="auto"/>
      <w:outlineLvl w:val="4"/>
    </w:pPr>
    <w:rPr>
      <w:b/>
      <w:bCs/>
      <w:sz w:val="28"/>
      <w:szCs w:val="28"/>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7">
    <w:name w:val="Normal Indent"/>
    <w:basedOn w:val="1"/>
    <w:qFormat/>
    <w:locked/>
    <w:uiPriority w:val="0"/>
    <w:pPr>
      <w:ind w:firstLine="420"/>
      <w:jc w:val="left"/>
    </w:pPr>
    <w:rPr>
      <w:rFonts w:ascii="Calibri" w:hAnsi="Calibri"/>
      <w:kern w:val="0"/>
      <w:sz w:val="24"/>
      <w:szCs w:val="22"/>
      <w:lang w:eastAsia="en-US"/>
    </w:rPr>
  </w:style>
  <w:style w:type="paragraph" w:styleId="8">
    <w:name w:val="annotation text"/>
    <w:basedOn w:val="1"/>
    <w:link w:val="31"/>
    <w:qFormat/>
    <w:uiPriority w:val="99"/>
    <w:pPr>
      <w:jc w:val="left"/>
    </w:pPr>
    <w:rPr>
      <w:kern w:val="0"/>
      <w:sz w:val="24"/>
      <w:szCs w:val="20"/>
    </w:rPr>
  </w:style>
  <w:style w:type="paragraph" w:styleId="9">
    <w:name w:val="Body Text"/>
    <w:basedOn w:val="1"/>
    <w:link w:val="39"/>
    <w:qFormat/>
    <w:uiPriority w:val="1"/>
    <w:pPr>
      <w:widowControl/>
      <w:snapToGrid w:val="0"/>
      <w:spacing w:before="60" w:line="259" w:lineRule="auto"/>
      <w:ind w:right="113"/>
    </w:pPr>
    <w:rPr>
      <w:kern w:val="0"/>
      <w:sz w:val="18"/>
      <w:szCs w:val="20"/>
    </w:rPr>
  </w:style>
  <w:style w:type="paragraph" w:styleId="10">
    <w:name w:val="Body Text Indent"/>
    <w:basedOn w:val="1"/>
    <w:link w:val="40"/>
    <w:qFormat/>
    <w:uiPriority w:val="0"/>
    <w:pPr>
      <w:spacing w:after="120"/>
      <w:ind w:left="420" w:leftChars="200"/>
    </w:pPr>
    <w:rPr>
      <w:kern w:val="0"/>
      <w:sz w:val="24"/>
      <w:szCs w:val="20"/>
    </w:rPr>
  </w:style>
  <w:style w:type="paragraph" w:styleId="11">
    <w:name w:val="Plain Text"/>
    <w:basedOn w:val="1"/>
    <w:link w:val="56"/>
    <w:unhideWhenUsed/>
    <w:qFormat/>
    <w:locked/>
    <w:uiPriority w:val="0"/>
    <w:rPr>
      <w:rFonts w:ascii="宋体" w:hAnsi="Courier New"/>
      <w:sz w:val="20"/>
      <w:szCs w:val="20"/>
    </w:rPr>
  </w:style>
  <w:style w:type="paragraph" w:styleId="12">
    <w:name w:val="Date"/>
    <w:basedOn w:val="1"/>
    <w:next w:val="1"/>
    <w:link w:val="36"/>
    <w:qFormat/>
    <w:uiPriority w:val="0"/>
    <w:pPr>
      <w:ind w:left="100" w:leftChars="2500"/>
    </w:pPr>
    <w:rPr>
      <w:kern w:val="0"/>
      <w:sz w:val="24"/>
      <w:szCs w:val="20"/>
    </w:rPr>
  </w:style>
  <w:style w:type="paragraph" w:styleId="13">
    <w:name w:val="Body Text Indent 2"/>
    <w:basedOn w:val="1"/>
    <w:link w:val="51"/>
    <w:qFormat/>
    <w:locked/>
    <w:uiPriority w:val="0"/>
    <w:pPr>
      <w:spacing w:after="120" w:line="480" w:lineRule="auto"/>
      <w:ind w:left="420" w:leftChars="200"/>
    </w:pPr>
  </w:style>
  <w:style w:type="paragraph" w:styleId="14">
    <w:name w:val="Balloon Text"/>
    <w:basedOn w:val="1"/>
    <w:link w:val="29"/>
    <w:semiHidden/>
    <w:qFormat/>
    <w:uiPriority w:val="0"/>
    <w:rPr>
      <w:kern w:val="0"/>
      <w:sz w:val="18"/>
      <w:szCs w:val="20"/>
    </w:rPr>
  </w:style>
  <w:style w:type="paragraph" w:styleId="15">
    <w:name w:val="footer"/>
    <w:basedOn w:val="1"/>
    <w:link w:val="38"/>
    <w:qFormat/>
    <w:uiPriority w:val="99"/>
    <w:pPr>
      <w:tabs>
        <w:tab w:val="center" w:pos="4153"/>
        <w:tab w:val="right" w:pos="8306"/>
      </w:tabs>
      <w:snapToGrid w:val="0"/>
      <w:jc w:val="left"/>
    </w:pPr>
    <w:rPr>
      <w:kern w:val="0"/>
      <w:sz w:val="18"/>
      <w:szCs w:val="20"/>
    </w:rPr>
  </w:style>
  <w:style w:type="paragraph" w:styleId="16">
    <w:name w:val="header"/>
    <w:basedOn w:val="1"/>
    <w:link w:val="43"/>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toc 1"/>
    <w:basedOn w:val="1"/>
    <w:next w:val="1"/>
    <w:qFormat/>
    <w:locked/>
    <w:uiPriority w:val="39"/>
  </w:style>
  <w:style w:type="paragraph" w:styleId="18">
    <w:name w:val="Body Text 2"/>
    <w:basedOn w:val="1"/>
    <w:link w:val="52"/>
    <w:qFormat/>
    <w:locked/>
    <w:uiPriority w:val="0"/>
    <w:pPr>
      <w:spacing w:after="120" w:line="480" w:lineRule="auto"/>
    </w:pPr>
  </w:style>
  <w:style w:type="paragraph" w:styleId="19">
    <w:name w:val="Normal (Web)"/>
    <w:basedOn w:val="1"/>
    <w:link w:val="35"/>
    <w:qFormat/>
    <w:uiPriority w:val="0"/>
    <w:pPr>
      <w:widowControl/>
      <w:spacing w:before="100" w:beforeAutospacing="1" w:after="100" w:afterAutospacing="1"/>
      <w:jc w:val="left"/>
    </w:pPr>
    <w:rPr>
      <w:rFonts w:ascii="宋体" w:hAnsi="宋体"/>
      <w:kern w:val="0"/>
      <w:sz w:val="24"/>
      <w:szCs w:val="20"/>
    </w:rPr>
  </w:style>
  <w:style w:type="paragraph" w:styleId="20">
    <w:name w:val="annotation subject"/>
    <w:basedOn w:val="8"/>
    <w:next w:val="8"/>
    <w:link w:val="41"/>
    <w:semiHidden/>
    <w:qFormat/>
    <w:uiPriority w:val="0"/>
    <w:rPr>
      <w:b/>
    </w:rPr>
  </w:style>
  <w:style w:type="paragraph" w:styleId="21">
    <w:name w:val="Body Text First Indent 2"/>
    <w:basedOn w:val="10"/>
    <w:link w:val="49"/>
    <w:qFormat/>
    <w:locked/>
    <w:uiPriority w:val="0"/>
    <w:pPr>
      <w:ind w:left="0" w:leftChars="0" w:firstLine="210"/>
      <w:jc w:val="left"/>
    </w:pPr>
    <w:rPr>
      <w:rFonts w:ascii="Calibri" w:hAnsi="Calibri"/>
      <w:sz w:val="22"/>
      <w:lang w:eastAsia="en-US"/>
    </w:rPr>
  </w:style>
  <w:style w:type="table" w:styleId="23">
    <w:name w:val="Table Grid"/>
    <w:basedOn w:val="22"/>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page number"/>
    <w:basedOn w:val="24"/>
    <w:qFormat/>
    <w:locked/>
    <w:uiPriority w:val="0"/>
  </w:style>
  <w:style w:type="character" w:styleId="26">
    <w:name w:val="Emphasis"/>
    <w:basedOn w:val="24"/>
    <w:qFormat/>
    <w:locked/>
    <w:uiPriority w:val="0"/>
    <w:rPr>
      <w:i/>
    </w:rPr>
  </w:style>
  <w:style w:type="character" w:styleId="27">
    <w:name w:val="Hyperlink"/>
    <w:unhideWhenUsed/>
    <w:qFormat/>
    <w:locked/>
    <w:uiPriority w:val="99"/>
    <w:rPr>
      <w:color w:val="0563C1"/>
      <w:u w:val="single"/>
    </w:rPr>
  </w:style>
  <w:style w:type="character" w:styleId="28">
    <w:name w:val="annotation reference"/>
    <w:qFormat/>
    <w:uiPriority w:val="99"/>
    <w:rPr>
      <w:sz w:val="21"/>
    </w:rPr>
  </w:style>
  <w:style w:type="character" w:customStyle="1" w:styleId="29">
    <w:name w:val="批注框文本 字符"/>
    <w:link w:val="14"/>
    <w:semiHidden/>
    <w:qFormat/>
    <w:locked/>
    <w:uiPriority w:val="0"/>
    <w:rPr>
      <w:rFonts w:ascii="Times New Roman" w:hAnsi="Times New Roman" w:eastAsia="宋体"/>
      <w:sz w:val="18"/>
    </w:rPr>
  </w:style>
  <w:style w:type="character" w:customStyle="1" w:styleId="30">
    <w:name w:val="日期 字符"/>
    <w:semiHidden/>
    <w:qFormat/>
    <w:uiPriority w:val="0"/>
    <w:rPr>
      <w:rFonts w:ascii="Times New Roman" w:hAnsi="Times New Roman" w:eastAsia="宋体"/>
      <w:sz w:val="24"/>
    </w:rPr>
  </w:style>
  <w:style w:type="character" w:customStyle="1" w:styleId="31">
    <w:name w:val="批注文字 字符"/>
    <w:link w:val="8"/>
    <w:qFormat/>
    <w:locked/>
    <w:uiPriority w:val="99"/>
    <w:rPr>
      <w:rFonts w:ascii="Times New Roman" w:hAnsi="Times New Roman" w:eastAsia="宋体"/>
      <w:sz w:val="24"/>
    </w:rPr>
  </w:style>
  <w:style w:type="character" w:customStyle="1" w:styleId="32">
    <w:name w:val="表格 Char"/>
    <w:link w:val="33"/>
    <w:qFormat/>
    <w:locked/>
    <w:uiPriority w:val="0"/>
    <w:rPr>
      <w:rFonts w:ascii="宋体"/>
      <w:sz w:val="21"/>
    </w:rPr>
  </w:style>
  <w:style w:type="paragraph" w:customStyle="1" w:styleId="33">
    <w:name w:val="表格"/>
    <w:basedOn w:val="1"/>
    <w:next w:val="1"/>
    <w:link w:val="32"/>
    <w:qFormat/>
    <w:uiPriority w:val="0"/>
    <w:pPr>
      <w:adjustRightInd w:val="0"/>
      <w:snapToGrid w:val="0"/>
      <w:spacing w:beforeLines="10" w:afterLines="10" w:line="259" w:lineRule="auto"/>
      <w:jc w:val="center"/>
    </w:pPr>
    <w:rPr>
      <w:rFonts w:ascii="宋体"/>
      <w:kern w:val="0"/>
      <w:szCs w:val="20"/>
    </w:rPr>
  </w:style>
  <w:style w:type="character" w:customStyle="1" w:styleId="34">
    <w:name w:val="正文文本 字符1"/>
    <w:semiHidden/>
    <w:qFormat/>
    <w:uiPriority w:val="0"/>
    <w:rPr>
      <w:rFonts w:ascii="Times New Roman" w:hAnsi="Times New Roman" w:eastAsia="宋体"/>
      <w:sz w:val="24"/>
    </w:rPr>
  </w:style>
  <w:style w:type="character" w:customStyle="1" w:styleId="35">
    <w:name w:val="普通(网站) 字符"/>
    <w:link w:val="19"/>
    <w:qFormat/>
    <w:locked/>
    <w:uiPriority w:val="0"/>
    <w:rPr>
      <w:rFonts w:ascii="宋体" w:hAnsi="宋体" w:eastAsia="宋体"/>
      <w:sz w:val="24"/>
    </w:rPr>
  </w:style>
  <w:style w:type="character" w:customStyle="1" w:styleId="36">
    <w:name w:val="日期 字符1"/>
    <w:link w:val="12"/>
    <w:qFormat/>
    <w:locked/>
    <w:uiPriority w:val="0"/>
    <w:rPr>
      <w:rFonts w:ascii="Times New Roman" w:hAnsi="Times New Roman" w:eastAsia="宋体"/>
      <w:sz w:val="24"/>
    </w:rPr>
  </w:style>
  <w:style w:type="character" w:customStyle="1" w:styleId="37">
    <w:name w:val="页脚 字符"/>
    <w:basedOn w:val="24"/>
    <w:qFormat/>
    <w:uiPriority w:val="99"/>
  </w:style>
  <w:style w:type="character" w:customStyle="1" w:styleId="38">
    <w:name w:val="页脚 字符1"/>
    <w:link w:val="15"/>
    <w:qFormat/>
    <w:locked/>
    <w:uiPriority w:val="99"/>
    <w:rPr>
      <w:sz w:val="18"/>
    </w:rPr>
  </w:style>
  <w:style w:type="character" w:customStyle="1" w:styleId="39">
    <w:name w:val="正文文本 字符"/>
    <w:link w:val="9"/>
    <w:qFormat/>
    <w:locked/>
    <w:uiPriority w:val="0"/>
    <w:rPr>
      <w:sz w:val="18"/>
    </w:rPr>
  </w:style>
  <w:style w:type="character" w:customStyle="1" w:styleId="40">
    <w:name w:val="正文文本缩进 字符"/>
    <w:link w:val="10"/>
    <w:semiHidden/>
    <w:qFormat/>
    <w:locked/>
    <w:uiPriority w:val="0"/>
    <w:rPr>
      <w:rFonts w:ascii="Times New Roman" w:hAnsi="Times New Roman" w:eastAsia="宋体"/>
      <w:sz w:val="24"/>
    </w:rPr>
  </w:style>
  <w:style w:type="character" w:customStyle="1" w:styleId="41">
    <w:name w:val="批注主题 字符"/>
    <w:link w:val="20"/>
    <w:semiHidden/>
    <w:qFormat/>
    <w:locked/>
    <w:uiPriority w:val="0"/>
    <w:rPr>
      <w:rFonts w:ascii="Times New Roman" w:hAnsi="Times New Roman" w:eastAsia="宋体"/>
      <w:b/>
      <w:kern w:val="2"/>
      <w:sz w:val="24"/>
    </w:rPr>
  </w:style>
  <w:style w:type="character" w:customStyle="1" w:styleId="42">
    <w:name w:val="批注文字 字符1"/>
    <w:semiHidden/>
    <w:qFormat/>
    <w:uiPriority w:val="0"/>
    <w:rPr>
      <w:rFonts w:ascii="Times New Roman" w:hAnsi="Times New Roman" w:eastAsia="宋体"/>
      <w:sz w:val="24"/>
    </w:rPr>
  </w:style>
  <w:style w:type="character" w:customStyle="1" w:styleId="43">
    <w:name w:val="页眉 字符"/>
    <w:link w:val="16"/>
    <w:qFormat/>
    <w:locked/>
    <w:uiPriority w:val="0"/>
    <w:rPr>
      <w:sz w:val="18"/>
    </w:rPr>
  </w:style>
  <w:style w:type="paragraph" w:customStyle="1" w:styleId="44">
    <w:name w:val="正文_10"/>
    <w:qFormat/>
    <w:uiPriority w:val="0"/>
    <w:pPr>
      <w:widowControl w:val="0"/>
      <w:spacing w:after="160" w:line="278" w:lineRule="auto"/>
      <w:jc w:val="both"/>
    </w:pPr>
    <w:rPr>
      <w:rFonts w:ascii="Times New Roman" w:hAnsi="Times New Roman" w:eastAsia="宋体" w:cs="Times New Roman"/>
      <w:kern w:val="2"/>
      <w:sz w:val="21"/>
      <w:szCs w:val="22"/>
      <w:lang w:val="en-US" w:eastAsia="zh-CN" w:bidi="ar-SA"/>
    </w:rPr>
  </w:style>
  <w:style w:type="paragraph" w:customStyle="1" w:styleId="45">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6">
    <w:name w:val="标题 2 字符"/>
    <w:link w:val="3"/>
    <w:semiHidden/>
    <w:qFormat/>
    <w:uiPriority w:val="0"/>
    <w:rPr>
      <w:rFonts w:ascii="等线 Light" w:hAnsi="等线 Light" w:eastAsia="等线 Light" w:cs="Times New Roman"/>
      <w:b/>
      <w:bCs/>
      <w:kern w:val="2"/>
      <w:sz w:val="32"/>
      <w:szCs w:val="32"/>
    </w:rPr>
  </w:style>
  <w:style w:type="paragraph" w:customStyle="1" w:styleId="47">
    <w:name w:val="Table Paragraph"/>
    <w:basedOn w:val="1"/>
    <w:qFormat/>
    <w:uiPriority w:val="1"/>
    <w:pPr>
      <w:jc w:val="left"/>
    </w:pPr>
    <w:rPr>
      <w:rFonts w:ascii="Calibri" w:hAnsi="Calibri"/>
      <w:kern w:val="0"/>
      <w:sz w:val="22"/>
      <w:szCs w:val="22"/>
      <w:lang w:eastAsia="en-US"/>
    </w:rPr>
  </w:style>
  <w:style w:type="paragraph" w:customStyle="1" w:styleId="48">
    <w:name w:val="修订1"/>
    <w:hidden/>
    <w:unhideWhenUsed/>
    <w:qFormat/>
    <w:uiPriority w:val="99"/>
    <w:pPr>
      <w:spacing w:after="160" w:line="278" w:lineRule="auto"/>
    </w:pPr>
    <w:rPr>
      <w:rFonts w:ascii="Times New Roman" w:hAnsi="Times New Roman" w:eastAsia="宋体" w:cs="Times New Roman"/>
      <w:kern w:val="2"/>
      <w:sz w:val="21"/>
      <w:szCs w:val="24"/>
      <w:lang w:val="en-US" w:eastAsia="zh-CN" w:bidi="ar-SA"/>
    </w:rPr>
  </w:style>
  <w:style w:type="character" w:customStyle="1" w:styleId="49">
    <w:name w:val="正文文本首行缩进 2 字符"/>
    <w:link w:val="21"/>
    <w:qFormat/>
    <w:uiPriority w:val="0"/>
    <w:rPr>
      <w:rFonts w:ascii="Calibri" w:hAnsi="Calibri" w:eastAsia="宋体"/>
      <w:sz w:val="22"/>
      <w:lang w:eastAsia="en-US"/>
    </w:rPr>
  </w:style>
  <w:style w:type="paragraph" w:customStyle="1" w:styleId="50">
    <w:name w:val="标准正文"/>
    <w:basedOn w:val="1"/>
    <w:qFormat/>
    <w:uiPriority w:val="0"/>
    <w:pPr>
      <w:spacing w:line="500" w:lineRule="exact"/>
      <w:ind w:firstLine="200" w:firstLineChars="200"/>
      <w:jc w:val="left"/>
    </w:pPr>
    <w:rPr>
      <w:rFonts w:ascii="Calibri" w:hAnsi="Calibri"/>
      <w:kern w:val="0"/>
      <w:sz w:val="24"/>
      <w:szCs w:val="22"/>
      <w:lang w:eastAsia="en-US"/>
    </w:rPr>
  </w:style>
  <w:style w:type="character" w:customStyle="1" w:styleId="51">
    <w:name w:val="正文文本缩进 2 字符"/>
    <w:link w:val="13"/>
    <w:qFormat/>
    <w:uiPriority w:val="0"/>
    <w:rPr>
      <w:kern w:val="2"/>
      <w:sz w:val="21"/>
      <w:szCs w:val="24"/>
    </w:rPr>
  </w:style>
  <w:style w:type="character" w:customStyle="1" w:styleId="52">
    <w:name w:val="正文文本 2 字符"/>
    <w:link w:val="18"/>
    <w:qFormat/>
    <w:uiPriority w:val="0"/>
    <w:rPr>
      <w:kern w:val="2"/>
      <w:sz w:val="21"/>
      <w:szCs w:val="24"/>
    </w:rPr>
  </w:style>
  <w:style w:type="character" w:customStyle="1" w:styleId="53">
    <w:name w:val="标题 3 字符"/>
    <w:link w:val="4"/>
    <w:semiHidden/>
    <w:qFormat/>
    <w:uiPriority w:val="0"/>
    <w:rPr>
      <w:b/>
      <w:bCs/>
      <w:kern w:val="2"/>
      <w:sz w:val="32"/>
      <w:szCs w:val="32"/>
    </w:rPr>
  </w:style>
  <w:style w:type="paragraph" w:customStyle="1" w:styleId="54">
    <w:name w:val="正文首行缩进 21"/>
    <w:basedOn w:val="10"/>
    <w:next w:val="1"/>
    <w:qFormat/>
    <w:uiPriority w:val="0"/>
    <w:pPr>
      <w:ind w:firstLine="420"/>
    </w:pPr>
    <w:rPr>
      <w:sz w:val="20"/>
      <w:szCs w:val="24"/>
      <w:lang w:val="zh-CN"/>
    </w:rPr>
  </w:style>
  <w:style w:type="character" w:customStyle="1" w:styleId="55">
    <w:name w:val="纯文本 字符"/>
    <w:qFormat/>
    <w:uiPriority w:val="0"/>
    <w:rPr>
      <w:rFonts w:ascii="宋体" w:hAnsi="Courier New" w:cs="Courier New"/>
      <w:kern w:val="2"/>
      <w:sz w:val="21"/>
      <w:szCs w:val="21"/>
    </w:rPr>
  </w:style>
  <w:style w:type="character" w:customStyle="1" w:styleId="56">
    <w:name w:val="纯文本 字符1"/>
    <w:link w:val="11"/>
    <w:qFormat/>
    <w:locked/>
    <w:uiPriority w:val="0"/>
    <w:rPr>
      <w:rFonts w:ascii="宋体" w:hAnsi="Courier New"/>
      <w:kern w:val="2"/>
    </w:rPr>
  </w:style>
  <w:style w:type="character" w:customStyle="1" w:styleId="57">
    <w:name w:val="表内容 Char"/>
    <w:link w:val="58"/>
    <w:qFormat/>
    <w:locked/>
    <w:uiPriority w:val="0"/>
    <w:rPr>
      <w:rFonts w:ascii="宋体" w:hAnsi="宋体"/>
      <w:kern w:val="2"/>
      <w:sz w:val="21"/>
      <w:szCs w:val="21"/>
    </w:rPr>
  </w:style>
  <w:style w:type="paragraph" w:customStyle="1" w:styleId="58">
    <w:name w:val="表内容"/>
    <w:basedOn w:val="1"/>
    <w:link w:val="57"/>
    <w:qFormat/>
    <w:uiPriority w:val="0"/>
    <w:pPr>
      <w:adjustRightInd w:val="0"/>
      <w:snapToGrid w:val="0"/>
      <w:jc w:val="center"/>
    </w:pPr>
    <w:rPr>
      <w:rFonts w:ascii="宋体" w:hAnsi="宋体"/>
      <w:szCs w:val="21"/>
    </w:rPr>
  </w:style>
  <w:style w:type="paragraph" w:customStyle="1" w:styleId="59">
    <w:name w:val="TOC 标题1"/>
    <w:basedOn w:val="2"/>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F5496"/>
      <w:kern w:val="0"/>
      <w:sz w:val="32"/>
      <w:szCs w:val="32"/>
    </w:rPr>
  </w:style>
  <w:style w:type="character" w:customStyle="1" w:styleId="60">
    <w:name w:val="未处理的提及1"/>
    <w:basedOn w:val="24"/>
    <w:semiHidden/>
    <w:unhideWhenUsed/>
    <w:qFormat/>
    <w:uiPriority w:val="99"/>
    <w:rPr>
      <w:color w:val="605E5C"/>
      <w:shd w:val="clear" w:color="auto" w:fill="E1DFDD"/>
    </w:rPr>
  </w:style>
  <w:style w:type="character" w:customStyle="1" w:styleId="61">
    <w:name w:val="未处理的提及2"/>
    <w:basedOn w:val="24"/>
    <w:semiHidden/>
    <w:unhideWhenUsed/>
    <w:qFormat/>
    <w:uiPriority w:val="99"/>
    <w:rPr>
      <w:color w:val="605E5C"/>
      <w:shd w:val="clear" w:color="auto" w:fill="E1DFDD"/>
    </w:rPr>
  </w:style>
  <w:style w:type="paragraph" w:customStyle="1" w:styleId="62">
    <w:name w:val="修订2"/>
    <w:hidden/>
    <w:semiHidden/>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styleId="63">
    <w:name w:val="List Paragraph"/>
    <w:basedOn w:val="1"/>
    <w:qFormat/>
    <w:uiPriority w:val="99"/>
    <w:pPr>
      <w:ind w:firstLine="420" w:firstLineChars="200"/>
    </w:pPr>
  </w:style>
  <w:style w:type="paragraph" w:customStyle="1" w:styleId="64">
    <w:name w:val="表格内容"/>
    <w:basedOn w:val="1"/>
    <w:qFormat/>
    <w:uiPriority w:val="0"/>
    <w:pPr>
      <w:adjustRightInd w:val="0"/>
      <w:snapToGrid w:val="0"/>
    </w:pPr>
    <w:rPr>
      <w:szCs w:val="21"/>
    </w:rPr>
  </w:style>
  <w:style w:type="paragraph" w:customStyle="1" w:styleId="65">
    <w:name w:val="表格首行"/>
    <w:basedOn w:val="1"/>
    <w:qFormat/>
    <w:uiPriority w:val="0"/>
    <w:pPr>
      <w:adjustRightInd w:val="0"/>
      <w:snapToGrid w:val="0"/>
      <w:jc w:val="center"/>
    </w:pPr>
    <w:rPr>
      <w:rFonts w:cs="宋体"/>
      <w:b/>
      <w:szCs w:val="20"/>
    </w:rPr>
  </w:style>
  <w:style w:type="paragraph" w:customStyle="1" w:styleId="66">
    <w:name w:val="修订3"/>
    <w:hidden/>
    <w:semiHidden/>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customStyle="1" w:styleId="67">
    <w:name w:val="修订4"/>
    <w:hidden/>
    <w:semiHidden/>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customStyle="1" w:styleId="68">
    <w:name w:val="修订5"/>
    <w:hidden/>
    <w:semiHidden/>
    <w:qFormat/>
    <w:uiPriority w:val="99"/>
    <w:pPr>
      <w:spacing w:after="160" w:line="278" w:lineRule="auto"/>
    </w:pPr>
    <w:rPr>
      <w:rFonts w:ascii="Times New Roman" w:hAnsi="Times New Roman" w:eastAsia="宋体" w:cs="Times New Roman"/>
      <w:kern w:val="2"/>
      <w:sz w:val="21"/>
      <w:szCs w:val="24"/>
      <w:lang w:val="en-US" w:eastAsia="zh-CN" w:bidi="ar-SA"/>
    </w:rPr>
  </w:style>
  <w:style w:type="character" w:styleId="69">
    <w:name w:val="Placeholder Text"/>
    <w:basedOn w:val="24"/>
    <w:semiHidden/>
    <w:qFormat/>
    <w:uiPriority w:val="99"/>
    <w:rPr>
      <w:color w:val="808080"/>
    </w:rPr>
  </w:style>
  <w:style w:type="paragraph" w:customStyle="1" w:styleId="70">
    <w:name w:val="修订6"/>
    <w:hidden/>
    <w:semiHidden/>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customStyle="1" w:styleId="71">
    <w:name w:val="修订7"/>
    <w:hidden/>
    <w:unhideWhenUsed/>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customStyle="1" w:styleId="72">
    <w:name w:val="修订8"/>
    <w:hidden/>
    <w:unhideWhenUsed/>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customStyle="1" w:styleId="73">
    <w:name w:val="修订9"/>
    <w:hidden/>
    <w:unhideWhenUsed/>
    <w:qFormat/>
    <w:uiPriority w:val="99"/>
    <w:pPr>
      <w:spacing w:after="160" w:line="278" w:lineRule="auto"/>
    </w:pPr>
    <w:rPr>
      <w:rFonts w:ascii="Times New Roman" w:hAnsi="Times New Roman" w:eastAsia="宋体" w:cs="Times New Roman"/>
      <w:kern w:val="2"/>
      <w:sz w:val="21"/>
      <w:szCs w:val="24"/>
      <w:lang w:val="en-US" w:eastAsia="zh-CN" w:bidi="ar-SA"/>
    </w:rPr>
  </w:style>
  <w:style w:type="character" w:customStyle="1" w:styleId="74">
    <w:name w:val="标题 5 字符"/>
    <w:basedOn w:val="24"/>
    <w:link w:val="6"/>
    <w:semiHidden/>
    <w:qFormat/>
    <w:uiPriority w:val="0"/>
    <w:rPr>
      <w:b/>
      <w:bCs/>
      <w:kern w:val="2"/>
      <w:sz w:val="28"/>
      <w:szCs w:val="28"/>
    </w:rPr>
  </w:style>
  <w:style w:type="paragraph" w:customStyle="1" w:styleId="75">
    <w:name w:val="样式 Z正文 + 首行缩进:  2 字符1"/>
    <w:basedOn w:val="1"/>
    <w:qFormat/>
    <w:uiPriority w:val="0"/>
    <w:pPr>
      <w:keepNext/>
      <w:overflowPunct w:val="0"/>
      <w:snapToGrid w:val="0"/>
      <w:spacing w:before="120"/>
      <w:ind w:left="432" w:firstLine="480" w:firstLineChars="200"/>
      <w:jc w:val="center"/>
    </w:pPr>
    <w:rPr>
      <w:rFonts w:cs="宋体"/>
      <w:bCs/>
      <w:color w:val="000000"/>
      <w:kern w:val="44"/>
      <w:sz w:val="24"/>
    </w:rPr>
  </w:style>
  <w:style w:type="paragraph" w:customStyle="1" w:styleId="76">
    <w:name w:val="修订10"/>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customXml" Target="../customXml/item1.xml"/><Relationship Id="rId22" Type="http://schemas.openxmlformats.org/officeDocument/2006/relationships/numbering" Target="numbering.xml"/><Relationship Id="rId21" Type="http://schemas.openxmlformats.org/officeDocument/2006/relationships/image" Target="media/image9.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8.emf"/><Relationship Id="rId18" Type="http://schemas.openxmlformats.org/officeDocument/2006/relationships/package" Target="embeddings/Microsoft_Visio___2.vsdx"/><Relationship Id="rId17" Type="http://schemas.openxmlformats.org/officeDocument/2006/relationships/image" Target="media/image7.emf"/><Relationship Id="rId16" Type="http://schemas.openxmlformats.org/officeDocument/2006/relationships/package" Target="embeddings/Microsoft_Visio___1.vsdx"/><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ontractReview xmlns="http://schemas.wps.cn/vas-ai-hub/contract-review">
  <reviewItems>
    <reviewItem>
      <errorID>d57aaa73-08e5-4273-aca9-1aa627d71005</errorID>
      <errorWord>-</errorWord>
      <group>L1_Format</group>
      <groupName>格式问题</groupName>
      <ability>L2_HalfPunc</ability>
      <abilityName>全半角检查</abilityName>
      <candidateList>
        <item>－</item>
      </candidateList>
      <explain>文本全半角错误。</explain>
      <paraID>3BCB9409</paraID>
      <start>26</start>
      <end>27</end>
      <status>unmodified</status>
      <modifiedWord/>
      <trackRevisions>false</trackRevisions>
    </reviewItem>
    <reviewItem>
      <errorID>783fefd3-1d3f-462a-89ee-1e55bea69e09</errorID>
      <errorWord>&lt;</errorWord>
      <group>L1_Format</group>
      <groupName>格式问题</groupName>
      <ability>L2_HalfPunc</ability>
      <abilityName>全半角检查</abilityName>
      <candidateList>
        <item>〈</item>
      </candidateList>
      <explain>文本全半角错误。</explain>
      <paraID>5259F9A1</paraID>
      <start>24</start>
      <end>25</end>
      <status>unmodified</status>
      <modifiedWord/>
      <trackRevisions>false</trackRevisions>
    </reviewItem>
    <reviewItem>
      <errorID>53ac8a42-7c17-42a6-9330-02eecdbb7aa2</errorID>
      <errorWord>&gt;</errorWord>
      <group>L1_Format</group>
      <groupName>格式问题</groupName>
      <ability>L2_HalfPunc</ability>
      <abilityName>全半角检查</abilityName>
      <candidateList>
        <item>〉</item>
      </candidateList>
      <explain>文本全半角错误。</explain>
      <paraID>5259F9A1</paraID>
      <start>60</start>
      <end>61</end>
      <status>unmodified</status>
      <modifiedWord/>
      <trackRevisions>false</trackRevisions>
    </reviewItem>
    <reviewItem>
      <errorID>5d407c22-ea74-44ed-8ec1-a95768167db8</errorID>
      <errorWord>&lt;</errorWord>
      <group>L1_Format</group>
      <groupName>格式问题</groupName>
      <ability>L2_HalfPunc</ability>
      <abilityName>全半角检查</abilityName>
      <candidateList>
        <item>〈</item>
      </candidateList>
      <explain>文本全半角错误。</explain>
      <paraID>32DB3079</paraID>
      <start>64</start>
      <end>65</end>
      <status>unmodified</status>
      <modifiedWord/>
      <trackRevisions>false</trackRevisions>
    </reviewItem>
    <reviewItem>
      <errorID>e7333ca1-85ee-40ea-ae7b-1147daeca47b</errorID>
      <errorWord>&gt;</errorWord>
      <group>L1_Format</group>
      <groupName>格式问题</groupName>
      <ability>L2_HalfPunc</ability>
      <abilityName>全半角检查</abilityName>
      <candidateList>
        <item>〉</item>
      </candidateList>
      <explain>文本全半角错误。</explain>
      <paraID>32DB3079</paraID>
      <start>100</start>
      <end>101</end>
      <status>unmodified</status>
      <modifiedWord/>
      <trackRevisions>false</trackRevisions>
    </reviewItem>
    <reviewItem>
      <errorID>4a91b2b4-c748-42b6-b679-19e93c62c348</errorID>
      <errorWord>到有色金属</errorWord>
      <group>L1_Knowledge</group>
      <groupName>知识性问题</groupName>
      <ability>L2_Term</ability>
      <abilityName>专业术语</abilityName>
      <candidateList>
        <item>重有色金属</item>
      </candidateList>
      <explain/>
      <paraID>261151A4</paraID>
      <start>20</start>
      <end>25</end>
      <status>unmodified</status>
      <modifiedWord/>
      <trackRevisions>false</trackRevisions>
    </reviewItem>
    <reviewItem>
      <errorID>e76e713e-5ee6-4163-a747-f3564350e2e1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3CD46FD</paraID>
      <start>64</start>
      <end>65</end>
      <status>unmodified</status>
      <modifiedWord/>
      <trackRevisions>false</trackRevisions>
    </reviewItem>
    <reviewItem>
      <errorID>b5735348-fb15-4baa-9d85-3670c7672d64</errorID>
      <errorWord>，</errorWord>
      <group>L1_Word</group>
      <groupName>字词问题</groupName>
      <ability>L2_Typo</ability>
      <abilityName>字词错误</abilityName>
      <candidateList>
        <item>，在</item>
      </candidateList>
      <explain/>
      <paraID>47ACF321</paraID>
      <start>156</start>
      <end>157</end>
      <status>unmodified</status>
      <modifiedWord/>
      <trackRevisions>false</trackRevisions>
    </reviewItem>
    <reviewItem>
      <errorID>2de146c7-2cad-437d-b093-717223030b2c</errorID>
      <errorWord>&lt;</errorWord>
      <group>L1_Format</group>
      <groupName>格式问题</groupName>
      <ability>L2_HalfPunc</ability>
      <abilityName>全半角检查</abilityName>
      <candidateList>
        <item>〈</item>
      </candidateList>
      <explain>文本全半角错误。</explain>
      <paraID>685CB334</paraID>
      <start>15</start>
      <end>16</end>
      <status>unmodified</status>
      <modifiedWord/>
      <trackRevisions>false</trackRevisions>
    </reviewItem>
    <reviewItem>
      <errorID>471959b5-89dd-4207-a9ab-df5ed5d83d2f</errorID>
      <errorWord>&gt;的通知》</errorWord>
      <group>L1_Punc</group>
      <groupName>标点问题</groupName>
      <ability>L2_Punc</ability>
      <abilityName>标点符号检查</abilityName>
      <candidateList>
        <item>〉的通知》</item>
      </candidateList>
      <explain/>
      <paraID>685CB334</paraID>
      <start>40</start>
      <end>45</end>
      <status>unmodified</status>
      <modifiedWord/>
      <trackRevisions>false</trackRevisions>
    </reviewItem>
    <reviewItem>
      <errorID>54029343-e593-4847-8473-d9e9646f0a37</errorID>
      <errorWord>&lt;</errorWord>
      <group>L1_Format</group>
      <groupName>格式问题</groupName>
      <ability>L2_HalfPunc</ability>
      <abilityName>全半角检查</abilityName>
      <candidateList>
        <item>〈</item>
      </candidateList>
      <explain>文本全半角错误。</explain>
      <paraID> 95101D6</paraID>
      <start>13</start>
      <end>14</end>
      <status>unmodified</status>
      <modifiedWord/>
      <trackRevisions>false</trackRevisions>
    </reviewItem>
    <reviewItem>
      <errorID>a870b33f-81d2-4b9d-9bc6-a465370fc1cc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95101D6</paraID>
      <start>31</start>
      <end>32</end>
      <status>unmodified</status>
      <modifiedWord/>
      <trackRevisions>false</trackRevisions>
    </reviewItem>
    <reviewItem>
      <errorID>e5437d47-e1a0-468b-b5b9-33d52fe4663f</errorID>
      <errorWord>&gt;的通知》</errorWord>
      <group>L1_Punc</group>
      <groupName>标点问题</groupName>
      <ability>L2_Punc</ability>
      <abilityName>标点符号检查</abilityName>
      <candidateList>
        <item>〉的通知》</item>
      </candidateList>
      <explain/>
      <paraID> 95101D6</paraID>
      <start>38</start>
      <end>43</end>
      <status>unmodified</status>
      <modifiedWord/>
      <trackRevisions>false</trackRevisions>
    </reviewItem>
    <reviewItem>
      <errorID>049140a4-a5d0-4200-95a6-ac46ea3bf1f6</errorID>
      <errorWord>，</errorWord>
      <group>L1_Word</group>
      <groupName>字词问题</groupName>
      <ability>L2_Typo</ability>
      <abilityName>字词错误</abilityName>
      <candidateList>
        <item>，在</item>
      </candidateList>
      <explain/>
      <paraID>23CE9C62</paraID>
      <start>22</start>
      <end>23</end>
      <status>unmodified</status>
      <modifiedWord/>
      <trackRevisions>false</trackRevisions>
    </reviewItem>
    <reviewItem>
      <errorID>c9c8e423-03af-463f-8cdf-a90185606e63</errorID>
      <errorWord>用地土壤</errorWord>
      <group>L1_Knowledge</group>
      <groupName>知识性问题</groupName>
      <ability>L2_Term</ability>
      <abilityName>专业术语</abilityName>
      <candidateList>
        <item>迹地土壤</item>
      </candidateList>
      <explain/>
      <paraID>48A96BF3</paraID>
      <start>114</start>
      <end>118</end>
      <status>unmodified</status>
      <modifiedWord/>
      <trackRevisions>false</trackRevisions>
    </reviewItem>
    <reviewItem>
      <errorID>3fb3160c-b1db-4d84-8f47-7213192d133e</errorID>
      <errorWord>矿石</errorWord>
      <group>L1_Word</group>
      <groupName>字词问题</groupName>
      <ability>L2_Typo</ability>
      <abilityName>字词错误</abilityName>
      <candidateList>
        <item>矿山</item>
      </candidateList>
      <explain/>
      <paraID>66599573</paraID>
      <start>18</start>
      <end>20</end>
      <status>unmodified</status>
      <modifiedWord/>
      <trackRevisions>false</trackRevisions>
    </reviewItem>
    <reviewItem>
      <errorID>8a9e27d9-7e2d-4458-9482-7faa064d6bd5</errorID>
      <errorWord>区域的联防联控</errorWord>
      <group>L1_Political</group>
      <groupName>政治性问题</groupName>
      <ability>L2_Keyword</ability>
      <abilityName>固定表述</abilityName>
      <candidateList>
        <item>区域联防联控</item>
      </candidateList>
      <explain>词汇“区域联防联控”在特定场景下为固定表述形式，请确认此处的“区域的联防联控”是否存在不当。</explain>
      <paraID>24F0D110</paraID>
      <start>41</start>
      <end>48</end>
      <status>unmodified</status>
      <modifiedWord/>
      <trackRevisions>false</trackRevisions>
    </reviewItem>
    <reviewItem>
      <errorID>1d712c69-8453-4fe2-bebb-50cee183d029</errorID>
      <errorWord>县（区、市）</errorWord>
      <group>L1_Word</group>
      <groupName>字词问题</groupName>
      <ability>L2_Typo</ability>
      <abilityName>字词错误</abilityName>
      <candidateList>
        <item>县（市、区）</item>
      </candidateList>
      <explain/>
      <paraID>3AB2AF87</paraID>
      <start>39</start>
      <end>45</end>
      <status>unmodified</status>
      <modifiedWord/>
      <trackRevisions>false</trackRevisions>
    </reviewItem>
    <reviewItem>
      <errorID>9f2727cd-cbb7-4283-95f9-04f3ceb5bb33</errorID>
      <errorWord>推进区域土地</errorWord>
      <group>L1_Word</group>
      <groupName>字词问题</groupName>
      <ability>L2_Typo</ability>
      <abilityName>字词错误</abilityName>
      <candidateList>
        <item>推进全域土地</item>
      </candidateList>
      <explain/>
      <paraID>5108A6F4</paraID>
      <start>3</start>
      <end>9</end>
      <status>unmodified</status>
      <modifiedWord/>
      <trackRevisions>false</trackRevisions>
    </reviewItem>
    <reviewItem>
      <errorID>20c70ca8-f2ee-4a42-8ea8-301eac72a7f8</errorID>
      <errorWord>&lt;</errorWord>
      <group>L1_Format</group>
      <groupName>格式问题</groupName>
      <ability>L2_HalfPunc</ability>
      <abilityName>全半角检查</abilityName>
      <candidateList>
        <item>〈</item>
      </candidateList>
      <explain>文本全半角错误。</explain>
      <paraID>699C1477</paraID>
      <start>24</start>
      <end>25</end>
      <status>unmodified</status>
      <modifiedWord/>
      <trackRevisions>false</trackRevisions>
    </reviewItem>
    <reviewItem>
      <errorID>8b07557e-6ce7-46d0-8b82-39ceeb6bbb6c</errorID>
      <errorWord>&gt;的通知》</errorWord>
      <group>L1_Punc</group>
      <groupName>标点问题</groupName>
      <ability>L2_Punc</ability>
      <abilityName>标点符号检查</abilityName>
      <candidateList>
        <item>〉的通知》</item>
      </candidateList>
      <explain/>
      <paraID>699C1477</paraID>
      <start>49</start>
      <end>54</end>
      <status>unmodified</status>
      <modifiedWord/>
      <trackRevisions>false</trackRevisions>
    </reviewItem>
    <reviewItem>
      <errorID>5033da63-cd40-40eb-b002-3bf7e6025c30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F2D634E</paraID>
      <start>20</start>
      <end>21</end>
      <status>unmodified</status>
      <modifiedWord/>
      <trackRevisions>false</trackRevisions>
    </reviewItem>
    <reviewItem>
      <errorID>14d011a6-48fc-44d4-96e1-814de8e74249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5B4768E6</paraID>
      <start>19</start>
      <end>20</end>
      <status>unmodified</status>
      <modifiedWord/>
      <trackRevisions>false</trackRevisions>
    </reviewItem>
    <reviewItem>
      <errorID>ae856819-b6df-4911-ab77-f34e161a5d44</errorID>
      <errorWord>&lt;</errorWord>
      <group>L1_Format</group>
      <groupName>格式问题</groupName>
      <ability>L2_HalfPunc</ability>
      <abilityName>全半角检查</abilityName>
      <candidateList>
        <item>〈</item>
      </candidateList>
      <explain>文本全半角错误。</explain>
      <paraID>5B4768E6</paraID>
      <start>43</start>
      <end>44</end>
      <status>unmodified</status>
      <modifiedWord/>
      <trackRevisions>false</trackRevisions>
    </reviewItem>
    <reviewItem>
      <errorID>958f89f8-68d7-4ef7-81a6-f14f3e904018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5B4768E6</paraID>
      <start>60</start>
      <end>61</end>
      <status>unmodified</status>
      <modifiedWord/>
      <trackRevisions>false</trackRevisions>
    </reviewItem>
    <reviewItem>
      <errorID>c24bd4a9-53d4-425c-898b-840800fb75f9</errorID>
      <errorWord>&gt;</errorWord>
      <group>L1_Format</group>
      <groupName>格式问题</groupName>
      <ability>L2_HalfPunc</ability>
      <abilityName>全半角检查</abilityName>
      <candidateList>
        <item>〉</item>
      </candidateList>
      <explain>文本全半角错误。</explain>
      <paraID>5B4768E6</paraID>
      <start>67</start>
      <end>68</end>
      <status>unmodified</status>
      <modifiedWord/>
      <trackRevisions>false</trackRevisions>
    </reviewItem>
    <reviewItem>
      <errorID>7836b0e5-9c44-463b-b4e7-17f5c1410a02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5D9016EB</paraID>
      <start>23</start>
      <end>24</end>
      <status>unmodified</status>
      <modifiedWord/>
      <trackRevisions>false</trackRevisions>
    </reviewItem>
    <reviewItem>
      <errorID>b3bc3e5b-c723-45d7-9683-ec3601892625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CA87E5A</paraID>
      <start>29</start>
      <end>30</end>
      <status>unmodified</status>
      <modifiedWord/>
      <trackRevisions>false</trackRevisions>
    </reviewItem>
    <reviewItem>
      <errorID>41ec8bba-d4bb-455f-afab-bea126647fab</errorID>
      <errorWord>&lt;</errorWord>
      <group>L1_Format</group>
      <groupName>格式问题</groupName>
      <ability>L2_HalfPunc</ability>
      <abilityName>全半角检查</abilityName>
      <candidateList>
        <item>〈</item>
      </candidateList>
      <explain>文本全半角错误。</explain>
      <paraID> CA87E5A</paraID>
      <start>53</start>
      <end>54</end>
      <status>unmodified</status>
      <modifiedWord/>
      <trackRevisions>false</trackRevisions>
    </reviewItem>
    <reviewItem>
      <errorID>b13036c7-d1ab-44ae-8708-fa9116e3ca4f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CA87E5A</paraID>
      <start>70</start>
      <end>71</end>
      <status>unmodified</status>
      <modifiedWord/>
      <trackRevisions>false</trackRevisions>
    </reviewItem>
    <reviewItem>
      <errorID>6a1900ef-62f2-4f2e-8429-84c66ccee4ee</errorID>
      <errorWord>&gt;</errorWord>
      <group>L1_Format</group>
      <groupName>格式问题</groupName>
      <ability>L2_HalfPunc</ability>
      <abilityName>全半角检查</abilityName>
      <candidateList>
        <item>〉</item>
      </candidateList>
      <explain>文本全半角错误。</explain>
      <paraID> CA87E5A</paraID>
      <start>77</start>
      <end>78</end>
      <status>unmodified</status>
      <modifiedWord/>
      <trackRevisions>false</trackRevisions>
    </reviewItem>
    <reviewItem>
      <errorID>a89a38ac-2cb9-48a7-9282-8b1abfdf1600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3703F007</paraID>
      <start>35</start>
      <end>36</end>
      <status>unmodified</status>
      <modifiedWord/>
      <trackRevisions>false</trackRevisions>
    </reviewItem>
    <reviewItem>
      <errorID>ca1af522-0be8-4511-9992-db155a31c77a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2D1C1243</paraID>
      <start>34</start>
      <end>35</end>
      <status>unmodified</status>
      <modifiedWord/>
      <trackRevisions>false</trackRevisions>
    </reviewItem>
    <reviewItem>
      <errorID>d4a27c93-eced-4225-8d5e-db177857e24c</errorID>
      <errorWord>&lt;</errorWord>
      <group>L1_Format</group>
      <groupName>格式问题</groupName>
      <ability>L2_HalfPunc</ability>
      <abilityName>全半角检查</abilityName>
      <candidateList>
        <item>〈</item>
      </candidateList>
      <explain>文本全半角错误。</explain>
      <paraID>2D1C1243</paraID>
      <start>67</start>
      <end>68</end>
      <status>unmodified</status>
      <modifiedWord/>
      <trackRevisions>false</trackRevisions>
    </reviewItem>
    <reviewItem>
      <errorID>19dca304-fa53-40e4-a51c-6ad31e3c9531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2D1C1243</paraID>
      <start>99</start>
      <end>100</end>
      <status>unmodified</status>
      <modifiedWord/>
      <trackRevisions>false</trackRevisions>
    </reviewItem>
    <reviewItem>
      <errorID>85a7786f-7dc3-4eac-9691-a85b9f760262</errorID>
      <errorWord>&gt;的通知》</errorWord>
      <group>L1_Punc</group>
      <groupName>标点问题</groupName>
      <ability>L2_Punc</ability>
      <abilityName>标点符号检查</abilityName>
      <candidateList>
        <item>〉的通知》</item>
      </candidateList>
      <explain/>
      <paraID>2D1C1243</paraID>
      <start>106</start>
      <end>111</end>
      <status>unmodified</status>
      <modifiedWord/>
      <trackRevisions>false</trackRevisions>
    </reviewItem>
    <reviewItem>
      <errorID>d07953c7-6916-40c1-9618-7ca5f1770a0f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28F56663</paraID>
      <start>260</start>
      <end>261</end>
      <status>unmodified</status>
      <modifiedWord/>
      <trackRevisions>false</trackRevisions>
    </reviewItem>
    <reviewItem>
      <errorID>038cf5a5-c2cd-478a-a80d-6d1d265ebab8</errorID>
      <errorWord>&lt;</errorWord>
      <group>L1_Format</group>
      <groupName>格式问题</groupName>
      <ability>L2_HalfPunc</ability>
      <abilityName>全半角检查</abilityName>
      <candidateList>
        <item>〈</item>
      </candidateList>
      <explain>文本全半角错误。</explain>
      <paraID>28F56663</paraID>
      <start>293</start>
      <end>294</end>
      <status>unmodified</status>
      <modifiedWord/>
      <trackRevisions>false</trackRevisions>
    </reviewItem>
    <reviewItem>
      <errorID>6fb4004d-779f-4fa4-9841-99e7d0e817f4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28F56663</paraID>
      <start>325</start>
      <end>326</end>
      <status>unmodified</status>
      <modifiedWord/>
      <trackRevisions>false</trackRevisions>
    </reviewItem>
    <reviewItem>
      <errorID>6d20ad74-a95c-4efb-aaa2-8e0cddb49979</errorID>
      <errorWord>&gt;的通知》</errorWord>
      <group>L1_Punc</group>
      <groupName>标点问题</groupName>
      <ability>L2_Punc</ability>
      <abilityName>标点符号检查</abilityName>
      <candidateList>
        <item>〉的通知》</item>
      </candidateList>
      <explain/>
      <paraID>28F56663</paraID>
      <start>332</start>
      <end>337</end>
      <status>unmodified</status>
      <modifiedWord/>
      <trackRevisions>false</trackRevisions>
    </reviewItem>
    <reviewItem>
      <errorID>efef486c-357c-49ba-add3-f37c14f3119c</errorID>
      <errorWord>建</errorWord>
      <group>L1_Word</group>
      <groupName>字词问题</groupName>
      <ability>L2_Typo</ability>
      <abilityName>字词错误</abilityName>
      <candidateList>
        <item>建成</item>
      </candidateList>
      <explain/>
      <paraID> 4ADF069</paraID>
      <start>5</start>
      <end>6</end>
      <status>unmodified</status>
      <modifiedWord/>
      <trackRevisions>false</trackRevisions>
    </reviewItem>
    <reviewItem>
      <errorID>16fefe96-8bbd-4829-8116-574f38010743</errorID>
      <errorWord>建</errorWord>
      <group>L1_Word</group>
      <groupName>字词问题</groupName>
      <ability>L2_Typo</ability>
      <abilityName>字词错误</abilityName>
      <candidateList>
        <item>建成</item>
      </candidateList>
      <explain/>
      <paraID>393306ED</paraID>
      <start>5</start>
      <end>6</end>
      <status>unmodified</status>
      <modifiedWord/>
      <trackRevisions>false</trackRevisions>
    </reviewItem>
    <reviewItem>
      <errorID>126cd457-a3bc-4e61-bf2e-2af61037ffd8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50395067</paraID>
      <start>4</start>
      <end>5</end>
      <status>unmodified</status>
      <modifiedWord/>
      <trackRevisions>false</trackRevisions>
    </reviewItem>
    <reviewItem>
      <errorID>7e558dab-34f5-4543-adab-34205f5b0810</errorID>
      <errorWord>（</errorWord>
      <group>L1_Format</group>
      <groupName>格式问题</groupName>
      <ability>L2_HalfPunc</ability>
      <abilityName>全半角检查</abilityName>
      <candidateList>
        <item>(</item>
      </candidateList>
      <explain>文本全半角错误。</explain>
      <paraID>51038368</paraID>
      <start>11</start>
      <end>12</end>
      <status>unmodified</status>
      <modifiedWord/>
      <trackRevisions>false</trackRevisions>
    </reviewItem>
    <reviewItem>
      <errorID>8b6e23f1-e811-47ee-afc8-a063c050d84a</errorID>
      <errorWord>）</errorWord>
      <group>L1_Format</group>
      <groupName>格式问题</groupName>
      <ability>L2_HalfPunc</ability>
      <abilityName>全半角检查</abilityName>
      <candidateList>
        <item>)</item>
      </candidateList>
      <explain>文本全半角错误。</explain>
      <paraID>51038368</paraID>
      <start>16</start>
      <end>17</end>
      <status>unmodified</status>
      <modifiedWord/>
      <trackRevisions>false</trackRevisions>
    </reviewItem>
    <reviewItem>
      <errorID>2a7d3db1-0763-4059-bbff-50ffec96b997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5D1F0EE</paraID>
      <start>229</start>
      <end>230</end>
      <status>unmodified</status>
      <modifiedWord/>
      <trackRevisions>false</trackRevisions>
    </reviewItem>
    <reviewItem>
      <errorID>573ab0d6-1cab-4dbd-8a3e-2b087cce2bde</errorID>
      <errorWord>&lt;</errorWord>
      <group>L1_Format</group>
      <groupName>格式问题</groupName>
      <ability>L2_HalfPunc</ability>
      <abilityName>全半角检查</abilityName>
      <candidateList>
        <item>〈</item>
      </candidateList>
      <explain>文本全半角错误。</explain>
      <paraID>409D2E2D</paraID>
      <start>38</start>
      <end>39</end>
      <status>unmodified</status>
      <modifiedWord/>
      <trackRevisions>false</trackRevisions>
    </reviewItem>
    <reviewItem>
      <errorID>6cf84ca7-4c7a-4952-8a95-9af292ea15f3</errorID>
      <errorWord>&gt;的通知》</errorWord>
      <group>L1_Punc</group>
      <groupName>标点问题</groupName>
      <ability>L2_Punc</ability>
      <abilityName>标点符号检查</abilityName>
      <candidateList>
        <item>〉的通知》</item>
      </candidateList>
      <explain/>
      <paraID>409D2E2D</paraID>
      <start>49</start>
      <end>54</end>
      <status>unmodified</status>
      <modifiedWord/>
      <trackRevisions>false</trackRevisions>
    </reviewItem>
    <reviewItem>
      <errorID>7e123b2b-1254-4476-87dd-cf519be44727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45B529EA</paraID>
      <start>78</start>
      <end>79</end>
      <status>unmodified</status>
      <modifiedWord/>
      <trackRevisions>false</trackRevisions>
    </reviewItem>
    <reviewItem>
      <errorID>b1709001-e826-45e2-975c-456124187389</errorID>
      <errorWord>&lt;</errorWord>
      <group>L1_Format</group>
      <groupName>格式问题</groupName>
      <ability>L2_HalfPunc</ability>
      <abilityName>全半角检查</abilityName>
      <candidateList>
        <item>〈</item>
      </candidateList>
      <explain>文本全半角错误。</explain>
      <paraID>4EE85500</paraID>
      <start>142</start>
      <end>143</end>
      <status>unmodified</status>
      <modifiedWord/>
      <trackRevisions>false</trackRevisions>
    </reviewItem>
    <reviewItem>
      <errorID>1dabb4e6-b195-4ed5-9343-9eab005ae455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4EE85500</paraID>
      <start>160</start>
      <end>161</end>
      <status>unmodified</status>
      <modifiedWord/>
      <trackRevisions>false</trackRevisions>
    </reviewItem>
    <reviewItem>
      <errorID>4aa4b32a-f89e-42bf-a646-f9b01ea98ffe</errorID>
      <errorWord>&gt;的通知》</errorWord>
      <group>L1_Punc</group>
      <groupName>标点问题</groupName>
      <ability>L2_Punc</ability>
      <abilityName>标点符号检查</abilityName>
      <candidateList>
        <item>〉的通知》</item>
      </candidateList>
      <explain/>
      <paraID>4EE85500</paraID>
      <start>167</start>
      <end>172</end>
      <status>unmodified</status>
      <modifiedWord/>
      <trackRevisions>false</trackRevisions>
    </reviewItem>
    <reviewItem>
      <errorID>7700014d-20c4-4ed1-9b04-9f9789d5d439</errorID>
      <errorWord>&lt;</errorWord>
      <group>L1_Format</group>
      <groupName>格式问题</groupName>
      <ability>L2_HalfPunc</ability>
      <abilityName>全半角检查</abilityName>
      <candidateList>
        <item>〈</item>
      </candidateList>
      <explain>文本全半角错误。</explain>
      <paraID>383AE236</paraID>
      <start>13</start>
      <end>14</end>
      <status>unmodified</status>
      <modifiedWord/>
      <trackRevisions>false</trackRevisions>
    </reviewItem>
    <reviewItem>
      <errorID>af51ffef-abc4-4f17-9863-86f251265fca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383AE236</paraID>
      <start>31</start>
      <end>32</end>
      <status>unmodified</status>
      <modifiedWord/>
      <trackRevisions>false</trackRevisions>
    </reviewItem>
    <reviewItem>
      <errorID>86d7c482-a7c8-4592-89e1-b50b69a6cc22</errorID>
      <errorWord>&gt;的通知》</errorWord>
      <group>L1_Punc</group>
      <groupName>标点问题</groupName>
      <ability>L2_Punc</ability>
      <abilityName>标点符号检查</abilityName>
      <candidateList>
        <item>〉的通知》</item>
      </candidateList>
      <explain/>
      <paraID>383AE236</paraID>
      <start>38</start>
      <end>43</end>
      <status>unmodified</status>
      <modifiedWord/>
      <trackRevisions>false</trackRevisions>
    </reviewItem>
    <reviewItem>
      <errorID>d6cd4cd3-71a2-4ace-ae0f-6528cb989192</errorID>
      <errorWord>（</errorWord>
      <group>L1_Format</group>
      <groupName>格式问题</groupName>
      <ability>L2_HalfPunc</ability>
      <abilityName>全半角检查</abilityName>
      <candidateList>
        <item>(</item>
      </candidateList>
      <explain>文本全半角错误。</explain>
      <paraID>79C71479</paraID>
      <start>0</start>
      <end>1</end>
      <status>unmodified</status>
      <modifiedWord/>
      <trackRevisions>false</trackRevisions>
    </reviewItem>
    <reviewItem>
      <errorID>e8b04572-2e9b-4300-8ca7-d4a67138552a</errorID>
      <errorWord>）</errorWord>
      <group>L1_Format</group>
      <groupName>格式问题</groupName>
      <ability>L2_HalfPunc</ability>
      <abilityName>全半角检查</abilityName>
      <candidateList>
        <item>)</item>
      </candidateList>
      <explain>文本全半角错误。</explain>
      <paraID>79C71479</paraID>
      <start>6</start>
      <end>7</end>
      <status>unmodified</status>
      <modifiedWord/>
      <trackRevisions>false</trackRevisions>
    </reviewItem>
    <reviewItem>
      <errorID>bf45c5a0-2140-4681-ab73-c181c121fd3b</errorID>
      <errorWord>（</errorWord>
      <group>L1_Format</group>
      <groupName>格式问题</groupName>
      <ability>L2_HalfPunc</ability>
      <abilityName>全半角检查</abilityName>
      <candidateList>
        <item>(</item>
      </candidateList>
      <explain>文本全半角错误。</explain>
      <paraID>17D740C4</paraID>
      <start>0</start>
      <end>1</end>
      <status>unmodified</status>
      <modifiedWord/>
      <trackRevisions>false</trackRevisions>
    </reviewItem>
    <reviewItem>
      <errorID>ad1f9986-3b64-45ec-90fc-726aeafa9595</errorID>
      <errorWord>）</errorWord>
      <group>L1_Format</group>
      <groupName>格式问题</groupName>
      <ability>L2_HalfPunc</ability>
      <abilityName>全半角检查</abilityName>
      <candidateList>
        <item>)</item>
      </candidateList>
      <explain>文本全半角错误。</explain>
      <paraID>17D740C4</paraID>
      <start>2</start>
      <end>3</end>
      <status>unmodified</status>
      <modifiedWord/>
      <trackRevisions>false</trackRevisions>
    </reviewItem>
    <reviewItem>
      <errorID>d4ec59cb-3376-4d0b-b6a2-535dd355d82b</errorID>
      <errorWord>&lt;</errorWord>
      <group>L1_Format</group>
      <groupName>格式问题</groupName>
      <ability>L2_HalfPunc</ability>
      <abilityName>全半角检查</abilityName>
      <candidateList>
        <item>〈</item>
      </candidateList>
      <explain>文本全半角错误。</explain>
      <paraID>5AD39E66</paraID>
      <start>7</start>
      <end>8</end>
      <status>unmodified</status>
      <modifiedWord/>
      <trackRevisions>false</trackRevisions>
    </reviewItem>
    <reviewItem>
      <errorID>e0e1eee6-719f-403c-9f0a-dbe86a21deea</errorID>
      <errorWord>&gt;的通知》</errorWord>
      <group>L1_Punc</group>
      <groupName>标点问题</groupName>
      <ability>L2_Punc</ability>
      <abilityName>标点符号检查</abilityName>
      <candidateList>
        <item>〉的通知》</item>
      </candidateList>
      <explain/>
      <paraID>5AD39E66</paraID>
      <start>24</start>
      <end>29</end>
      <status>unmodified</status>
      <modifiedWord/>
      <trackRevisions>false</trackRevisions>
    </reviewItem>
    <reviewItem>
      <errorID>8baae6b8-a496-4d98-bcb6-b4f21bf2bfa0</errorID>
      <errorWord>（</errorWord>
      <group>L1_Format</group>
      <groupName>格式问题</groupName>
      <ability>L2_HalfPunc</ability>
      <abilityName>全半角检查</abilityName>
      <candidateList>
        <item>(</item>
      </candidateList>
      <explain>文本全半角错误。</explain>
      <paraID>3B6F9E32</paraID>
      <start>0</start>
      <end>1</end>
      <status>unmodified</status>
      <modifiedWord/>
      <trackRevisions>false</trackRevisions>
    </reviewItem>
    <reviewItem>
      <errorID>a6cd1267-8993-4bcf-a980-d7d326126098</errorID>
      <errorWord>）</errorWord>
      <group>L1_Format</group>
      <groupName>格式问题</groupName>
      <ability>L2_HalfPunc</ability>
      <abilityName>全半角检查</abilityName>
      <candidateList>
        <item>)</item>
      </candidateList>
      <explain>文本全半角错误。</explain>
      <paraID>3B6F9E32</paraID>
      <start>4</start>
      <end>5</end>
      <status>unmodified</status>
      <modifiedWord/>
      <trackRevisions>false</trackRevisions>
    </reviewItem>
    <reviewItem>
      <errorID>3017f1c0-22be-4373-b766-6c13cf7b6180</errorID>
      <errorWord>（</errorWord>
      <group>L1_Format</group>
      <groupName>格式问题</groupName>
      <ability>L2_HalfPunc</ability>
      <abilityName>全半角检查</abilityName>
      <candidateList>
        <item>(</item>
      </candidateList>
      <explain>文本全半角错误。</explain>
      <paraID>6AF23C39</paraID>
      <start>0</start>
      <end>1</end>
      <status>unmodified</status>
      <modifiedWord/>
      <trackRevisions>false</trackRevisions>
    </reviewItem>
    <reviewItem>
      <errorID>35a591ff-cdab-494d-a1dc-3c17fd33681b</errorID>
      <errorWord>）</errorWord>
      <group>L1_Format</group>
      <groupName>格式问题</groupName>
      <ability>L2_HalfPunc</ability>
      <abilityName>全半角检查</abilityName>
      <candidateList>
        <item>)</item>
      </candidateList>
      <explain>文本全半角错误。</explain>
      <paraID>6AF23C39</paraID>
      <start>5</start>
      <end>6</end>
      <status>unmodified</status>
      <modifiedWord/>
      <trackRevisions>false</trackRevisions>
    </reviewItem>
    <reviewItem>
      <errorID>4b154e31-6a5e-4f78-842f-c8f1fd6d0b98</errorID>
      <errorWord>（</errorWord>
      <group>L1_Format</group>
      <groupName>格式问题</groupName>
      <ability>L2_HalfPunc</ability>
      <abilityName>全半角检查</abilityName>
      <candidateList>
        <item>(</item>
      </candidateList>
      <explain>文本全半角错误。</explain>
      <paraID> 658140E</paraID>
      <start>0</start>
      <end>1</end>
      <status>unmodified</status>
      <modifiedWord/>
      <trackRevisions>false</trackRevisions>
    </reviewItem>
    <reviewItem>
      <errorID>7734c3b1-bea4-4d9b-a970-1b46324ecef3</errorID>
      <errorWord>）</errorWord>
      <group>L1_Format</group>
      <groupName>格式问题</groupName>
      <ability>L2_HalfPunc</ability>
      <abilityName>全半角检查</abilityName>
      <candidateList>
        <item>)</item>
      </candidateList>
      <explain>文本全半角错误。</explain>
      <paraID> 658140E</paraID>
      <start>4</start>
      <end>5</end>
      <status>unmodified</status>
      <modifiedWord/>
      <trackRevisions>false</trackRevisions>
    </reviewItem>
    <reviewItem>
      <errorID>76bd2a97-e344-493b-9810-82af64e830b2</errorID>
      <errorWord>（</errorWord>
      <group>L1_Format</group>
      <groupName>格式问题</groupName>
      <ability>L2_HalfPunc</ability>
      <abilityName>全半角检查</abilityName>
      <candidateList>
        <item>(</item>
      </candidateList>
      <explain>文本全半角错误。</explain>
      <paraID>110F2678</paraID>
      <start>0</start>
      <end>1</end>
      <status>unmodified</status>
      <modifiedWord/>
      <trackRevisions>false</trackRevisions>
    </reviewItem>
    <reviewItem>
      <errorID>098e38d8-d5a4-4f25-b8df-adb82e4acecf</errorID>
      <errorWord>）</errorWord>
      <group>L1_Format</group>
      <groupName>格式问题</groupName>
      <ability>L2_HalfPunc</ability>
      <abilityName>全半角检查</abilityName>
      <candidateList>
        <item>)</item>
      </candidateList>
      <explain>文本全半角错误。</explain>
      <paraID>110F2678</paraID>
      <start>5</start>
      <end>6</end>
      <status>unmodified</status>
      <modifiedWord/>
      <trackRevisions>false</trackRevisions>
    </reviewItem>
    <reviewItem>
      <errorID>196d29f1-4b00-47d6-b3b1-b0ede3a7e2c5</errorID>
      <errorWord>（</errorWord>
      <group>L1_Format</group>
      <groupName>格式问题</groupName>
      <ability>L2_HalfPunc</ability>
      <abilityName>全半角检查</abilityName>
      <candidateList>
        <item>(</item>
      </candidateList>
      <explain>文本全半角错误。</explain>
      <paraID>48767E24</paraID>
      <start>0</start>
      <end>1</end>
      <status>unmodified</status>
      <modifiedWord/>
      <trackRevisions>false</trackRevisions>
    </reviewItem>
    <reviewItem>
      <errorID>444d67f6-530f-4d78-bbfb-7a18e978e544</errorID>
      <errorWord>）</errorWord>
      <group>L1_Format</group>
      <groupName>格式问题</groupName>
      <ability>L2_HalfPunc</ability>
      <abilityName>全半角检查</abilityName>
      <candidateList>
        <item>)</item>
      </candidateList>
      <explain>文本全半角错误。</explain>
      <paraID>48767E24</paraID>
      <start>4</start>
      <end>5</end>
      <status>unmodified</status>
      <modifiedWord/>
      <trackRevisions>false</trackRevisions>
    </reviewItem>
    <reviewItem>
      <errorID>b58de9f1-dd92-430e-bd58-206a26af7961</errorID>
      <errorWord>（</errorWord>
      <group>L1_Format</group>
      <groupName>格式问题</groupName>
      <ability>L2_HalfPunc</ability>
      <abilityName>全半角检查</abilityName>
      <candidateList>
        <item>(</item>
      </candidateList>
      <explain>文本全半角错误。</explain>
      <paraID> 9C58985</paraID>
      <start>0</start>
      <end>1</end>
      <status>unmodified</status>
      <modifiedWord/>
      <trackRevisions>false</trackRevisions>
    </reviewItem>
    <reviewItem>
      <errorID>87f6a200-e6d8-48e8-9931-6060295a1d22</errorID>
      <errorWord>）</errorWord>
      <group>L1_Format</group>
      <groupName>格式问题</groupName>
      <ability>L2_HalfPunc</ability>
      <abilityName>全半角检查</abilityName>
      <candidateList>
        <item>)</item>
      </candidateList>
      <explain>文本全半角错误。</explain>
      <paraID> 9C58985</paraID>
      <start>4</start>
      <end>5</end>
      <status>unmodified</status>
      <modifiedWord/>
      <trackRevisions>false</trackRevisions>
    </reviewItem>
    <reviewItem>
      <errorID>db0a0883-4877-42a9-8e30-2b1fff631396</errorID>
      <errorWord>（</errorWord>
      <group>L1_Format</group>
      <groupName>格式问题</groupName>
      <ability>L2_HalfPunc</ability>
      <abilityName>全半角检查</abilityName>
      <candidateList>
        <item>(</item>
      </candidateList>
      <explain>文本全半角错误。</explain>
      <paraID> 5D33AD0</paraID>
      <start>0</start>
      <end>1</end>
      <status>unmodified</status>
      <modifiedWord/>
      <trackRevisions>false</trackRevisions>
    </reviewItem>
    <reviewItem>
      <errorID>f2f9c5cc-4441-4b76-ba52-26c9f94337f4</errorID>
      <errorWord>）</errorWord>
      <group>L1_Format</group>
      <groupName>格式问题</groupName>
      <ability>L2_HalfPunc</ability>
      <abilityName>全半角检查</abilityName>
      <candidateList>
        <item>)</item>
      </candidateList>
      <explain>文本全半角错误。</explain>
      <paraID> 5D33AD0</paraID>
      <start>4</start>
      <end>5</end>
      <status>unmodified</status>
      <modifiedWord/>
      <trackRevisions>false</trackRevisions>
    </reviewItem>
    <reviewItem>
      <errorID>d8e6ce88-aca2-4126-90cc-b3e6ac2b3f9b</errorID>
      <errorWord>（</errorWord>
      <group>L1_Format</group>
      <groupName>格式问题</groupName>
      <ability>L2_HalfPunc</ability>
      <abilityName>全半角检查</abilityName>
      <candidateList>
        <item>(</item>
      </candidateList>
      <explain>文本全半角错误。</explain>
      <paraID>46756D4E</paraID>
      <start>0</start>
      <end>1</end>
      <status>unmodified</status>
      <modifiedWord/>
      <trackRevisions>false</trackRevisions>
    </reviewItem>
    <reviewItem>
      <errorID>feb6b500-1e1a-4eaf-9227-e624584d2c47</errorID>
      <errorWord>）</errorWord>
      <group>L1_Format</group>
      <groupName>格式问题</groupName>
      <ability>L2_HalfPunc</ability>
      <abilityName>全半角检查</abilityName>
      <candidateList>
        <item>)</item>
      </candidateList>
      <explain>文本全半角错误。</explain>
      <paraID>46756D4E</paraID>
      <start>4</start>
      <end>5</end>
      <status>unmodified</status>
      <modifiedWord/>
      <trackRevisions>false</trackRevisions>
    </reviewItem>
    <reviewItem>
      <errorID>f6c2100e-388e-4029-931b-9e396924fa88</errorID>
      <errorWord>（</errorWord>
      <group>L1_Format</group>
      <groupName>格式问题</groupName>
      <ability>L2_HalfPunc</ability>
      <abilityName>全半角检查</abilityName>
      <candidateList>
        <item>(</item>
      </candidateList>
      <explain>文本全半角错误。</explain>
      <paraID>70BA6946</paraID>
      <start>0</start>
      <end>1</end>
      <status>unmodified</status>
      <modifiedWord/>
      <trackRevisions>false</trackRevisions>
    </reviewItem>
    <reviewItem>
      <errorID>2311603c-06f3-4113-92c1-49d4b4b989cb</errorID>
      <errorWord>）</errorWord>
      <group>L1_Format</group>
      <groupName>格式问题</groupName>
      <ability>L2_HalfPunc</ability>
      <abilityName>全半角检查</abilityName>
      <candidateList>
        <item>)</item>
      </candidateList>
      <explain>文本全半角错误。</explain>
      <paraID>70BA6946</paraID>
      <start>4</start>
      <end>5</end>
      <status>unmodified</status>
      <modifiedWord/>
      <trackRevisions>false</trackRevisions>
    </reviewItem>
    <reviewItem>
      <errorID>6a01766f-8a10-4472-8241-5e818a84f89c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6B780B9C</paraID>
      <start>29</start>
      <end>30</end>
      <status>unmodified</status>
      <modifiedWord/>
      <trackRevisions>false</trackRevisions>
    </reviewItem>
    <reviewItem>
      <errorID>ec960017-f557-44f0-901e-8e1c3d124c5d</errorID>
      <errorWord>(</errorWord>
      <group>L1_Format</group>
      <groupName>格式问题</groupName>
      <ability>L2_HalfPunc</ability>
      <abilityName>全半角检查</abilityName>
      <candidateList>
        <item>（</item>
      </candidateList>
      <explain>文本全半角错误。</explain>
      <paraID> 69EC4EA</paraID>
      <start>2</start>
      <end>3</end>
      <status>unmodified</status>
      <modifiedWord/>
      <trackRevisions>false</trackRevisions>
    </reviewItem>
    <reviewItem>
      <errorID>4a0bd1fc-3b76-4f52-99bb-43e72163b346</errorID>
      <errorWord>)</errorWord>
      <group>L1_Format</group>
      <groupName>格式问题</groupName>
      <ability>L2_HalfPunc</ability>
      <abilityName>全半角检查</abilityName>
      <candidateList>
        <item>）</item>
      </candidateList>
      <explain>文本全半角错误。</explain>
      <paraID> 69EC4EA</paraID>
      <start>4</start>
      <end>5</end>
      <status>unmodified</status>
      <modifiedWord/>
      <trackRevisions>false</trackRevisions>
    </reviewItem>
    <reviewItem>
      <errorID>3b47e8e2-5750-486b-a7de-549a7d0387b5</errorID>
      <errorWord>海拔高度</errorWord>
      <group>L1_Word</group>
      <groupName>字词问题</groupName>
      <ability>L2_Typo</ability>
      <abilityName>字词错误</abilityName>
      <candidateList>
        <item>海拔</item>
      </candidateList>
      <explain>〈名〉从平均海平面起算的高度。</explain>
      <paraID>13F4E95A</paraID>
      <start>0</start>
      <end>4</end>
      <status>unmodified</status>
      <modifiedWord/>
      <trackRevisions>false</trackRevisions>
    </reviewItem>
    <reviewItem>
      <errorID>64a0c2ee-298a-4041-ac70-cc84e70b207e</errorID>
      <errorWord>(</errorWord>
      <group>L1_Format</group>
      <groupName>格式问题</groupName>
      <ability>L2_HalfPunc</ability>
      <abilityName>全半角检查</abilityName>
      <candidateList>
        <item>（</item>
      </candidateList>
      <explain>文本全半角错误。</explain>
      <paraID>13F4E95A</paraID>
      <start>4</start>
      <end>5</end>
      <status>unmodified</status>
      <modifiedWord/>
      <trackRevisions>false</trackRevisions>
    </reviewItem>
    <reviewItem>
      <errorID>f1c56bda-cc14-4beb-b236-5c03025b11e4</errorID>
      <errorWord>)</errorWord>
      <group>L1_Format</group>
      <groupName>格式问题</groupName>
      <ability>L2_HalfPunc</ability>
      <abilityName>全半角检查</abilityName>
      <candidateList>
        <item>）</item>
      </candidateList>
      <explain>文本全半角错误。</explain>
      <paraID>13F4E95A</paraID>
      <start>6</start>
      <end>7</end>
      <status>unmodified</status>
      <modifiedWord/>
      <trackRevisions>false</trackRevisions>
    </reviewItem>
    <reviewItem>
      <errorID>0f0c5194-6722-4c02-b8aa-d82fa19e3663</errorID>
      <errorWord>(</errorWord>
      <group>L1_Format</group>
      <groupName>格式问题</groupName>
      <ability>L2_HalfPunc</ability>
      <abilityName>全半角检查</abilityName>
      <candidateList>
        <item>（</item>
      </candidateList>
      <explain>文本全半角错误。</explain>
      <paraID>2993A452</paraID>
      <start>7</start>
      <end>8</end>
      <status>unmodified</status>
      <modifiedWord/>
      <trackRevisions>false</trackRevisions>
    </reviewItem>
    <reviewItem>
      <errorID>ce8c4575-a300-4a7e-83a8-700c9cf834d5</errorID>
      <errorWord>)</errorWord>
      <group>L1_Format</group>
      <groupName>格式问题</groupName>
      <ability>L2_HalfPunc</ability>
      <abilityName>全半角检查</abilityName>
      <candidateList>
        <item>）</item>
      </candidateList>
      <explain>文本全半角错误。</explain>
      <paraID>2993A452</paraID>
      <start>12</start>
      <end>13</end>
      <status>unmodified</status>
      <modifiedWord/>
      <trackRevisions>false</trackRevisions>
    </reviewItem>
    <reviewItem>
      <errorID>8001dac5-e7a2-4efe-a75d-2a05504be0b6</errorID>
      <errorWord>(</errorWord>
      <group>L1_Format</group>
      <groupName>格式问题</groupName>
      <ability>L2_HalfPunc</ability>
      <abilityName>全半角检查</abilityName>
      <candidateList>
        <item>（</item>
      </candidateList>
      <explain>文本全半角错误。</explain>
      <paraID>5A953731</paraID>
      <start>2</start>
      <end>3</end>
      <status>unmodified</status>
      <modifiedWord/>
      <trackRevisions>false</trackRevisions>
    </reviewItem>
    <reviewItem>
      <errorID>2b981570-1825-476a-999d-726f2f3aaa6a</errorID>
      <errorWord>)</errorWord>
      <group>L1_Format</group>
      <groupName>格式问题</groupName>
      <ability>L2_HalfPunc</ability>
      <abilityName>全半角检查</abilityName>
      <candidateList>
        <item>）</item>
      </candidateList>
      <explain>文本全半角错误。</explain>
      <paraID>5A953731</paraID>
      <start>4</start>
      <end>5</end>
      <status>unmodified</status>
      <modifiedWord/>
      <trackRevisions>false</trackRevisions>
    </reviewItem>
    <reviewItem>
      <errorID>0238c362-3d47-4a7a-9f9b-bc63c2c4c8db</errorID>
      <errorWord>(</errorWord>
      <group>L1_Format</group>
      <groupName>格式问题</groupName>
      <ability>L2_HalfPunc</ability>
      <abilityName>全半角检查</abilityName>
      <candidateList>
        <item>（</item>
      </candidateList>
      <explain>文本全半角错误。</explain>
      <paraID>29733B07</paraID>
      <start>2</start>
      <end>3</end>
      <status>unmodified</status>
      <modifiedWord/>
      <trackRevisions>false</trackRevisions>
    </reviewItem>
    <reviewItem>
      <errorID>f969be95-5d1b-4467-8458-88e9e2d873d0</errorID>
      <errorWord>)</errorWord>
      <group>L1_Format</group>
      <groupName>格式问题</groupName>
      <ability>L2_HalfPunc</ability>
      <abilityName>全半角检查</abilityName>
      <candidateList>
        <item>）</item>
      </candidateList>
      <explain>文本全半角错误。</explain>
      <paraID>29733B07</paraID>
      <start>4</start>
      <end>5</end>
      <status>unmodified</status>
      <modifiedWord/>
      <trackRevisions>false</trackRevisions>
    </reviewItem>
    <reviewItem>
      <errorID>057a4611-7ec1-4925-9800-91b154fa2acc</errorID>
      <errorWord>(</errorWord>
      <group>L1_Format</group>
      <groupName>格式问题</groupName>
      <ability>L2_HalfPunc</ability>
      <abilityName>全半角检查</abilityName>
      <candidateList>
        <item>（</item>
      </candidateList>
      <explain>文本全半角错误。</explain>
      <paraID>44AC486B</paraID>
      <start>4</start>
      <end>5</end>
      <status>unmodified</status>
      <modifiedWord/>
      <trackRevisions>false</trackRevisions>
    </reviewItem>
    <reviewItem>
      <errorID>b2833776-d457-4368-8405-5c6f002d4ee2</errorID>
      <errorWord>)</errorWord>
      <group>L1_Format</group>
      <groupName>格式问题</groupName>
      <ability>L2_HalfPunc</ability>
      <abilityName>全半角检查</abilityName>
      <candidateList>
        <item>）</item>
      </candidateList>
      <explain>文本全半角错误。</explain>
      <paraID>44AC486B</paraID>
      <start>6</start>
      <end>7</end>
      <status>unmodified</status>
      <modifiedWord/>
      <trackRevisions>false</trackRevisions>
    </reviewItem>
    <reviewItem>
      <errorID>07fb9d4b-049f-474b-8321-33fe78697f94</errorID>
      <errorWord>-</errorWord>
      <group>L1_Format</group>
      <groupName>格式问题</groupName>
      <ability>L2_HalfPunc</ability>
      <abilityName>全半角检查</abilityName>
      <candidateList>
        <item>－</item>
      </candidateList>
      <explain>文本全半角错误。</explain>
      <paraID>1BFF1E54</paraID>
      <start>104</start>
      <end>105</end>
      <status>unmodified</status>
      <modifiedWord/>
      <trackRevisions>false</trackRevisions>
    </reviewItem>
    <reviewItem>
      <errorID>d3550770-3f1e-47cb-aed4-2a77cf2643b2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1BFF1E54</paraID>
      <start>118</start>
      <end>121</end>
      <status>unmodified</status>
      <modifiedWord/>
      <trackRevisions>false</trackRevisions>
    </reviewItem>
    <reviewItem>
      <errorID>1055c2a1-cc89-4854-be59-456c5540fbdc</errorID>
      <errorWord>-</errorWord>
      <group>L1_Format</group>
      <groupName>格式问题</groupName>
      <ability>L2_HalfPunc</ability>
      <abilityName>全半角检查</abilityName>
      <candidateList>
        <item>－</item>
      </candidateList>
      <explain>文本全半角错误。</explain>
      <paraID>3867B762</paraID>
      <start>34</start>
      <end>35</end>
      <status>unmodified</status>
      <modifiedWord/>
      <trackRevisions>false</trackRevisions>
    </reviewItem>
    <reviewItem>
      <errorID>c9ff6444-f112-446b-aedf-d155a6c78364</errorID>
      <errorWord>（</errorWord>
      <group>L1_Format</group>
      <groupName>格式问题</groupName>
      <ability>L2_HalfPunc</ability>
      <abilityName>全半角检查</abilityName>
      <candidateList>
        <item>(</item>
      </candidateList>
      <explain>文本全半角错误。</explain>
      <paraID>30DA428E</paraID>
      <start>0</start>
      <end>1</end>
      <status>unmodified</status>
      <modifiedWord/>
      <trackRevisions>false</trackRevisions>
    </reviewItem>
    <reviewItem>
      <errorID>63e61cec-ab2d-4b17-8b15-955ae47ad3a7</errorID>
      <errorWord>）</errorWord>
      <group>L1_Format</group>
      <groupName>格式问题</groupName>
      <ability>L2_HalfPunc</ability>
      <abilityName>全半角检查</abilityName>
      <candidateList>
        <item>)</item>
      </candidateList>
      <explain>文本全半角错误。</explain>
      <paraID>30DA428E</paraID>
      <start>4</start>
      <end>5</end>
      <status>unmodified</status>
      <modifiedWord/>
      <trackRevisions>false</trackRevisions>
    </reviewItem>
    <reviewItem>
      <errorID>3bac0b73-a919-42fb-9c13-4b66376089d0</errorID>
      <errorWord>（</errorWord>
      <group>L1_Format</group>
      <groupName>格式问题</groupName>
      <ability>L2_HalfPunc</ability>
      <abilityName>全半角检查</abilityName>
      <candidateList>
        <item>(</item>
      </candidateList>
      <explain>文本全半角错误。</explain>
      <paraID>383106D3</paraID>
      <start>0</start>
      <end>1</end>
      <status>unmodified</status>
      <modifiedWord/>
      <trackRevisions>false</trackRevisions>
    </reviewItem>
    <reviewItem>
      <errorID>b67881d4-3068-4233-a806-d8bdae78dbba</errorID>
      <errorWord>）</errorWord>
      <group>L1_Format</group>
      <groupName>格式问题</groupName>
      <ability>L2_HalfPunc</ability>
      <abilityName>全半角检查</abilityName>
      <candidateList>
        <item>)</item>
      </candidateList>
      <explain>文本全半角错误。</explain>
      <paraID>383106D3</paraID>
      <start>5</start>
      <end>6</end>
      <status>unmodified</status>
      <modifiedWord/>
      <trackRevisions>false</trackRevisions>
    </reviewItem>
    <reviewItem>
      <errorID>7a0f30d3-b8db-455d-b4f9-2cc9b391b321</errorID>
      <errorWord>（</errorWord>
      <group>L1_Format</group>
      <groupName>格式问题</groupName>
      <ability>L2_HalfPunc</ability>
      <abilityName>全半角检查</abilityName>
      <candidateList>
        <item>(</item>
      </candidateList>
      <explain>文本全半角错误。</explain>
      <paraID>1B1FD96D</paraID>
      <start>0</start>
      <end>1</end>
      <status>unmodified</status>
      <modifiedWord/>
      <trackRevisions>false</trackRevisions>
    </reviewItem>
    <reviewItem>
      <errorID>2c35170a-c56d-4750-91bb-e2dccb9eb03b</errorID>
      <errorWord>）</errorWord>
      <group>L1_Format</group>
      <groupName>格式问题</groupName>
      <ability>L2_HalfPunc</ability>
      <abilityName>全半角检查</abilityName>
      <candidateList>
        <item>)</item>
      </candidateList>
      <explain>文本全半角错误。</explain>
      <paraID>1B1FD96D</paraID>
      <start>4</start>
      <end>5</end>
      <status>unmodified</status>
      <modifiedWord/>
      <trackRevisions>false</trackRevisions>
    </reviewItem>
    <reviewItem>
      <errorID>4468d73f-5b7d-4e8d-881a-7c64bf3eb968</errorID>
      <errorWord>（</errorWord>
      <group>L1_Format</group>
      <groupName>格式问题</groupName>
      <ability>L2_HalfPunc</ability>
      <abilityName>全半角检查</abilityName>
      <candidateList>
        <item>(</item>
      </candidateList>
      <explain>文本全半角错误。</explain>
      <paraID>52FB25FA</paraID>
      <start>0</start>
      <end>1</end>
      <status>unmodified</status>
      <modifiedWord/>
      <trackRevisions>false</trackRevisions>
    </reviewItem>
    <reviewItem>
      <errorID>cfc391b6-b981-4172-8eff-36bcabedb31c</errorID>
      <errorWord>）</errorWord>
      <group>L1_Format</group>
      <groupName>格式问题</groupName>
      <ability>L2_HalfPunc</ability>
      <abilityName>全半角检查</abilityName>
      <candidateList>
        <item>)</item>
      </candidateList>
      <explain>文本全半角错误。</explain>
      <paraID>52FB25FA</paraID>
      <start>5</start>
      <end>6</end>
      <status>unmodified</status>
      <modifiedWord/>
      <trackRevisions>false</trackRevisions>
    </reviewItem>
    <reviewItem>
      <errorID>3f5de33e-3568-43fb-947c-3a3a6c6e57be</errorID>
      <errorWord>，</errorWord>
      <group>L1_Format</group>
      <groupName>格式问题</groupName>
      <ability>L2_HalfPunc</ability>
      <abilityName>全半角检查</abilityName>
      <candidateList>
        <item>, </item>
      </candidateList>
      <explain>文本全半角错误。</explain>
      <paraID>504B12EA</paraID>
      <start>1</start>
      <end>2</end>
      <status>unmodified</status>
      <modifiedWord/>
      <trackRevisions>false</trackRevisions>
    </reviewItem>
    <reviewItem>
      <errorID>70fb19f2-3b95-4c98-a68a-3c3b6ed78d25</errorID>
      <errorWord>，</errorWord>
      <group>L1_Format</group>
      <groupName>格式问题</groupName>
      <ability>L2_HalfPunc</ability>
      <abilityName>全半角检查</abilityName>
      <candidateList>
        <item>, </item>
      </candidateList>
      <explain>文本全半角错误。</explain>
      <paraID>41917BE1</paraID>
      <start>1</start>
      <end>2</end>
      <status>unmodified</status>
      <modifiedWord/>
      <trackRevisions>false</trackRevisions>
    </reviewItem>
    <reviewItem>
      <errorID>db34f268-d135-49fd-ade9-2c6b7d256411</errorID>
      <errorWord>，</errorWord>
      <group>L1_Format</group>
      <groupName>格式问题</groupName>
      <ability>L2_HalfPunc</ability>
      <abilityName>全半角检查</abilityName>
      <candidateList>
        <item>, </item>
      </candidateList>
      <explain>文本全半角错误。</explain>
      <paraID>64FFB7BA</paraID>
      <start>1</start>
      <end>2</end>
      <status>unmodified</status>
      <modifiedWord/>
      <trackRevisions>false</trackRevisions>
    </reviewItem>
    <reviewItem>
      <errorID>1f320c3f-0d08-492e-8616-6c4f58813b74</errorID>
      <errorWord>，</errorWord>
      <group>L1_Format</group>
      <groupName>格式问题</groupName>
      <ability>L2_HalfPunc</ability>
      <abilityName>全半角检查</abilityName>
      <candidateList>
        <item>, </item>
      </candidateList>
      <explain>文本全半角错误。</explain>
      <paraID>555F42D3</paraID>
      <start>1</start>
      <end>2</end>
      <status>unmodified</status>
      <modifiedWord/>
      <trackRevisions>false</trackRevisions>
    </reviewItem>
    <reviewItem>
      <errorID>ffc4fc47-c54c-4306-a0fc-bee750c5ff9d</errorID>
      <errorWord>&lt;</errorWord>
      <group>L1_Format</group>
      <groupName>格式问题</groupName>
      <ability>L2_HalfPunc</ability>
      <abilityName>全半角检查</abilityName>
      <candidateList>
        <item>〈</item>
      </candidateList>
      <explain>文本全半角错误。</explain>
      <paraID>36CAD799</paraID>
      <start>7</start>
      <end>8</end>
      <status>unmodified</status>
      <modifiedWord/>
      <trackRevisions>false</trackRevisions>
    </reviewItem>
    <reviewItem>
      <errorID>ada7233d-915a-4cd4-9c60-2de0a9bf0715</errorID>
      <errorWord>&gt;的通知》</errorWord>
      <group>L1_Punc</group>
      <groupName>标点问题</groupName>
      <ability>L2_Punc</ability>
      <abilityName>标点符号检查</abilityName>
      <candidateList>
        <item>〉的通知》</item>
      </candidateList>
      <explain/>
      <paraID>36CAD799</paraID>
      <start>24</start>
      <end>29</end>
      <status>unmodified</status>
      <modifiedWord/>
      <trackRevisions>false</trackRevisions>
    </reviewItem>
    <reviewItem>
      <errorID>d4718f2a-fb3d-4475-8c61-b47cd345bedc</errorID>
      <errorWord>程</errorWord>
      <group>L1_Word</group>
      <groupName>字词问题</groupName>
      <ability>L2_Typo</ability>
      <abilityName>字词错误</abilityName>
      <candidateList>
        <item>程中</item>
      </candidateList>
      <explain/>
      <paraID>390A5129</paraID>
      <start>106</start>
      <end>107</end>
      <status>unmodified</status>
      <modifiedWord/>
      <trackRevisions>false</trackRevisions>
    </reviewItem>
    <reviewItem>
      <errorID>da766f14-e654-4bae-b03b-203e1a6d7289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1B6D2C22</paraID>
      <start>72</start>
      <end>73</end>
      <status>unmodified</status>
      <modifiedWord/>
      <trackRevisions>false</trackRevisions>
    </reviewItem>
    <reviewItem>
      <errorID>19d6a39b-0f39-40ea-ab2e-1d0edeff71a8</errorID>
      <errorWord>（</errorWord>
      <group>L1_Format</group>
      <groupName>格式问题</groupName>
      <ability>L2_HalfPunc</ability>
      <abilityName>全半角检查</abilityName>
      <candidateList>
        <item>(</item>
      </candidateList>
      <explain>文本全半角错误。</explain>
      <paraID>5CE4C886</paraID>
      <start>0</start>
      <end>1</end>
      <status>unmodified</status>
      <modifiedWord/>
      <trackRevisions>false</trackRevisions>
    </reviewItem>
    <reviewItem>
      <errorID>1bbcd04f-8931-4a0c-a503-0c09b997aff8</errorID>
      <errorWord>）</errorWord>
      <group>L1_Format</group>
      <groupName>格式问题</groupName>
      <ability>L2_HalfPunc</ability>
      <abilityName>全半角检查</abilityName>
      <candidateList>
        <item>)</item>
      </candidateList>
      <explain>文本全半角错误。</explain>
      <paraID>5CE4C886</paraID>
      <start>3</start>
      <end>4</end>
      <status>unmodified</status>
      <modifiedWord/>
      <trackRevisions>false</trackRevisions>
    </reviewItem>
    <reviewItem>
      <errorID>1831e8cc-e487-4a76-9d49-c13d738955f9</errorID>
      <errorWord>接受</errorWord>
      <group>L1_Word</group>
      <groupName>字词问题</groupName>
      <ability>L2_Typo</ability>
      <abilityName>字词错误</abilityName>
      <candidateList>
        <item>接收</item>
      </candidateList>
      <explain>存在发音相同字词的误用。</explain>
      <paraID>105DC82B</paraID>
      <start>46</start>
      <end>48</end>
      <status>modified</status>
      <modifiedWord>接收</modifiedWord>
      <trackRevisions>false</trackRevisions>
    </reviewItem>
    <reviewItem>
      <errorID>0a08f118-cac3-4987-b610-6b0969e7e315</errorID>
      <errorWord>，并</errorWord>
      <group>L1_Word</group>
      <groupName>字词问题</groupName>
      <ability>L2_Typo</ability>
      <abilityName>字词错误</abilityName>
      <candidateList>
        <item>，</item>
      </candidateList>
      <explain/>
      <paraID>6459030E</paraID>
      <start>31</start>
      <end>33</end>
      <status>unmodified</status>
      <modifiedWord/>
      <trackRevisions>false</trackRevisions>
    </reviewItem>
  </reviewItems>
  <config/>
</contractReview>
</file>

<file path=customXml/itemProps1.xml><?xml version="1.0" encoding="utf-8"?>
<ds:datastoreItem xmlns:ds="http://schemas.openxmlformats.org/officeDocument/2006/customXml" ds:itemID="{7C612880-1FE9-4357-A06D-D6CD00AF6CB7}">
  <ds:schemaRefs/>
</ds:datastoreItem>
</file>

<file path=customXml/itemProps2.xml><?xml version="1.0" encoding="utf-8"?>
<ds:datastoreItem xmlns:ds="http://schemas.openxmlformats.org/officeDocument/2006/customXml" ds:itemID="{ea160c8b-2d3d-414a-9852-b80333261ab6}">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108</Pages>
  <Words>27481</Words>
  <Characters>29689</Characters>
  <Lines>524</Lines>
  <Paragraphs>147</Paragraphs>
  <TotalTime>2628</TotalTime>
  <ScaleCrop>false</ScaleCrop>
  <LinksUpToDate>false</LinksUpToDate>
  <CharactersWithSpaces>29847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2026-01-22T03:43:00Z</dcterms:created>
  <dc:creator>岁月如歌</dc:creator>
  <cp:lastModifiedBy>岁月如歌</cp:lastModifiedBy>
  <cp:lastPrinted>2026-03-24T08:52:00Z</cp:lastPrinted>
  <dcterms:modified xsi:type="dcterms:W3CDTF">2026-03-25T06:32:38Z</dcterms:modified>
  <dc:title>建设项目环境影响报告表（污染影响类）</dc:title>
  <cp:revision>162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3CDC3C39799C444F8ED742769250C9D8</vt:lpwstr>
  </property>
  <property fmtid="{D5CDD505-2E9C-101B-9397-08002B2CF9AE}" pid="4" name="KSOTemplateDocerSaveRecord">
    <vt:lpwstr>eyJoZGlkIjoiNWYwYjdkYjZlZGM2NWFlNjkyM2U1MWM0ZTNmZWEwZTIiLCJ1c2VySWQiOiIxMDM3NjMxMjY0In0=</vt:lpwstr>
  </property>
</Properties>
</file>